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54" w:rsidRPr="00020121" w:rsidRDefault="00F105F9" w:rsidP="00F105F9">
      <w:pPr>
        <w:pStyle w:val="Title"/>
        <w:tabs>
          <w:tab w:val="left" w:pos="567"/>
        </w:tabs>
      </w:pPr>
      <w:r w:rsidRPr="00CA6DB6">
        <w:t>Aid Program Performance Report 2012</w:t>
      </w:r>
      <w:r w:rsidRPr="00052BF3">
        <w:t>−</w:t>
      </w:r>
      <w:r w:rsidRPr="00CA6DB6">
        <w:t xml:space="preserve">13 </w:t>
      </w:r>
      <w:r w:rsidR="00C322E4">
        <w:t>Kiribati</w:t>
      </w:r>
      <w:r w:rsidR="00BC6EEF">
        <w:tab/>
      </w:r>
    </w:p>
    <w:p w:rsidR="0026198E" w:rsidRPr="002A4292" w:rsidRDefault="0026198E" w:rsidP="00A52843">
      <w:pPr>
        <w:pStyle w:val="Heading1"/>
      </w:pPr>
      <w:r w:rsidRPr="002A4292">
        <w:t xml:space="preserve">Key </w:t>
      </w:r>
      <w:r>
        <w:t>m</w:t>
      </w:r>
      <w:r w:rsidRPr="002A4292">
        <w:t>essages</w:t>
      </w:r>
    </w:p>
    <w:p w:rsidR="0026198E" w:rsidRPr="00D23312" w:rsidRDefault="007B2970" w:rsidP="00D23312">
      <w:pPr>
        <w:pStyle w:val="BodyText"/>
      </w:pPr>
      <w:r>
        <w:t xml:space="preserve">This </w:t>
      </w:r>
      <w:r w:rsidR="00D56EF5">
        <w:t xml:space="preserve">Aid </w:t>
      </w:r>
      <w:r w:rsidR="0026198E" w:rsidRPr="00D23312">
        <w:t>Program Performance Report (APPR) summarises the Australian aid program’s progress in Kiribati from January 2012 to</w:t>
      </w:r>
      <w:r w:rsidR="00D23312">
        <w:t xml:space="preserve"> June 2013 under the Kiribati–</w:t>
      </w:r>
      <w:r w:rsidR="0026198E" w:rsidRPr="00D23312">
        <w:t>Australia Partnership for Development 2009</w:t>
      </w:r>
      <w:r w:rsidR="00C0671C" w:rsidRPr="00D23312">
        <w:noBreakHyphen/>
        <w:t>2015</w:t>
      </w:r>
      <w:r w:rsidR="0026198E" w:rsidRPr="00D23312">
        <w:t xml:space="preserve">. </w:t>
      </w:r>
    </w:p>
    <w:p w:rsidR="0026198E" w:rsidRPr="00D23312" w:rsidRDefault="0026198E" w:rsidP="00D23312">
      <w:pPr>
        <w:pStyle w:val="BodyText"/>
      </w:pPr>
      <w:r w:rsidRPr="00D23312">
        <w:t>Key findings include:</w:t>
      </w:r>
    </w:p>
    <w:p w:rsidR="0026198E" w:rsidRPr="002A4292" w:rsidRDefault="0026198E" w:rsidP="00A52843">
      <w:pPr>
        <w:pStyle w:val="ListBullet"/>
      </w:pPr>
      <w:r w:rsidRPr="002A4292">
        <w:t xml:space="preserve">Priority Outcome </w:t>
      </w:r>
      <w:r>
        <w:t>1</w:t>
      </w:r>
      <w:r w:rsidRPr="002A4292">
        <w:t xml:space="preserve"> (Basic </w:t>
      </w:r>
      <w:r>
        <w:t>e</w:t>
      </w:r>
      <w:r w:rsidRPr="002A4292">
        <w:t>ducation)</w:t>
      </w:r>
      <w:r>
        <w:t>—</w:t>
      </w:r>
      <w:r w:rsidRPr="002A4292">
        <w:t>school rehabilitation pilots were completed, policy and legislative reform undertaken, teachers trained in English language proficiency and new grade</w:t>
      </w:r>
      <w:r>
        <w:t>s</w:t>
      </w:r>
      <w:r w:rsidRPr="002A4292">
        <w:t xml:space="preserve"> 1 </w:t>
      </w:r>
      <w:r>
        <w:t>and</w:t>
      </w:r>
      <w:r w:rsidRPr="002A4292">
        <w:t xml:space="preserve"> 2 curricul</w:t>
      </w:r>
      <w:r w:rsidR="009B7089">
        <w:t>a</w:t>
      </w:r>
      <w:r w:rsidRPr="002A4292">
        <w:t xml:space="preserve"> developed</w:t>
      </w:r>
      <w:r>
        <w:t xml:space="preserve">. Australia and Kiribati </w:t>
      </w:r>
      <w:r w:rsidRPr="002A4292">
        <w:rPr>
          <w:szCs w:val="19"/>
        </w:rPr>
        <w:t xml:space="preserve">are on track to achieve </w:t>
      </w:r>
      <w:r>
        <w:rPr>
          <w:szCs w:val="19"/>
        </w:rPr>
        <w:t>the p</w:t>
      </w:r>
      <w:r w:rsidRPr="002A4292">
        <w:rPr>
          <w:szCs w:val="19"/>
        </w:rPr>
        <w:t xml:space="preserve">artnership targets </w:t>
      </w:r>
      <w:r w:rsidR="009B7089">
        <w:rPr>
          <w:szCs w:val="19"/>
        </w:rPr>
        <w:t xml:space="preserve">in education </w:t>
      </w:r>
      <w:r w:rsidRPr="002A4292">
        <w:rPr>
          <w:szCs w:val="19"/>
        </w:rPr>
        <w:t>by the 2020 timeframe</w:t>
      </w:r>
      <w:r w:rsidRPr="002A4292">
        <w:rPr>
          <w:rFonts w:ascii="Georgia" w:hAnsi="Georgia"/>
          <w:sz w:val="19"/>
          <w:szCs w:val="19"/>
          <w:lang w:val="en-US"/>
        </w:rPr>
        <w:t>.</w:t>
      </w:r>
      <w:r>
        <w:rPr>
          <w:rFonts w:ascii="Georgia" w:hAnsi="Georgia"/>
          <w:sz w:val="19"/>
          <w:szCs w:val="19"/>
          <w:lang w:val="en-US"/>
        </w:rPr>
        <w:t xml:space="preserve"> </w:t>
      </w:r>
    </w:p>
    <w:p w:rsidR="0026198E" w:rsidRPr="002A4292" w:rsidRDefault="0026198E" w:rsidP="00A52843">
      <w:pPr>
        <w:pStyle w:val="ListBullet"/>
      </w:pPr>
      <w:r w:rsidRPr="002A4292">
        <w:t xml:space="preserve">Priority Outcome </w:t>
      </w:r>
      <w:r>
        <w:t xml:space="preserve">2 </w:t>
      </w:r>
      <w:r w:rsidRPr="002A4292">
        <w:t xml:space="preserve">(Workforce </w:t>
      </w:r>
      <w:r>
        <w:t>s</w:t>
      </w:r>
      <w:r w:rsidRPr="002A4292">
        <w:t>kills)</w:t>
      </w:r>
      <w:r>
        <w:t>—</w:t>
      </w:r>
      <w:r w:rsidRPr="002A4292">
        <w:t xml:space="preserve">more young people gained recognised and valued </w:t>
      </w:r>
      <w:r w:rsidR="009B7089">
        <w:t>t</w:t>
      </w:r>
      <w:r w:rsidRPr="002A4292">
        <w:t xml:space="preserve">echnical and </w:t>
      </w:r>
      <w:r w:rsidR="009B7089">
        <w:t>v</w:t>
      </w:r>
      <w:r w:rsidRPr="002A4292">
        <w:t xml:space="preserve">ocational </w:t>
      </w:r>
      <w:r w:rsidR="009B7089">
        <w:t>e</w:t>
      </w:r>
      <w:r w:rsidRPr="002A4292">
        <w:t xml:space="preserve">ducation and </w:t>
      </w:r>
      <w:r w:rsidR="009B7089">
        <w:t>t</w:t>
      </w:r>
      <w:r w:rsidRPr="002A4292">
        <w:t>raining</w:t>
      </w:r>
      <w:r>
        <w:t xml:space="preserve"> (TVET)</w:t>
      </w:r>
      <w:r w:rsidRPr="002A4292">
        <w:t xml:space="preserve"> qualifications in areas of skill demand</w:t>
      </w:r>
      <w:r>
        <w:t xml:space="preserve">. </w:t>
      </w:r>
      <w:r w:rsidRPr="002A4292">
        <w:t xml:space="preserve">However, </w:t>
      </w:r>
      <w:r>
        <w:t>Australia is</w:t>
      </w:r>
      <w:r w:rsidRPr="002A4292">
        <w:t xml:space="preserve"> concerned about the efficiency of the Kiribati</w:t>
      </w:r>
      <w:r w:rsidR="00903149">
        <w:t>-</w:t>
      </w:r>
      <w:r w:rsidRPr="002A4292">
        <w:t xml:space="preserve">Australia Nursing Initiative and the findings of an independent review are being used to inform a decision about how to reshape </w:t>
      </w:r>
      <w:r>
        <w:t xml:space="preserve">Australia’s </w:t>
      </w:r>
      <w:r w:rsidRPr="002A4292">
        <w:t>support.</w:t>
      </w:r>
    </w:p>
    <w:p w:rsidR="0026198E" w:rsidRPr="002A4292" w:rsidRDefault="0026198E" w:rsidP="00A52843">
      <w:pPr>
        <w:pStyle w:val="ListBullet"/>
      </w:pPr>
      <w:r w:rsidRPr="002A4292">
        <w:t xml:space="preserve">Priority Outcome </w:t>
      </w:r>
      <w:r>
        <w:t>3</w:t>
      </w:r>
      <w:r w:rsidRPr="002A4292">
        <w:t xml:space="preserve"> (Growth and </w:t>
      </w:r>
      <w:r>
        <w:t>e</w:t>
      </w:r>
      <w:r w:rsidRPr="002A4292">
        <w:t xml:space="preserve">conomic </w:t>
      </w:r>
      <w:r>
        <w:t>m</w:t>
      </w:r>
      <w:r w:rsidRPr="002A4292">
        <w:t>anagement)</w:t>
      </w:r>
      <w:r>
        <w:t>—</w:t>
      </w:r>
      <w:r w:rsidRPr="002A4292">
        <w:t>progress was made in reforming state</w:t>
      </w:r>
      <w:r>
        <w:t>-</w:t>
      </w:r>
      <w:r w:rsidRPr="002A4292">
        <w:t>owned enterprises, improving public financial management and taxation, and strengthening fisheries management, but the Government of Kiribati still faces unsustainable budget deficits</w:t>
      </w:r>
      <w:r>
        <w:t>.</w:t>
      </w:r>
      <w:r w:rsidR="00D23312">
        <w:t xml:space="preserve"> </w:t>
      </w:r>
      <w:r w:rsidRPr="002A4292">
        <w:t xml:space="preserve">Improved donor coordination is leading to more timely and effective donor assistance and </w:t>
      </w:r>
      <w:r w:rsidR="005666B6">
        <w:t>Australia’s</w:t>
      </w:r>
      <w:r w:rsidRPr="002A4292">
        <w:t xml:space="preserve"> program is on track to achieve targets.</w:t>
      </w:r>
    </w:p>
    <w:p w:rsidR="0026198E" w:rsidRPr="002A4292" w:rsidRDefault="0026198E" w:rsidP="00A52843">
      <w:pPr>
        <w:pStyle w:val="ListBullet"/>
      </w:pPr>
      <w:r w:rsidRPr="002A4292">
        <w:t xml:space="preserve">Priority Outcome </w:t>
      </w:r>
      <w:r>
        <w:t>4</w:t>
      </w:r>
      <w:r w:rsidRPr="002A4292">
        <w:t xml:space="preserve"> (Infrastructure)</w:t>
      </w:r>
      <w:r>
        <w:t>—Australia’s</w:t>
      </w:r>
      <w:r w:rsidRPr="002A4292">
        <w:rPr>
          <w:rFonts w:eastAsia="SimSun"/>
        </w:rPr>
        <w:t xml:space="preserve"> infrastructure investments have experienced significant delays and </w:t>
      </w:r>
      <w:proofErr w:type="gramStart"/>
      <w:r w:rsidRPr="002A4292">
        <w:rPr>
          <w:rFonts w:eastAsia="SimSun"/>
        </w:rPr>
        <w:t>cost increases and are</w:t>
      </w:r>
      <w:proofErr w:type="gramEnd"/>
      <w:r w:rsidRPr="002A4292">
        <w:rPr>
          <w:rFonts w:eastAsia="SimSun"/>
        </w:rPr>
        <w:t xml:space="preserve"> currently off track to meet targets</w:t>
      </w:r>
      <w:r>
        <w:rPr>
          <w:rFonts w:eastAsia="SimSun"/>
        </w:rPr>
        <w:t xml:space="preserve">. </w:t>
      </w:r>
      <w:r w:rsidRPr="002A4292">
        <w:rPr>
          <w:rFonts w:eastAsia="SimSun"/>
        </w:rPr>
        <w:t>Delays are largely due to</w:t>
      </w:r>
      <w:r>
        <w:rPr>
          <w:rFonts w:eastAsia="SimSun"/>
        </w:rPr>
        <w:t xml:space="preserve"> the </w:t>
      </w:r>
      <w:r w:rsidRPr="002A4292">
        <w:rPr>
          <w:rFonts w:eastAsia="SimSun"/>
        </w:rPr>
        <w:t>Government of Kiribati’s limited capacity to manage the large and relatively complex portfolio of infrastructure investments underway</w:t>
      </w:r>
      <w:r>
        <w:rPr>
          <w:rFonts w:eastAsia="SimSun"/>
        </w:rPr>
        <w:t>. Australia is</w:t>
      </w:r>
      <w:r w:rsidRPr="002A4292">
        <w:rPr>
          <w:rFonts w:eastAsia="SimSun"/>
        </w:rPr>
        <w:t xml:space="preserve"> addressing these issues and expect</w:t>
      </w:r>
      <w:r w:rsidR="009B7089">
        <w:rPr>
          <w:rFonts w:eastAsia="SimSun"/>
        </w:rPr>
        <w:t>s progress to improve in 2013–14</w:t>
      </w:r>
      <w:r w:rsidRPr="002A4292">
        <w:rPr>
          <w:rFonts w:eastAsia="SimSun"/>
        </w:rPr>
        <w:t xml:space="preserve"> with close monitoring and ongoing support.</w:t>
      </w:r>
    </w:p>
    <w:p w:rsidR="0026198E" w:rsidRPr="002A4292" w:rsidRDefault="0026198E" w:rsidP="00A52843">
      <w:pPr>
        <w:pStyle w:val="BodyText"/>
      </w:pPr>
      <w:r w:rsidRPr="002A4292">
        <w:t>Despite</w:t>
      </w:r>
      <w:r>
        <w:t xml:space="preserve"> these and other</w:t>
      </w:r>
      <w:r w:rsidRPr="002A4292">
        <w:t xml:space="preserve"> positive results, most of </w:t>
      </w:r>
      <w:r>
        <w:t>the</w:t>
      </w:r>
      <w:r w:rsidRPr="002A4292">
        <w:t xml:space="preserve"> </w:t>
      </w:r>
      <w:r>
        <w:t>p</w:t>
      </w:r>
      <w:r w:rsidRPr="002A4292">
        <w:t xml:space="preserve">artnership programs are still in their early stages and challenges remain in translating </w:t>
      </w:r>
      <w:r>
        <w:t>this</w:t>
      </w:r>
      <w:r w:rsidRPr="002A4292">
        <w:t xml:space="preserve"> work into improvements in the lives of i</w:t>
      </w:r>
      <w:r w:rsidR="003557F2">
        <w:noBreakHyphen/>
      </w:r>
      <w:r w:rsidRPr="002A4292">
        <w:t>Kiribati</w:t>
      </w:r>
      <w:r>
        <w:t xml:space="preserve">. </w:t>
      </w:r>
      <w:r w:rsidRPr="002A4292">
        <w:t xml:space="preserve">Challenges include: </w:t>
      </w:r>
    </w:p>
    <w:p w:rsidR="0026198E" w:rsidRPr="002A4292" w:rsidRDefault="0026198E" w:rsidP="00A52843">
      <w:pPr>
        <w:pStyle w:val="ListBullet"/>
      </w:pPr>
      <w:r w:rsidRPr="002A4292">
        <w:t>supporting the Government of Kiribati to lead, own and coordinate reforms by:</w:t>
      </w:r>
    </w:p>
    <w:p w:rsidR="0026198E" w:rsidRPr="002A4292" w:rsidRDefault="0026198E" w:rsidP="00A52843">
      <w:pPr>
        <w:pStyle w:val="ListBullet2"/>
      </w:pPr>
      <w:r w:rsidRPr="002A4292">
        <w:t xml:space="preserve">strengthening </w:t>
      </w:r>
      <w:r>
        <w:t>its</w:t>
      </w:r>
      <w:r w:rsidRPr="002A4292">
        <w:t xml:space="preserve"> National Economic Planning Office’s capacity to coordinate aid </w:t>
      </w:r>
    </w:p>
    <w:p w:rsidR="0026198E" w:rsidRPr="002A4292" w:rsidRDefault="0026198E" w:rsidP="00A52843">
      <w:pPr>
        <w:pStyle w:val="ListBullet2"/>
      </w:pPr>
      <w:r w:rsidRPr="002A4292">
        <w:t xml:space="preserve">enhancing the effectiveness of steering committees to oversee program performance </w:t>
      </w:r>
    </w:p>
    <w:p w:rsidR="0026198E" w:rsidRPr="002A4292" w:rsidRDefault="0026198E" w:rsidP="00A52843">
      <w:pPr>
        <w:pStyle w:val="ListBullet2"/>
      </w:pPr>
      <w:r w:rsidRPr="002A4292">
        <w:t>providing high</w:t>
      </w:r>
      <w:r>
        <w:t>-</w:t>
      </w:r>
      <w:r w:rsidRPr="002A4292">
        <w:t xml:space="preserve">quality progress reports to enable the </w:t>
      </w:r>
      <w:r>
        <w:t>g</w:t>
      </w:r>
      <w:r w:rsidRPr="002A4292">
        <w:t>overnment to fully understand and make informed decisions about the reform agenda</w:t>
      </w:r>
      <w:r>
        <w:t xml:space="preserve"> </w:t>
      </w:r>
    </w:p>
    <w:p w:rsidR="0026198E" w:rsidRPr="002A4292" w:rsidRDefault="0026198E" w:rsidP="00A52843">
      <w:pPr>
        <w:pStyle w:val="ListBullet"/>
      </w:pPr>
      <w:r w:rsidRPr="002A4292">
        <w:t xml:space="preserve">assisting </w:t>
      </w:r>
      <w:r>
        <w:t xml:space="preserve">Australia’s </w:t>
      </w:r>
      <w:r w:rsidRPr="002A4292">
        <w:t xml:space="preserve">development partners (particularly the multilateral development banks) to understand and tailor their activities to take into account the capacity of </w:t>
      </w:r>
      <w:r>
        <w:t xml:space="preserve">the </w:t>
      </w:r>
      <w:r w:rsidRPr="002A4292">
        <w:t xml:space="preserve">Government of Kiribati, including by providing disproportionate levels of oversight and support than </w:t>
      </w:r>
      <w:r>
        <w:t xml:space="preserve">is </w:t>
      </w:r>
      <w:r w:rsidRPr="002A4292">
        <w:t>typically provided for partner governments</w:t>
      </w:r>
    </w:p>
    <w:p w:rsidR="0026198E" w:rsidRDefault="0026198E" w:rsidP="00A52843">
      <w:pPr>
        <w:pStyle w:val="ListBullet"/>
      </w:pPr>
      <w:proofErr w:type="gramStart"/>
      <w:r w:rsidRPr="002A4292">
        <w:t>maintaining</w:t>
      </w:r>
      <w:proofErr w:type="gramEnd"/>
      <w:r w:rsidRPr="002A4292">
        <w:t xml:space="preserve"> political commitment for reforms, particularly unpopular economic reform.</w:t>
      </w:r>
    </w:p>
    <w:p w:rsidR="0026198E" w:rsidRPr="002A4292" w:rsidRDefault="0026198E" w:rsidP="00A52843">
      <w:pPr>
        <w:pStyle w:val="Heading1"/>
      </w:pPr>
      <w:r w:rsidRPr="00A52843">
        <w:lastRenderedPageBreak/>
        <w:t>Context</w:t>
      </w:r>
      <w:r w:rsidRPr="002A4292">
        <w:t xml:space="preserve"> </w:t>
      </w:r>
    </w:p>
    <w:p w:rsidR="0026198E" w:rsidRPr="002A4292" w:rsidRDefault="0026198E" w:rsidP="00A52843">
      <w:pPr>
        <w:pStyle w:val="Heading2"/>
      </w:pPr>
      <w:r w:rsidRPr="002A4292">
        <w:t xml:space="preserve">Economy </w:t>
      </w:r>
    </w:p>
    <w:p w:rsidR="0026198E" w:rsidRPr="002A4292" w:rsidRDefault="0026198E" w:rsidP="00A52843">
      <w:pPr>
        <w:pStyle w:val="BodyText"/>
        <w:rPr>
          <w:rFonts w:eastAsia="SimSun"/>
        </w:rPr>
      </w:pPr>
      <w:r w:rsidRPr="002A4292">
        <w:rPr>
          <w:rFonts w:eastAsia="SimSun"/>
        </w:rPr>
        <w:t>The potential for the Government of Kiribati to grow revenue to meet demand for services and public investments is constrained by limited opportunities for economic growth, high population growth</w:t>
      </w:r>
      <w:r w:rsidRPr="002A4292">
        <w:t xml:space="preserve"> </w:t>
      </w:r>
      <w:r w:rsidRPr="002A4292">
        <w:rPr>
          <w:rFonts w:eastAsia="SimSun"/>
        </w:rPr>
        <w:t>and the threat of climate change</w:t>
      </w:r>
      <w:r>
        <w:rPr>
          <w:rFonts w:eastAsia="SimSun"/>
        </w:rPr>
        <w:t xml:space="preserve">. </w:t>
      </w:r>
      <w:r w:rsidRPr="002A4292">
        <w:t xml:space="preserve">Total </w:t>
      </w:r>
      <w:r>
        <w:t>g</w:t>
      </w:r>
      <w:r w:rsidRPr="002A4292">
        <w:t>overnment expenditure has been declining in real terms since 2006</w:t>
      </w:r>
      <w:r w:rsidRPr="002A4292">
        <w:rPr>
          <w:rStyle w:val="FootnoteReference"/>
        </w:rPr>
        <w:footnoteReference w:id="1"/>
      </w:r>
      <w:r w:rsidRPr="002A4292">
        <w:t xml:space="preserve"> and fewer resources are available to deliver services </w:t>
      </w:r>
      <w:r w:rsidRPr="002A4292">
        <w:rPr>
          <w:rFonts w:eastAsia="SimSun"/>
        </w:rPr>
        <w:t>that remain expensive due to the s</w:t>
      </w:r>
      <w:r>
        <w:rPr>
          <w:rFonts w:eastAsia="SimSun"/>
        </w:rPr>
        <w:t>mall size (103 </w:t>
      </w:r>
      <w:r w:rsidRPr="002A4292">
        <w:rPr>
          <w:rFonts w:eastAsia="SimSun"/>
        </w:rPr>
        <w:t>038), vast distribution and isolation of the i</w:t>
      </w:r>
      <w:r w:rsidR="00CD522A">
        <w:rPr>
          <w:rFonts w:eastAsia="SimSun"/>
        </w:rPr>
        <w:noBreakHyphen/>
      </w:r>
      <w:r w:rsidRPr="002A4292">
        <w:rPr>
          <w:rFonts w:eastAsia="SimSun"/>
        </w:rPr>
        <w:t>Kiribati population.</w:t>
      </w:r>
    </w:p>
    <w:p w:rsidR="0026198E" w:rsidRPr="002A4292" w:rsidRDefault="0026198E" w:rsidP="00A52843">
      <w:pPr>
        <w:pStyle w:val="BodyText"/>
        <w:rPr>
          <w:rFonts w:eastAsia="SimSun"/>
        </w:rPr>
      </w:pPr>
      <w:r w:rsidRPr="002A4292">
        <w:rPr>
          <w:rFonts w:eastAsia="SimSun"/>
        </w:rPr>
        <w:t xml:space="preserve">Growth in Kiribati’s economy remained steady at </w:t>
      </w:r>
      <w:r>
        <w:rPr>
          <w:rFonts w:eastAsia="SimSun"/>
        </w:rPr>
        <w:t>3</w:t>
      </w:r>
      <w:r w:rsidRPr="002A4292">
        <w:rPr>
          <w:rFonts w:eastAsia="SimSun"/>
        </w:rPr>
        <w:t> per cent in 2012.</w:t>
      </w:r>
      <w:r w:rsidRPr="002A4292">
        <w:rPr>
          <w:rStyle w:val="FootnoteReference"/>
          <w:sz w:val="14"/>
          <w:szCs w:val="22"/>
        </w:rPr>
        <w:footnoteReference w:id="2"/>
      </w:r>
      <w:r w:rsidRPr="002A4292">
        <w:rPr>
          <w:rFonts w:eastAsia="SimSun"/>
        </w:rPr>
        <w:t xml:space="preserve"> This was bolstered by inflows of development partner assistance, the positive effect of the El Niño weather pattern on fish stocks in </w:t>
      </w:r>
      <w:r>
        <w:rPr>
          <w:rFonts w:eastAsia="SimSun"/>
        </w:rPr>
        <w:t>the country’s</w:t>
      </w:r>
      <w:r w:rsidRPr="002A4292">
        <w:rPr>
          <w:rFonts w:eastAsia="SimSun"/>
        </w:rPr>
        <w:t xml:space="preserve"> </w:t>
      </w:r>
      <w:r w:rsidRPr="002A4292">
        <w:rPr>
          <w:rFonts w:eastAsia="SimSun"/>
          <w:bCs/>
        </w:rPr>
        <w:t>exclusive economic zone</w:t>
      </w:r>
      <w:r w:rsidRPr="002A4292">
        <w:rPr>
          <w:rFonts w:eastAsia="SimSun"/>
        </w:rPr>
        <w:t>, and the introduction of a new fishing licensing scheme (Parties to the Nauru Agreement Vessel Day Scheme) boosting government revenues.</w:t>
      </w:r>
      <w:r w:rsidRPr="002A4292">
        <w:rPr>
          <w:rStyle w:val="FootnoteReference"/>
          <w:rFonts w:eastAsia="SimSun"/>
          <w:sz w:val="14"/>
          <w:szCs w:val="22"/>
        </w:rPr>
        <w:footnoteReference w:id="3"/>
      </w:r>
      <w:r w:rsidRPr="002A4292">
        <w:rPr>
          <w:rFonts w:eastAsia="SimSun"/>
        </w:rPr>
        <w:t xml:space="preserve"> In 2012, fisheries revenue accounted for half of the Government of Kiribati’s total revenue ($92.3 million).</w:t>
      </w:r>
      <w:r w:rsidRPr="002A4292">
        <w:rPr>
          <w:rStyle w:val="FootnoteReference"/>
          <w:rFonts w:eastAsia="SimSun"/>
        </w:rPr>
        <w:footnoteReference w:id="4"/>
      </w:r>
      <w:r w:rsidRPr="002A4292">
        <w:rPr>
          <w:rFonts w:eastAsia="SimSun"/>
        </w:rPr>
        <w:t xml:space="preserve"> However, political commitment to addressing some weaknesses in oceanic fisheries management (including compliance to regional agreements) remained weak</w:t>
      </w:r>
      <w:r>
        <w:rPr>
          <w:rFonts w:eastAsia="SimSun"/>
        </w:rPr>
        <w:t xml:space="preserve">. </w:t>
      </w:r>
      <w:r w:rsidRPr="002A4292">
        <w:rPr>
          <w:rFonts w:eastAsia="SimSun"/>
        </w:rPr>
        <w:t>In 2012, the Government of Kiribati oversold its number of allocated fishing days by 65 per cent, which undermined the Parties to the Nauru Agreement</w:t>
      </w:r>
      <w:r>
        <w:rPr>
          <w:rFonts w:eastAsia="SimSun"/>
        </w:rPr>
        <w:t xml:space="preserve">. </w:t>
      </w:r>
    </w:p>
    <w:p w:rsidR="0026198E" w:rsidRPr="002A4292" w:rsidRDefault="0026198E" w:rsidP="00A52843">
      <w:pPr>
        <w:pStyle w:val="BodyText"/>
        <w:rPr>
          <w:rFonts w:eastAsia="SimSun"/>
        </w:rPr>
      </w:pPr>
      <w:r w:rsidRPr="002A4292">
        <w:rPr>
          <w:rFonts w:eastAsia="SimSun"/>
        </w:rPr>
        <w:t>Despite economic growth in 2012 the labour market continued to stagnate</w:t>
      </w:r>
      <w:r>
        <w:rPr>
          <w:rFonts w:eastAsia="SimSun"/>
        </w:rPr>
        <w:t xml:space="preserve">. </w:t>
      </w:r>
      <w:r w:rsidRPr="002A4292">
        <w:rPr>
          <w:rFonts w:eastAsia="SimSun"/>
        </w:rPr>
        <w:t>Kiribati is a labour surplus economy with an employment-to-population ratio of 44 per cent.</w:t>
      </w:r>
      <w:r w:rsidRPr="002A4292">
        <w:rPr>
          <w:rStyle w:val="FootnoteReference"/>
          <w:rFonts w:eastAsia="SimSun"/>
          <w:sz w:val="14"/>
          <w:szCs w:val="22"/>
        </w:rPr>
        <w:footnoteReference w:id="5"/>
      </w:r>
      <w:r w:rsidRPr="002A4292">
        <w:rPr>
          <w:rFonts w:eastAsia="SimSun"/>
        </w:rPr>
        <w:t xml:space="preserve"> The private sector is weak, productivity low and the population very young (48 per cent under 24 years of age).</w:t>
      </w:r>
      <w:r w:rsidRPr="002A4292">
        <w:rPr>
          <w:rStyle w:val="FootnoteReference"/>
          <w:rFonts w:eastAsia="SimSun"/>
        </w:rPr>
        <w:footnoteReference w:id="6"/>
      </w:r>
      <w:r w:rsidRPr="002A4292">
        <w:rPr>
          <w:rFonts w:eastAsia="SimSun"/>
        </w:rPr>
        <w:t xml:space="preserve"> The Government of Kiribati is concerned about the large and growing pool of unemployed young people (only </w:t>
      </w:r>
      <w:r>
        <w:rPr>
          <w:rFonts w:eastAsia="SimSun"/>
        </w:rPr>
        <w:t>4</w:t>
      </w:r>
      <w:r w:rsidRPr="002A4292">
        <w:rPr>
          <w:rFonts w:eastAsia="SimSun"/>
        </w:rPr>
        <w:t xml:space="preserve"> per cent of the formal workforce is 15</w:t>
      </w:r>
      <w:r>
        <w:rPr>
          <w:rFonts w:eastAsia="SimSun"/>
        </w:rPr>
        <w:t xml:space="preserve"> to </w:t>
      </w:r>
      <w:r w:rsidRPr="002A4292">
        <w:rPr>
          <w:rFonts w:eastAsia="SimSun"/>
        </w:rPr>
        <w:t>24 years</w:t>
      </w:r>
      <w:r>
        <w:rPr>
          <w:rFonts w:eastAsia="SimSun"/>
        </w:rPr>
        <w:t xml:space="preserve"> of age</w:t>
      </w:r>
      <w:r w:rsidRPr="002A4292">
        <w:rPr>
          <w:rFonts w:eastAsia="SimSun"/>
        </w:rPr>
        <w:t>).</w:t>
      </w:r>
      <w:r w:rsidRPr="002A4292">
        <w:rPr>
          <w:rStyle w:val="FootnoteReference"/>
          <w:rFonts w:eastAsia="SimSun"/>
        </w:rPr>
        <w:footnoteReference w:id="7"/>
      </w:r>
      <w:r w:rsidRPr="002A4292">
        <w:rPr>
          <w:rFonts w:eastAsia="SimSun"/>
        </w:rPr>
        <w:t xml:space="preserve"> </w:t>
      </w:r>
      <w:r>
        <w:rPr>
          <w:rFonts w:eastAsia="SimSun"/>
        </w:rPr>
        <w:t>Young people, particularly women, have</w:t>
      </w:r>
      <w:r w:rsidRPr="002A4292">
        <w:rPr>
          <w:rFonts w:eastAsia="SimSun"/>
        </w:rPr>
        <w:t xml:space="preserve"> few employment prospects and limited post-school options.</w:t>
      </w:r>
    </w:p>
    <w:p w:rsidR="0026198E" w:rsidRPr="002A4292" w:rsidRDefault="0026198E" w:rsidP="00A52843">
      <w:pPr>
        <w:pStyle w:val="BodyText"/>
        <w:rPr>
          <w:rFonts w:eastAsia="SimSun"/>
        </w:rPr>
      </w:pPr>
      <w:r w:rsidRPr="002A4292">
        <w:rPr>
          <w:rFonts w:eastAsia="SimSun"/>
        </w:rPr>
        <w:t>In 2012, continuing declines in seafarers’ employment, stemming from weak global trade, kept remittances down</w:t>
      </w:r>
      <w:r>
        <w:rPr>
          <w:rFonts w:eastAsia="SimSun"/>
        </w:rPr>
        <w:t xml:space="preserve">. </w:t>
      </w:r>
      <w:r w:rsidRPr="002A4292">
        <w:rPr>
          <w:rFonts w:eastAsia="SimSun"/>
        </w:rPr>
        <w:t>The number of seafarers employed in 2012 was 865, slightly down from 879 in 2011</w:t>
      </w:r>
      <w:r>
        <w:rPr>
          <w:rFonts w:eastAsia="SimSun"/>
        </w:rPr>
        <w:t xml:space="preserve">. </w:t>
      </w:r>
      <w:r w:rsidRPr="002A4292">
        <w:rPr>
          <w:rFonts w:eastAsia="SimSun"/>
        </w:rPr>
        <w:t xml:space="preserve">According to Government of Kiribati officials, seafarers are estimated to remit </w:t>
      </w:r>
      <w:r w:rsidRPr="00A70C52">
        <w:rPr>
          <w:rFonts w:eastAsia="SimSun"/>
        </w:rPr>
        <w:t>around $10</w:t>
      </w:r>
      <w:r w:rsidRPr="00363F93">
        <w:rPr>
          <w:rFonts w:eastAsia="SimSun"/>
        </w:rPr>
        <w:t xml:space="preserve"> to $</w:t>
      </w:r>
      <w:r w:rsidRPr="00A70C52">
        <w:rPr>
          <w:rFonts w:eastAsia="SimSun"/>
        </w:rPr>
        <w:t>12 million</w:t>
      </w:r>
      <w:r w:rsidRPr="002A4292">
        <w:rPr>
          <w:rFonts w:eastAsia="SimSun"/>
        </w:rPr>
        <w:t xml:space="preserve"> </w:t>
      </w:r>
      <w:r>
        <w:rPr>
          <w:rFonts w:eastAsia="SimSun"/>
        </w:rPr>
        <w:t xml:space="preserve">a year </w:t>
      </w:r>
      <w:r w:rsidRPr="002A4292">
        <w:rPr>
          <w:rFonts w:eastAsia="SimSun"/>
        </w:rPr>
        <w:t>and this is a significant source of revenue of i-Kiribati households.</w:t>
      </w:r>
      <w:r w:rsidRPr="002A4292">
        <w:rPr>
          <w:rStyle w:val="FootnoteReference"/>
          <w:rFonts w:eastAsia="SimSun"/>
        </w:rPr>
        <w:footnoteReference w:id="8"/>
      </w:r>
      <w:r w:rsidRPr="002A4292">
        <w:rPr>
          <w:rFonts w:eastAsia="SimSun"/>
        </w:rPr>
        <w:t xml:space="preserve"> The opening of a tuna processing factory provided 124 jobs, offsetting losses from the rationalisation of state</w:t>
      </w:r>
      <w:r>
        <w:rPr>
          <w:rFonts w:eastAsia="SimSun"/>
        </w:rPr>
        <w:t>-</w:t>
      </w:r>
      <w:r w:rsidRPr="002A4292">
        <w:rPr>
          <w:rFonts w:eastAsia="SimSun"/>
        </w:rPr>
        <w:t>owned enterprises</w:t>
      </w:r>
      <w:r>
        <w:rPr>
          <w:rFonts w:eastAsia="SimSun"/>
        </w:rPr>
        <w:t xml:space="preserve">. </w:t>
      </w:r>
      <w:r w:rsidRPr="002A4292">
        <w:rPr>
          <w:rFonts w:eastAsia="SimSun"/>
        </w:rPr>
        <w:t>Kiribati has not yet implemented the Parties to the Nauru Agreement stipulation of 20 per cent local crewing on fishing vessels, although this will present employment opportunities once implemented</w:t>
      </w:r>
      <w:r>
        <w:rPr>
          <w:rFonts w:eastAsia="SimSun"/>
        </w:rPr>
        <w:t>.</w:t>
      </w:r>
      <w:r w:rsidR="00D23312">
        <w:rPr>
          <w:rFonts w:eastAsia="SimSun"/>
        </w:rPr>
        <w:t xml:space="preserve"> </w:t>
      </w:r>
    </w:p>
    <w:p w:rsidR="0026198E" w:rsidRPr="002A4292" w:rsidRDefault="0026198E" w:rsidP="00A52843">
      <w:pPr>
        <w:pStyle w:val="BodyText"/>
        <w:rPr>
          <w:rFonts w:eastAsia="SimSun"/>
        </w:rPr>
      </w:pPr>
      <w:r w:rsidRPr="002A4292">
        <w:rPr>
          <w:rFonts w:eastAsia="SimSun"/>
        </w:rPr>
        <w:t>Kiribati’s economy is projected to continue to grow by 3.5 per cent in 2013 and 2014</w:t>
      </w:r>
      <w:r>
        <w:rPr>
          <w:rFonts w:eastAsia="SimSun"/>
        </w:rPr>
        <w:t>,</w:t>
      </w:r>
      <w:r w:rsidRPr="002A4292">
        <w:rPr>
          <w:rFonts w:eastAsia="SimSun"/>
        </w:rPr>
        <w:t xml:space="preserve"> driven by a number of large public infrastructure projects financed by development partners. </w:t>
      </w:r>
      <w:r>
        <w:rPr>
          <w:rFonts w:eastAsia="SimSun"/>
        </w:rPr>
        <w:t>P</w:t>
      </w:r>
      <w:r w:rsidRPr="002A4292">
        <w:rPr>
          <w:rFonts w:eastAsia="SimSun"/>
        </w:rPr>
        <w:t>rojects include the Kiribati Road Rehabilitation Project, airport upgrades in South Tarawa and Christmas Island, port rehabilitation</w:t>
      </w:r>
      <w:r w:rsidR="000D3D95">
        <w:rPr>
          <w:rFonts w:eastAsia="SimSun"/>
        </w:rPr>
        <w:t>,</w:t>
      </w:r>
      <w:r w:rsidRPr="002A4292">
        <w:rPr>
          <w:rFonts w:eastAsia="SimSun"/>
        </w:rPr>
        <w:t xml:space="preserve"> and water and sanitation projects.</w:t>
      </w:r>
      <w:r w:rsidRPr="002A4292">
        <w:rPr>
          <w:rStyle w:val="FootnoteReference"/>
          <w:rFonts w:eastAsia="SimSun"/>
        </w:rPr>
        <w:footnoteReference w:id="9"/>
      </w:r>
      <w:r w:rsidRPr="002A4292">
        <w:rPr>
          <w:rFonts w:eastAsia="SimSun"/>
        </w:rPr>
        <w:t xml:space="preserve"> The construction and </w:t>
      </w:r>
      <w:r w:rsidRPr="002A4292">
        <w:rPr>
          <w:rFonts w:eastAsia="SimSun"/>
        </w:rPr>
        <w:lastRenderedPageBreak/>
        <w:t>ongoing maintenance of these projects should provide local employment and contracting opportunities if managed well</w:t>
      </w:r>
      <w:r>
        <w:rPr>
          <w:rFonts w:eastAsia="SimSun"/>
        </w:rPr>
        <w:t xml:space="preserve">. </w:t>
      </w:r>
      <w:r w:rsidRPr="002A4292">
        <w:rPr>
          <w:rFonts w:eastAsia="SimSun"/>
        </w:rPr>
        <w:t>In recent years, the appreciation of the Australian dollar against the U</w:t>
      </w:r>
      <w:r>
        <w:rPr>
          <w:rFonts w:eastAsia="SimSun"/>
        </w:rPr>
        <w:t xml:space="preserve">nited </w:t>
      </w:r>
      <w:r w:rsidRPr="002A4292">
        <w:rPr>
          <w:rFonts w:eastAsia="SimSun"/>
        </w:rPr>
        <w:t>S</w:t>
      </w:r>
      <w:r>
        <w:rPr>
          <w:rFonts w:eastAsia="SimSun"/>
        </w:rPr>
        <w:t>tates</w:t>
      </w:r>
      <w:r w:rsidRPr="002A4292">
        <w:rPr>
          <w:rFonts w:eastAsia="SimSun"/>
        </w:rPr>
        <w:t xml:space="preserve"> dollar has effectively reduced the price of imports on average</w:t>
      </w:r>
      <w:r>
        <w:rPr>
          <w:rFonts w:eastAsia="SimSun"/>
        </w:rPr>
        <w:t>,</w:t>
      </w:r>
      <w:r w:rsidRPr="002A4292">
        <w:rPr>
          <w:rFonts w:eastAsia="SimSun"/>
        </w:rPr>
        <w:t xml:space="preserve"> keeping a lid on inflation.</w:t>
      </w:r>
      <w:r w:rsidRPr="002A4292">
        <w:rPr>
          <w:rStyle w:val="FootnoteReference"/>
          <w:sz w:val="14"/>
          <w:szCs w:val="22"/>
        </w:rPr>
        <w:footnoteReference w:id="10"/>
      </w:r>
      <w:r w:rsidRPr="002A4292">
        <w:rPr>
          <w:rFonts w:eastAsia="SimSun"/>
        </w:rPr>
        <w:t xml:space="preserve"> The Asian Development Bank expects the recent trend of low inflation to continue due to an expected decline in international food and fuel prices</w:t>
      </w:r>
      <w:r w:rsidRPr="002A4292">
        <w:rPr>
          <w:rStyle w:val="FootnoteReference"/>
          <w:rFonts w:eastAsia="SimSun"/>
        </w:rPr>
        <w:footnoteReference w:id="11"/>
      </w:r>
      <w:r>
        <w:rPr>
          <w:rFonts w:eastAsia="SimSun"/>
        </w:rPr>
        <w:t>,</w:t>
      </w:r>
      <w:r w:rsidRPr="002A4292">
        <w:rPr>
          <w:rFonts w:eastAsia="SimSun"/>
        </w:rPr>
        <w:t xml:space="preserve"> however, a devaluation of the Australian dollar and recovery of global financial markets would place upward pressure on inflation.</w:t>
      </w:r>
    </w:p>
    <w:p w:rsidR="0026198E" w:rsidRPr="002A4292" w:rsidRDefault="0026198E" w:rsidP="00A52843">
      <w:pPr>
        <w:pStyle w:val="BodyText"/>
      </w:pPr>
      <w:r w:rsidRPr="002A4292">
        <w:t>Despite steady economic growth, the Government of Kiribati’s fiscal position continued to deteriorate in 2012</w:t>
      </w:r>
      <w:r>
        <w:t xml:space="preserve">. </w:t>
      </w:r>
      <w:r w:rsidRPr="002A4292">
        <w:t xml:space="preserve">The planned budget deficit for 2012 </w:t>
      </w:r>
      <w:r w:rsidRPr="00F80730">
        <w:t>was $32.1 million, a 20 per cent increase on 2011. The increase in the deficit was related to a modest (1.2 per cent) increase in expenditure on 2011 levels and</w:t>
      </w:r>
      <w:r>
        <w:t xml:space="preserve"> a</w:t>
      </w:r>
      <w:r w:rsidRPr="00F80730">
        <w:t xml:space="preserve"> reduction in revenues. The government financed the full budget deficit from drawing down on the Kiribati Revenue Equalisation Reserve Fund rather than through</w:t>
      </w:r>
      <w:r w:rsidR="000D3D95">
        <w:t xml:space="preserve"> using</w:t>
      </w:r>
      <w:r w:rsidRPr="00F80730">
        <w:t xml:space="preserve"> expensive commercial loans. While this made good financial sense, the size of </w:t>
      </w:r>
      <w:r>
        <w:t>fund</w:t>
      </w:r>
      <w:r w:rsidRPr="00F80730">
        <w:t xml:space="preserve"> drawdowns in recent years </w:t>
      </w:r>
      <w:r w:rsidR="000D3D95">
        <w:t>has been</w:t>
      </w:r>
      <w:r w:rsidR="000D3D95" w:rsidRPr="00F80730">
        <w:t xml:space="preserve"> </w:t>
      </w:r>
      <w:r w:rsidRPr="00F80730">
        <w:t xml:space="preserve">unsustainably high and cause </w:t>
      </w:r>
      <w:r w:rsidR="000D3D95">
        <w:t>for</w:t>
      </w:r>
      <w:r w:rsidR="000D3D95" w:rsidRPr="00F80730">
        <w:t xml:space="preserve"> </w:t>
      </w:r>
      <w:r w:rsidRPr="00F80730">
        <w:t>public concern. The Government of Kiribati has a commendable economic reform agenda which is expected to reduce the budget deficit to a manageable size ($15 million)</w:t>
      </w:r>
      <w:r w:rsidRPr="00F80730">
        <w:rPr>
          <w:rStyle w:val="FootnoteReference"/>
          <w:sz w:val="14"/>
        </w:rPr>
        <w:footnoteReference w:id="12"/>
      </w:r>
      <w:r w:rsidRPr="00F80730">
        <w:t xml:space="preserve"> over</w:t>
      </w:r>
      <w:r w:rsidRPr="002A4292">
        <w:t xml:space="preserve"> time</w:t>
      </w:r>
      <w:r>
        <w:t xml:space="preserve">. </w:t>
      </w:r>
    </w:p>
    <w:p w:rsidR="0026198E" w:rsidRPr="002A4292" w:rsidRDefault="0026198E" w:rsidP="00A52843">
      <w:pPr>
        <w:pStyle w:val="BodyText"/>
      </w:pPr>
      <w:r w:rsidRPr="002A4292">
        <w:t>In 2013</w:t>
      </w:r>
      <w:r>
        <w:t>–</w:t>
      </w:r>
      <w:r w:rsidRPr="002A4292">
        <w:t>14</w:t>
      </w:r>
      <w:r w:rsidR="005666B6">
        <w:t xml:space="preserve">, the </w:t>
      </w:r>
      <w:r w:rsidR="00651F63">
        <w:t>Department of Foreign Affairs and Trade (DFAT</w:t>
      </w:r>
      <w:proofErr w:type="gramStart"/>
      <w:r w:rsidR="00651F63">
        <w:t>)</w:t>
      </w:r>
      <w:r w:rsidR="005666B6">
        <w:t>,</w:t>
      </w:r>
      <w:proofErr w:type="gramEnd"/>
      <w:r w:rsidR="005666B6">
        <w:t xml:space="preserve"> will deepen its </w:t>
      </w:r>
      <w:r w:rsidRPr="002A4292">
        <w:t>understanding of the challenges facing Kiribati by examining, among other things, drivers of economic growth and household incomes, opportunities for i-Kiribati women and men in the domestic and international labour market and the impact of labour mobility.</w:t>
      </w:r>
    </w:p>
    <w:p w:rsidR="0026198E" w:rsidRPr="002A4292" w:rsidRDefault="0026198E" w:rsidP="00A52843">
      <w:pPr>
        <w:pStyle w:val="Heading2"/>
      </w:pPr>
      <w:r w:rsidRPr="002A4292">
        <w:t xml:space="preserve">Social </w:t>
      </w:r>
      <w:r>
        <w:t>d</w:t>
      </w:r>
      <w:r w:rsidRPr="002A4292">
        <w:t>evelopment</w:t>
      </w:r>
    </w:p>
    <w:p w:rsidR="0026198E" w:rsidRPr="002A4292" w:rsidRDefault="0026198E" w:rsidP="00A52843">
      <w:pPr>
        <w:pStyle w:val="BodyText"/>
        <w:rPr>
          <w:rFonts w:eastAsia="SimSun"/>
        </w:rPr>
      </w:pPr>
      <w:r w:rsidRPr="002A4292">
        <w:rPr>
          <w:rFonts w:eastAsia="SimSun"/>
        </w:rPr>
        <w:t xml:space="preserve">Kiribati continued to face difficult </w:t>
      </w:r>
      <w:r>
        <w:rPr>
          <w:rFonts w:eastAsia="SimSun"/>
        </w:rPr>
        <w:t xml:space="preserve">social </w:t>
      </w:r>
      <w:r w:rsidRPr="002A4292">
        <w:rPr>
          <w:rFonts w:eastAsia="SimSun"/>
        </w:rPr>
        <w:t>development challenges during 2012</w:t>
      </w:r>
      <w:r>
        <w:rPr>
          <w:rFonts w:eastAsia="SimSun"/>
        </w:rPr>
        <w:t xml:space="preserve">. </w:t>
      </w:r>
      <w:r w:rsidRPr="002A4292">
        <w:rPr>
          <w:rFonts w:eastAsia="SimSun"/>
        </w:rPr>
        <w:t>Progress against the M</w:t>
      </w:r>
      <w:r w:rsidR="0058579A">
        <w:rPr>
          <w:rFonts w:eastAsia="SimSun"/>
        </w:rPr>
        <w:t>illennium Development Goals</w:t>
      </w:r>
      <w:r w:rsidRPr="002A4292">
        <w:rPr>
          <w:rFonts w:eastAsia="SimSun"/>
        </w:rPr>
        <w:t xml:space="preserve"> is mixed and </w:t>
      </w:r>
      <w:r>
        <w:rPr>
          <w:rFonts w:eastAsia="SimSun"/>
        </w:rPr>
        <w:t>the country</w:t>
      </w:r>
      <w:r w:rsidRPr="002A4292">
        <w:rPr>
          <w:rFonts w:eastAsia="SimSun"/>
        </w:rPr>
        <w:t xml:space="preserve"> is not on track to meet any</w:t>
      </w:r>
      <w:r w:rsidR="0058579A">
        <w:rPr>
          <w:rFonts w:eastAsia="SimSun"/>
        </w:rPr>
        <w:t xml:space="preserve"> of them</w:t>
      </w:r>
      <w:r>
        <w:rPr>
          <w:rFonts w:eastAsia="SimSun"/>
        </w:rPr>
        <w:t xml:space="preserve">. </w:t>
      </w:r>
      <w:r w:rsidRPr="002A4292">
        <w:rPr>
          <w:rFonts w:eastAsia="SimSun"/>
        </w:rPr>
        <w:t xml:space="preserve">According to the 2006 Household Income Expenditure Survey, around 22 per cent of the population were living below the basic needs poverty line, the poverty gap ratio was </w:t>
      </w:r>
      <w:r>
        <w:rPr>
          <w:rFonts w:eastAsia="SimSun"/>
        </w:rPr>
        <w:t>7</w:t>
      </w:r>
      <w:r w:rsidRPr="002A4292">
        <w:rPr>
          <w:rFonts w:eastAsia="SimSun"/>
        </w:rPr>
        <w:t xml:space="preserve"> per cent and the poorest quintile’s share of consumption was </w:t>
      </w:r>
      <w:r>
        <w:rPr>
          <w:rFonts w:eastAsia="SimSun"/>
        </w:rPr>
        <w:t>8</w:t>
      </w:r>
      <w:r w:rsidRPr="002A4292">
        <w:rPr>
          <w:rFonts w:eastAsia="SimSun"/>
        </w:rPr>
        <w:t> per cent.</w:t>
      </w:r>
      <w:r w:rsidRPr="002A4292">
        <w:rPr>
          <w:rStyle w:val="FootnoteReference"/>
          <w:rFonts w:eastAsia="SimSun"/>
        </w:rPr>
        <w:footnoteReference w:id="13"/>
      </w:r>
      <w:r w:rsidRPr="002A4292">
        <w:rPr>
          <w:rFonts w:eastAsia="SimSun"/>
        </w:rPr>
        <w:t xml:space="preserve"> Kiribati also had one of the region’s highest rates (23 per cent) of underweight children </w:t>
      </w:r>
      <w:proofErr w:type="gramStart"/>
      <w:r w:rsidRPr="002A4292">
        <w:rPr>
          <w:rFonts w:eastAsia="SimSun"/>
        </w:rPr>
        <w:t>under</w:t>
      </w:r>
      <w:proofErr w:type="gramEnd"/>
      <w:r w:rsidRPr="002A4292">
        <w:rPr>
          <w:rFonts w:eastAsia="SimSun"/>
        </w:rPr>
        <w:t xml:space="preserve"> </w:t>
      </w:r>
      <w:r w:rsidR="0058579A">
        <w:rPr>
          <w:rFonts w:eastAsia="SimSun"/>
        </w:rPr>
        <w:t>5</w:t>
      </w:r>
      <w:r w:rsidRPr="002A4292">
        <w:rPr>
          <w:rFonts w:eastAsia="SimSun"/>
        </w:rPr>
        <w:t xml:space="preserve"> years of age and around </w:t>
      </w:r>
      <w:r>
        <w:rPr>
          <w:rFonts w:eastAsia="SimSun"/>
        </w:rPr>
        <w:t>5</w:t>
      </w:r>
      <w:r w:rsidRPr="002A4292">
        <w:rPr>
          <w:rFonts w:eastAsia="SimSun"/>
        </w:rPr>
        <w:t xml:space="preserve"> per cent of the general population fell below the basic food poverty line.</w:t>
      </w:r>
      <w:r w:rsidRPr="002A4292">
        <w:rPr>
          <w:rStyle w:val="FootnoteReference"/>
          <w:rFonts w:eastAsia="SimSun"/>
        </w:rPr>
        <w:footnoteReference w:id="14"/>
      </w:r>
      <w:r w:rsidRPr="002A4292">
        <w:rPr>
          <w:rFonts w:eastAsia="SimSun"/>
        </w:rPr>
        <w:t xml:space="preserve"> Fish is the main source of protein; however, the impact of high population growth (2.2 per cent) and over exploitation of fishing ground is making it difficult for households to meet their daily needs.</w:t>
      </w:r>
    </w:p>
    <w:p w:rsidR="0026198E" w:rsidRPr="002A4292" w:rsidRDefault="0026198E" w:rsidP="00A52843">
      <w:pPr>
        <w:pStyle w:val="BodyText"/>
        <w:rPr>
          <w:rFonts w:eastAsia="SimSun"/>
        </w:rPr>
      </w:pPr>
      <w:r w:rsidRPr="002A4292">
        <w:rPr>
          <w:rFonts w:eastAsia="SimSun"/>
        </w:rPr>
        <w:t>High population growth poses other development and environmental challenges</w:t>
      </w:r>
      <w:r>
        <w:rPr>
          <w:rFonts w:eastAsia="SimSun"/>
        </w:rPr>
        <w:t xml:space="preserve">. </w:t>
      </w:r>
      <w:r w:rsidRPr="002A4292">
        <w:rPr>
          <w:rFonts w:eastAsia="SimSun"/>
        </w:rPr>
        <w:t>Half of Kiribati’s population of 103</w:t>
      </w:r>
      <w:r w:rsidR="003557F2">
        <w:rPr>
          <w:rFonts w:eastAsia="SimSun"/>
        </w:rPr>
        <w:t>,</w:t>
      </w:r>
      <w:r w:rsidRPr="002A4292">
        <w:rPr>
          <w:rFonts w:eastAsia="SimSun"/>
        </w:rPr>
        <w:t>038 live on overcrowded South Tarawa where the population growth rate (4.4 per cent) is double the national average.</w:t>
      </w:r>
      <w:r w:rsidRPr="002A4292">
        <w:rPr>
          <w:rStyle w:val="FootnoteReference"/>
          <w:rFonts w:eastAsia="SimSun"/>
        </w:rPr>
        <w:footnoteReference w:id="15"/>
      </w:r>
      <w:r w:rsidRPr="002A4292">
        <w:rPr>
          <w:rFonts w:eastAsia="SimSun"/>
        </w:rPr>
        <w:t xml:space="preserve"> Overcrowding is a problem in households </w:t>
      </w:r>
      <w:r>
        <w:rPr>
          <w:rFonts w:eastAsia="SimSun"/>
        </w:rPr>
        <w:t>with</w:t>
      </w:r>
      <w:r w:rsidRPr="002A4292">
        <w:rPr>
          <w:rFonts w:eastAsia="SimSun"/>
        </w:rPr>
        <w:t xml:space="preserve"> low income or no access to land to build houses</w:t>
      </w:r>
      <w:r>
        <w:rPr>
          <w:rFonts w:eastAsia="SimSun"/>
        </w:rPr>
        <w:t>. The a</w:t>
      </w:r>
      <w:r w:rsidRPr="002A4292">
        <w:rPr>
          <w:rFonts w:eastAsia="SimSun"/>
        </w:rPr>
        <w:t>verage household size on South Tarawa in 2010 was seven </w:t>
      </w:r>
      <w:r w:rsidR="0058579A">
        <w:rPr>
          <w:rFonts w:eastAsia="SimSun"/>
        </w:rPr>
        <w:t>people</w:t>
      </w:r>
      <w:r w:rsidR="0058579A" w:rsidRPr="002A4292">
        <w:rPr>
          <w:rFonts w:eastAsia="SimSun"/>
        </w:rPr>
        <w:t xml:space="preserve"> </w:t>
      </w:r>
      <w:r w:rsidRPr="002A4292">
        <w:rPr>
          <w:rFonts w:eastAsia="SimSun"/>
        </w:rPr>
        <w:t xml:space="preserve">with a range between four and 12 </w:t>
      </w:r>
      <w:r w:rsidR="0058579A">
        <w:rPr>
          <w:rFonts w:eastAsia="SimSun"/>
        </w:rPr>
        <w:t>people</w:t>
      </w:r>
      <w:r>
        <w:rPr>
          <w:rFonts w:eastAsia="SimSun"/>
        </w:rPr>
        <w:t xml:space="preserve">. </w:t>
      </w:r>
      <w:r w:rsidRPr="002A4292">
        <w:rPr>
          <w:rFonts w:eastAsia="SimSun"/>
        </w:rPr>
        <w:t>However, it is not uncommon for significantly more people (15 to 20) to use a household’s facilities.</w:t>
      </w:r>
      <w:r w:rsidRPr="002A4292">
        <w:rPr>
          <w:rStyle w:val="FootnoteReference"/>
          <w:rFonts w:eastAsia="SimSun"/>
        </w:rPr>
        <w:footnoteReference w:id="16"/>
      </w:r>
    </w:p>
    <w:p w:rsidR="0026198E" w:rsidRPr="002A4292" w:rsidRDefault="0026198E" w:rsidP="00A52843">
      <w:pPr>
        <w:pStyle w:val="BodyText"/>
      </w:pPr>
      <w:r w:rsidRPr="002A4292">
        <w:lastRenderedPageBreak/>
        <w:t>High population growth combined with the threat of climate change is exacerbating the already serious problem of water and sanitation in South Tarawa, where ground water is limited (and mostly contaminated)</w:t>
      </w:r>
      <w:r>
        <w:t xml:space="preserve">. </w:t>
      </w:r>
      <w:r w:rsidRPr="002A4292">
        <w:t>Two-thirds of South Tarawa’s households are supplied with piped water for two to three hours every two days, but only 33 per cent of treated water reaches households due to leakage, wastage or unlawful connections.</w:t>
      </w:r>
      <w:r w:rsidRPr="002A4292">
        <w:rPr>
          <w:rStyle w:val="FootnoteReference"/>
        </w:rPr>
        <w:footnoteReference w:id="17"/>
      </w:r>
      <w:r w:rsidRPr="002A4292">
        <w:t xml:space="preserve"> Only 40 per cent of the population is connected to the sewerage system which discharges untreated waste directly into the ocean.</w:t>
      </w:r>
      <w:r w:rsidRPr="002A4292">
        <w:rPr>
          <w:rStyle w:val="FootnoteReference"/>
        </w:rPr>
        <w:footnoteReference w:id="18"/>
      </w:r>
      <w:r w:rsidR="00D23312">
        <w:t xml:space="preserve"> </w:t>
      </w:r>
    </w:p>
    <w:p w:rsidR="0026198E" w:rsidRPr="002A4292" w:rsidRDefault="0026198E" w:rsidP="00A52843">
      <w:pPr>
        <w:pStyle w:val="BodyText"/>
      </w:pPr>
      <w:r w:rsidRPr="002A4292">
        <w:t>The water and sanitation situation is having an impact on health outcomes</w:t>
      </w:r>
      <w:r>
        <w:t xml:space="preserve">. </w:t>
      </w:r>
      <w:r w:rsidRPr="002A4292">
        <w:t xml:space="preserve">Child mortality under </w:t>
      </w:r>
      <w:r w:rsidR="00C0671C">
        <w:t xml:space="preserve">five </w:t>
      </w:r>
      <w:r w:rsidR="0058579A">
        <w:t>years of age</w:t>
      </w:r>
      <w:r w:rsidRPr="002A4292">
        <w:t xml:space="preserve"> is 47 per 1000 live births, the highest in the Pacific after P</w:t>
      </w:r>
      <w:r>
        <w:t>apua New Guinea</w:t>
      </w:r>
      <w:r w:rsidRPr="002A4292">
        <w:t>.</w:t>
      </w:r>
      <w:r w:rsidRPr="002A4292">
        <w:rPr>
          <w:rStyle w:val="FootnoteReference"/>
        </w:rPr>
        <w:footnoteReference w:id="19"/>
      </w:r>
      <w:r w:rsidRPr="002A4292">
        <w:t xml:space="preserve"> The number of cases of dysentery and diarrhoea reported to the Ministry of Health in 2012 was 18</w:t>
      </w:r>
      <w:r>
        <w:t xml:space="preserve"> </w:t>
      </w:r>
      <w:r w:rsidRPr="002A4292">
        <w:t>500, representing an increase of 5000 over the previous year.</w:t>
      </w:r>
      <w:r w:rsidRPr="002A4292">
        <w:rPr>
          <w:rStyle w:val="FootnoteReference"/>
        </w:rPr>
        <w:footnoteReference w:id="20"/>
      </w:r>
      <w:r w:rsidRPr="002A4292">
        <w:t xml:space="preserve"> Typhoid incidence rates also increased in 2012 and a cholera outbreak is a real possibility.</w:t>
      </w:r>
    </w:p>
    <w:p w:rsidR="0026198E" w:rsidRPr="002A4292" w:rsidRDefault="0026198E" w:rsidP="00A52843">
      <w:pPr>
        <w:pStyle w:val="BodyText"/>
        <w:rPr>
          <w:rFonts w:eastAsia="SimSun"/>
        </w:rPr>
      </w:pPr>
      <w:r w:rsidRPr="002A4292">
        <w:rPr>
          <w:rFonts w:eastAsia="SimSun"/>
        </w:rPr>
        <w:t>Violence against women is prevalent in Kiribati</w:t>
      </w:r>
      <w:r>
        <w:rPr>
          <w:rFonts w:eastAsia="SimSun"/>
        </w:rPr>
        <w:t xml:space="preserve">. </w:t>
      </w:r>
      <w:r w:rsidRPr="002A4292">
        <w:rPr>
          <w:rFonts w:eastAsia="SimSun"/>
        </w:rPr>
        <w:t>A 2010 study found that 68 per cent of women aged 18</w:t>
      </w:r>
      <w:r>
        <w:rPr>
          <w:rFonts w:eastAsia="SimSun"/>
        </w:rPr>
        <w:t xml:space="preserve"> to </w:t>
      </w:r>
      <w:r w:rsidRPr="002A4292">
        <w:rPr>
          <w:rFonts w:eastAsia="SimSun"/>
        </w:rPr>
        <w:t>49</w:t>
      </w:r>
      <w:r>
        <w:rPr>
          <w:rFonts w:eastAsia="SimSun"/>
        </w:rPr>
        <w:t xml:space="preserve"> years</w:t>
      </w:r>
      <w:r w:rsidRPr="002A4292">
        <w:rPr>
          <w:rFonts w:eastAsia="SimSun"/>
        </w:rPr>
        <w:t xml:space="preserve"> who had ever had an intimate partner reported experiencing physical or sexual violence</w:t>
      </w:r>
      <w:r>
        <w:rPr>
          <w:rFonts w:eastAsia="SimSun"/>
        </w:rPr>
        <w:t>,</w:t>
      </w:r>
      <w:r w:rsidRPr="002A4292">
        <w:rPr>
          <w:rFonts w:eastAsia="SimSun"/>
        </w:rPr>
        <w:t xml:space="preserve"> or both, by that partner.</w:t>
      </w:r>
      <w:r w:rsidRPr="002A4292">
        <w:rPr>
          <w:rStyle w:val="FootnoteReference"/>
          <w:rFonts w:eastAsia="SimSun"/>
        </w:rPr>
        <w:footnoteReference w:id="21"/>
      </w:r>
      <w:r w:rsidRPr="002A4292">
        <w:rPr>
          <w:rFonts w:eastAsia="SimSun"/>
        </w:rPr>
        <w:t xml:space="preserve"> The capacity of Kiribati civil society organisations to provide effective, human rights</w:t>
      </w:r>
      <w:r w:rsidR="00C0671C">
        <w:rPr>
          <w:rFonts w:eastAsia="SimSun"/>
        </w:rPr>
        <w:noBreakHyphen/>
      </w:r>
      <w:r w:rsidRPr="002A4292">
        <w:rPr>
          <w:rFonts w:eastAsia="SimSun"/>
        </w:rPr>
        <w:t>based support to victims and survivors and act as powerful advocators for the elimination of sexual and gender based violence is weak.</w:t>
      </w:r>
      <w:r w:rsidRPr="002A4292">
        <w:rPr>
          <w:rStyle w:val="FootnoteReference"/>
          <w:rFonts w:eastAsia="SimSun"/>
        </w:rPr>
        <w:footnoteReference w:id="22"/>
      </w:r>
    </w:p>
    <w:p w:rsidR="0026198E" w:rsidRPr="002A4292" w:rsidRDefault="0026198E" w:rsidP="00A52843">
      <w:pPr>
        <w:pStyle w:val="BodyText"/>
        <w:rPr>
          <w:rFonts w:eastAsia="SimSun"/>
        </w:rPr>
      </w:pPr>
      <w:r w:rsidRPr="002A4292">
        <w:t>The quality of education in Kiribati is poor</w:t>
      </w:r>
      <w:r>
        <w:t xml:space="preserve">. </w:t>
      </w:r>
      <w:r w:rsidRPr="002A4292">
        <w:t xml:space="preserve">The Government of Kiribati’s education budget has been static for most of the period since 2002 with only around </w:t>
      </w:r>
      <w:r>
        <w:t>2</w:t>
      </w:r>
      <w:r w:rsidRPr="002A4292">
        <w:t xml:space="preserve"> per cent </w:t>
      </w:r>
      <w:r w:rsidRPr="00A225BE">
        <w:t xml:space="preserve">($360,000 </w:t>
      </w:r>
      <w:r>
        <w:t>a year</w:t>
      </w:r>
      <w:r w:rsidRPr="00A225BE">
        <w:t>) allocated</w:t>
      </w:r>
      <w:r w:rsidRPr="002A4292">
        <w:t xml:space="preserve"> to non-teacher expenditure.</w:t>
      </w:r>
      <w:r w:rsidRPr="002A4292">
        <w:rPr>
          <w:rStyle w:val="FootnoteReference"/>
        </w:rPr>
        <w:footnoteReference w:id="23"/>
      </w:r>
      <w:r w:rsidRPr="002A4292">
        <w:t xml:space="preserve"> This is in the context of the </w:t>
      </w:r>
      <w:r>
        <w:t>g</w:t>
      </w:r>
      <w:r w:rsidRPr="002A4292">
        <w:t>overnment’s entire budget declining in real terms, and education expenditure accounting for a high proportion (around 25 per cent) of the</w:t>
      </w:r>
      <w:r>
        <w:t xml:space="preserve"> g</w:t>
      </w:r>
      <w:r w:rsidRPr="002A4292">
        <w:t>overnment’s entire budget.</w:t>
      </w:r>
      <w:r w:rsidRPr="002A4292">
        <w:rPr>
          <w:rStyle w:val="FootnoteReference"/>
        </w:rPr>
        <w:footnoteReference w:id="24"/>
      </w:r>
      <w:r w:rsidRPr="002A4292">
        <w:t xml:space="preserve"> Nevertheless, the limited operational funds severely limit improvements in education service delivery and constrain sector development</w:t>
      </w:r>
      <w:r>
        <w:t xml:space="preserve">. </w:t>
      </w:r>
      <w:r w:rsidRPr="002A4292">
        <w:t>Th</w:t>
      </w:r>
      <w:r>
        <w:t>is</w:t>
      </w:r>
      <w:r w:rsidRPr="002A4292">
        <w:t xml:space="preserve"> situation is exacerbated by the increasing number of children </w:t>
      </w:r>
      <w:proofErr w:type="gramStart"/>
      <w:r w:rsidRPr="002A4292">
        <w:t>under</w:t>
      </w:r>
      <w:proofErr w:type="gramEnd"/>
      <w:r w:rsidRPr="002A4292">
        <w:t xml:space="preserve"> </w:t>
      </w:r>
      <w:r w:rsidR="00C0671C">
        <w:t>five</w:t>
      </w:r>
      <w:r w:rsidR="00C0671C" w:rsidRPr="002A4292">
        <w:t xml:space="preserve"> </w:t>
      </w:r>
      <w:r w:rsidRPr="002A4292">
        <w:t>years</w:t>
      </w:r>
      <w:r>
        <w:t xml:space="preserve"> of age</w:t>
      </w:r>
      <w:r w:rsidRPr="002A4292">
        <w:t xml:space="preserve"> in South Tarawa.</w:t>
      </w:r>
      <w:r w:rsidRPr="002A4292">
        <w:rPr>
          <w:rStyle w:val="FootnoteReference"/>
        </w:rPr>
        <w:footnoteReference w:id="25"/>
      </w:r>
      <w:r w:rsidR="00D23312">
        <w:t xml:space="preserve"> </w:t>
      </w:r>
    </w:p>
    <w:p w:rsidR="0026198E" w:rsidRPr="002A4292" w:rsidRDefault="0026198E" w:rsidP="00A52843">
      <w:pPr>
        <w:pStyle w:val="BodyText"/>
      </w:pPr>
      <w:r w:rsidRPr="002A4292">
        <w:rPr>
          <w:szCs w:val="22"/>
        </w:rPr>
        <w:t>Net</w:t>
      </w:r>
      <w:r w:rsidRPr="002A4292">
        <w:rPr>
          <w:rFonts w:eastAsia="SimSun"/>
          <w:szCs w:val="22"/>
        </w:rPr>
        <w:t xml:space="preserve"> enrolment rates for primary and junior secondary school decreased from 93 per cent</w:t>
      </w:r>
      <w:r w:rsidRPr="002A4292">
        <w:rPr>
          <w:rFonts w:eastAsia="SimSun"/>
        </w:rPr>
        <w:t xml:space="preserve"> in 2008 to 82 per cent in 2011.</w:t>
      </w:r>
      <w:r w:rsidRPr="002A4292">
        <w:rPr>
          <w:rStyle w:val="FootnoteReference"/>
          <w:rFonts w:eastAsia="SimSun"/>
        </w:rPr>
        <w:footnoteReference w:id="26"/>
      </w:r>
      <w:r w:rsidRPr="002A4292">
        <w:rPr>
          <w:rFonts w:eastAsia="SimSun"/>
        </w:rPr>
        <w:t xml:space="preserve"> Australia is supporting research to explore reasons for student absenteeism, and preliminary reports </w:t>
      </w:r>
      <w:r w:rsidRPr="002A4292">
        <w:t>suggest important factors include transportation, household poverty and families questioning the value of education</w:t>
      </w:r>
      <w:r>
        <w:rPr>
          <w:rFonts w:eastAsia="SimSun"/>
        </w:rPr>
        <w:t xml:space="preserve">. </w:t>
      </w:r>
      <w:r w:rsidRPr="002A4292">
        <w:rPr>
          <w:rFonts w:eastAsia="SimSun"/>
        </w:rPr>
        <w:t>Anecdotally, other reasons include the prevalence of diseases</w:t>
      </w:r>
      <w:r w:rsidR="0058579A">
        <w:rPr>
          <w:rFonts w:eastAsia="SimSun"/>
        </w:rPr>
        <w:t>,</w:t>
      </w:r>
      <w:r w:rsidRPr="002A4292">
        <w:rPr>
          <w:rFonts w:eastAsia="SimSun"/>
        </w:rPr>
        <w:t xml:space="preserve"> such as diarrhoea and respiratory infections, and poor learning environments in schools</w:t>
      </w:r>
      <w:r>
        <w:rPr>
          <w:rFonts w:eastAsia="SimSun"/>
        </w:rPr>
        <w:t xml:space="preserve">. </w:t>
      </w:r>
    </w:p>
    <w:p w:rsidR="0026198E" w:rsidRPr="002A4292" w:rsidRDefault="0026198E" w:rsidP="00A52843">
      <w:pPr>
        <w:pStyle w:val="BodyText"/>
        <w:rPr>
          <w:rFonts w:eastAsia="SimSun"/>
        </w:rPr>
      </w:pPr>
      <w:r w:rsidRPr="002A4292">
        <w:rPr>
          <w:rFonts w:eastAsia="SimSun"/>
        </w:rPr>
        <w:t xml:space="preserve">Overall fewer boys </w:t>
      </w:r>
      <w:r>
        <w:rPr>
          <w:rFonts w:eastAsia="SimSun"/>
        </w:rPr>
        <w:t xml:space="preserve">are </w:t>
      </w:r>
      <w:r w:rsidRPr="002A4292">
        <w:rPr>
          <w:rFonts w:eastAsia="SimSun"/>
        </w:rPr>
        <w:t>at school than girls</w:t>
      </w:r>
      <w:r>
        <w:rPr>
          <w:rFonts w:eastAsia="SimSun"/>
        </w:rPr>
        <w:t xml:space="preserve">. </w:t>
      </w:r>
      <w:r w:rsidRPr="002A4292">
        <w:rPr>
          <w:rFonts w:eastAsia="SimSun"/>
        </w:rPr>
        <w:t>Total enrolment</w:t>
      </w:r>
      <w:r w:rsidR="002977D7">
        <w:rPr>
          <w:rFonts w:eastAsia="SimSun"/>
        </w:rPr>
        <w:t>s comprise 6</w:t>
      </w:r>
      <w:r w:rsidR="003557F2">
        <w:rPr>
          <w:rFonts w:eastAsia="SimSun"/>
        </w:rPr>
        <w:t>,</w:t>
      </w:r>
      <w:r w:rsidR="002977D7">
        <w:rPr>
          <w:rFonts w:eastAsia="SimSun"/>
        </w:rPr>
        <w:t>479 females (53 per </w:t>
      </w:r>
      <w:r w:rsidRPr="002A4292">
        <w:rPr>
          <w:rFonts w:eastAsia="SimSun"/>
        </w:rPr>
        <w:t>cent) and 5</w:t>
      </w:r>
      <w:r w:rsidR="003557F2">
        <w:rPr>
          <w:rFonts w:eastAsia="SimSun"/>
        </w:rPr>
        <w:t>,</w:t>
      </w:r>
      <w:r w:rsidRPr="002A4292">
        <w:rPr>
          <w:rFonts w:eastAsia="SimSun"/>
        </w:rPr>
        <w:t>716 (47 per cent) males</w:t>
      </w:r>
      <w:r>
        <w:rPr>
          <w:rFonts w:eastAsia="SimSun"/>
        </w:rPr>
        <w:t xml:space="preserve">. </w:t>
      </w:r>
      <w:r w:rsidRPr="002A4292">
        <w:rPr>
          <w:rFonts w:eastAsia="SimSun"/>
        </w:rPr>
        <w:t>In senior secondary years, significantly more girls (1</w:t>
      </w:r>
      <w:r w:rsidR="003557F2">
        <w:rPr>
          <w:rFonts w:eastAsia="SimSun"/>
        </w:rPr>
        <w:t>,</w:t>
      </w:r>
      <w:r w:rsidRPr="002A4292">
        <w:rPr>
          <w:rFonts w:eastAsia="SimSun"/>
        </w:rPr>
        <w:t>469</w:t>
      </w:r>
      <w:r>
        <w:rPr>
          <w:rFonts w:eastAsia="SimSun"/>
        </w:rPr>
        <w:t xml:space="preserve"> or </w:t>
      </w:r>
      <w:r w:rsidRPr="002A4292">
        <w:rPr>
          <w:rFonts w:eastAsia="SimSun"/>
        </w:rPr>
        <w:t xml:space="preserve">56 per cent) </w:t>
      </w:r>
      <w:r>
        <w:rPr>
          <w:rFonts w:eastAsia="SimSun"/>
        </w:rPr>
        <w:t xml:space="preserve">are at school </w:t>
      </w:r>
      <w:r w:rsidRPr="002A4292">
        <w:rPr>
          <w:rFonts w:eastAsia="SimSun"/>
        </w:rPr>
        <w:t>than boys (1</w:t>
      </w:r>
      <w:r w:rsidR="003557F2">
        <w:rPr>
          <w:rFonts w:eastAsia="SimSun"/>
        </w:rPr>
        <w:t>,</w:t>
      </w:r>
      <w:r w:rsidRPr="002A4292">
        <w:rPr>
          <w:rFonts w:eastAsia="SimSun"/>
        </w:rPr>
        <w:t>141</w:t>
      </w:r>
      <w:r>
        <w:rPr>
          <w:rFonts w:eastAsia="SimSun"/>
        </w:rPr>
        <w:t xml:space="preserve"> or </w:t>
      </w:r>
      <w:r w:rsidRPr="002A4292">
        <w:rPr>
          <w:rFonts w:eastAsia="SimSun"/>
        </w:rPr>
        <w:t>44 per cent).</w:t>
      </w:r>
      <w:r w:rsidRPr="002A4292">
        <w:rPr>
          <w:rStyle w:val="FootnoteReference"/>
          <w:rFonts w:eastAsia="SimSun"/>
          <w:sz w:val="14"/>
        </w:rPr>
        <w:footnoteReference w:id="27"/>
      </w:r>
      <w:r w:rsidRPr="002A4292">
        <w:rPr>
          <w:rFonts w:eastAsia="SimSun"/>
        </w:rPr>
        <w:t xml:space="preserve"> </w:t>
      </w:r>
      <w:r w:rsidR="005E7D29">
        <w:rPr>
          <w:rFonts w:eastAsia="SimSun"/>
        </w:rPr>
        <w:t>Australia is</w:t>
      </w:r>
      <w:r w:rsidRPr="002A4292">
        <w:rPr>
          <w:rFonts w:eastAsia="SimSun"/>
        </w:rPr>
        <w:t xml:space="preserve"> also </w:t>
      </w:r>
      <w:r w:rsidRPr="002A4292">
        <w:rPr>
          <w:rFonts w:eastAsia="SimSun"/>
        </w:rPr>
        <w:lastRenderedPageBreak/>
        <w:t>supporting research to examine what factors are contributing to these inequalities and what strategies can be put in place to address them.</w:t>
      </w:r>
    </w:p>
    <w:p w:rsidR="0026198E" w:rsidRDefault="0026198E" w:rsidP="00A52843">
      <w:pPr>
        <w:pStyle w:val="BodyText"/>
      </w:pPr>
      <w:r w:rsidRPr="002A4292">
        <w:t xml:space="preserve">The Standard Testing Assessment System for Kiribati reveals that grades 4 </w:t>
      </w:r>
      <w:r>
        <w:t>and</w:t>
      </w:r>
      <w:r w:rsidRPr="002A4292">
        <w:t xml:space="preserve"> 6 primary school students are not performing well in English and </w:t>
      </w:r>
      <w:proofErr w:type="spellStart"/>
      <w:r w:rsidRPr="002A4292">
        <w:t>Te</w:t>
      </w:r>
      <w:proofErr w:type="spellEnd"/>
      <w:r w:rsidRPr="002A4292">
        <w:t>-Kiribati literacy and numeracy</w:t>
      </w:r>
      <w:r>
        <w:t xml:space="preserve">. </w:t>
      </w:r>
      <w:r w:rsidRPr="002A4292">
        <w:t>Most alarming is the decline in the English literacy rate between 2009 and 2011</w:t>
      </w:r>
      <w:r>
        <w:t xml:space="preserve"> as observed in table 1 below</w:t>
      </w:r>
      <w:r w:rsidRPr="002A4292">
        <w:t xml:space="preserve">. </w:t>
      </w:r>
    </w:p>
    <w:p w:rsidR="0026198E" w:rsidRPr="00A52843" w:rsidRDefault="0026198E" w:rsidP="00A52843">
      <w:pPr>
        <w:pStyle w:val="Caption"/>
        <w:rPr>
          <w:rFonts w:eastAsia="SimSun"/>
        </w:rPr>
      </w:pPr>
      <w:r w:rsidRPr="00A52843">
        <w:rPr>
          <w:rFonts w:eastAsia="SimSun"/>
        </w:rPr>
        <w:t>Table 1: Results from the 2009 and 2011 Standard Tests of Achievement for Kiribati</w:t>
      </w:r>
    </w:p>
    <w:tbl>
      <w:tblPr>
        <w:tblStyle w:val="APPR"/>
        <w:tblW w:w="5000" w:type="pct"/>
        <w:tblLook w:val="04A0" w:firstRow="1" w:lastRow="0" w:firstColumn="1" w:lastColumn="0" w:noHBand="0" w:noVBand="1"/>
      </w:tblPr>
      <w:tblGrid>
        <w:gridCol w:w="2618"/>
        <w:gridCol w:w="644"/>
        <w:gridCol w:w="709"/>
        <w:gridCol w:w="2605"/>
        <w:gridCol w:w="1008"/>
        <w:gridCol w:w="1022"/>
      </w:tblGrid>
      <w:tr w:rsidR="0026198E" w:rsidRPr="002A4292" w:rsidTr="00A52843">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rsidR="0026198E" w:rsidRPr="00A52843" w:rsidRDefault="0026198E" w:rsidP="00A52843">
            <w:pPr>
              <w:pStyle w:val="TableTextColumnHeading"/>
              <w:rPr>
                <w:b/>
              </w:rPr>
            </w:pPr>
            <w:r w:rsidRPr="00A52843">
              <w:rPr>
                <w:b/>
              </w:rPr>
              <w:t xml:space="preserve">Grade 4 </w:t>
            </w:r>
          </w:p>
        </w:tc>
        <w:tc>
          <w:tcPr>
            <w:tcW w:w="576" w:type="dxa"/>
            <w:noWrap/>
            <w:hideMark/>
          </w:tcPr>
          <w:p w:rsidR="0026198E" w:rsidRPr="00A52843" w:rsidRDefault="0026198E" w:rsidP="00A52843">
            <w:pPr>
              <w:pStyle w:val="TableTextColumnHeading"/>
              <w:rPr>
                <w:b/>
              </w:rPr>
            </w:pPr>
            <w:r w:rsidRPr="00A52843">
              <w:rPr>
                <w:b/>
              </w:rPr>
              <w:t>2009</w:t>
            </w:r>
          </w:p>
          <w:p w:rsidR="0026198E" w:rsidRPr="00A52843" w:rsidRDefault="0026198E" w:rsidP="00A52843">
            <w:pPr>
              <w:pStyle w:val="TableTextColumnHeading"/>
              <w:rPr>
                <w:b/>
              </w:rPr>
            </w:pPr>
            <w:r w:rsidRPr="00A52843">
              <w:rPr>
                <w:b/>
              </w:rPr>
              <w:t>%</w:t>
            </w:r>
          </w:p>
        </w:tc>
        <w:tc>
          <w:tcPr>
            <w:tcW w:w="681" w:type="dxa"/>
          </w:tcPr>
          <w:p w:rsidR="0026198E" w:rsidRPr="00A52843" w:rsidRDefault="0026198E" w:rsidP="00A52843">
            <w:pPr>
              <w:pStyle w:val="TableTextColumnHeading"/>
              <w:rPr>
                <w:b/>
              </w:rPr>
            </w:pPr>
            <w:r w:rsidRPr="00A52843">
              <w:rPr>
                <w:b/>
              </w:rPr>
              <w:t xml:space="preserve">2011 </w:t>
            </w:r>
          </w:p>
          <w:p w:rsidR="0026198E" w:rsidRPr="00A52843" w:rsidRDefault="0026198E" w:rsidP="00A52843">
            <w:pPr>
              <w:pStyle w:val="TableTextColumnHeading"/>
              <w:rPr>
                <w:b/>
              </w:rPr>
            </w:pPr>
            <w:r w:rsidRPr="00A52843">
              <w:rPr>
                <w:b/>
              </w:rPr>
              <w:t>%</w:t>
            </w:r>
          </w:p>
        </w:tc>
        <w:tc>
          <w:tcPr>
            <w:tcW w:w="0" w:type="auto"/>
          </w:tcPr>
          <w:p w:rsidR="0026198E" w:rsidRPr="00A52843" w:rsidRDefault="0026198E" w:rsidP="00A52843">
            <w:pPr>
              <w:pStyle w:val="TableTextColumnHeading"/>
              <w:rPr>
                <w:b/>
              </w:rPr>
            </w:pPr>
            <w:r w:rsidRPr="00A52843">
              <w:rPr>
                <w:b/>
              </w:rPr>
              <w:t>Grade 6</w:t>
            </w:r>
          </w:p>
        </w:tc>
        <w:tc>
          <w:tcPr>
            <w:tcW w:w="0" w:type="auto"/>
          </w:tcPr>
          <w:p w:rsidR="0026198E" w:rsidRPr="00A52843" w:rsidRDefault="0026198E" w:rsidP="00A52843">
            <w:pPr>
              <w:pStyle w:val="TableTextColumnHeading"/>
              <w:rPr>
                <w:b/>
              </w:rPr>
            </w:pPr>
            <w:r w:rsidRPr="00A52843">
              <w:rPr>
                <w:b/>
              </w:rPr>
              <w:t>2009</w:t>
            </w:r>
          </w:p>
          <w:p w:rsidR="0026198E" w:rsidRPr="00A52843" w:rsidRDefault="0026198E" w:rsidP="00A52843">
            <w:pPr>
              <w:pStyle w:val="TableTextColumnHeading"/>
              <w:rPr>
                <w:b/>
              </w:rPr>
            </w:pPr>
            <w:r w:rsidRPr="00A52843">
              <w:rPr>
                <w:b/>
              </w:rPr>
              <w:t>%</w:t>
            </w:r>
          </w:p>
        </w:tc>
        <w:tc>
          <w:tcPr>
            <w:tcW w:w="0" w:type="auto"/>
          </w:tcPr>
          <w:p w:rsidR="0026198E" w:rsidRPr="00A52843" w:rsidRDefault="0026198E" w:rsidP="00A52843">
            <w:pPr>
              <w:pStyle w:val="TableTextColumnHeading"/>
              <w:rPr>
                <w:b/>
              </w:rPr>
            </w:pPr>
            <w:r w:rsidRPr="00A52843">
              <w:rPr>
                <w:b/>
              </w:rPr>
              <w:t>2011</w:t>
            </w:r>
          </w:p>
          <w:p w:rsidR="0026198E" w:rsidRPr="00A52843" w:rsidRDefault="0026198E" w:rsidP="00A52843">
            <w:pPr>
              <w:pStyle w:val="TableTextColumnHeading"/>
              <w:rPr>
                <w:b/>
              </w:rPr>
            </w:pPr>
            <w:r w:rsidRPr="00A52843">
              <w:rPr>
                <w:b/>
              </w:rPr>
              <w:t>%</w:t>
            </w:r>
          </w:p>
        </w:tc>
      </w:tr>
      <w:tr w:rsidR="0026198E" w:rsidRPr="002A4292" w:rsidTr="00A52843">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rsidR="0026198E" w:rsidRPr="00A52843" w:rsidRDefault="0026198E" w:rsidP="00A52843">
            <w:pPr>
              <w:pStyle w:val="TableTextEntries"/>
              <w:rPr>
                <w:b w:val="0"/>
              </w:rPr>
            </w:pPr>
            <w:r w:rsidRPr="00A52843">
              <w:rPr>
                <w:b w:val="0"/>
              </w:rPr>
              <w:t>English literacy rate</w:t>
            </w:r>
          </w:p>
        </w:tc>
        <w:tc>
          <w:tcPr>
            <w:tcW w:w="576" w:type="dxa"/>
            <w:noWrap/>
            <w:hideMark/>
          </w:tcPr>
          <w:p w:rsidR="0026198E" w:rsidRPr="00A52843" w:rsidRDefault="0026198E" w:rsidP="00A52843">
            <w:pPr>
              <w:pStyle w:val="TableTextEntries"/>
              <w:rPr>
                <w:b w:val="0"/>
              </w:rPr>
            </w:pPr>
            <w:r w:rsidRPr="00A52843">
              <w:rPr>
                <w:b w:val="0"/>
              </w:rPr>
              <w:t>39</w:t>
            </w:r>
          </w:p>
        </w:tc>
        <w:tc>
          <w:tcPr>
            <w:tcW w:w="681" w:type="dxa"/>
          </w:tcPr>
          <w:p w:rsidR="0026198E" w:rsidRPr="00A52843" w:rsidRDefault="0026198E" w:rsidP="00A52843">
            <w:pPr>
              <w:pStyle w:val="TableTextEntries"/>
              <w:rPr>
                <w:b w:val="0"/>
              </w:rPr>
            </w:pPr>
            <w:r w:rsidRPr="00A52843">
              <w:rPr>
                <w:b w:val="0"/>
              </w:rPr>
              <w:t>29</w:t>
            </w:r>
          </w:p>
        </w:tc>
        <w:tc>
          <w:tcPr>
            <w:tcW w:w="0" w:type="auto"/>
          </w:tcPr>
          <w:p w:rsidR="0026198E" w:rsidRPr="00A52843" w:rsidRDefault="0026198E" w:rsidP="00A52843">
            <w:pPr>
              <w:pStyle w:val="TableTextEntries"/>
              <w:rPr>
                <w:b w:val="0"/>
              </w:rPr>
            </w:pPr>
            <w:r w:rsidRPr="00A52843">
              <w:rPr>
                <w:b w:val="0"/>
              </w:rPr>
              <w:t>English literacy rate</w:t>
            </w:r>
          </w:p>
        </w:tc>
        <w:tc>
          <w:tcPr>
            <w:tcW w:w="0" w:type="auto"/>
          </w:tcPr>
          <w:p w:rsidR="0026198E" w:rsidRPr="00A52843" w:rsidRDefault="0026198E" w:rsidP="00A52843">
            <w:pPr>
              <w:pStyle w:val="TableTextEntries"/>
              <w:rPr>
                <w:b w:val="0"/>
              </w:rPr>
            </w:pPr>
            <w:r w:rsidRPr="00A52843">
              <w:rPr>
                <w:b w:val="0"/>
              </w:rPr>
              <w:t>32.5</w:t>
            </w:r>
          </w:p>
        </w:tc>
        <w:tc>
          <w:tcPr>
            <w:tcW w:w="0" w:type="auto"/>
          </w:tcPr>
          <w:p w:rsidR="0026198E" w:rsidRPr="00A52843" w:rsidRDefault="0026198E" w:rsidP="00A52843">
            <w:pPr>
              <w:pStyle w:val="TableTextEntries"/>
              <w:rPr>
                <w:b w:val="0"/>
              </w:rPr>
            </w:pPr>
            <w:r w:rsidRPr="00A52843">
              <w:rPr>
                <w:b w:val="0"/>
              </w:rPr>
              <w:t>22.5</w:t>
            </w:r>
          </w:p>
        </w:tc>
      </w:tr>
      <w:tr w:rsidR="0026198E" w:rsidRPr="002A4292" w:rsidTr="00A52843">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rsidR="0026198E" w:rsidRPr="00A52843" w:rsidRDefault="0026198E" w:rsidP="00A52843">
            <w:pPr>
              <w:pStyle w:val="TableTextEntries"/>
              <w:rPr>
                <w:b w:val="0"/>
              </w:rPr>
            </w:pPr>
            <w:r w:rsidRPr="00A52843">
              <w:rPr>
                <w:b w:val="0"/>
              </w:rPr>
              <w:t>Kiribati literacy rate</w:t>
            </w:r>
          </w:p>
        </w:tc>
        <w:tc>
          <w:tcPr>
            <w:tcW w:w="576" w:type="dxa"/>
            <w:noWrap/>
            <w:hideMark/>
          </w:tcPr>
          <w:p w:rsidR="0026198E" w:rsidRPr="00A52843" w:rsidRDefault="0026198E" w:rsidP="00A52843">
            <w:pPr>
              <w:pStyle w:val="TableTextEntries"/>
              <w:rPr>
                <w:b w:val="0"/>
              </w:rPr>
            </w:pPr>
            <w:r w:rsidRPr="00A52843">
              <w:rPr>
                <w:b w:val="0"/>
              </w:rPr>
              <w:t>62</w:t>
            </w:r>
          </w:p>
        </w:tc>
        <w:tc>
          <w:tcPr>
            <w:tcW w:w="681" w:type="dxa"/>
          </w:tcPr>
          <w:p w:rsidR="0026198E" w:rsidRPr="00A52843" w:rsidRDefault="0026198E" w:rsidP="00A52843">
            <w:pPr>
              <w:pStyle w:val="TableTextEntries"/>
              <w:rPr>
                <w:b w:val="0"/>
              </w:rPr>
            </w:pPr>
            <w:r w:rsidRPr="00A52843">
              <w:rPr>
                <w:b w:val="0"/>
              </w:rPr>
              <w:t>62</w:t>
            </w:r>
          </w:p>
        </w:tc>
        <w:tc>
          <w:tcPr>
            <w:tcW w:w="0" w:type="auto"/>
          </w:tcPr>
          <w:p w:rsidR="0026198E" w:rsidRPr="00A52843" w:rsidRDefault="0026198E" w:rsidP="00A52843">
            <w:pPr>
              <w:pStyle w:val="TableTextEntries"/>
              <w:rPr>
                <w:b w:val="0"/>
              </w:rPr>
            </w:pPr>
            <w:r w:rsidRPr="00A52843">
              <w:rPr>
                <w:b w:val="0"/>
              </w:rPr>
              <w:t>Kiribati literacy rate</w:t>
            </w:r>
          </w:p>
        </w:tc>
        <w:tc>
          <w:tcPr>
            <w:tcW w:w="0" w:type="auto"/>
          </w:tcPr>
          <w:p w:rsidR="0026198E" w:rsidRPr="00A52843" w:rsidRDefault="0026198E" w:rsidP="00A52843">
            <w:pPr>
              <w:pStyle w:val="TableTextEntries"/>
              <w:rPr>
                <w:b w:val="0"/>
              </w:rPr>
            </w:pPr>
            <w:r w:rsidRPr="00A52843">
              <w:rPr>
                <w:b w:val="0"/>
              </w:rPr>
              <w:t>55.5</w:t>
            </w:r>
          </w:p>
        </w:tc>
        <w:tc>
          <w:tcPr>
            <w:tcW w:w="0" w:type="auto"/>
          </w:tcPr>
          <w:p w:rsidR="0026198E" w:rsidRPr="00A52843" w:rsidRDefault="0026198E" w:rsidP="00A52843">
            <w:pPr>
              <w:pStyle w:val="TableTextEntries"/>
              <w:rPr>
                <w:b w:val="0"/>
              </w:rPr>
            </w:pPr>
            <w:r w:rsidRPr="00A52843">
              <w:rPr>
                <w:b w:val="0"/>
              </w:rPr>
              <w:t>60.5</w:t>
            </w:r>
          </w:p>
        </w:tc>
      </w:tr>
      <w:tr w:rsidR="0026198E" w:rsidRPr="002A4292" w:rsidTr="00A52843">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rsidR="0026198E" w:rsidRPr="00A52843" w:rsidRDefault="0026198E" w:rsidP="00A52843">
            <w:pPr>
              <w:pStyle w:val="TableTextEntries"/>
              <w:rPr>
                <w:b w:val="0"/>
              </w:rPr>
            </w:pPr>
            <w:r w:rsidRPr="00A52843">
              <w:rPr>
                <w:b w:val="0"/>
              </w:rPr>
              <w:t xml:space="preserve">Numeracy rate </w:t>
            </w:r>
          </w:p>
        </w:tc>
        <w:tc>
          <w:tcPr>
            <w:tcW w:w="576" w:type="dxa"/>
            <w:noWrap/>
            <w:hideMark/>
          </w:tcPr>
          <w:p w:rsidR="0026198E" w:rsidRPr="00A52843" w:rsidRDefault="0026198E" w:rsidP="00A52843">
            <w:pPr>
              <w:pStyle w:val="TableTextEntries"/>
              <w:rPr>
                <w:b w:val="0"/>
              </w:rPr>
            </w:pPr>
            <w:r w:rsidRPr="00A52843">
              <w:rPr>
                <w:b w:val="0"/>
              </w:rPr>
              <w:t>35</w:t>
            </w:r>
          </w:p>
        </w:tc>
        <w:tc>
          <w:tcPr>
            <w:tcW w:w="681" w:type="dxa"/>
          </w:tcPr>
          <w:p w:rsidR="0026198E" w:rsidRPr="00A52843" w:rsidRDefault="0026198E" w:rsidP="00A52843">
            <w:pPr>
              <w:pStyle w:val="TableTextEntries"/>
              <w:rPr>
                <w:b w:val="0"/>
              </w:rPr>
            </w:pPr>
            <w:r w:rsidRPr="00A52843">
              <w:rPr>
                <w:b w:val="0"/>
              </w:rPr>
              <w:t>37.5</w:t>
            </w:r>
          </w:p>
        </w:tc>
        <w:tc>
          <w:tcPr>
            <w:tcW w:w="0" w:type="auto"/>
          </w:tcPr>
          <w:p w:rsidR="0026198E" w:rsidRPr="00A52843" w:rsidRDefault="0026198E" w:rsidP="00A52843">
            <w:pPr>
              <w:pStyle w:val="TableTextEntries"/>
              <w:rPr>
                <w:b w:val="0"/>
              </w:rPr>
            </w:pPr>
            <w:r w:rsidRPr="00A52843">
              <w:rPr>
                <w:b w:val="0"/>
              </w:rPr>
              <w:t>Numeracy rate</w:t>
            </w:r>
          </w:p>
        </w:tc>
        <w:tc>
          <w:tcPr>
            <w:tcW w:w="0" w:type="auto"/>
          </w:tcPr>
          <w:p w:rsidR="0026198E" w:rsidRPr="00A52843" w:rsidRDefault="0026198E" w:rsidP="00A52843">
            <w:pPr>
              <w:pStyle w:val="TableTextEntries"/>
              <w:rPr>
                <w:b w:val="0"/>
              </w:rPr>
            </w:pPr>
            <w:r w:rsidRPr="00A52843">
              <w:rPr>
                <w:b w:val="0"/>
              </w:rPr>
              <w:t>16</w:t>
            </w:r>
          </w:p>
        </w:tc>
        <w:tc>
          <w:tcPr>
            <w:tcW w:w="0" w:type="auto"/>
          </w:tcPr>
          <w:p w:rsidR="0026198E" w:rsidRPr="00A52843" w:rsidRDefault="0026198E" w:rsidP="00A52843">
            <w:pPr>
              <w:pStyle w:val="TableTextEntries"/>
              <w:rPr>
                <w:b w:val="0"/>
              </w:rPr>
            </w:pPr>
            <w:r w:rsidRPr="00A52843">
              <w:rPr>
                <w:b w:val="0"/>
              </w:rPr>
              <w:t>18</w:t>
            </w:r>
          </w:p>
        </w:tc>
      </w:tr>
    </w:tbl>
    <w:p w:rsidR="0026198E" w:rsidRPr="002A4292" w:rsidRDefault="0026198E" w:rsidP="00A52843">
      <w:pPr>
        <w:pStyle w:val="BodyText"/>
      </w:pPr>
    </w:p>
    <w:p w:rsidR="0026198E" w:rsidRPr="002A4292" w:rsidRDefault="0026198E" w:rsidP="00A52843">
      <w:pPr>
        <w:pStyle w:val="BodyText"/>
        <w:rPr>
          <w:szCs w:val="22"/>
        </w:rPr>
      </w:pPr>
      <w:r w:rsidRPr="002A4292">
        <w:rPr>
          <w:szCs w:val="22"/>
        </w:rPr>
        <w:t>The Government of Kiribati’s policy for ‘migration with dignity’ aims to improve language, workplace skills and qualifications to make Kiribati citizens competitive in international labour markets, with options for labour mobility developed over time.</w:t>
      </w:r>
      <w:r w:rsidRPr="002A4292">
        <w:rPr>
          <w:rStyle w:val="FootnoteReference"/>
        </w:rPr>
        <w:footnoteReference w:id="28"/>
      </w:r>
      <w:r w:rsidRPr="002A4292">
        <w:rPr>
          <w:szCs w:val="22"/>
        </w:rPr>
        <w:t xml:space="preserve"> This is a proactive, long</w:t>
      </w:r>
      <w:r>
        <w:rPr>
          <w:szCs w:val="22"/>
        </w:rPr>
        <w:t>-</w:t>
      </w:r>
      <w:r w:rsidRPr="002A4292">
        <w:rPr>
          <w:szCs w:val="22"/>
        </w:rPr>
        <w:t>term response to climate change challenges and constraints to growth and development</w:t>
      </w:r>
      <w:r>
        <w:rPr>
          <w:szCs w:val="22"/>
        </w:rPr>
        <w:t xml:space="preserve">. </w:t>
      </w:r>
      <w:r w:rsidRPr="002A4292">
        <w:rPr>
          <w:szCs w:val="22"/>
        </w:rPr>
        <w:t xml:space="preserve">However, </w:t>
      </w:r>
      <w:r w:rsidR="00651F63">
        <w:rPr>
          <w:szCs w:val="22"/>
        </w:rPr>
        <w:t xml:space="preserve">DFAT </w:t>
      </w:r>
      <w:r w:rsidRPr="002A4292">
        <w:rPr>
          <w:szCs w:val="22"/>
        </w:rPr>
        <w:t>expect</w:t>
      </w:r>
      <w:r>
        <w:rPr>
          <w:szCs w:val="22"/>
        </w:rPr>
        <w:t>s</w:t>
      </w:r>
      <w:r w:rsidRPr="002A4292">
        <w:rPr>
          <w:szCs w:val="22"/>
        </w:rPr>
        <w:t xml:space="preserve"> there to be social costs to the dependents and communities left behind</w:t>
      </w:r>
      <w:r>
        <w:rPr>
          <w:szCs w:val="22"/>
        </w:rPr>
        <w:t xml:space="preserve">. </w:t>
      </w:r>
      <w:r w:rsidR="00651F63">
        <w:rPr>
          <w:szCs w:val="22"/>
        </w:rPr>
        <w:t xml:space="preserve">DFAT </w:t>
      </w:r>
      <w:r w:rsidRPr="002A4292">
        <w:rPr>
          <w:szCs w:val="22"/>
        </w:rPr>
        <w:t xml:space="preserve">will analyse these costs as part of </w:t>
      </w:r>
      <w:r>
        <w:rPr>
          <w:szCs w:val="22"/>
        </w:rPr>
        <w:t xml:space="preserve">its </w:t>
      </w:r>
      <w:r w:rsidRPr="002A4292">
        <w:rPr>
          <w:szCs w:val="22"/>
        </w:rPr>
        <w:t>analytic work in 2013</w:t>
      </w:r>
      <w:r>
        <w:rPr>
          <w:szCs w:val="22"/>
        </w:rPr>
        <w:t>–</w:t>
      </w:r>
      <w:r w:rsidRPr="002A4292">
        <w:rPr>
          <w:szCs w:val="22"/>
        </w:rPr>
        <w:t xml:space="preserve">14. </w:t>
      </w:r>
    </w:p>
    <w:p w:rsidR="0026198E" w:rsidRPr="002A4292" w:rsidRDefault="0026198E" w:rsidP="00A52843">
      <w:pPr>
        <w:pStyle w:val="Heading2"/>
      </w:pPr>
      <w:r w:rsidRPr="002A4292">
        <w:t xml:space="preserve">Political and </w:t>
      </w:r>
      <w:r>
        <w:t>a</w:t>
      </w:r>
      <w:r w:rsidRPr="002A4292">
        <w:t xml:space="preserve">dministrative </w:t>
      </w:r>
    </w:p>
    <w:p w:rsidR="0026198E" w:rsidRPr="002A4292" w:rsidRDefault="0026198E" w:rsidP="00A52843">
      <w:pPr>
        <w:pStyle w:val="BodyText"/>
        <w:rPr>
          <w:rFonts w:eastAsia="SimSun"/>
        </w:rPr>
      </w:pPr>
      <w:r w:rsidRPr="002A4292">
        <w:rPr>
          <w:rFonts w:eastAsia="SimSun"/>
        </w:rPr>
        <w:t>The Government of Kiribati is politically stable</w:t>
      </w:r>
      <w:r>
        <w:rPr>
          <w:rFonts w:eastAsia="SimSun"/>
        </w:rPr>
        <w:t xml:space="preserve">. </w:t>
      </w:r>
      <w:r w:rsidRPr="002A4292">
        <w:rPr>
          <w:rFonts w:eastAsia="SimSun"/>
        </w:rPr>
        <w:t>President Tong was re-elected for a third and final term in November 2011 and the</w:t>
      </w:r>
      <w:r>
        <w:rPr>
          <w:rFonts w:eastAsia="SimSun"/>
        </w:rPr>
        <w:t xml:space="preserve"> g</w:t>
      </w:r>
      <w:r w:rsidRPr="002A4292">
        <w:rPr>
          <w:rFonts w:eastAsia="SimSun"/>
        </w:rPr>
        <w:t>overnment is relatively reformed-minded</w:t>
      </w:r>
      <w:r>
        <w:rPr>
          <w:rFonts w:eastAsia="SimSun"/>
        </w:rPr>
        <w:t xml:space="preserve">. </w:t>
      </w:r>
      <w:r w:rsidRPr="002A4292">
        <w:rPr>
          <w:rFonts w:eastAsia="SimSun"/>
        </w:rPr>
        <w:t xml:space="preserve">Four </w:t>
      </w:r>
      <w:r>
        <w:rPr>
          <w:rFonts w:eastAsia="SimSun"/>
        </w:rPr>
        <w:t>p</w:t>
      </w:r>
      <w:r w:rsidRPr="002A4292">
        <w:rPr>
          <w:rFonts w:eastAsia="SimSun"/>
        </w:rPr>
        <w:t xml:space="preserve">arliamentarians are women, representing nine per cent of the total Parliament. </w:t>
      </w:r>
    </w:p>
    <w:p w:rsidR="0026198E" w:rsidRPr="002A4292" w:rsidRDefault="0026198E" w:rsidP="00A52843">
      <w:pPr>
        <w:pStyle w:val="BodyText"/>
        <w:rPr>
          <w:rFonts w:eastAsia="SimSun"/>
        </w:rPr>
      </w:pPr>
      <w:r w:rsidRPr="002A4292">
        <w:rPr>
          <w:rFonts w:eastAsia="SimSun"/>
        </w:rPr>
        <w:t xml:space="preserve">Australia has a strong working relationship with most Government of Kiribati ministries, particularly those involved in </w:t>
      </w:r>
      <w:r w:rsidR="009942FC">
        <w:rPr>
          <w:rFonts w:eastAsia="SimSun"/>
        </w:rPr>
        <w:t>its</w:t>
      </w:r>
      <w:r w:rsidRPr="002A4292">
        <w:rPr>
          <w:rFonts w:eastAsia="SimSun"/>
        </w:rPr>
        <w:t xml:space="preserve"> major programs</w:t>
      </w:r>
      <w:r>
        <w:rPr>
          <w:rFonts w:eastAsia="SimSun"/>
        </w:rPr>
        <w:t xml:space="preserve">. </w:t>
      </w:r>
      <w:r w:rsidRPr="002A4292">
        <w:rPr>
          <w:rFonts w:eastAsia="SimSun"/>
        </w:rPr>
        <w:t xml:space="preserve">In addition to annual </w:t>
      </w:r>
      <w:r>
        <w:rPr>
          <w:rFonts w:eastAsia="SimSun"/>
        </w:rPr>
        <w:t>p</w:t>
      </w:r>
      <w:r w:rsidRPr="002A4292">
        <w:rPr>
          <w:rFonts w:eastAsia="SimSun"/>
        </w:rPr>
        <w:t xml:space="preserve">artnership </w:t>
      </w:r>
      <w:r>
        <w:rPr>
          <w:rFonts w:eastAsia="SimSun"/>
        </w:rPr>
        <w:t>t</w:t>
      </w:r>
      <w:r w:rsidRPr="002A4292">
        <w:rPr>
          <w:rFonts w:eastAsia="SimSun"/>
        </w:rPr>
        <w:t xml:space="preserve">alks, regular and effective policy </w:t>
      </w:r>
      <w:r w:rsidR="009942FC">
        <w:rPr>
          <w:rFonts w:eastAsia="SimSun"/>
        </w:rPr>
        <w:t>discussion</w:t>
      </w:r>
      <w:r w:rsidRPr="002A4292">
        <w:rPr>
          <w:rFonts w:eastAsia="SimSun"/>
        </w:rPr>
        <w:t xml:space="preserve"> occurs on all of </w:t>
      </w:r>
      <w:r w:rsidR="009942FC">
        <w:rPr>
          <w:rFonts w:eastAsia="SimSun"/>
        </w:rPr>
        <w:t xml:space="preserve">Australia’s </w:t>
      </w:r>
      <w:r w:rsidRPr="002A4292">
        <w:rPr>
          <w:rFonts w:eastAsia="SimSun"/>
        </w:rPr>
        <w:t>programs, especially on economic reform</w:t>
      </w:r>
      <w:r>
        <w:rPr>
          <w:rFonts w:eastAsia="SimSun"/>
        </w:rPr>
        <w:t xml:space="preserve">. </w:t>
      </w:r>
      <w:r w:rsidRPr="002A4292">
        <w:rPr>
          <w:rFonts w:eastAsia="SimSun"/>
        </w:rPr>
        <w:t>A significant number of Australia Awards Scholarship Alumni occupy prominent positions</w:t>
      </w:r>
      <w:r w:rsidRPr="002A4292">
        <w:t xml:space="preserve"> in the Government of Kiribati,</w:t>
      </w:r>
      <w:r w:rsidRPr="002A4292">
        <w:rPr>
          <w:sz w:val="14"/>
        </w:rPr>
        <w:t xml:space="preserve"> </w:t>
      </w:r>
      <w:r w:rsidRPr="002A4292">
        <w:rPr>
          <w:rFonts w:eastAsia="SimSun"/>
        </w:rPr>
        <w:t>including the Minister of Education, Minister for Commerce, Secretary for Finance and Secretary for Public Service Office</w:t>
      </w:r>
      <w:r>
        <w:rPr>
          <w:rFonts w:eastAsia="SimSun"/>
        </w:rPr>
        <w:t>. T</w:t>
      </w:r>
      <w:r w:rsidRPr="002A4292">
        <w:rPr>
          <w:rFonts w:eastAsia="SimSun"/>
        </w:rPr>
        <w:t xml:space="preserve">his strengthens </w:t>
      </w:r>
      <w:r w:rsidR="005E7D29">
        <w:rPr>
          <w:rFonts w:eastAsia="SimSun"/>
        </w:rPr>
        <w:t>Australia’s</w:t>
      </w:r>
      <w:r w:rsidRPr="002A4292">
        <w:rPr>
          <w:rFonts w:eastAsia="SimSun"/>
        </w:rPr>
        <w:t xml:space="preserve"> working relationship.</w:t>
      </w:r>
    </w:p>
    <w:p w:rsidR="0026198E" w:rsidRPr="002A4292" w:rsidRDefault="0026198E" w:rsidP="00A52843">
      <w:pPr>
        <w:pStyle w:val="BodyText"/>
        <w:rPr>
          <w:rFonts w:eastAsia="SimSun"/>
        </w:rPr>
      </w:pPr>
      <w:r w:rsidRPr="002A4292">
        <w:rPr>
          <w:rFonts w:eastAsia="SimSun"/>
        </w:rPr>
        <w:t>Despite some highly skilled individuals, the Government of Kiribati’s overall implementation and absorptive capacity is very limited</w:t>
      </w:r>
      <w:r>
        <w:rPr>
          <w:rFonts w:eastAsia="SimSun"/>
        </w:rPr>
        <w:t xml:space="preserve">. </w:t>
      </w:r>
      <w:r w:rsidRPr="002A4292">
        <w:rPr>
          <w:rFonts w:eastAsia="SimSun"/>
        </w:rPr>
        <w:t>In 2012</w:t>
      </w:r>
      <w:r>
        <w:rPr>
          <w:rFonts w:eastAsia="SimSun"/>
        </w:rPr>
        <w:t>–</w:t>
      </w:r>
      <w:r w:rsidRPr="002A4292">
        <w:rPr>
          <w:rFonts w:eastAsia="SimSun"/>
        </w:rPr>
        <w:t xml:space="preserve">13, </w:t>
      </w:r>
      <w:r w:rsidR="005E7D29">
        <w:rPr>
          <w:rFonts w:eastAsia="SimSun"/>
        </w:rPr>
        <w:t>the</w:t>
      </w:r>
      <w:r w:rsidRPr="002A4292">
        <w:rPr>
          <w:rFonts w:eastAsia="SimSun"/>
        </w:rPr>
        <w:t xml:space="preserve"> </w:t>
      </w:r>
      <w:r>
        <w:rPr>
          <w:rFonts w:eastAsia="SimSun"/>
        </w:rPr>
        <w:t>p</w:t>
      </w:r>
      <w:r w:rsidRPr="002A4292">
        <w:rPr>
          <w:rFonts w:eastAsia="SimSun"/>
        </w:rPr>
        <w:t>artnership’s progress was constrained by a high turnover of leadership in</w:t>
      </w:r>
      <w:r>
        <w:rPr>
          <w:rFonts w:eastAsia="SimSun"/>
        </w:rPr>
        <w:t xml:space="preserve"> g</w:t>
      </w:r>
      <w:r w:rsidRPr="002A4292">
        <w:rPr>
          <w:rFonts w:eastAsia="SimSun"/>
        </w:rPr>
        <w:t>overnment ministries</w:t>
      </w:r>
      <w:r>
        <w:rPr>
          <w:rFonts w:eastAsia="SimSun"/>
        </w:rPr>
        <w:t xml:space="preserve">. </w:t>
      </w:r>
      <w:r w:rsidRPr="002A4292">
        <w:rPr>
          <w:rFonts w:eastAsia="SimSun"/>
        </w:rPr>
        <w:t>Further, several key specialised positions cannot be filled from the local labour market (for example, a telecoms regulator and a Public Utilities Board operations manager)</w:t>
      </w:r>
      <w:r>
        <w:rPr>
          <w:rFonts w:eastAsia="SimSun"/>
        </w:rPr>
        <w:t xml:space="preserve">. </w:t>
      </w:r>
      <w:r w:rsidRPr="002A4292">
        <w:rPr>
          <w:rFonts w:eastAsia="SimSun"/>
        </w:rPr>
        <w:t>The onus often falls on Australia, as the major development partner</w:t>
      </w:r>
      <w:r>
        <w:rPr>
          <w:rFonts w:eastAsia="SimSun"/>
        </w:rPr>
        <w:t>,</w:t>
      </w:r>
      <w:r w:rsidRPr="002A4292">
        <w:rPr>
          <w:rFonts w:eastAsia="SimSun"/>
        </w:rPr>
        <w:t xml:space="preserve"> to fill th</w:t>
      </w:r>
      <w:r>
        <w:rPr>
          <w:rFonts w:eastAsia="SimSun"/>
        </w:rPr>
        <w:t>e</w:t>
      </w:r>
      <w:r w:rsidRPr="002A4292">
        <w:rPr>
          <w:rFonts w:eastAsia="SimSun"/>
        </w:rPr>
        <w:t>se gaps</w:t>
      </w:r>
      <w:r>
        <w:rPr>
          <w:rFonts w:eastAsia="SimSun"/>
        </w:rPr>
        <w:t xml:space="preserve">. </w:t>
      </w:r>
      <w:r w:rsidR="00651F63">
        <w:rPr>
          <w:rFonts w:eastAsia="SimSun"/>
        </w:rPr>
        <w:t xml:space="preserve">DFAT </w:t>
      </w:r>
      <w:r w:rsidRPr="002A4292">
        <w:rPr>
          <w:rFonts w:eastAsia="SimSun"/>
        </w:rPr>
        <w:t>monitor</w:t>
      </w:r>
      <w:r w:rsidR="009942FC">
        <w:rPr>
          <w:rFonts w:eastAsia="SimSun"/>
        </w:rPr>
        <w:t xml:space="preserve">s the </w:t>
      </w:r>
      <w:r w:rsidRPr="002A4292">
        <w:rPr>
          <w:rFonts w:eastAsia="SimSun"/>
        </w:rPr>
        <w:t>use of international adviser positions carefully and ensure decisions to supplement rather than build capacity are backed by careful market testing.</w:t>
      </w:r>
    </w:p>
    <w:p w:rsidR="0026198E" w:rsidRPr="002A4292" w:rsidRDefault="0026198E" w:rsidP="00A52843">
      <w:pPr>
        <w:pStyle w:val="BodyText"/>
        <w:rPr>
          <w:rFonts w:eastAsia="SimSun"/>
        </w:rPr>
      </w:pPr>
      <w:r w:rsidRPr="002A4292">
        <w:rPr>
          <w:rFonts w:eastAsia="SimSun"/>
        </w:rPr>
        <w:t>Although capacity is limited across the Government of Kiribati, particular challenges exist for the Ministry of Public Works and Utilities in implementing large infrastructure investments</w:t>
      </w:r>
      <w:r>
        <w:rPr>
          <w:rFonts w:eastAsia="SimSun"/>
        </w:rPr>
        <w:t xml:space="preserve">. </w:t>
      </w:r>
      <w:r w:rsidRPr="002A4292">
        <w:rPr>
          <w:rFonts w:eastAsia="SimSun"/>
        </w:rPr>
        <w:t>Development partners expect that the Ministry of Public Works and Utilities will drive these investments</w:t>
      </w:r>
      <w:r>
        <w:rPr>
          <w:rFonts w:eastAsia="SimSun"/>
        </w:rPr>
        <w:t xml:space="preserve">. </w:t>
      </w:r>
      <w:r w:rsidRPr="002A4292">
        <w:rPr>
          <w:rFonts w:eastAsia="SimSun"/>
        </w:rPr>
        <w:t xml:space="preserve">However, the Ministry does not have the technical skills required to manage </w:t>
      </w:r>
      <w:r w:rsidRPr="002A4292">
        <w:rPr>
          <w:rFonts w:eastAsia="SimSun"/>
        </w:rPr>
        <w:lastRenderedPageBreak/>
        <w:t>large, complex projects or oversee consultants’ work</w:t>
      </w:r>
      <w:r>
        <w:rPr>
          <w:rFonts w:eastAsia="SimSun"/>
        </w:rPr>
        <w:t xml:space="preserve">. </w:t>
      </w:r>
      <w:r w:rsidRPr="002A4292">
        <w:rPr>
          <w:rFonts w:eastAsia="SimSun"/>
        </w:rPr>
        <w:t>Lack of capacity in the Public Utilities Board (the government-owned corporation responsible for water supply, sewerage and electricity services) and Kiribati Fiduciary Services Unit (within the Ministry of Finance and Economic Development) also constrains the effective implementation and maintenance of infrastructure investments.</w:t>
      </w:r>
    </w:p>
    <w:p w:rsidR="0026198E" w:rsidRPr="002A4292" w:rsidRDefault="0026198E" w:rsidP="00A52843">
      <w:pPr>
        <w:pStyle w:val="BodyText"/>
        <w:rPr>
          <w:rFonts w:eastAsia="SimSun"/>
        </w:rPr>
      </w:pPr>
      <w:r w:rsidRPr="002A4292">
        <w:rPr>
          <w:rFonts w:eastAsia="SimSun"/>
        </w:rPr>
        <w:t>The Ministry of Fisheries and Marine Resources Development</w:t>
      </w:r>
      <w:r>
        <w:rPr>
          <w:rFonts w:eastAsia="SimSun"/>
        </w:rPr>
        <w:t xml:space="preserve"> faces significant institutional weaknesses. </w:t>
      </w:r>
      <w:r w:rsidRPr="002A4292">
        <w:rPr>
          <w:rFonts w:eastAsia="SimSun"/>
        </w:rPr>
        <w:t>This contributes to a lack of transparency and accountability in the management of oceanic fisheries, as well as a lack of independent technical advice in access negotiations.</w:t>
      </w:r>
    </w:p>
    <w:p w:rsidR="0026198E" w:rsidRPr="002A4292" w:rsidRDefault="0026198E" w:rsidP="00A52843">
      <w:pPr>
        <w:pStyle w:val="BodyText"/>
      </w:pPr>
      <w:r w:rsidRPr="002A4292">
        <w:t>Government of Kiribati public financial systems are weak</w:t>
      </w:r>
      <w:r>
        <w:t xml:space="preserve">. </w:t>
      </w:r>
      <w:r w:rsidR="005D6190">
        <w:t>In 2012</w:t>
      </w:r>
      <w:r w:rsidR="00532000">
        <w:t>,</w:t>
      </w:r>
      <w:r w:rsidR="005D6190">
        <w:t xml:space="preserve"> </w:t>
      </w:r>
      <w:r w:rsidR="00761D0F">
        <w:t>the Australian aid program</w:t>
      </w:r>
      <w:r w:rsidR="005D6190">
        <w:t xml:space="preserve"> conducted an assessment of national s</w:t>
      </w:r>
      <w:r w:rsidRPr="002A4292">
        <w:t>ystems</w:t>
      </w:r>
      <w:r w:rsidR="00EE4AB8">
        <w:t>. The assessment</w:t>
      </w:r>
      <w:r w:rsidRPr="002A4292">
        <w:t xml:space="preserve"> concluded</w:t>
      </w:r>
      <w:r w:rsidR="00EE4AB8">
        <w:t xml:space="preserve"> that</w:t>
      </w:r>
      <w:r w:rsidRPr="002A4292">
        <w:t xml:space="preserve"> </w:t>
      </w:r>
      <w:r w:rsidR="00532000">
        <w:t xml:space="preserve">the </w:t>
      </w:r>
      <w:r w:rsidR="005546C3">
        <w:t>program</w:t>
      </w:r>
      <w:r w:rsidR="00436B8C">
        <w:t xml:space="preserve"> </w:t>
      </w:r>
      <w:r w:rsidRPr="002A4292">
        <w:t>should avoid channelling funds through the</w:t>
      </w:r>
      <w:r w:rsidR="00EE4AB8">
        <w:t>se national</w:t>
      </w:r>
      <w:r w:rsidRPr="002A4292">
        <w:t xml:space="preserve"> systems or adopt strong risk mitigation measures</w:t>
      </w:r>
      <w:r>
        <w:t xml:space="preserve">. </w:t>
      </w:r>
      <w:r w:rsidR="00651F63">
        <w:t xml:space="preserve">DFAT </w:t>
      </w:r>
      <w:r w:rsidRPr="002A4292">
        <w:t>is working with the Ministry of Finance and Economic Development to improve these systems. In the interim, the vast majority of Australian funds continue to be channelled through managing contractors and multilateral development partners.</w:t>
      </w:r>
    </w:p>
    <w:p w:rsidR="0026198E" w:rsidRPr="002A4292" w:rsidRDefault="0026198E" w:rsidP="00A52843">
      <w:pPr>
        <w:pStyle w:val="Heading2"/>
      </w:pPr>
      <w:r w:rsidRPr="00461C3B">
        <w:t>Key program objectives</w:t>
      </w:r>
    </w:p>
    <w:p w:rsidR="0026198E" w:rsidRPr="002A4292" w:rsidRDefault="0026198E" w:rsidP="00A52843">
      <w:pPr>
        <w:pStyle w:val="BodyText"/>
      </w:pPr>
      <w:r w:rsidRPr="002A4292">
        <w:t>The fundamental purpose of the Australian aid program to Kiribati is to reduce poverty</w:t>
      </w:r>
      <w:r>
        <w:t xml:space="preserve">. </w:t>
      </w:r>
      <w:r w:rsidRPr="002A4292">
        <w:t>To achieve this, Kiribati and Australia signed a Partnership for Development on 27 January 2009 committing to three priority outcomes:</w:t>
      </w:r>
    </w:p>
    <w:p w:rsidR="0026198E" w:rsidRPr="002A4292" w:rsidRDefault="0026198E" w:rsidP="00A52843">
      <w:pPr>
        <w:pStyle w:val="ListBullet"/>
      </w:pPr>
      <w:r w:rsidRPr="002A4292">
        <w:t>Outcome 1: improved standards in basic education, in terms of access and quality and literacy and numeracy.</w:t>
      </w:r>
    </w:p>
    <w:p w:rsidR="0026198E" w:rsidRPr="002A4292" w:rsidRDefault="0026198E" w:rsidP="00A52843">
      <w:pPr>
        <w:pStyle w:val="ListBullet"/>
      </w:pPr>
      <w:r w:rsidRPr="002A4292">
        <w:t>Outcome 2: increased opportunities for people to develop internationally recognised workforce skills in areas of industry demand, both domestically and overseas.</w:t>
      </w:r>
    </w:p>
    <w:p w:rsidR="0026198E" w:rsidRPr="002A4292" w:rsidRDefault="0026198E" w:rsidP="00A52843">
      <w:pPr>
        <w:pStyle w:val="ListBullet"/>
      </w:pPr>
      <w:r w:rsidRPr="002A4292">
        <w:t xml:space="preserve">Outcome 3: </w:t>
      </w:r>
      <w:proofErr w:type="gramStart"/>
      <w:r w:rsidR="007E2E70">
        <w:t>improved growth and economic management</w:t>
      </w:r>
      <w:r w:rsidRPr="002A4292">
        <w:t>, which aim to increase revenue and support, and better</w:t>
      </w:r>
      <w:proofErr w:type="gramEnd"/>
      <w:r w:rsidRPr="002A4292">
        <w:t xml:space="preserve"> allocate resources to meet, development challenges.</w:t>
      </w:r>
    </w:p>
    <w:p w:rsidR="0026198E" w:rsidRPr="002A4292" w:rsidRDefault="0026198E" w:rsidP="00A52843">
      <w:pPr>
        <w:pStyle w:val="BodyText"/>
        <w:rPr>
          <w:lang w:val="en"/>
        </w:rPr>
      </w:pPr>
      <w:r w:rsidRPr="002A4292">
        <w:rPr>
          <w:lang w:val="en"/>
        </w:rPr>
        <w:t>In September 2012</w:t>
      </w:r>
      <w:r w:rsidR="00532000">
        <w:rPr>
          <w:lang w:val="en"/>
        </w:rPr>
        <w:t>,</w:t>
      </w:r>
      <w:r w:rsidRPr="002A4292">
        <w:rPr>
          <w:lang w:val="en"/>
        </w:rPr>
        <w:t xml:space="preserve"> Kiribati and Australia agreed to add a fourth priority outcome:</w:t>
      </w:r>
    </w:p>
    <w:p w:rsidR="0026198E" w:rsidRPr="002A4292" w:rsidRDefault="0026198E" w:rsidP="00A52843">
      <w:pPr>
        <w:pStyle w:val="ListBullet"/>
      </w:pPr>
      <w:r w:rsidRPr="002A4292">
        <w:t>Outcome 4: improved infrastructure services through increasing access to telecommunications and sanitation services and improving the main road network.</w:t>
      </w:r>
    </w:p>
    <w:p w:rsidR="0026198E" w:rsidRPr="002A4292" w:rsidRDefault="0026198E" w:rsidP="00A52843">
      <w:pPr>
        <w:pStyle w:val="BodyText"/>
        <w:rPr>
          <w:rFonts w:eastAsia="SimSun"/>
          <w:szCs w:val="22"/>
        </w:rPr>
      </w:pPr>
      <w:r w:rsidRPr="00A52843">
        <w:rPr>
          <w:rFonts w:eastAsia="SimSun"/>
        </w:rPr>
        <w:t>Australia also provides assistance in the areas of climate change, health, disability and gender. Australia’s program is appropriately targeted to Kiribati’s development needs, the Government of Kiribati’s priorities (</w:t>
      </w:r>
      <w:r w:rsidRPr="00A52843">
        <w:t>as articulated in the</w:t>
      </w:r>
      <w:r w:rsidR="002977D7">
        <w:t xml:space="preserve"> Kiribati Development Plan 2012</w:t>
      </w:r>
      <w:r w:rsidR="002977D7">
        <w:noBreakHyphen/>
      </w:r>
      <w:r w:rsidRPr="00A52843">
        <w:t>2015)</w:t>
      </w:r>
      <w:r w:rsidRPr="00A52843">
        <w:rPr>
          <w:rFonts w:eastAsia="SimSun"/>
        </w:rPr>
        <w:t xml:space="preserve">, and </w:t>
      </w:r>
      <w:r w:rsidR="009942FC" w:rsidRPr="00A52843">
        <w:rPr>
          <w:rFonts w:eastAsia="SimSun"/>
        </w:rPr>
        <w:t>Australia’s</w:t>
      </w:r>
      <w:r w:rsidRPr="00A52843">
        <w:rPr>
          <w:rFonts w:eastAsia="SimSun"/>
        </w:rPr>
        <w:t xml:space="preserve"> comparative</w:t>
      </w:r>
      <w:r w:rsidRPr="002A4292">
        <w:rPr>
          <w:rFonts w:eastAsia="SimSun"/>
          <w:szCs w:val="22"/>
        </w:rPr>
        <w:t xml:space="preserve"> advantages</w:t>
      </w:r>
      <w:r>
        <w:rPr>
          <w:rFonts w:eastAsia="SimSun"/>
          <w:szCs w:val="22"/>
        </w:rPr>
        <w:t xml:space="preserve">. </w:t>
      </w:r>
      <w:r w:rsidRPr="002A4292">
        <w:rPr>
          <w:rFonts w:eastAsia="SimSun"/>
          <w:szCs w:val="22"/>
        </w:rPr>
        <w:t>Specifically:</w:t>
      </w:r>
      <w:r w:rsidR="00D23312">
        <w:rPr>
          <w:rFonts w:eastAsia="SimSun"/>
          <w:szCs w:val="22"/>
        </w:rPr>
        <w:t xml:space="preserve"> </w:t>
      </w:r>
    </w:p>
    <w:p w:rsidR="0026198E" w:rsidRPr="002A4292" w:rsidRDefault="0026198E" w:rsidP="00A52843">
      <w:pPr>
        <w:pStyle w:val="ListBullet"/>
      </w:pPr>
      <w:r>
        <w:t>T</w:t>
      </w:r>
      <w:r w:rsidRPr="002A4292">
        <w:t>here is strong political will to improve basic education, workplace skills and qualifications to increase the competitiveness of i-Kiribati in international labour markets</w:t>
      </w:r>
      <w:r>
        <w:t xml:space="preserve">. </w:t>
      </w:r>
      <w:r w:rsidRPr="002A4292">
        <w:t xml:space="preserve">Australia has considerable expertise in these areas and </w:t>
      </w:r>
      <w:r>
        <w:t>is</w:t>
      </w:r>
      <w:r w:rsidRPr="002A4292">
        <w:t xml:space="preserve"> well</w:t>
      </w:r>
      <w:r>
        <w:t xml:space="preserve"> </w:t>
      </w:r>
      <w:r w:rsidRPr="002A4292">
        <w:t xml:space="preserve">placed to support the Government of Kiribati. </w:t>
      </w:r>
    </w:p>
    <w:p w:rsidR="0026198E" w:rsidRPr="002A4292" w:rsidRDefault="0026198E" w:rsidP="00A52843">
      <w:pPr>
        <w:pStyle w:val="ListBullet"/>
      </w:pPr>
      <w:r>
        <w:t>Australia’s</w:t>
      </w:r>
      <w:r w:rsidRPr="002A4292">
        <w:t xml:space="preserve"> support for improved growth and economic management in Kiribati is important for all other priority outcome areas</w:t>
      </w:r>
      <w:r>
        <w:t xml:space="preserve"> under the partnership. </w:t>
      </w:r>
      <w:r w:rsidRPr="002A4292">
        <w:t>Expanding the government’s revenue base will enable more money to be spent on national development priorities and improving public financial management systems will enable money to be efficiently expensed and accounted for by line ministries</w:t>
      </w:r>
      <w:r>
        <w:t xml:space="preserve">. </w:t>
      </w:r>
      <w:r w:rsidRPr="002A4292">
        <w:t>There is political will to progress some difficult economic reforms, including the sale of under</w:t>
      </w:r>
      <w:r w:rsidRPr="002A4292">
        <w:noBreakHyphen/>
        <w:t>performing</w:t>
      </w:r>
      <w:r w:rsidR="00532000">
        <w:t>,</w:t>
      </w:r>
      <w:r w:rsidRPr="002A4292">
        <w:t xml:space="preserve"> state</w:t>
      </w:r>
      <w:r>
        <w:t>-</w:t>
      </w:r>
      <w:r w:rsidRPr="002A4292">
        <w:t>owned enterprises and introduction of new taxes to increase revenue</w:t>
      </w:r>
      <w:r>
        <w:t xml:space="preserve">. </w:t>
      </w:r>
      <w:r w:rsidRPr="002A4292">
        <w:t xml:space="preserve">In the current conducive political environment, there remains a strong business case for Australia to fund international financial institutions to provide assistance to the Government of Kiribati, while engaging in policy </w:t>
      </w:r>
      <w:r>
        <w:t>discussion</w:t>
      </w:r>
      <w:r w:rsidRPr="002A4292">
        <w:t xml:space="preserve"> and oversight of funded programs. </w:t>
      </w:r>
    </w:p>
    <w:p w:rsidR="0026198E" w:rsidRPr="002A4292" w:rsidRDefault="0026198E" w:rsidP="00A52843">
      <w:pPr>
        <w:pStyle w:val="ListBullet"/>
      </w:pPr>
      <w:r>
        <w:lastRenderedPageBreak/>
        <w:t>I</w:t>
      </w:r>
      <w:r w:rsidRPr="002A4292">
        <w:t xml:space="preserve">nfrastructure </w:t>
      </w:r>
      <w:r>
        <w:t xml:space="preserve">is </w:t>
      </w:r>
      <w:r w:rsidRPr="002A4292">
        <w:t>a priority outcome due to the size of Aus</w:t>
      </w:r>
      <w:r>
        <w:t>tralia</w:t>
      </w:r>
      <w:r w:rsidRPr="002A4292">
        <w:t xml:space="preserve">’s investment in the </w:t>
      </w:r>
      <w:r w:rsidRPr="00461C3B">
        <w:t>sector (</w:t>
      </w:r>
      <w:r w:rsidRPr="008B5A6D">
        <w:t>more than</w:t>
      </w:r>
      <w:r w:rsidRPr="00461C3B">
        <w:t xml:space="preserve"> $40 million) and</w:t>
      </w:r>
      <w:r w:rsidRPr="002A4292">
        <w:t xml:space="preserve"> its relevance to the other priority outcomes, particularly economic growth and management</w:t>
      </w:r>
      <w:r>
        <w:t xml:space="preserve">. Australia’s </w:t>
      </w:r>
      <w:r w:rsidRPr="002A4292">
        <w:t>support for the sector will save lives and improve resilience against the future impacts of climate change by improving the dire water and sanitation situation in South Tarawa</w:t>
      </w:r>
      <w:r>
        <w:t xml:space="preserve">. </w:t>
      </w:r>
      <w:r w:rsidRPr="002A4292">
        <w:t xml:space="preserve">It </w:t>
      </w:r>
      <w:r w:rsidR="00532000">
        <w:t>will</w:t>
      </w:r>
      <w:r w:rsidR="00532000" w:rsidRPr="002A4292">
        <w:t xml:space="preserve"> </w:t>
      </w:r>
      <w:r w:rsidRPr="002A4292">
        <w:t xml:space="preserve">also address other significant impediments to Kiribati’s development by improving the current road system (which is in extremely poor condition and has received no major maintenance for </w:t>
      </w:r>
      <w:r>
        <w:t>more than 20</w:t>
      </w:r>
      <w:r w:rsidRPr="002A4292">
        <w:t xml:space="preserve"> years), improving access to telecommunications and reducing reliance on expensive imported diesel for energy generation. </w:t>
      </w:r>
    </w:p>
    <w:p w:rsidR="0026198E" w:rsidRPr="002A4292" w:rsidRDefault="0026198E" w:rsidP="00A52843">
      <w:pPr>
        <w:pStyle w:val="BodyText"/>
      </w:pPr>
      <w:r w:rsidRPr="002A4292">
        <w:t>E</w:t>
      </w:r>
      <w:r w:rsidR="005E7D29">
        <w:t>xpenditure on areas outside</w:t>
      </w:r>
      <w:r w:rsidR="00532000">
        <w:t xml:space="preserve"> of</w:t>
      </w:r>
      <w:r w:rsidR="005E7D29">
        <w:t xml:space="preserve"> </w:t>
      </w:r>
      <w:r>
        <w:t>p</w:t>
      </w:r>
      <w:r w:rsidRPr="002A4292">
        <w:t>artnership priorities already accounts for approximately 20</w:t>
      </w:r>
      <w:r w:rsidR="003557F2">
        <w:t> </w:t>
      </w:r>
      <w:r w:rsidRPr="002A4292">
        <w:t>per cent of Australia’s program expenditure (</w:t>
      </w:r>
      <w:r w:rsidR="00532000">
        <w:t>t</w:t>
      </w:r>
      <w:r w:rsidRPr="002A4292">
        <w:t>ables 3A and B)</w:t>
      </w:r>
      <w:r w:rsidR="004C4B45">
        <w:t>. T</w:t>
      </w:r>
      <w:r w:rsidRPr="002A4292">
        <w:t>here is some pressure</w:t>
      </w:r>
      <w:r w:rsidR="004C4B45">
        <w:t xml:space="preserve"> </w:t>
      </w:r>
      <w:r w:rsidR="002E7A71">
        <w:t>on</w:t>
      </w:r>
      <w:r w:rsidR="004C4B45">
        <w:t xml:space="preserve"> Australia, as lead donor, to invest in other areas outside of partnership priorities, leading to</w:t>
      </w:r>
      <w:r w:rsidRPr="002A4292">
        <w:t xml:space="preserve"> further fragmentation</w:t>
      </w:r>
      <w:r>
        <w:t xml:space="preserve">. </w:t>
      </w:r>
      <w:r w:rsidRPr="002A4292">
        <w:t>In particular, the Government of Kiribati wants Australia to play a stronger, more direct bilateral role in the health sector given that no other development partner is willing to take the lead</w:t>
      </w:r>
      <w:r>
        <w:t xml:space="preserve">. </w:t>
      </w:r>
      <w:r w:rsidRPr="002A4292">
        <w:t>The health sector receives significantly less donor assistance than other sectors</w:t>
      </w:r>
      <w:r w:rsidR="004C4B45">
        <w:t xml:space="preserve"> in Kiribati even though</w:t>
      </w:r>
      <w:r w:rsidRPr="002A4292">
        <w:t xml:space="preserve"> there is a clear need to improve health service standards</w:t>
      </w:r>
      <w:r>
        <w:t xml:space="preserve">. </w:t>
      </w:r>
      <w:r w:rsidRPr="002A4292">
        <w:t>Australia currently provides modest support for the sector (predominately through regional and international partners)</w:t>
      </w:r>
      <w:r>
        <w:t xml:space="preserve">. </w:t>
      </w:r>
      <w:r w:rsidR="00651F63">
        <w:t xml:space="preserve">DFAT </w:t>
      </w:r>
      <w:r>
        <w:t>is</w:t>
      </w:r>
      <w:r w:rsidRPr="002A4292">
        <w:t xml:space="preserve"> reviewing </w:t>
      </w:r>
      <w:r>
        <w:t>Australia’s</w:t>
      </w:r>
      <w:r w:rsidRPr="002A4292">
        <w:t xml:space="preserve"> capacity to provide further support</w:t>
      </w:r>
      <w:r>
        <w:t xml:space="preserve">. </w:t>
      </w:r>
      <w:r w:rsidRPr="002A4292">
        <w:t xml:space="preserve">In doing so, </w:t>
      </w:r>
      <w:r w:rsidR="004C4B45">
        <w:t xml:space="preserve">however, </w:t>
      </w:r>
      <w:r w:rsidR="00651F63">
        <w:t xml:space="preserve">DFAT </w:t>
      </w:r>
      <w:r w:rsidRPr="002A4292">
        <w:t>need</w:t>
      </w:r>
      <w:r>
        <w:t>s</w:t>
      </w:r>
      <w:r w:rsidRPr="002A4292">
        <w:t xml:space="preserve"> to manage the risk of </w:t>
      </w:r>
      <w:r w:rsidR="004C4B45">
        <w:t xml:space="preserve">further </w:t>
      </w:r>
      <w:r w:rsidRPr="002A4292">
        <w:t>fragmentation</w:t>
      </w:r>
      <w:r w:rsidR="004C4B45">
        <w:t xml:space="preserve">, </w:t>
      </w:r>
      <w:r w:rsidRPr="002A4292">
        <w:t xml:space="preserve">which </w:t>
      </w:r>
      <w:r>
        <w:t xml:space="preserve">has an </w:t>
      </w:r>
      <w:r w:rsidRPr="002A4292">
        <w:t>impact on results</w:t>
      </w:r>
      <w:r w:rsidR="004C4B45">
        <w:t xml:space="preserve">, </w:t>
      </w:r>
      <w:r w:rsidRPr="002A4292">
        <w:t>imposes significant transa</w:t>
      </w:r>
      <w:r w:rsidR="002C347A">
        <w:t>ction costs on Australia and</w:t>
      </w:r>
      <w:r w:rsidRPr="002A4292">
        <w:t xml:space="preserve"> partner governments</w:t>
      </w:r>
      <w:r w:rsidR="004C4B45">
        <w:t xml:space="preserve"> and is</w:t>
      </w:r>
      <w:r w:rsidR="004C4B45" w:rsidRPr="002A4292">
        <w:t xml:space="preserve"> </w:t>
      </w:r>
      <w:r w:rsidRPr="002A4292">
        <w:t>against the fundamental purpose of the aid program (to help people overcome poverty)</w:t>
      </w:r>
      <w:r>
        <w:t xml:space="preserve">. </w:t>
      </w:r>
    </w:p>
    <w:p w:rsidR="0026198E" w:rsidRPr="002A4292" w:rsidRDefault="0026198E" w:rsidP="00A52843">
      <w:pPr>
        <w:pStyle w:val="BodyText"/>
      </w:pPr>
      <w:r w:rsidRPr="002A4292">
        <w:t>Subject to funding and consideration</w:t>
      </w:r>
      <w:r w:rsidR="004C4B45">
        <w:t xml:space="preserve"> of</w:t>
      </w:r>
      <w:r w:rsidRPr="002A4292">
        <w:t xml:space="preserve"> program fragmentation, there is opportunity to better engage community organisations, including by supporting Australian or international </w:t>
      </w:r>
      <w:r>
        <w:t>non-government organisations</w:t>
      </w:r>
      <w:r w:rsidRPr="002A4292">
        <w:t xml:space="preserve"> to establish long</w:t>
      </w:r>
      <w:r>
        <w:t>-</w:t>
      </w:r>
      <w:r w:rsidRPr="002A4292">
        <w:t>term programs in Kiribati and develop local civil society capacity</w:t>
      </w:r>
      <w:r>
        <w:t xml:space="preserve">. </w:t>
      </w:r>
    </w:p>
    <w:p w:rsidR="0026198E" w:rsidRPr="002A4292" w:rsidRDefault="0026198E" w:rsidP="00A52843">
      <w:pPr>
        <w:pStyle w:val="Heading2"/>
      </w:pPr>
      <w:r w:rsidRPr="002A4292">
        <w:t xml:space="preserve">Development </w:t>
      </w:r>
      <w:r>
        <w:t>p</w:t>
      </w:r>
      <w:r w:rsidRPr="002A4292">
        <w:t xml:space="preserve">artners </w:t>
      </w:r>
    </w:p>
    <w:p w:rsidR="0026198E" w:rsidRDefault="0026198E" w:rsidP="00A52843">
      <w:pPr>
        <w:pStyle w:val="BodyText"/>
      </w:pPr>
      <w:r w:rsidRPr="002A4292">
        <w:t xml:space="preserve">Australia is the largest donor in Kiribati, providing an estimated </w:t>
      </w:r>
      <w:r w:rsidRPr="00461C3B">
        <w:t>$26.9 million in</w:t>
      </w:r>
      <w:r w:rsidRPr="002A4292">
        <w:t xml:space="preserve"> 2012–13</w:t>
      </w:r>
      <w:r>
        <w:t xml:space="preserve">. </w:t>
      </w:r>
      <w:r w:rsidRPr="002A4292">
        <w:t>This represents almost 30 per cent of the Government of Kiribati’s expenditure in 2012.</w:t>
      </w:r>
      <w:r w:rsidRPr="002A4292">
        <w:rPr>
          <w:rStyle w:val="FootnoteReference"/>
        </w:rPr>
        <w:footnoteReference w:id="29"/>
      </w:r>
      <w:r w:rsidRPr="002A4292">
        <w:t xml:space="preserve"> </w:t>
      </w:r>
      <w:r w:rsidR="00651F63">
        <w:t>DFAT</w:t>
      </w:r>
      <w:r w:rsidR="00651F63" w:rsidRPr="002A4292">
        <w:t xml:space="preserve"> </w:t>
      </w:r>
      <w:r w:rsidRPr="002A4292">
        <w:t>administers approximately 98 per cent of Australia’s official development assistance to Kiribati</w:t>
      </w:r>
      <w:r>
        <w:t xml:space="preserve">. </w:t>
      </w:r>
      <w:r w:rsidRPr="002A4292">
        <w:t>Other Australian Government partners include the Australia Centre for International Agricultural Research, which provided $380</w:t>
      </w:r>
      <w:r>
        <w:t xml:space="preserve"> </w:t>
      </w:r>
      <w:r w:rsidRPr="002A4292">
        <w:t>000 for fisheries assistance in 2012 under the Pacific Agribusiness Research for Development Initiative</w:t>
      </w:r>
      <w:r>
        <w:t xml:space="preserve">. </w:t>
      </w:r>
      <w:r w:rsidRPr="002A4292">
        <w:t>The Department of Defence supported defence co-operation activities ($288</w:t>
      </w:r>
      <w:r>
        <w:t xml:space="preserve"> </w:t>
      </w:r>
      <w:r w:rsidRPr="002A4292">
        <w:t>000), including</w:t>
      </w:r>
      <w:r>
        <w:t>:</w:t>
      </w:r>
    </w:p>
    <w:p w:rsidR="0026198E" w:rsidRPr="00205C83" w:rsidRDefault="0026198E" w:rsidP="00A52843">
      <w:pPr>
        <w:pStyle w:val="ListBullet"/>
      </w:pPr>
      <w:r w:rsidRPr="00205C83">
        <w:t>Pacific Patrol Boat Program (which undertook maritime surveillance and fisheries protection)</w:t>
      </w:r>
    </w:p>
    <w:p w:rsidR="0026198E" w:rsidRPr="00205C83" w:rsidRDefault="0026198E" w:rsidP="00A52843">
      <w:pPr>
        <w:pStyle w:val="ListBullet"/>
      </w:pPr>
      <w:proofErr w:type="gramStart"/>
      <w:r w:rsidRPr="00205C83">
        <w:t>capacity</w:t>
      </w:r>
      <w:proofErr w:type="gramEnd"/>
      <w:r w:rsidRPr="00205C83">
        <w:t xml:space="preserve"> building for K</w:t>
      </w:r>
      <w:r w:rsidR="002C347A">
        <w:t>iribati’s police force (</w:t>
      </w:r>
      <w:r w:rsidRPr="00205C83">
        <w:t>with the</w:t>
      </w:r>
      <w:r w:rsidR="002C347A">
        <w:t xml:space="preserve"> assistance of the</w:t>
      </w:r>
      <w:r w:rsidRPr="00205C83">
        <w:t xml:space="preserve"> Australian Federal Police). </w:t>
      </w:r>
    </w:p>
    <w:p w:rsidR="0026198E" w:rsidRPr="002A4292" w:rsidRDefault="0026198E" w:rsidP="00A52843">
      <w:pPr>
        <w:pStyle w:val="BodyText"/>
      </w:pPr>
      <w:r>
        <w:t>A</w:t>
      </w:r>
      <w:r w:rsidRPr="002A4292">
        <w:t xml:space="preserve"> significant number of other bilateral and multilateral donors </w:t>
      </w:r>
      <w:r>
        <w:t>support</w:t>
      </w:r>
      <w:r w:rsidRPr="002A4292">
        <w:t xml:space="preserve"> Kiribati and </w:t>
      </w:r>
      <w:r>
        <w:t xml:space="preserve">Australia </w:t>
      </w:r>
      <w:r w:rsidRPr="002A4292">
        <w:t>work</w:t>
      </w:r>
      <w:r>
        <w:t>s</w:t>
      </w:r>
      <w:r w:rsidRPr="002A4292">
        <w:t xml:space="preserve"> closely with </w:t>
      </w:r>
      <w:r>
        <w:t>them</w:t>
      </w:r>
      <w:r w:rsidRPr="002A4292">
        <w:t xml:space="preserve"> in delivering </w:t>
      </w:r>
      <w:r>
        <w:t>Australia’s</w:t>
      </w:r>
      <w:r w:rsidRPr="002A4292">
        <w:t xml:space="preserve"> aid program.</w:t>
      </w:r>
      <w:r>
        <w:t xml:space="preserve"> Key </w:t>
      </w:r>
      <w:r w:rsidRPr="000859E5">
        <w:t xml:space="preserve">Organisation for Economic Co-operation and Development (OECD) </w:t>
      </w:r>
      <w:r>
        <w:t>Development Assistance Committee (DAC) par</w:t>
      </w:r>
      <w:r w:rsidRPr="000859E5">
        <w:t xml:space="preserve">tners are listed in </w:t>
      </w:r>
      <w:r w:rsidR="007E2E70">
        <w:t>T</w:t>
      </w:r>
      <w:r w:rsidRPr="000859E5">
        <w:t>able 2.</w:t>
      </w:r>
    </w:p>
    <w:p w:rsidR="0026198E" w:rsidRPr="002A4292" w:rsidRDefault="0026198E" w:rsidP="00A52843">
      <w:pPr>
        <w:pStyle w:val="Caption"/>
      </w:pPr>
      <w:r w:rsidRPr="002A4292">
        <w:lastRenderedPageBreak/>
        <w:t xml:space="preserve">Table 2: </w:t>
      </w:r>
      <w:r>
        <w:t xml:space="preserve">OECD DAC </w:t>
      </w:r>
      <w:r w:rsidRPr="002A4292">
        <w:t xml:space="preserve">partner </w:t>
      </w:r>
      <w:r>
        <w:t>funding to</w:t>
      </w:r>
      <w:r w:rsidRPr="002A4292">
        <w:t xml:space="preserve"> Kiribati in 2011</w:t>
      </w:r>
    </w:p>
    <w:tbl>
      <w:tblPr>
        <w:tblStyle w:val="APPR"/>
        <w:tblW w:w="8472" w:type="dxa"/>
        <w:tblLook w:val="04A0" w:firstRow="1" w:lastRow="0" w:firstColumn="1" w:lastColumn="0" w:noHBand="0" w:noVBand="1"/>
      </w:tblPr>
      <w:tblGrid>
        <w:gridCol w:w="2787"/>
        <w:gridCol w:w="1377"/>
        <w:gridCol w:w="3091"/>
        <w:gridCol w:w="1217"/>
      </w:tblGrid>
      <w:tr w:rsidR="0026198E" w:rsidRPr="00A52843" w:rsidTr="00A52843">
        <w:trPr>
          <w:cnfStyle w:val="100000000000" w:firstRow="1" w:lastRow="0" w:firstColumn="0" w:lastColumn="0" w:oddVBand="0" w:evenVBand="0" w:oddHBand="0" w:evenHBand="0" w:firstRowFirstColumn="0" w:firstRowLastColumn="0" w:lastRowFirstColumn="0" w:lastRowLastColumn="0"/>
        </w:trPr>
        <w:tc>
          <w:tcPr>
            <w:tcW w:w="2802" w:type="dxa"/>
          </w:tcPr>
          <w:p w:rsidR="0026198E" w:rsidRPr="00A52843" w:rsidRDefault="0026198E" w:rsidP="00A52843">
            <w:pPr>
              <w:pStyle w:val="TableTextColumnHeading"/>
              <w:rPr>
                <w:b/>
              </w:rPr>
            </w:pPr>
            <w:r w:rsidRPr="00A52843">
              <w:rPr>
                <w:b/>
              </w:rPr>
              <w:t>Donor</w:t>
            </w:r>
          </w:p>
        </w:tc>
        <w:tc>
          <w:tcPr>
            <w:tcW w:w="1366" w:type="dxa"/>
          </w:tcPr>
          <w:p w:rsidR="0026198E" w:rsidRPr="00A52843" w:rsidRDefault="0026198E" w:rsidP="00A52843">
            <w:pPr>
              <w:pStyle w:val="TableTextColumnHeading"/>
              <w:rPr>
                <w:b/>
              </w:rPr>
            </w:pPr>
            <w:r w:rsidRPr="00A52843">
              <w:rPr>
                <w:b/>
              </w:rPr>
              <w:t>2011</w:t>
            </w:r>
          </w:p>
          <w:p w:rsidR="0026198E" w:rsidRPr="00A52843" w:rsidRDefault="0026198E" w:rsidP="00A52843">
            <w:pPr>
              <w:pStyle w:val="TableTextColumnHeading"/>
              <w:rPr>
                <w:b/>
              </w:rPr>
            </w:pPr>
            <w:r w:rsidRPr="00A52843">
              <w:rPr>
                <w:b/>
              </w:rPr>
              <w:t>(million)</w:t>
            </w:r>
          </w:p>
        </w:tc>
        <w:tc>
          <w:tcPr>
            <w:tcW w:w="3118" w:type="dxa"/>
          </w:tcPr>
          <w:p w:rsidR="0026198E" w:rsidRPr="00A52843" w:rsidRDefault="0026198E" w:rsidP="00A52843">
            <w:pPr>
              <w:pStyle w:val="TableTextColumnHeading"/>
              <w:rPr>
                <w:b/>
              </w:rPr>
            </w:pPr>
            <w:r w:rsidRPr="00A52843">
              <w:rPr>
                <w:b/>
              </w:rPr>
              <w:t xml:space="preserve">Donor </w:t>
            </w:r>
          </w:p>
        </w:tc>
        <w:tc>
          <w:tcPr>
            <w:tcW w:w="1186" w:type="dxa"/>
          </w:tcPr>
          <w:p w:rsidR="0026198E" w:rsidRPr="00A52843" w:rsidRDefault="0026198E" w:rsidP="00A52843">
            <w:pPr>
              <w:pStyle w:val="TableTextColumnHeading"/>
              <w:rPr>
                <w:b/>
              </w:rPr>
            </w:pPr>
            <w:r w:rsidRPr="00A52843">
              <w:rPr>
                <w:b/>
              </w:rPr>
              <w:t>2011</w:t>
            </w:r>
          </w:p>
          <w:p w:rsidR="0026198E" w:rsidRPr="00A52843" w:rsidRDefault="0026198E" w:rsidP="00A52843">
            <w:pPr>
              <w:pStyle w:val="TableTextColumnHeading"/>
              <w:rPr>
                <w:b/>
              </w:rPr>
            </w:pPr>
            <w:r w:rsidRPr="00A52843">
              <w:rPr>
                <w:b/>
              </w:rPr>
              <w:t>(million)</w:t>
            </w:r>
          </w:p>
        </w:tc>
      </w:tr>
      <w:tr w:rsidR="0026198E" w:rsidRPr="00A52843" w:rsidTr="00A52843">
        <w:trPr>
          <w:cnfStyle w:val="100000000000" w:firstRow="1" w:lastRow="0" w:firstColumn="0" w:lastColumn="0" w:oddVBand="0" w:evenVBand="0" w:oddHBand="0" w:evenHBand="0" w:firstRowFirstColumn="0" w:firstRowLastColumn="0" w:lastRowFirstColumn="0" w:lastRowLastColumn="0"/>
        </w:trPr>
        <w:tc>
          <w:tcPr>
            <w:tcW w:w="2802" w:type="dxa"/>
          </w:tcPr>
          <w:p w:rsidR="0026198E" w:rsidRPr="00A52843" w:rsidRDefault="0026198E" w:rsidP="00A52843">
            <w:pPr>
              <w:pStyle w:val="TableTextEntries"/>
              <w:rPr>
                <w:b w:val="0"/>
              </w:rPr>
            </w:pPr>
            <w:r w:rsidRPr="00A52843">
              <w:rPr>
                <w:b w:val="0"/>
              </w:rPr>
              <w:t>Australia</w:t>
            </w:r>
          </w:p>
        </w:tc>
        <w:tc>
          <w:tcPr>
            <w:tcW w:w="1366" w:type="dxa"/>
          </w:tcPr>
          <w:p w:rsidR="0026198E" w:rsidRPr="00A52843" w:rsidRDefault="0026198E" w:rsidP="00A52843">
            <w:pPr>
              <w:pStyle w:val="TableTextEntries"/>
              <w:rPr>
                <w:b w:val="0"/>
              </w:rPr>
            </w:pPr>
            <w:r w:rsidRPr="00A52843">
              <w:rPr>
                <w:b w:val="0"/>
              </w:rPr>
              <w:t xml:space="preserve">$39.5 </w:t>
            </w:r>
          </w:p>
        </w:tc>
        <w:tc>
          <w:tcPr>
            <w:tcW w:w="3118" w:type="dxa"/>
          </w:tcPr>
          <w:p w:rsidR="0026198E" w:rsidRPr="00A52843" w:rsidRDefault="0026198E" w:rsidP="00A52843">
            <w:pPr>
              <w:pStyle w:val="TableTextEntries"/>
              <w:rPr>
                <w:b w:val="0"/>
              </w:rPr>
            </w:pPr>
            <w:r w:rsidRPr="00A52843">
              <w:rPr>
                <w:b w:val="0"/>
              </w:rPr>
              <w:t xml:space="preserve">Asian Development Bank </w:t>
            </w:r>
          </w:p>
        </w:tc>
        <w:tc>
          <w:tcPr>
            <w:tcW w:w="1186" w:type="dxa"/>
          </w:tcPr>
          <w:p w:rsidR="0026198E" w:rsidRPr="00A52843" w:rsidRDefault="0026198E" w:rsidP="00A52843">
            <w:pPr>
              <w:pStyle w:val="TableTextEntries"/>
              <w:rPr>
                <w:b w:val="0"/>
              </w:rPr>
            </w:pPr>
            <w:r w:rsidRPr="00A52843">
              <w:rPr>
                <w:b w:val="0"/>
              </w:rPr>
              <w:t xml:space="preserve">$0.7 </w:t>
            </w:r>
          </w:p>
        </w:tc>
      </w:tr>
      <w:tr w:rsidR="0026198E" w:rsidRPr="00A52843" w:rsidTr="00A52843">
        <w:trPr>
          <w:cnfStyle w:val="100000000000" w:firstRow="1" w:lastRow="0" w:firstColumn="0" w:lastColumn="0" w:oddVBand="0" w:evenVBand="0" w:oddHBand="0" w:evenHBand="0" w:firstRowFirstColumn="0" w:firstRowLastColumn="0" w:lastRowFirstColumn="0" w:lastRowLastColumn="0"/>
        </w:trPr>
        <w:tc>
          <w:tcPr>
            <w:tcW w:w="2802" w:type="dxa"/>
          </w:tcPr>
          <w:p w:rsidR="0026198E" w:rsidRPr="00A52843" w:rsidRDefault="0026198E" w:rsidP="00A52843">
            <w:pPr>
              <w:pStyle w:val="TableTextEntries"/>
              <w:rPr>
                <w:b w:val="0"/>
              </w:rPr>
            </w:pPr>
            <w:r w:rsidRPr="00A52843">
              <w:rPr>
                <w:b w:val="0"/>
              </w:rPr>
              <w:t>New Zealand</w:t>
            </w:r>
          </w:p>
        </w:tc>
        <w:tc>
          <w:tcPr>
            <w:tcW w:w="1366" w:type="dxa"/>
          </w:tcPr>
          <w:p w:rsidR="0026198E" w:rsidRPr="00A52843" w:rsidRDefault="0026198E" w:rsidP="00A52843">
            <w:pPr>
              <w:pStyle w:val="TableTextEntries"/>
              <w:rPr>
                <w:b w:val="0"/>
              </w:rPr>
            </w:pPr>
            <w:r w:rsidRPr="00A52843">
              <w:rPr>
                <w:b w:val="0"/>
              </w:rPr>
              <w:t xml:space="preserve">$12.5 </w:t>
            </w:r>
          </w:p>
        </w:tc>
        <w:tc>
          <w:tcPr>
            <w:tcW w:w="3118" w:type="dxa"/>
          </w:tcPr>
          <w:p w:rsidR="0026198E" w:rsidRPr="00A52843" w:rsidRDefault="0026198E" w:rsidP="00A52843">
            <w:pPr>
              <w:pStyle w:val="TableTextEntries"/>
              <w:rPr>
                <w:b w:val="0"/>
              </w:rPr>
            </w:pPr>
            <w:r w:rsidRPr="00A52843">
              <w:rPr>
                <w:b w:val="0"/>
              </w:rPr>
              <w:t>World Bank (International Bank for Reconstruction and Development, International Development Association and International Finance Architecture)</w:t>
            </w:r>
          </w:p>
        </w:tc>
        <w:tc>
          <w:tcPr>
            <w:tcW w:w="1186" w:type="dxa"/>
          </w:tcPr>
          <w:p w:rsidR="0026198E" w:rsidRPr="00A52843" w:rsidRDefault="0026198E" w:rsidP="00A52843">
            <w:pPr>
              <w:pStyle w:val="TableTextEntries"/>
              <w:rPr>
                <w:b w:val="0"/>
              </w:rPr>
            </w:pPr>
            <w:r w:rsidRPr="00A52843">
              <w:rPr>
                <w:b w:val="0"/>
              </w:rPr>
              <w:t xml:space="preserve">$0.3 </w:t>
            </w:r>
          </w:p>
        </w:tc>
      </w:tr>
      <w:tr w:rsidR="0026198E" w:rsidRPr="00A52843" w:rsidTr="00A52843">
        <w:trPr>
          <w:cnfStyle w:val="100000000000" w:firstRow="1" w:lastRow="0" w:firstColumn="0" w:lastColumn="0" w:oddVBand="0" w:evenVBand="0" w:oddHBand="0" w:evenHBand="0" w:firstRowFirstColumn="0" w:firstRowLastColumn="0" w:lastRowFirstColumn="0" w:lastRowLastColumn="0"/>
        </w:trPr>
        <w:tc>
          <w:tcPr>
            <w:tcW w:w="2802" w:type="dxa"/>
          </w:tcPr>
          <w:p w:rsidR="0026198E" w:rsidRPr="00A52843" w:rsidRDefault="0026198E" w:rsidP="00A52843">
            <w:pPr>
              <w:pStyle w:val="TableTextEntries"/>
              <w:rPr>
                <w:b w:val="0"/>
              </w:rPr>
            </w:pPr>
            <w:r w:rsidRPr="00A52843">
              <w:rPr>
                <w:b w:val="0"/>
              </w:rPr>
              <w:t>Japan</w:t>
            </w:r>
          </w:p>
        </w:tc>
        <w:tc>
          <w:tcPr>
            <w:tcW w:w="1366" w:type="dxa"/>
          </w:tcPr>
          <w:p w:rsidR="0026198E" w:rsidRPr="00A52843" w:rsidRDefault="0026198E" w:rsidP="00A52843">
            <w:pPr>
              <w:pStyle w:val="TableTextEntries"/>
              <w:rPr>
                <w:b w:val="0"/>
              </w:rPr>
            </w:pPr>
            <w:r w:rsidRPr="00A52843">
              <w:rPr>
                <w:b w:val="0"/>
              </w:rPr>
              <w:t xml:space="preserve">$3.7 </w:t>
            </w:r>
          </w:p>
        </w:tc>
        <w:tc>
          <w:tcPr>
            <w:tcW w:w="3118" w:type="dxa"/>
          </w:tcPr>
          <w:p w:rsidR="0026198E" w:rsidRPr="00A52843" w:rsidRDefault="0026198E" w:rsidP="00A52843">
            <w:pPr>
              <w:pStyle w:val="TableTextEntries"/>
              <w:rPr>
                <w:b w:val="0"/>
              </w:rPr>
            </w:pPr>
            <w:r w:rsidRPr="00A52843">
              <w:rPr>
                <w:b w:val="0"/>
              </w:rPr>
              <w:t>World Health Organization</w:t>
            </w:r>
          </w:p>
        </w:tc>
        <w:tc>
          <w:tcPr>
            <w:tcW w:w="1186" w:type="dxa"/>
          </w:tcPr>
          <w:p w:rsidR="0026198E" w:rsidRPr="00A52843" w:rsidRDefault="0026198E" w:rsidP="00A52843">
            <w:pPr>
              <w:pStyle w:val="TableTextEntries"/>
              <w:rPr>
                <w:b w:val="0"/>
              </w:rPr>
            </w:pPr>
            <w:r w:rsidRPr="00A52843">
              <w:rPr>
                <w:b w:val="0"/>
              </w:rPr>
              <w:t xml:space="preserve">$0.3 </w:t>
            </w:r>
          </w:p>
        </w:tc>
      </w:tr>
      <w:tr w:rsidR="0026198E" w:rsidRPr="00A52843" w:rsidTr="00A52843">
        <w:trPr>
          <w:cnfStyle w:val="100000000000" w:firstRow="1" w:lastRow="0" w:firstColumn="0" w:lastColumn="0" w:oddVBand="0" w:evenVBand="0" w:oddHBand="0" w:evenHBand="0" w:firstRowFirstColumn="0" w:firstRowLastColumn="0" w:lastRowFirstColumn="0" w:lastRowLastColumn="0"/>
        </w:trPr>
        <w:tc>
          <w:tcPr>
            <w:tcW w:w="2802" w:type="dxa"/>
          </w:tcPr>
          <w:p w:rsidR="0026198E" w:rsidRPr="00A52843" w:rsidRDefault="0026198E" w:rsidP="00A52843">
            <w:pPr>
              <w:pStyle w:val="TableTextEntries"/>
              <w:rPr>
                <w:b w:val="0"/>
              </w:rPr>
            </w:pPr>
            <w:r w:rsidRPr="00A52843">
              <w:rPr>
                <w:b w:val="0"/>
              </w:rPr>
              <w:t>European Union</w:t>
            </w:r>
          </w:p>
        </w:tc>
        <w:tc>
          <w:tcPr>
            <w:tcW w:w="1366" w:type="dxa"/>
          </w:tcPr>
          <w:p w:rsidR="0026198E" w:rsidRPr="00A52843" w:rsidRDefault="0026198E" w:rsidP="00A52843">
            <w:pPr>
              <w:pStyle w:val="TableTextEntries"/>
              <w:rPr>
                <w:b w:val="0"/>
              </w:rPr>
            </w:pPr>
            <w:r w:rsidRPr="00A52843">
              <w:rPr>
                <w:b w:val="0"/>
              </w:rPr>
              <w:t xml:space="preserve">$3.5 </w:t>
            </w:r>
          </w:p>
        </w:tc>
        <w:tc>
          <w:tcPr>
            <w:tcW w:w="4304" w:type="dxa"/>
            <w:gridSpan w:val="2"/>
          </w:tcPr>
          <w:p w:rsidR="0026198E" w:rsidRPr="00A52843" w:rsidRDefault="0026198E" w:rsidP="00A52843">
            <w:pPr>
              <w:pStyle w:val="TableTextEntries"/>
              <w:rPr>
                <w:b w:val="0"/>
              </w:rPr>
            </w:pPr>
          </w:p>
        </w:tc>
      </w:tr>
    </w:tbl>
    <w:p w:rsidR="0026198E" w:rsidRPr="00A52843" w:rsidRDefault="0026198E" w:rsidP="00A52843">
      <w:pPr>
        <w:pStyle w:val="Note"/>
      </w:pPr>
      <w:r w:rsidRPr="00A52843">
        <w:t xml:space="preserve">Source: OCED DAC data using the 2011 yearly average exchange rate of 1USD = 1.035AUD (2012 data not yet available). </w:t>
      </w:r>
    </w:p>
    <w:p w:rsidR="0026198E" w:rsidRPr="00A52843" w:rsidRDefault="0026198E" w:rsidP="00A52843">
      <w:pPr>
        <w:pStyle w:val="Note"/>
      </w:pPr>
      <w:r w:rsidRPr="00A52843">
        <w:t xml:space="preserve">Note: Taiwan is a significant non-DAC donor to Taiwan. </w:t>
      </w:r>
    </w:p>
    <w:p w:rsidR="0026198E" w:rsidRPr="002A4292" w:rsidRDefault="0026198E" w:rsidP="00A52843">
      <w:pPr>
        <w:pStyle w:val="BodyText"/>
      </w:pPr>
    </w:p>
    <w:p w:rsidR="0026198E" w:rsidRPr="002A4292" w:rsidRDefault="0026198E" w:rsidP="00A52843">
      <w:pPr>
        <w:pStyle w:val="BodyText"/>
      </w:pPr>
      <w:r w:rsidRPr="002A4292">
        <w:t xml:space="preserve">The large number of development partners and number of activities (including missions) relative to Kiribati’s size results in high transaction costs for </w:t>
      </w:r>
      <w:r>
        <w:t>the g</w:t>
      </w:r>
      <w:r w:rsidRPr="002A4292">
        <w:t>overnment</w:t>
      </w:r>
      <w:r>
        <w:t>. Australia</w:t>
      </w:r>
      <w:r w:rsidRPr="002A4292">
        <w:t xml:space="preserve"> </w:t>
      </w:r>
      <w:r>
        <w:t xml:space="preserve">takes </w:t>
      </w:r>
      <w:r w:rsidRPr="002A4292">
        <w:t xml:space="preserve">opportunities </w:t>
      </w:r>
      <w:r>
        <w:t xml:space="preserve">to discuss this </w:t>
      </w:r>
      <w:r w:rsidR="005666B6">
        <w:t>with</w:t>
      </w:r>
      <w:r w:rsidRPr="002A4292">
        <w:t xml:space="preserve"> development partners to maintain focus on adhering to the principles of the </w:t>
      </w:r>
      <w:r w:rsidRPr="00616FCE">
        <w:t>Forum Compact on Strengthening Development Coordination in the Pacific</w:t>
      </w:r>
      <w:r w:rsidRPr="002A4292">
        <w:t>, including the need to coordinate activities and align investments behind national</w:t>
      </w:r>
      <w:r w:rsidRPr="002A4292">
        <w:rPr>
          <w:color w:val="333333"/>
        </w:rPr>
        <w:t xml:space="preserve"> </w:t>
      </w:r>
      <w:r w:rsidRPr="002A4292">
        <w:t>government</w:t>
      </w:r>
      <w:r>
        <w:t xml:space="preserve"> priorities. </w:t>
      </w:r>
      <w:r w:rsidR="002C347A">
        <w:t>Australia is</w:t>
      </w:r>
      <w:r w:rsidRPr="002A4292">
        <w:t xml:space="preserve"> helping to strengthen the Government of Kiribati’s aid coordination function by funding a new </w:t>
      </w:r>
      <w:r w:rsidR="007E2E70">
        <w:t>d</w:t>
      </w:r>
      <w:r w:rsidRPr="002A4292">
        <w:t xml:space="preserve">irector position in </w:t>
      </w:r>
      <w:r>
        <w:t>its</w:t>
      </w:r>
      <w:r w:rsidRPr="002A4292">
        <w:t xml:space="preserve"> National Economic and Planning Office</w:t>
      </w:r>
      <w:r>
        <w:t xml:space="preserve">. </w:t>
      </w:r>
    </w:p>
    <w:p w:rsidR="0026198E" w:rsidRPr="002A4292" w:rsidRDefault="0026198E" w:rsidP="00A52843">
      <w:pPr>
        <w:pStyle w:val="BodyText"/>
      </w:pPr>
      <w:r w:rsidRPr="002A4292">
        <w:t xml:space="preserve">The World Bank and Asian Development Bank are increasingly involved in the Kiribati program, particularly in infrastructure and economic reform, bringing essential expertise to </w:t>
      </w:r>
      <w:r w:rsidR="002C347A">
        <w:t>Australia’s</w:t>
      </w:r>
      <w:r w:rsidRPr="002A4292">
        <w:t xml:space="preserve"> </w:t>
      </w:r>
      <w:r w:rsidR="007E2E70">
        <w:t>efforts</w:t>
      </w:r>
      <w:r>
        <w:t xml:space="preserve">. </w:t>
      </w:r>
      <w:r w:rsidRPr="002A4292">
        <w:t>However, the Government of Kiribati lacks the capacity to implement projects under the banks’ standard approaches</w:t>
      </w:r>
      <w:r>
        <w:t xml:space="preserve">. </w:t>
      </w:r>
      <w:r w:rsidRPr="002A4292">
        <w:t xml:space="preserve">Negotiating these issues takes time and resources from </w:t>
      </w:r>
      <w:r>
        <w:t xml:space="preserve">Australia’s </w:t>
      </w:r>
      <w:r w:rsidRPr="002A4292">
        <w:t>program</w:t>
      </w:r>
      <w:r>
        <w:t xml:space="preserve">. </w:t>
      </w:r>
      <w:r w:rsidRPr="002A4292">
        <w:t>In 2013</w:t>
      </w:r>
      <w:r>
        <w:t>–</w:t>
      </w:r>
      <w:r w:rsidRPr="002A4292">
        <w:t xml:space="preserve">14, </w:t>
      </w:r>
      <w:r w:rsidR="00651F63">
        <w:t xml:space="preserve">DFAT </w:t>
      </w:r>
      <w:r w:rsidRPr="002A4292">
        <w:t>will encourage both banks</w:t>
      </w:r>
      <w:r>
        <w:t>,</w:t>
      </w:r>
      <w:r w:rsidRPr="002A4292">
        <w:t xml:space="preserve"> through the Pacific Region Infrastructure Facility</w:t>
      </w:r>
      <w:r>
        <w:t>,</w:t>
      </w:r>
      <w:r w:rsidRPr="002A4292">
        <w:t xml:space="preserve"> to maintain the disproportionate levels of program oversight required to provide the Government of Kiribati with adequate support for implementi</w:t>
      </w:r>
      <w:r w:rsidR="007E2E70">
        <w:t>ng</w:t>
      </w:r>
      <w:r w:rsidRPr="002A4292">
        <w:t xml:space="preserve"> activities and donor coordination</w:t>
      </w:r>
      <w:r>
        <w:t xml:space="preserve">. </w:t>
      </w:r>
      <w:r w:rsidR="00651F63">
        <w:t xml:space="preserve">DFAT </w:t>
      </w:r>
      <w:r w:rsidRPr="002A4292">
        <w:t>will also urge the banks to engage a new in-country representative for their joint Development Corporation Office in Kiribati as a matter of priority</w:t>
      </w:r>
      <w:r>
        <w:t xml:space="preserve">. </w:t>
      </w:r>
      <w:r w:rsidRPr="002A4292">
        <w:t>The position has been vacant since May 2013 and the absence of a strong and effective in-country presence in Kiribati adversely impacts project implementation.</w:t>
      </w:r>
    </w:p>
    <w:p w:rsidR="0026198E" w:rsidRPr="002A4292" w:rsidRDefault="0026198E" w:rsidP="00A52843">
      <w:pPr>
        <w:pStyle w:val="BodyText"/>
      </w:pPr>
      <w:r w:rsidRPr="002A4292">
        <w:t>Australia also partners with U</w:t>
      </w:r>
      <w:r>
        <w:t>nited Nations (U</w:t>
      </w:r>
      <w:r w:rsidRPr="002A4292">
        <w:t>N</w:t>
      </w:r>
      <w:r>
        <w:t>)</w:t>
      </w:r>
      <w:r w:rsidRPr="002A4292">
        <w:t xml:space="preserve"> agencies, including U</w:t>
      </w:r>
      <w:r>
        <w:t xml:space="preserve">nited </w:t>
      </w:r>
      <w:r w:rsidRPr="002A4292">
        <w:t>N</w:t>
      </w:r>
      <w:r>
        <w:t>ations Children’s Fund (UNICEF)</w:t>
      </w:r>
      <w:r w:rsidRPr="002A4292">
        <w:t xml:space="preserve"> </w:t>
      </w:r>
      <w:r w:rsidRPr="00616FCE">
        <w:t>and United Nations Educational, Scientific and Cultural Organization</w:t>
      </w:r>
      <w:r>
        <w:rPr>
          <w:rFonts w:ascii="Arial" w:hAnsi="Arial" w:cs="Arial"/>
          <w:sz w:val="19"/>
          <w:szCs w:val="19"/>
        </w:rPr>
        <w:t xml:space="preserve"> (</w:t>
      </w:r>
      <w:r w:rsidRPr="002A4292">
        <w:t>UNESCO</w:t>
      </w:r>
      <w:r>
        <w:t>)</w:t>
      </w:r>
      <w:r w:rsidRPr="002A4292">
        <w:t xml:space="preserve"> on education and UN Women on gender equality</w:t>
      </w:r>
      <w:r>
        <w:t xml:space="preserve">. </w:t>
      </w:r>
      <w:r w:rsidRPr="002A4292">
        <w:t xml:space="preserve">However, the UN agencies have a very limited in-country presence and </w:t>
      </w:r>
      <w:r w:rsidR="00651F63">
        <w:t xml:space="preserve">DFAT </w:t>
      </w:r>
      <w:r w:rsidRPr="002A4292">
        <w:t>continue</w:t>
      </w:r>
      <w:r>
        <w:t>s</w:t>
      </w:r>
      <w:r w:rsidRPr="002A4292">
        <w:t xml:space="preserve"> to encourage them to strengthen their engagement in Kiribati</w:t>
      </w:r>
      <w:r>
        <w:t xml:space="preserve">. </w:t>
      </w:r>
    </w:p>
    <w:p w:rsidR="0026198E" w:rsidRDefault="0026198E" w:rsidP="00A52843">
      <w:pPr>
        <w:pStyle w:val="Heading2"/>
      </w:pPr>
      <w:r w:rsidRPr="002A4292">
        <w:t>Expenditure</w:t>
      </w:r>
    </w:p>
    <w:p w:rsidR="0026198E" w:rsidRPr="00A52843" w:rsidRDefault="0026198E" w:rsidP="00A52843">
      <w:pPr>
        <w:pStyle w:val="BodyText"/>
      </w:pPr>
      <w:r w:rsidRPr="00A52843">
        <w:t xml:space="preserve">A summary of financial expenditure of Australia’s aid program to Kiribati for this </w:t>
      </w:r>
      <w:r w:rsidR="007B2970">
        <w:t>APPR</w:t>
      </w:r>
      <w:r w:rsidRPr="00A52843">
        <w:t xml:space="preserve"> is provided in two periods—one for January 2012 to June 2012 and one for 2012–13 (Table 3A and Table 3B). Information on both reporting periods is included because </w:t>
      </w:r>
      <w:r w:rsidR="007B2970">
        <w:t>APPR</w:t>
      </w:r>
      <w:r w:rsidRPr="00A52843">
        <w:t xml:space="preserve"> reporting requirements have changed from calendar-year reporting to financial-year reporting.</w:t>
      </w:r>
    </w:p>
    <w:p w:rsidR="008E06F4" w:rsidRDefault="008E06F4" w:rsidP="00634B78">
      <w:pPr>
        <w:pStyle w:val="BodyText"/>
        <w:rPr>
          <w:rFonts w:ascii="Arial" w:hAnsi="Arial"/>
          <w:color w:val="7E6D5F"/>
          <w:szCs w:val="19"/>
        </w:rPr>
      </w:pPr>
      <w:r>
        <w:br w:type="page"/>
      </w:r>
    </w:p>
    <w:p w:rsidR="00695E6D" w:rsidRPr="002A4292" w:rsidRDefault="00695E6D" w:rsidP="00A52843">
      <w:pPr>
        <w:pStyle w:val="Caption"/>
      </w:pPr>
      <w:r w:rsidRPr="002A4292">
        <w:lastRenderedPageBreak/>
        <w:t xml:space="preserve">Table </w:t>
      </w:r>
      <w:r w:rsidR="00DF1AF1" w:rsidRPr="002A4292">
        <w:t>3</w:t>
      </w:r>
      <w:r w:rsidRPr="002A4292">
        <w:t>A Expenditure 01 Jan 2012</w:t>
      </w:r>
      <w:r w:rsidR="00037AAF">
        <w:t>–</w:t>
      </w:r>
      <w:r w:rsidRPr="002A4292">
        <w:t>30 Jun 2012</w:t>
      </w:r>
    </w:p>
    <w:tbl>
      <w:tblPr>
        <w:tblStyle w:val="APPR"/>
        <w:tblW w:w="5000" w:type="pct"/>
        <w:tblLayout w:type="fixed"/>
        <w:tblLook w:val="0000" w:firstRow="0" w:lastRow="0" w:firstColumn="0" w:lastColumn="0" w:noHBand="0" w:noVBand="0"/>
      </w:tblPr>
      <w:tblGrid>
        <w:gridCol w:w="6109"/>
        <w:gridCol w:w="1185"/>
        <w:gridCol w:w="1312"/>
      </w:tblGrid>
      <w:tr w:rsidR="00695E6D" w:rsidRPr="002A4292" w:rsidTr="00A52843">
        <w:trPr>
          <w:cnfStyle w:val="000000010000" w:firstRow="0" w:lastRow="0" w:firstColumn="0" w:lastColumn="0" w:oddVBand="0" w:evenVBand="0" w:oddHBand="0" w:evenHBand="1" w:firstRowFirstColumn="0" w:firstRowLastColumn="0" w:lastRowFirstColumn="0" w:lastRowLastColumn="0"/>
        </w:trPr>
        <w:tc>
          <w:tcPr>
            <w:tcW w:w="6110" w:type="dxa"/>
          </w:tcPr>
          <w:p w:rsidR="00695E6D" w:rsidRPr="002A4292" w:rsidRDefault="00695E6D" w:rsidP="00A52843">
            <w:pPr>
              <w:pStyle w:val="TableTextColumnHeading"/>
            </w:pPr>
            <w:r w:rsidRPr="002A4292">
              <w:t>Outcomes</w:t>
            </w:r>
          </w:p>
        </w:tc>
        <w:tc>
          <w:tcPr>
            <w:tcW w:w="1164" w:type="dxa"/>
          </w:tcPr>
          <w:p w:rsidR="00695E6D" w:rsidRPr="002A4292" w:rsidRDefault="00695E6D" w:rsidP="00A52843">
            <w:pPr>
              <w:pStyle w:val="TableTextColumnHeading"/>
              <w:jc w:val="right"/>
            </w:pPr>
            <w:r w:rsidRPr="002A4292">
              <w:t>A$ million</w:t>
            </w:r>
          </w:p>
        </w:tc>
        <w:tc>
          <w:tcPr>
            <w:tcW w:w="1278" w:type="dxa"/>
          </w:tcPr>
          <w:p w:rsidR="00695E6D" w:rsidRPr="002A4292" w:rsidRDefault="00695E6D" w:rsidP="00A52843">
            <w:pPr>
              <w:pStyle w:val="TableTextColumnHeading"/>
              <w:jc w:val="right"/>
            </w:pPr>
            <w:r w:rsidRPr="002A4292">
              <w:t>% of program</w:t>
            </w:r>
          </w:p>
        </w:tc>
      </w:tr>
      <w:tr w:rsidR="00695E6D" w:rsidRPr="002A4292" w:rsidTr="00A52843">
        <w:trPr>
          <w:cnfStyle w:val="000000010000" w:firstRow="0" w:lastRow="0" w:firstColumn="0" w:lastColumn="0" w:oddVBand="0" w:evenVBand="0" w:oddHBand="0" w:evenHBand="1" w:firstRowFirstColumn="0" w:firstRowLastColumn="0" w:lastRowFirstColumn="0" w:lastRowLastColumn="0"/>
        </w:trPr>
        <w:tc>
          <w:tcPr>
            <w:tcW w:w="6110" w:type="dxa"/>
          </w:tcPr>
          <w:p w:rsidR="00695E6D" w:rsidRPr="002A4292" w:rsidRDefault="00695E6D" w:rsidP="00A52843">
            <w:pPr>
              <w:pStyle w:val="TableTextEntries"/>
            </w:pPr>
            <w:r w:rsidRPr="002A4292">
              <w:t>Outcome 1: Improved</w:t>
            </w:r>
            <w:r w:rsidR="00E00032">
              <w:t xml:space="preserve"> standards in</w:t>
            </w:r>
            <w:r w:rsidRPr="002A4292">
              <w:t xml:space="preserve"> </w:t>
            </w:r>
            <w:r w:rsidR="00E00032">
              <w:t>b</w:t>
            </w:r>
            <w:r w:rsidRPr="002A4292">
              <w:t xml:space="preserve">asic </w:t>
            </w:r>
            <w:r w:rsidR="00E00032">
              <w:t>e</w:t>
            </w:r>
            <w:r w:rsidRPr="002A4292">
              <w:t>ducation</w:t>
            </w:r>
          </w:p>
        </w:tc>
        <w:tc>
          <w:tcPr>
            <w:tcW w:w="1164" w:type="dxa"/>
          </w:tcPr>
          <w:p w:rsidR="00695E6D" w:rsidRPr="00634B78" w:rsidRDefault="00695E6D" w:rsidP="00634B78">
            <w:pPr>
              <w:pStyle w:val="TableTextEntries"/>
              <w:jc w:val="center"/>
            </w:pPr>
            <w:r w:rsidRPr="00634B78">
              <w:t>3.9</w:t>
            </w:r>
          </w:p>
        </w:tc>
        <w:tc>
          <w:tcPr>
            <w:tcW w:w="1278" w:type="dxa"/>
          </w:tcPr>
          <w:p w:rsidR="00695E6D" w:rsidRPr="00634B78" w:rsidRDefault="00695E6D" w:rsidP="00634B78">
            <w:pPr>
              <w:pStyle w:val="TableTextEntries"/>
              <w:jc w:val="center"/>
            </w:pPr>
            <w:r w:rsidRPr="00634B78">
              <w:t>24</w:t>
            </w:r>
          </w:p>
        </w:tc>
      </w:tr>
      <w:tr w:rsidR="00695E6D" w:rsidRPr="002A4292" w:rsidTr="00A52843">
        <w:trPr>
          <w:cnfStyle w:val="000000010000" w:firstRow="0" w:lastRow="0" w:firstColumn="0" w:lastColumn="0" w:oddVBand="0" w:evenVBand="0" w:oddHBand="0" w:evenHBand="1" w:firstRowFirstColumn="0" w:firstRowLastColumn="0" w:lastRowFirstColumn="0" w:lastRowLastColumn="0"/>
        </w:trPr>
        <w:tc>
          <w:tcPr>
            <w:tcW w:w="6110" w:type="dxa"/>
          </w:tcPr>
          <w:p w:rsidR="00695E6D" w:rsidRPr="002A4292" w:rsidRDefault="00695E6D" w:rsidP="00A52843">
            <w:pPr>
              <w:pStyle w:val="TableTextEntries"/>
            </w:pPr>
            <w:r w:rsidRPr="002A4292">
              <w:t xml:space="preserve">Outcome 2: </w:t>
            </w:r>
            <w:r w:rsidR="00E00032">
              <w:t>Increased opportunities to develop internationally recognised w</w:t>
            </w:r>
            <w:r w:rsidRPr="002A4292">
              <w:t xml:space="preserve">orkforce </w:t>
            </w:r>
            <w:r w:rsidR="00E00032">
              <w:t>skills</w:t>
            </w:r>
          </w:p>
        </w:tc>
        <w:tc>
          <w:tcPr>
            <w:tcW w:w="1164" w:type="dxa"/>
          </w:tcPr>
          <w:p w:rsidR="00695E6D" w:rsidRPr="00634B78" w:rsidRDefault="00C95745" w:rsidP="00634B78">
            <w:pPr>
              <w:pStyle w:val="TableTextEntries"/>
              <w:jc w:val="center"/>
            </w:pPr>
            <w:r w:rsidRPr="00634B78">
              <w:t>5.1</w:t>
            </w:r>
          </w:p>
        </w:tc>
        <w:tc>
          <w:tcPr>
            <w:tcW w:w="1278" w:type="dxa"/>
          </w:tcPr>
          <w:p w:rsidR="00695E6D" w:rsidRPr="00634B78" w:rsidRDefault="00C95745" w:rsidP="00634B78">
            <w:pPr>
              <w:pStyle w:val="TableTextEntries"/>
              <w:jc w:val="center"/>
            </w:pPr>
            <w:r w:rsidRPr="00634B78">
              <w:t>31</w:t>
            </w:r>
          </w:p>
        </w:tc>
      </w:tr>
      <w:tr w:rsidR="00695E6D" w:rsidRPr="002A4292" w:rsidTr="00A52843">
        <w:trPr>
          <w:cnfStyle w:val="000000010000" w:firstRow="0" w:lastRow="0" w:firstColumn="0" w:lastColumn="0" w:oddVBand="0" w:evenVBand="0" w:oddHBand="0" w:evenHBand="1" w:firstRowFirstColumn="0" w:firstRowLastColumn="0" w:lastRowFirstColumn="0" w:lastRowLastColumn="0"/>
        </w:trPr>
        <w:tc>
          <w:tcPr>
            <w:tcW w:w="6110" w:type="dxa"/>
          </w:tcPr>
          <w:p w:rsidR="00695E6D" w:rsidRPr="002A4292" w:rsidRDefault="00695E6D" w:rsidP="00A52843">
            <w:pPr>
              <w:pStyle w:val="TableTextEntries"/>
            </w:pPr>
            <w:r w:rsidRPr="002A4292">
              <w:t xml:space="preserve">Outcome 3: Improved </w:t>
            </w:r>
            <w:r w:rsidR="00B01B40">
              <w:t>g</w:t>
            </w:r>
            <w:r w:rsidRPr="002A4292">
              <w:t xml:space="preserve">rowth and </w:t>
            </w:r>
            <w:r w:rsidR="00E00032">
              <w:t>e</w:t>
            </w:r>
            <w:r w:rsidRPr="002A4292">
              <w:t xml:space="preserve">conomic </w:t>
            </w:r>
            <w:r w:rsidR="00E00032">
              <w:t>m</w:t>
            </w:r>
            <w:r w:rsidRPr="002A4292">
              <w:t>anagement</w:t>
            </w:r>
          </w:p>
        </w:tc>
        <w:tc>
          <w:tcPr>
            <w:tcW w:w="1164" w:type="dxa"/>
          </w:tcPr>
          <w:p w:rsidR="00695E6D" w:rsidRPr="00634B78" w:rsidRDefault="00695E6D" w:rsidP="00634B78">
            <w:pPr>
              <w:pStyle w:val="TableTextEntries"/>
              <w:jc w:val="center"/>
            </w:pPr>
            <w:r w:rsidRPr="00634B78">
              <w:t>1.</w:t>
            </w:r>
            <w:r w:rsidR="00C95745" w:rsidRPr="00634B78">
              <w:t>2</w:t>
            </w:r>
          </w:p>
        </w:tc>
        <w:tc>
          <w:tcPr>
            <w:tcW w:w="1278" w:type="dxa"/>
          </w:tcPr>
          <w:p w:rsidR="00695E6D" w:rsidRPr="00634B78" w:rsidRDefault="00C95745" w:rsidP="00634B78">
            <w:pPr>
              <w:pStyle w:val="TableTextEntries"/>
              <w:jc w:val="center"/>
            </w:pPr>
            <w:r w:rsidRPr="00634B78">
              <w:t>8</w:t>
            </w:r>
          </w:p>
        </w:tc>
      </w:tr>
      <w:tr w:rsidR="00695E6D" w:rsidRPr="002A4292" w:rsidTr="00A52843">
        <w:trPr>
          <w:cnfStyle w:val="000000010000" w:firstRow="0" w:lastRow="0" w:firstColumn="0" w:lastColumn="0" w:oddVBand="0" w:evenVBand="0" w:oddHBand="0" w:evenHBand="1" w:firstRowFirstColumn="0" w:firstRowLastColumn="0" w:lastRowFirstColumn="0" w:lastRowLastColumn="0"/>
        </w:trPr>
        <w:tc>
          <w:tcPr>
            <w:tcW w:w="6110" w:type="dxa"/>
          </w:tcPr>
          <w:p w:rsidR="00695E6D" w:rsidRPr="002A4292" w:rsidRDefault="00695E6D" w:rsidP="00A52843">
            <w:pPr>
              <w:pStyle w:val="TableTextEntries"/>
            </w:pPr>
            <w:r w:rsidRPr="002A4292">
              <w:t xml:space="preserve">Outcome 4: Improved </w:t>
            </w:r>
            <w:r w:rsidR="00E00032">
              <w:t>i</w:t>
            </w:r>
            <w:r w:rsidRPr="002A4292">
              <w:t xml:space="preserve">nfrastructure </w:t>
            </w:r>
            <w:r w:rsidR="00E00032">
              <w:t>s</w:t>
            </w:r>
            <w:r w:rsidRPr="002A4292">
              <w:t>ervices</w:t>
            </w:r>
          </w:p>
        </w:tc>
        <w:tc>
          <w:tcPr>
            <w:tcW w:w="1164" w:type="dxa"/>
          </w:tcPr>
          <w:p w:rsidR="00695E6D" w:rsidRPr="00634B78" w:rsidRDefault="00695E6D" w:rsidP="00634B78">
            <w:pPr>
              <w:pStyle w:val="TableTextEntries"/>
              <w:jc w:val="center"/>
            </w:pPr>
            <w:r w:rsidRPr="00634B78">
              <w:t>2.</w:t>
            </w:r>
            <w:r w:rsidR="00C95745" w:rsidRPr="00634B78">
              <w:t>9</w:t>
            </w:r>
          </w:p>
        </w:tc>
        <w:tc>
          <w:tcPr>
            <w:tcW w:w="1278" w:type="dxa"/>
          </w:tcPr>
          <w:p w:rsidR="00695E6D" w:rsidRPr="00634B78" w:rsidRDefault="00695E6D" w:rsidP="00634B78">
            <w:pPr>
              <w:pStyle w:val="TableTextEntries"/>
              <w:jc w:val="center"/>
            </w:pPr>
            <w:r w:rsidRPr="00634B78">
              <w:t>18</w:t>
            </w:r>
          </w:p>
        </w:tc>
      </w:tr>
      <w:tr w:rsidR="00695E6D" w:rsidRPr="002A4292" w:rsidTr="00A52843">
        <w:trPr>
          <w:cnfStyle w:val="000000010000" w:firstRow="0" w:lastRow="0" w:firstColumn="0" w:lastColumn="0" w:oddVBand="0" w:evenVBand="0" w:oddHBand="0" w:evenHBand="1" w:firstRowFirstColumn="0" w:firstRowLastColumn="0" w:lastRowFirstColumn="0" w:lastRowLastColumn="0"/>
        </w:trPr>
        <w:tc>
          <w:tcPr>
            <w:tcW w:w="6110" w:type="dxa"/>
          </w:tcPr>
          <w:p w:rsidR="00695E6D" w:rsidRPr="002A4292" w:rsidRDefault="00695E6D" w:rsidP="00A52843">
            <w:pPr>
              <w:pStyle w:val="TableTextEntries"/>
            </w:pPr>
            <w:r w:rsidRPr="002A4292">
              <w:t>Other</w:t>
            </w:r>
            <w:r w:rsidR="00BB1559" w:rsidRPr="002A4292">
              <w:t>*</w:t>
            </w:r>
          </w:p>
        </w:tc>
        <w:tc>
          <w:tcPr>
            <w:tcW w:w="1164" w:type="dxa"/>
          </w:tcPr>
          <w:p w:rsidR="00695E6D" w:rsidRPr="00634B78" w:rsidRDefault="00695E6D" w:rsidP="00634B78">
            <w:pPr>
              <w:pStyle w:val="TableTextEntries"/>
              <w:jc w:val="center"/>
            </w:pPr>
            <w:r w:rsidRPr="00634B78">
              <w:t>3.</w:t>
            </w:r>
            <w:r w:rsidR="00C95745" w:rsidRPr="00634B78">
              <w:t>4</w:t>
            </w:r>
          </w:p>
        </w:tc>
        <w:tc>
          <w:tcPr>
            <w:tcW w:w="1278" w:type="dxa"/>
          </w:tcPr>
          <w:p w:rsidR="00695E6D" w:rsidRPr="00634B78" w:rsidRDefault="00695E6D" w:rsidP="00634B78">
            <w:pPr>
              <w:pStyle w:val="TableTextEntries"/>
              <w:jc w:val="center"/>
            </w:pPr>
            <w:r w:rsidRPr="00634B78">
              <w:t>2</w:t>
            </w:r>
            <w:r w:rsidR="00C95745" w:rsidRPr="00634B78">
              <w:t>0</w:t>
            </w:r>
          </w:p>
        </w:tc>
      </w:tr>
    </w:tbl>
    <w:p w:rsidR="008E06F4" w:rsidRDefault="00695E6D" w:rsidP="008E06F4">
      <w:pPr>
        <w:pStyle w:val="Note"/>
      </w:pPr>
      <w:r w:rsidRPr="00A52843">
        <w:t xml:space="preserve">Source: </w:t>
      </w:r>
      <w:proofErr w:type="spellStart"/>
      <w:r w:rsidRPr="00A52843">
        <w:t>AidWorks</w:t>
      </w:r>
      <w:proofErr w:type="spellEnd"/>
    </w:p>
    <w:p w:rsidR="008E06F4" w:rsidRPr="008E06F4" w:rsidRDefault="008E06F4" w:rsidP="008E06F4">
      <w:pPr>
        <w:pStyle w:val="BodyText"/>
      </w:pPr>
    </w:p>
    <w:p w:rsidR="00695E6D" w:rsidRPr="002A4292" w:rsidRDefault="00695E6D" w:rsidP="00A52843">
      <w:pPr>
        <w:pStyle w:val="Caption"/>
      </w:pPr>
      <w:r w:rsidRPr="002A4292">
        <w:t xml:space="preserve">Table </w:t>
      </w:r>
      <w:r w:rsidR="00DF1AF1" w:rsidRPr="002A4292">
        <w:t>3</w:t>
      </w:r>
      <w:r w:rsidRPr="002A4292">
        <w:t>B Estimated expenditure in 2012</w:t>
      </w:r>
      <w:r w:rsidR="00037AAF">
        <w:t>–</w:t>
      </w:r>
      <w:r w:rsidRPr="002A4292">
        <w:t>13</w:t>
      </w:r>
      <w:r w:rsidR="00EA14C5" w:rsidRPr="002A4292">
        <w:t xml:space="preserve">** </w:t>
      </w:r>
    </w:p>
    <w:tbl>
      <w:tblPr>
        <w:tblStyle w:val="APPR"/>
        <w:tblW w:w="4987" w:type="pct"/>
        <w:tblLayout w:type="fixed"/>
        <w:tblLook w:val="0000" w:firstRow="0" w:lastRow="0" w:firstColumn="0" w:lastColumn="0" w:noHBand="0" w:noVBand="0"/>
      </w:tblPr>
      <w:tblGrid>
        <w:gridCol w:w="6129"/>
        <w:gridCol w:w="1187"/>
        <w:gridCol w:w="1268"/>
      </w:tblGrid>
      <w:tr w:rsidR="00695E6D" w:rsidRPr="002A4292" w:rsidTr="0054649E">
        <w:trPr>
          <w:cantSplit/>
          <w:tblHeader w:val="0"/>
        </w:trPr>
        <w:tc>
          <w:tcPr>
            <w:tcW w:w="6130" w:type="dxa"/>
          </w:tcPr>
          <w:p w:rsidR="00695E6D" w:rsidRPr="002A4292" w:rsidRDefault="00695E6D" w:rsidP="00A52843">
            <w:pPr>
              <w:pStyle w:val="TableTextColumnHeading"/>
            </w:pPr>
            <w:r w:rsidRPr="002A4292">
              <w:t>Objective</w:t>
            </w:r>
          </w:p>
        </w:tc>
        <w:tc>
          <w:tcPr>
            <w:tcW w:w="1166" w:type="dxa"/>
          </w:tcPr>
          <w:p w:rsidR="00695E6D" w:rsidRPr="002A4292" w:rsidRDefault="00695E6D" w:rsidP="00A52843">
            <w:pPr>
              <w:pStyle w:val="TableTextColumnHeading"/>
              <w:jc w:val="right"/>
            </w:pPr>
            <w:r w:rsidRPr="002A4292">
              <w:t>A$ million</w:t>
            </w:r>
          </w:p>
        </w:tc>
        <w:tc>
          <w:tcPr>
            <w:tcW w:w="1233" w:type="dxa"/>
          </w:tcPr>
          <w:p w:rsidR="00695E6D" w:rsidRPr="002A4292" w:rsidRDefault="00695E6D" w:rsidP="00A52843">
            <w:pPr>
              <w:pStyle w:val="TableTextColumnHeading"/>
              <w:jc w:val="right"/>
            </w:pPr>
            <w:r w:rsidRPr="002A4292">
              <w:t>% of program</w:t>
            </w:r>
          </w:p>
        </w:tc>
      </w:tr>
      <w:tr w:rsidR="00695E6D" w:rsidRPr="002A4292" w:rsidTr="0054649E">
        <w:trPr>
          <w:cnfStyle w:val="000000010000" w:firstRow="0" w:lastRow="0" w:firstColumn="0" w:lastColumn="0" w:oddVBand="0" w:evenVBand="0" w:oddHBand="0" w:evenHBand="1" w:firstRowFirstColumn="0" w:firstRowLastColumn="0" w:lastRowFirstColumn="0" w:lastRowLastColumn="0"/>
          <w:cantSplit/>
          <w:tblHeader w:val="0"/>
        </w:trPr>
        <w:tc>
          <w:tcPr>
            <w:tcW w:w="6130" w:type="dxa"/>
          </w:tcPr>
          <w:p w:rsidR="00695E6D" w:rsidRPr="002A4292" w:rsidRDefault="00695E6D" w:rsidP="00A52843">
            <w:pPr>
              <w:pStyle w:val="TableTextEntries"/>
            </w:pPr>
            <w:r w:rsidRPr="002A4292">
              <w:t>Outcome 1:</w:t>
            </w:r>
            <w:r w:rsidR="00D23312">
              <w:t xml:space="preserve"> </w:t>
            </w:r>
            <w:r w:rsidR="0026198E" w:rsidRPr="002A4292">
              <w:t>Improved</w:t>
            </w:r>
            <w:r w:rsidR="0026198E">
              <w:t xml:space="preserve"> standards in</w:t>
            </w:r>
            <w:r w:rsidR="0026198E" w:rsidRPr="002A4292">
              <w:t xml:space="preserve"> </w:t>
            </w:r>
            <w:r w:rsidR="0026198E">
              <w:t>b</w:t>
            </w:r>
            <w:r w:rsidR="0026198E" w:rsidRPr="002A4292">
              <w:t xml:space="preserve">asic </w:t>
            </w:r>
            <w:r w:rsidR="0026198E">
              <w:t>e</w:t>
            </w:r>
            <w:r w:rsidR="0026198E" w:rsidRPr="002A4292">
              <w:t>ducation</w:t>
            </w:r>
          </w:p>
        </w:tc>
        <w:tc>
          <w:tcPr>
            <w:tcW w:w="1166" w:type="dxa"/>
          </w:tcPr>
          <w:p w:rsidR="00695E6D" w:rsidRPr="00634B78" w:rsidRDefault="00C95745" w:rsidP="00634B78">
            <w:pPr>
              <w:pStyle w:val="TableTextEntries"/>
              <w:jc w:val="center"/>
            </w:pPr>
            <w:r w:rsidRPr="00634B78">
              <w:t>5.5</w:t>
            </w:r>
          </w:p>
        </w:tc>
        <w:tc>
          <w:tcPr>
            <w:tcW w:w="1233" w:type="dxa"/>
          </w:tcPr>
          <w:p w:rsidR="00695E6D" w:rsidRPr="00634B78" w:rsidRDefault="00EA14C5" w:rsidP="00634B78">
            <w:pPr>
              <w:pStyle w:val="TableTextEntries"/>
              <w:jc w:val="center"/>
            </w:pPr>
            <w:r w:rsidRPr="00634B78">
              <w:t>2</w:t>
            </w:r>
            <w:r w:rsidR="00F959DC" w:rsidRPr="00634B78">
              <w:t>0</w:t>
            </w:r>
          </w:p>
        </w:tc>
      </w:tr>
      <w:tr w:rsidR="00695E6D" w:rsidRPr="002A4292" w:rsidTr="0054649E">
        <w:trPr>
          <w:cantSplit/>
          <w:tblHeader w:val="0"/>
        </w:trPr>
        <w:tc>
          <w:tcPr>
            <w:tcW w:w="6130" w:type="dxa"/>
          </w:tcPr>
          <w:p w:rsidR="00695E6D" w:rsidRPr="002A4292" w:rsidRDefault="00695E6D" w:rsidP="00A52843">
            <w:pPr>
              <w:pStyle w:val="TableTextEntries"/>
            </w:pPr>
            <w:r w:rsidRPr="002A4292">
              <w:t>Outcome 2:</w:t>
            </w:r>
            <w:r w:rsidR="00D23312">
              <w:t xml:space="preserve"> </w:t>
            </w:r>
            <w:r w:rsidR="00B01B40">
              <w:t>Increased opportunities to develop internationally recognised w</w:t>
            </w:r>
            <w:r w:rsidR="00B01B40" w:rsidRPr="002A4292">
              <w:t xml:space="preserve">orkforce </w:t>
            </w:r>
            <w:r w:rsidR="00B01B40">
              <w:t>skills</w:t>
            </w:r>
          </w:p>
        </w:tc>
        <w:tc>
          <w:tcPr>
            <w:tcW w:w="1166" w:type="dxa"/>
          </w:tcPr>
          <w:p w:rsidR="00695E6D" w:rsidRPr="00634B78" w:rsidRDefault="00C95745" w:rsidP="00634B78">
            <w:pPr>
              <w:pStyle w:val="TableTextEntries"/>
              <w:jc w:val="center"/>
            </w:pPr>
            <w:r w:rsidRPr="00634B78">
              <w:t>7.3</w:t>
            </w:r>
          </w:p>
        </w:tc>
        <w:tc>
          <w:tcPr>
            <w:tcW w:w="1233" w:type="dxa"/>
          </w:tcPr>
          <w:p w:rsidR="00695E6D" w:rsidRPr="00634B78" w:rsidRDefault="00F959DC" w:rsidP="00634B78">
            <w:pPr>
              <w:pStyle w:val="TableTextEntries"/>
              <w:jc w:val="center"/>
            </w:pPr>
            <w:r w:rsidRPr="00634B78">
              <w:t>27</w:t>
            </w:r>
          </w:p>
        </w:tc>
      </w:tr>
      <w:tr w:rsidR="00695E6D" w:rsidRPr="002A4292" w:rsidTr="0054649E">
        <w:trPr>
          <w:cnfStyle w:val="000000010000" w:firstRow="0" w:lastRow="0" w:firstColumn="0" w:lastColumn="0" w:oddVBand="0" w:evenVBand="0" w:oddHBand="0" w:evenHBand="1" w:firstRowFirstColumn="0" w:firstRowLastColumn="0" w:lastRowFirstColumn="0" w:lastRowLastColumn="0"/>
          <w:cantSplit/>
          <w:tblHeader w:val="0"/>
        </w:trPr>
        <w:tc>
          <w:tcPr>
            <w:tcW w:w="6130" w:type="dxa"/>
          </w:tcPr>
          <w:p w:rsidR="00695E6D" w:rsidRPr="002A4292" w:rsidRDefault="00695E6D" w:rsidP="00A52843">
            <w:pPr>
              <w:pStyle w:val="TableTextEntries"/>
            </w:pPr>
            <w:r w:rsidRPr="002A4292">
              <w:t xml:space="preserve">Outcome 3: Improved </w:t>
            </w:r>
            <w:r w:rsidR="00E00032">
              <w:t>g</w:t>
            </w:r>
            <w:r w:rsidRPr="002A4292">
              <w:t xml:space="preserve">rowth and </w:t>
            </w:r>
            <w:r w:rsidR="00E00032">
              <w:t>e</w:t>
            </w:r>
            <w:r w:rsidRPr="002A4292">
              <w:t xml:space="preserve">conomic </w:t>
            </w:r>
            <w:r w:rsidR="00E00032">
              <w:t>m</w:t>
            </w:r>
            <w:r w:rsidRPr="002A4292">
              <w:t>anagement</w:t>
            </w:r>
          </w:p>
        </w:tc>
        <w:tc>
          <w:tcPr>
            <w:tcW w:w="1166" w:type="dxa"/>
          </w:tcPr>
          <w:p w:rsidR="00695E6D" w:rsidRPr="00634B78" w:rsidRDefault="00695E6D" w:rsidP="00634B78">
            <w:pPr>
              <w:pStyle w:val="TableTextEntries"/>
              <w:jc w:val="center"/>
            </w:pPr>
            <w:r w:rsidRPr="00634B78">
              <w:t>0.9</w:t>
            </w:r>
          </w:p>
        </w:tc>
        <w:tc>
          <w:tcPr>
            <w:tcW w:w="1233" w:type="dxa"/>
          </w:tcPr>
          <w:p w:rsidR="00695E6D" w:rsidRPr="00634B78" w:rsidRDefault="00F959DC" w:rsidP="00634B78">
            <w:pPr>
              <w:pStyle w:val="TableTextEntries"/>
              <w:jc w:val="center"/>
            </w:pPr>
            <w:r w:rsidRPr="00634B78">
              <w:t>3</w:t>
            </w:r>
          </w:p>
        </w:tc>
      </w:tr>
      <w:tr w:rsidR="00695E6D" w:rsidRPr="002A4292" w:rsidTr="0054649E">
        <w:trPr>
          <w:cantSplit/>
          <w:tblHeader w:val="0"/>
        </w:trPr>
        <w:tc>
          <w:tcPr>
            <w:tcW w:w="6130" w:type="dxa"/>
          </w:tcPr>
          <w:p w:rsidR="00695E6D" w:rsidRPr="002A4292" w:rsidRDefault="00695E6D" w:rsidP="00A52843">
            <w:pPr>
              <w:pStyle w:val="TableTextEntries"/>
            </w:pPr>
            <w:r w:rsidRPr="002A4292">
              <w:t xml:space="preserve">Outcome 4: Improved </w:t>
            </w:r>
            <w:r w:rsidR="00E00032">
              <w:t>i</w:t>
            </w:r>
            <w:r w:rsidRPr="002A4292">
              <w:t xml:space="preserve">nfrastructure </w:t>
            </w:r>
            <w:r w:rsidR="00E00032">
              <w:t>s</w:t>
            </w:r>
            <w:r w:rsidRPr="002A4292">
              <w:t>ervices</w:t>
            </w:r>
          </w:p>
        </w:tc>
        <w:tc>
          <w:tcPr>
            <w:tcW w:w="1166" w:type="dxa"/>
          </w:tcPr>
          <w:p w:rsidR="00695E6D" w:rsidRPr="00634B78" w:rsidRDefault="00C95745" w:rsidP="00634B78">
            <w:pPr>
              <w:pStyle w:val="TableTextEntries"/>
              <w:jc w:val="center"/>
            </w:pPr>
            <w:r w:rsidRPr="00634B78">
              <w:t>7.5</w:t>
            </w:r>
          </w:p>
        </w:tc>
        <w:tc>
          <w:tcPr>
            <w:tcW w:w="1233" w:type="dxa"/>
          </w:tcPr>
          <w:p w:rsidR="00695E6D" w:rsidRPr="00634B78" w:rsidRDefault="00F959DC" w:rsidP="00634B78">
            <w:pPr>
              <w:pStyle w:val="TableTextEntries"/>
              <w:jc w:val="center"/>
            </w:pPr>
            <w:r w:rsidRPr="00634B78">
              <w:t>28</w:t>
            </w:r>
          </w:p>
        </w:tc>
      </w:tr>
      <w:tr w:rsidR="00695E6D" w:rsidRPr="002A4292" w:rsidTr="0054649E">
        <w:trPr>
          <w:cnfStyle w:val="000000010000" w:firstRow="0" w:lastRow="0" w:firstColumn="0" w:lastColumn="0" w:oddVBand="0" w:evenVBand="0" w:oddHBand="0" w:evenHBand="1" w:firstRowFirstColumn="0" w:firstRowLastColumn="0" w:lastRowFirstColumn="0" w:lastRowLastColumn="0"/>
          <w:cantSplit/>
          <w:tblHeader w:val="0"/>
        </w:trPr>
        <w:tc>
          <w:tcPr>
            <w:tcW w:w="6130" w:type="dxa"/>
          </w:tcPr>
          <w:p w:rsidR="00695E6D" w:rsidRPr="002A4292" w:rsidRDefault="00695E6D" w:rsidP="00A52843">
            <w:pPr>
              <w:pStyle w:val="TableTextEntries"/>
            </w:pPr>
            <w:r w:rsidRPr="002A4292">
              <w:t>Other</w:t>
            </w:r>
            <w:r w:rsidR="00BB1559" w:rsidRPr="002A4292">
              <w:t>*</w:t>
            </w:r>
          </w:p>
        </w:tc>
        <w:tc>
          <w:tcPr>
            <w:tcW w:w="1166" w:type="dxa"/>
          </w:tcPr>
          <w:p w:rsidR="00695E6D" w:rsidRPr="00634B78" w:rsidRDefault="00C95745" w:rsidP="00634B78">
            <w:pPr>
              <w:pStyle w:val="TableTextEntries"/>
              <w:jc w:val="center"/>
            </w:pPr>
            <w:r w:rsidRPr="00634B78">
              <w:t>3.0</w:t>
            </w:r>
          </w:p>
        </w:tc>
        <w:tc>
          <w:tcPr>
            <w:tcW w:w="1233" w:type="dxa"/>
          </w:tcPr>
          <w:p w:rsidR="00695E6D" w:rsidRPr="00634B78" w:rsidRDefault="00EA14C5" w:rsidP="00634B78">
            <w:pPr>
              <w:pStyle w:val="TableTextEntries"/>
              <w:jc w:val="center"/>
            </w:pPr>
            <w:r w:rsidRPr="00634B78">
              <w:t>1</w:t>
            </w:r>
            <w:r w:rsidR="00F959DC" w:rsidRPr="00634B78">
              <w:t>1</w:t>
            </w:r>
          </w:p>
        </w:tc>
      </w:tr>
    </w:tbl>
    <w:p w:rsidR="00BB1559" w:rsidRPr="002A4292" w:rsidRDefault="00695E6D" w:rsidP="00A52843">
      <w:pPr>
        <w:pStyle w:val="Note"/>
      </w:pPr>
      <w:r w:rsidRPr="002A4292">
        <w:t xml:space="preserve">Source: </w:t>
      </w:r>
      <w:proofErr w:type="spellStart"/>
      <w:r w:rsidR="00BB1559" w:rsidRPr="002A4292">
        <w:t>AidWorks</w:t>
      </w:r>
      <w:proofErr w:type="spellEnd"/>
    </w:p>
    <w:p w:rsidR="00410733" w:rsidRPr="00A52843" w:rsidRDefault="00BB1559" w:rsidP="00A52843">
      <w:pPr>
        <w:pStyle w:val="Note"/>
      </w:pPr>
      <w:r w:rsidRPr="00A52843">
        <w:t xml:space="preserve">* Other includes expenditure on climate change, </w:t>
      </w:r>
      <w:r w:rsidR="00F959DC" w:rsidRPr="00A52843">
        <w:t>health, disability,</w:t>
      </w:r>
      <w:r w:rsidR="00F875EE" w:rsidRPr="00A52843">
        <w:t xml:space="preserve"> gender</w:t>
      </w:r>
      <w:r w:rsidR="00F959DC" w:rsidRPr="00A52843">
        <w:t xml:space="preserve">, volunteers and programs </w:t>
      </w:r>
      <w:r w:rsidR="00410733" w:rsidRPr="00A52843">
        <w:t>administered by other Australian Government partners.</w:t>
      </w:r>
    </w:p>
    <w:p w:rsidR="00EA14C5" w:rsidRPr="00A52843" w:rsidRDefault="00A368FC" w:rsidP="00A52843">
      <w:pPr>
        <w:pStyle w:val="Note"/>
      </w:pPr>
      <w:r w:rsidRPr="00A52843">
        <w:t>**</w:t>
      </w:r>
      <w:r w:rsidR="00EA14C5" w:rsidRPr="00A52843">
        <w:t xml:space="preserve"> </w:t>
      </w:r>
      <w:r w:rsidR="00F959DC" w:rsidRPr="00A52843">
        <w:t>A</w:t>
      </w:r>
      <w:r w:rsidR="00EA14C5" w:rsidRPr="00A52843">
        <w:t>t the time of writing it was only possible to breakdown $24.3 of the $26.9 estimated expenditure in 2012</w:t>
      </w:r>
      <w:r w:rsidR="00037AAF" w:rsidRPr="00A52843">
        <w:t>–</w:t>
      </w:r>
      <w:r w:rsidR="00EA14C5" w:rsidRPr="00A52843">
        <w:t>13</w:t>
      </w:r>
      <w:r w:rsidR="0008688E" w:rsidRPr="00A52843">
        <w:t xml:space="preserve">. </w:t>
      </w:r>
      <w:r w:rsidR="00EA14C5" w:rsidRPr="00A52843">
        <w:t>It is likely that the</w:t>
      </w:r>
      <w:r w:rsidR="00DF1AF1" w:rsidRPr="00A52843">
        <w:t xml:space="preserve"> </w:t>
      </w:r>
      <w:r w:rsidRPr="00A52843">
        <w:t>majority</w:t>
      </w:r>
      <w:r w:rsidR="00DF1AF1" w:rsidRPr="00A52843">
        <w:t xml:space="preserve"> of the</w:t>
      </w:r>
      <w:r w:rsidR="00EA14C5" w:rsidRPr="00A52843">
        <w:t xml:space="preserve"> remaining</w:t>
      </w:r>
      <w:r w:rsidR="00DF1AF1" w:rsidRPr="00A52843">
        <w:t xml:space="preserve"> </w:t>
      </w:r>
      <w:r w:rsidRPr="00A52843">
        <w:t xml:space="preserve">$2.7 million </w:t>
      </w:r>
      <w:r w:rsidR="00DF1AF1" w:rsidRPr="00A52843">
        <w:t>(10 per</w:t>
      </w:r>
      <w:r w:rsidRPr="00A52843">
        <w:t xml:space="preserve"> </w:t>
      </w:r>
      <w:r w:rsidR="00DF1AF1" w:rsidRPr="00A52843">
        <w:t>cent</w:t>
      </w:r>
      <w:r w:rsidRPr="00A52843">
        <w:t>)</w:t>
      </w:r>
      <w:r w:rsidR="00DF1AF1" w:rsidRPr="00A52843">
        <w:t xml:space="preserve"> will fall under </w:t>
      </w:r>
      <w:r w:rsidRPr="00A52843">
        <w:t>the ‘</w:t>
      </w:r>
      <w:r w:rsidR="00DF1AF1" w:rsidRPr="00A52843">
        <w:t>other</w:t>
      </w:r>
      <w:r w:rsidR="00F959DC" w:rsidRPr="00A52843">
        <w:t>’ category.</w:t>
      </w:r>
      <w:r w:rsidRPr="00A52843">
        <w:t xml:space="preserve"> </w:t>
      </w:r>
    </w:p>
    <w:p w:rsidR="00695E6D" w:rsidRPr="002A4292" w:rsidRDefault="00695E6D" w:rsidP="00C17E42">
      <w:pPr>
        <w:pStyle w:val="Heading1"/>
      </w:pPr>
      <w:r w:rsidRPr="002A4292">
        <w:t>Progress towards outcomes</w:t>
      </w:r>
    </w:p>
    <w:p w:rsidR="00695E6D" w:rsidRPr="002A4292" w:rsidRDefault="00695E6D" w:rsidP="00A52843">
      <w:pPr>
        <w:pStyle w:val="Caption"/>
      </w:pPr>
      <w:r w:rsidRPr="002A4292">
        <w:t xml:space="preserve">Table </w:t>
      </w:r>
      <w:r w:rsidR="0026198E">
        <w:t>4</w:t>
      </w:r>
      <w:r w:rsidRPr="002A4292">
        <w:t xml:space="preserve"> Rating of the program's progress towards </w:t>
      </w:r>
      <w:r w:rsidR="00E00032">
        <w:t>partnership</w:t>
      </w:r>
      <w:r w:rsidR="00E00032" w:rsidRPr="002A4292">
        <w:t xml:space="preserve"> </w:t>
      </w:r>
      <w:r w:rsidRPr="002A4292">
        <w:t>outcomes</w:t>
      </w:r>
    </w:p>
    <w:tbl>
      <w:tblPr>
        <w:tblStyle w:val="APPR"/>
        <w:tblW w:w="5000" w:type="pct"/>
        <w:tblLook w:val="0000" w:firstRow="0" w:lastRow="0" w:firstColumn="0" w:lastColumn="0" w:noHBand="0" w:noVBand="0"/>
      </w:tblPr>
      <w:tblGrid>
        <w:gridCol w:w="6208"/>
        <w:gridCol w:w="1163"/>
        <w:gridCol w:w="1235"/>
      </w:tblGrid>
      <w:tr w:rsidR="0054649E" w:rsidRPr="002A4292" w:rsidTr="008E06F4">
        <w:trPr>
          <w:cantSplit/>
          <w:tblHeader w:val="0"/>
        </w:trPr>
        <w:tc>
          <w:tcPr>
            <w:tcW w:w="3500" w:type="pct"/>
          </w:tcPr>
          <w:p w:rsidR="0054649E" w:rsidRPr="0054649E" w:rsidRDefault="0054649E" w:rsidP="0054649E">
            <w:pPr>
              <w:pStyle w:val="TableTextColumnHeading"/>
            </w:pPr>
            <w:r w:rsidRPr="0054649E">
              <w:rPr>
                <w:noProof/>
                <w:lang w:eastAsia="en-AU"/>
              </w:rPr>
              <w:drawing>
                <wp:anchor distT="0" distB="0" distL="114300" distR="114300" simplePos="0" relativeHeight="251669504" behindDoc="0" locked="0" layoutInCell="1" allowOverlap="1" wp14:anchorId="0638A968" wp14:editId="46C7B839">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49E">
              <w:t>Partnerships outcomes</w:t>
            </w:r>
          </w:p>
        </w:tc>
        <w:tc>
          <w:tcPr>
            <w:tcW w:w="644" w:type="pct"/>
          </w:tcPr>
          <w:p w:rsidR="0054649E" w:rsidRPr="0054649E" w:rsidRDefault="0054649E" w:rsidP="0054649E">
            <w:pPr>
              <w:pStyle w:val="TableTextColumnHeading"/>
            </w:pPr>
            <w:r w:rsidRPr="0054649E">
              <w:t>Current rating</w:t>
            </w:r>
          </w:p>
        </w:tc>
        <w:tc>
          <w:tcPr>
            <w:tcW w:w="677" w:type="pct"/>
          </w:tcPr>
          <w:p w:rsidR="0054649E" w:rsidRPr="0054649E" w:rsidRDefault="0054649E" w:rsidP="0054649E">
            <w:pPr>
              <w:pStyle w:val="TableTextColumnHeading"/>
            </w:pPr>
            <w:r w:rsidRPr="0054649E">
              <w:t>Previous rating</w:t>
            </w:r>
          </w:p>
        </w:tc>
      </w:tr>
      <w:tr w:rsidR="0054649E" w:rsidRPr="002A4292" w:rsidTr="008E06F4">
        <w:trPr>
          <w:cnfStyle w:val="000000010000" w:firstRow="0" w:lastRow="0" w:firstColumn="0" w:lastColumn="0" w:oddVBand="0" w:evenVBand="0" w:oddHBand="0" w:evenHBand="1" w:firstRowFirstColumn="0" w:firstRowLastColumn="0" w:lastRowFirstColumn="0" w:lastRowLastColumn="0"/>
          <w:cantSplit/>
          <w:tblHeader w:val="0"/>
        </w:trPr>
        <w:tc>
          <w:tcPr>
            <w:tcW w:w="3500" w:type="pct"/>
          </w:tcPr>
          <w:p w:rsidR="0054649E" w:rsidRPr="0054649E" w:rsidRDefault="0054649E" w:rsidP="0054649E">
            <w:pPr>
              <w:pStyle w:val="TableTextEntries"/>
            </w:pPr>
            <w:r w:rsidRPr="0054649E">
              <w:t>Outcome 1: Improved standards in basic education</w:t>
            </w:r>
          </w:p>
        </w:tc>
        <w:tc>
          <w:tcPr>
            <w:tcW w:w="644" w:type="pct"/>
            <w:shd w:val="clear" w:color="auto" w:fill="00B050"/>
            <w:noWrap/>
          </w:tcPr>
          <w:p w:rsidR="0054649E" w:rsidRPr="0054649E" w:rsidRDefault="0054649E" w:rsidP="0054649E">
            <w:pPr>
              <w:pStyle w:val="TableTextEntries"/>
            </w:pPr>
            <w:r w:rsidRPr="0054649E">
              <w:t>Green</w:t>
            </w:r>
          </w:p>
        </w:tc>
        <w:tc>
          <w:tcPr>
            <w:tcW w:w="677" w:type="pct"/>
            <w:shd w:val="clear" w:color="auto" w:fill="F79646" w:themeFill="accent6"/>
            <w:noWrap/>
          </w:tcPr>
          <w:p w:rsidR="0054649E" w:rsidRPr="0054649E" w:rsidRDefault="0054649E" w:rsidP="0054649E">
            <w:pPr>
              <w:pStyle w:val="TableTextEntries"/>
            </w:pPr>
            <w:r w:rsidRPr="0054649E">
              <w:t>Amber</w:t>
            </w:r>
          </w:p>
        </w:tc>
      </w:tr>
      <w:tr w:rsidR="0054649E" w:rsidRPr="002A4292" w:rsidTr="008E06F4">
        <w:trPr>
          <w:cantSplit/>
          <w:tblHeader w:val="0"/>
        </w:trPr>
        <w:tc>
          <w:tcPr>
            <w:tcW w:w="3500" w:type="pct"/>
          </w:tcPr>
          <w:p w:rsidR="0054649E" w:rsidRPr="0054649E" w:rsidRDefault="0054649E" w:rsidP="0054649E">
            <w:pPr>
              <w:pStyle w:val="TableTextEntries"/>
            </w:pPr>
            <w:r w:rsidRPr="0054649E">
              <w:t>Outcome 2: Increased opportunities to develop internationally recognised workforce skills</w:t>
            </w:r>
          </w:p>
        </w:tc>
        <w:tc>
          <w:tcPr>
            <w:tcW w:w="644" w:type="pct"/>
            <w:shd w:val="clear" w:color="auto" w:fill="F79646" w:themeFill="accent6"/>
            <w:noWrap/>
          </w:tcPr>
          <w:p w:rsidR="0054649E" w:rsidRPr="0054649E" w:rsidRDefault="0054649E" w:rsidP="0054649E">
            <w:pPr>
              <w:pStyle w:val="TableTextEntries"/>
            </w:pPr>
            <w:r w:rsidRPr="0054649E">
              <w:t>Amber</w:t>
            </w:r>
          </w:p>
        </w:tc>
        <w:tc>
          <w:tcPr>
            <w:tcW w:w="677" w:type="pct"/>
            <w:shd w:val="clear" w:color="auto" w:fill="F79646" w:themeFill="accent6"/>
            <w:noWrap/>
          </w:tcPr>
          <w:p w:rsidR="0054649E" w:rsidRPr="0054649E" w:rsidRDefault="0054649E" w:rsidP="0054649E">
            <w:pPr>
              <w:pStyle w:val="TableTextEntries"/>
            </w:pPr>
            <w:r w:rsidRPr="0054649E">
              <w:t>Amber</w:t>
            </w:r>
          </w:p>
        </w:tc>
      </w:tr>
      <w:tr w:rsidR="0054649E" w:rsidRPr="002A4292" w:rsidTr="008E06F4">
        <w:trPr>
          <w:cnfStyle w:val="000000010000" w:firstRow="0" w:lastRow="0" w:firstColumn="0" w:lastColumn="0" w:oddVBand="0" w:evenVBand="0" w:oddHBand="0" w:evenHBand="1" w:firstRowFirstColumn="0" w:firstRowLastColumn="0" w:lastRowFirstColumn="0" w:lastRowLastColumn="0"/>
          <w:cantSplit/>
          <w:tblHeader w:val="0"/>
        </w:trPr>
        <w:tc>
          <w:tcPr>
            <w:tcW w:w="3500" w:type="pct"/>
          </w:tcPr>
          <w:p w:rsidR="0054649E" w:rsidRPr="0054649E" w:rsidRDefault="0054649E" w:rsidP="0054649E">
            <w:pPr>
              <w:pStyle w:val="TableTextEntries"/>
            </w:pPr>
            <w:r w:rsidRPr="0054649E">
              <w:t>Outcome 3: Improved growth and economic management</w:t>
            </w:r>
          </w:p>
        </w:tc>
        <w:tc>
          <w:tcPr>
            <w:tcW w:w="644" w:type="pct"/>
            <w:shd w:val="clear" w:color="auto" w:fill="00B050"/>
            <w:noWrap/>
          </w:tcPr>
          <w:p w:rsidR="0054649E" w:rsidRPr="0054649E" w:rsidRDefault="0054649E" w:rsidP="0054649E">
            <w:pPr>
              <w:pStyle w:val="TableTextEntries"/>
            </w:pPr>
            <w:r w:rsidRPr="0054649E">
              <w:t>Green</w:t>
            </w:r>
          </w:p>
        </w:tc>
        <w:tc>
          <w:tcPr>
            <w:tcW w:w="677" w:type="pct"/>
            <w:shd w:val="clear" w:color="auto" w:fill="FF0000"/>
            <w:noWrap/>
          </w:tcPr>
          <w:p w:rsidR="0054649E" w:rsidRPr="0054649E" w:rsidRDefault="0054649E" w:rsidP="0054649E">
            <w:pPr>
              <w:pStyle w:val="TableTextEntries"/>
            </w:pPr>
            <w:r w:rsidRPr="0054649E">
              <w:t>Red</w:t>
            </w:r>
          </w:p>
        </w:tc>
      </w:tr>
      <w:tr w:rsidR="0054649E" w:rsidRPr="002A4292" w:rsidTr="008E06F4">
        <w:trPr>
          <w:cantSplit/>
          <w:tblHeader w:val="0"/>
        </w:trPr>
        <w:tc>
          <w:tcPr>
            <w:tcW w:w="3500" w:type="pct"/>
          </w:tcPr>
          <w:p w:rsidR="0054649E" w:rsidRPr="0054649E" w:rsidRDefault="0054649E" w:rsidP="0054649E">
            <w:pPr>
              <w:pStyle w:val="TableTextEntries"/>
            </w:pPr>
            <w:r w:rsidRPr="0054649E">
              <w:t>Outcome 4: Improved infrastructure services</w:t>
            </w:r>
          </w:p>
        </w:tc>
        <w:tc>
          <w:tcPr>
            <w:tcW w:w="644" w:type="pct"/>
            <w:shd w:val="clear" w:color="auto" w:fill="F79646" w:themeFill="accent6"/>
            <w:noWrap/>
          </w:tcPr>
          <w:p w:rsidR="0054649E" w:rsidRPr="0054649E" w:rsidRDefault="0054649E" w:rsidP="0054649E">
            <w:pPr>
              <w:pStyle w:val="TableTextEntries"/>
            </w:pPr>
            <w:r w:rsidRPr="0054649E">
              <w:t>Amber</w:t>
            </w:r>
          </w:p>
        </w:tc>
        <w:tc>
          <w:tcPr>
            <w:tcW w:w="677" w:type="pct"/>
            <w:shd w:val="clear" w:color="auto" w:fill="auto"/>
            <w:noWrap/>
          </w:tcPr>
          <w:p w:rsidR="0054649E" w:rsidRPr="0054649E" w:rsidRDefault="0054649E" w:rsidP="0054649E">
            <w:pPr>
              <w:pStyle w:val="TableTextEntries"/>
            </w:pPr>
            <w:r w:rsidRPr="0054649E">
              <w:t>N/A</w:t>
            </w:r>
          </w:p>
        </w:tc>
      </w:tr>
      <w:tr w:rsidR="0054649E" w:rsidRPr="002A4292" w:rsidTr="002977D7">
        <w:trPr>
          <w:cnfStyle w:val="000000010000" w:firstRow="0" w:lastRow="0" w:firstColumn="0" w:lastColumn="0" w:oddVBand="0" w:evenVBand="0" w:oddHBand="0" w:evenHBand="1" w:firstRowFirstColumn="0" w:firstRowLastColumn="0" w:lastRowFirstColumn="0" w:lastRowLastColumn="0"/>
          <w:cantSplit/>
          <w:tblHeader w:val="0"/>
        </w:trPr>
        <w:tc>
          <w:tcPr>
            <w:tcW w:w="3500" w:type="pct"/>
          </w:tcPr>
          <w:p w:rsidR="0054649E" w:rsidRPr="0054649E" w:rsidRDefault="0054649E" w:rsidP="0054649E">
            <w:pPr>
              <w:pStyle w:val="TableTextEntries"/>
            </w:pPr>
            <w:r w:rsidRPr="0054649E">
              <w:t>Other</w:t>
            </w:r>
          </w:p>
        </w:tc>
        <w:tc>
          <w:tcPr>
            <w:tcW w:w="644" w:type="pct"/>
            <w:shd w:val="clear" w:color="auto" w:fill="00B050"/>
            <w:noWrap/>
          </w:tcPr>
          <w:p w:rsidR="0054649E" w:rsidRPr="0054649E" w:rsidRDefault="0054649E" w:rsidP="0054649E">
            <w:pPr>
              <w:pStyle w:val="TableTextEntries"/>
            </w:pPr>
            <w:r w:rsidRPr="0054649E">
              <w:t>Green</w:t>
            </w:r>
          </w:p>
        </w:tc>
        <w:tc>
          <w:tcPr>
            <w:tcW w:w="677" w:type="pct"/>
            <w:shd w:val="clear" w:color="auto" w:fill="auto"/>
            <w:noWrap/>
          </w:tcPr>
          <w:p w:rsidR="0054649E" w:rsidRPr="0054649E" w:rsidRDefault="0054649E" w:rsidP="0054649E">
            <w:pPr>
              <w:pStyle w:val="TableTextEntries"/>
            </w:pPr>
            <w:r w:rsidRPr="0054649E">
              <w:t>N/A</w:t>
            </w:r>
          </w:p>
        </w:tc>
      </w:tr>
    </w:tbl>
    <w:p w:rsidR="00695E6D" w:rsidRDefault="00695E6D" w:rsidP="00695E6D">
      <w:pPr>
        <w:pStyle w:val="Note"/>
      </w:pPr>
      <w:r w:rsidRPr="002A4292">
        <w:t xml:space="preserve">Note: </w:t>
      </w:r>
    </w:p>
    <w:p w:rsidR="00695E6D" w:rsidRPr="002A4292" w:rsidRDefault="00695E6D" w:rsidP="00695E6D">
      <w:pPr>
        <w:pStyle w:val="Note"/>
      </w:pPr>
      <w:r w:rsidRPr="002A4292">
        <w:rPr>
          <w:color w:val="92D050"/>
        </w:rPr>
        <w:sym w:font="Webdings" w:char="F067"/>
      </w:r>
      <w:r w:rsidRPr="002A4292">
        <w:t> </w:t>
      </w:r>
      <w:r w:rsidRPr="002A4292">
        <w:t xml:space="preserve"> </w:t>
      </w:r>
      <w:proofErr w:type="gramStart"/>
      <w:r w:rsidRPr="002A4292">
        <w:t>Green.</w:t>
      </w:r>
      <w:proofErr w:type="gramEnd"/>
      <w:r w:rsidRPr="002A4292">
        <w:t xml:space="preserve"> Progress is as expected for this point in time and it is likely that the objective will be achieved. Standard program management practices are sufficient.</w:t>
      </w:r>
    </w:p>
    <w:p w:rsidR="00695E6D" w:rsidRPr="002A4292" w:rsidRDefault="00695E6D" w:rsidP="00695E6D">
      <w:pPr>
        <w:pStyle w:val="Note"/>
      </w:pPr>
      <w:r w:rsidRPr="002A4292">
        <w:rPr>
          <w:color w:val="F79646" w:themeColor="accent6"/>
        </w:rPr>
        <w:sym w:font="Webdings" w:char="F067"/>
      </w:r>
      <w:r w:rsidRPr="002A4292">
        <w:t> </w:t>
      </w:r>
      <w:r w:rsidRPr="002A4292">
        <w:t xml:space="preserve"> Amber. Progress is somewhat less than expected for this point in time and restorative action will be necessary if the objective is to be achieved. Close performance monitoring is recommended.</w:t>
      </w:r>
    </w:p>
    <w:p w:rsidR="0070236D" w:rsidRDefault="00695E6D" w:rsidP="00B86A12">
      <w:pPr>
        <w:pStyle w:val="Note"/>
      </w:pPr>
      <w:r w:rsidRPr="002A4292">
        <w:rPr>
          <w:color w:val="FF0000"/>
        </w:rPr>
        <w:sym w:font="Webdings" w:char="F067"/>
      </w:r>
      <w:r w:rsidRPr="002A4292">
        <w:t> </w:t>
      </w:r>
      <w:r w:rsidRPr="002A4292">
        <w:t xml:space="preserve"> </w:t>
      </w:r>
      <w:proofErr w:type="gramStart"/>
      <w:r w:rsidRPr="002A4292">
        <w:t>Red.</w:t>
      </w:r>
      <w:proofErr w:type="gramEnd"/>
      <w:r w:rsidRPr="002A4292">
        <w:t xml:space="preserve"> Progress is significantly less than expected for this point in time and the objective is not likely to be met given available resources and priorities. Recasting the objective may be required. </w:t>
      </w:r>
    </w:p>
    <w:p w:rsidR="003B3233" w:rsidRDefault="003B3233">
      <w:pPr>
        <w:spacing w:after="200" w:line="276" w:lineRule="auto"/>
        <w:rPr>
          <w:rFonts w:ascii="Franklin Gothic Demi" w:eastAsia="Times New Roman" w:hAnsi="Franklin Gothic Demi" w:cs="Arial"/>
          <w:color w:val="AD495D"/>
          <w:kern w:val="28"/>
          <w:sz w:val="24"/>
          <w:szCs w:val="28"/>
        </w:rPr>
      </w:pPr>
      <w:r>
        <w:br w:type="page"/>
      </w:r>
    </w:p>
    <w:p w:rsidR="00695E6D" w:rsidRPr="002A4292" w:rsidRDefault="00695E6D" w:rsidP="008A67C0">
      <w:pPr>
        <w:pStyle w:val="Heading2"/>
      </w:pPr>
      <w:r w:rsidRPr="002A4292">
        <w:lastRenderedPageBreak/>
        <w:t xml:space="preserve">Outcome 1: Improved </w:t>
      </w:r>
      <w:r w:rsidR="00C5078F">
        <w:t xml:space="preserve">standards in </w:t>
      </w:r>
      <w:r w:rsidR="00E00032">
        <w:t>b</w:t>
      </w:r>
      <w:r w:rsidRPr="002A4292">
        <w:t xml:space="preserve">asic </w:t>
      </w:r>
      <w:r w:rsidR="00E00032">
        <w:t>e</w:t>
      </w:r>
      <w:r w:rsidR="00E00032" w:rsidRPr="002A4292">
        <w:t>ducation</w:t>
      </w:r>
    </w:p>
    <w:p w:rsidR="00695E6D" w:rsidRPr="002A4292" w:rsidRDefault="00695E6D" w:rsidP="008A67C0">
      <w:pPr>
        <w:pStyle w:val="BodyText"/>
        <w:ind w:left="1440" w:hanging="1440"/>
      </w:pPr>
      <w:r w:rsidRPr="002A4292">
        <w:rPr>
          <w:b/>
        </w:rPr>
        <w:t xml:space="preserve">Commitment </w:t>
      </w:r>
      <w:r w:rsidRPr="002A4292">
        <w:rPr>
          <w:b/>
        </w:rPr>
        <w:tab/>
      </w:r>
      <w:r w:rsidRPr="002A4292">
        <w:t xml:space="preserve">Support efforts to </w:t>
      </w:r>
      <w:r w:rsidRPr="00E04644">
        <w:t>achieve improved standards in basic education, in terms of both access and quality</w:t>
      </w:r>
      <w:r w:rsidR="00BC6161">
        <w:t>.</w:t>
      </w:r>
      <w:r w:rsidR="008F4B75">
        <w:t xml:space="preserve"> </w:t>
      </w:r>
    </w:p>
    <w:p w:rsidR="00695E6D" w:rsidRPr="002A4292" w:rsidRDefault="00695E6D" w:rsidP="008A67C0">
      <w:pPr>
        <w:pStyle w:val="BodyText"/>
      </w:pPr>
      <w:r w:rsidRPr="002A4292">
        <w:rPr>
          <w:b/>
        </w:rPr>
        <w:t>Targets</w:t>
      </w:r>
      <w:r w:rsidRPr="002A4292">
        <w:rPr>
          <w:b/>
        </w:rPr>
        <w:tab/>
      </w:r>
      <w:r w:rsidRPr="002A4292">
        <w:t>Improved functional literacy and numeracy of school-age children (on track).</w:t>
      </w:r>
    </w:p>
    <w:p w:rsidR="00695E6D" w:rsidRPr="002A4292" w:rsidRDefault="00695E6D" w:rsidP="008A67C0">
      <w:pPr>
        <w:pStyle w:val="BodyText"/>
        <w:ind w:left="1440"/>
      </w:pPr>
      <w:r w:rsidRPr="002A4292">
        <w:t>Increased net enrolment rate for boys and girls at all levels of the education system (on track).</w:t>
      </w:r>
    </w:p>
    <w:p w:rsidR="00695E6D" w:rsidRPr="002A4292" w:rsidRDefault="00695E6D" w:rsidP="008A67C0">
      <w:pPr>
        <w:pStyle w:val="BodyText"/>
        <w:ind w:left="1440"/>
      </w:pPr>
      <w:r w:rsidRPr="002A4292">
        <w:t>Kiribati Education Management Information System data reported annually to key stakeholders (on track).</w:t>
      </w:r>
    </w:p>
    <w:p w:rsidR="00695E6D" w:rsidRPr="002A4292" w:rsidRDefault="00695E6D" w:rsidP="008A67C0">
      <w:pPr>
        <w:pStyle w:val="BodyText"/>
        <w:ind w:left="1440" w:hanging="1440"/>
        <w:rPr>
          <w:rFonts w:ascii="Georgia" w:hAnsi="Georgia"/>
          <w:sz w:val="19"/>
        </w:rPr>
      </w:pPr>
      <w:r w:rsidRPr="002A4292">
        <w:rPr>
          <w:b/>
        </w:rPr>
        <w:t>Rating</w:t>
      </w:r>
      <w:r w:rsidRPr="002A4292">
        <w:rPr>
          <w:b/>
        </w:rPr>
        <w:tab/>
      </w:r>
      <w:r w:rsidRPr="002A4292">
        <w:t xml:space="preserve">Green: </w:t>
      </w:r>
      <w:r w:rsidRPr="002A4292">
        <w:rPr>
          <w:lang w:val="en-US"/>
        </w:rPr>
        <w:t>Kiribati is not expected to meet the education MDGs</w:t>
      </w:r>
      <w:r w:rsidRPr="002A4292">
        <w:t xml:space="preserve"> by 2015. However, </w:t>
      </w:r>
      <w:r w:rsidR="00E544CC">
        <w:t xml:space="preserve">Kiribati and Australia are on track to achieve the </w:t>
      </w:r>
      <w:r w:rsidR="00DD090D">
        <w:t>p</w:t>
      </w:r>
      <w:r w:rsidRPr="002A4292">
        <w:t>artnership targets</w:t>
      </w:r>
      <w:r w:rsidRPr="002A4292">
        <w:rPr>
          <w:rFonts w:ascii="Georgia" w:hAnsi="Georgia"/>
          <w:sz w:val="19"/>
          <w:lang w:val="en-US"/>
        </w:rPr>
        <w:t>.</w:t>
      </w:r>
    </w:p>
    <w:p w:rsidR="00695E6D" w:rsidRPr="002A4292" w:rsidRDefault="00695E6D" w:rsidP="008A67C0">
      <w:pPr>
        <w:pStyle w:val="BodyText"/>
      </w:pPr>
      <w:r w:rsidRPr="002A4292">
        <w:t>To address the poor quality of education in Kiribati, Australia has partnered with the Government of Kiribati, UNICEF and UNESCO to deliver the Kiribati Education Improvement Program</w:t>
      </w:r>
      <w:r w:rsidR="00147CB3">
        <w:t>, which</w:t>
      </w:r>
      <w:r w:rsidRPr="002A4292">
        <w:t xml:space="preserve"> aims to give all children in Kiribati access to quality education by 2020</w:t>
      </w:r>
      <w:r w:rsidR="0008688E">
        <w:t xml:space="preserve">. </w:t>
      </w:r>
      <w:r w:rsidRPr="002A4292">
        <w:t xml:space="preserve">The program </w:t>
      </w:r>
      <w:r w:rsidR="008F4B75">
        <w:t>started</w:t>
      </w:r>
      <w:r w:rsidR="008F4B75" w:rsidRPr="002A4292">
        <w:t xml:space="preserve"> </w:t>
      </w:r>
      <w:r w:rsidRPr="002A4292">
        <w:t>in 2011 and the first of three</w:t>
      </w:r>
      <w:r w:rsidR="000455E9">
        <w:t xml:space="preserve"> phases finished on 28 </w:t>
      </w:r>
      <w:r w:rsidR="001E656D" w:rsidRPr="001E656D">
        <w:t>February</w:t>
      </w:r>
      <w:r w:rsidR="000455E9">
        <w:t> </w:t>
      </w:r>
      <w:r w:rsidRPr="001E656D">
        <w:t>2013</w:t>
      </w:r>
      <w:r w:rsidRPr="002A4292">
        <w:t xml:space="preserve">. </w:t>
      </w:r>
    </w:p>
    <w:p w:rsidR="00FB77A5" w:rsidRPr="002A4292" w:rsidRDefault="00FB77A5" w:rsidP="008A67C0">
      <w:pPr>
        <w:pStyle w:val="Heading3"/>
      </w:pPr>
      <w:r w:rsidRPr="002A4292">
        <w:t>Progress against targets</w:t>
      </w:r>
    </w:p>
    <w:p w:rsidR="00BC6161" w:rsidRPr="008A67C0" w:rsidRDefault="00BC6161" w:rsidP="008A67C0">
      <w:pPr>
        <w:pStyle w:val="BodyText"/>
        <w:rPr>
          <w:i/>
        </w:rPr>
      </w:pPr>
      <w:r w:rsidRPr="008A67C0">
        <w:rPr>
          <w:i/>
        </w:rPr>
        <w:t>Improved literacy, numeracy and enrolment rates (on track)</w:t>
      </w:r>
    </w:p>
    <w:p w:rsidR="00695E6D" w:rsidRDefault="00695E6D" w:rsidP="008A67C0">
      <w:pPr>
        <w:pStyle w:val="BodyText"/>
      </w:pPr>
      <w:r w:rsidRPr="002A4292">
        <w:t>The 2011 literacy, numeracy and enrolment rates for Ki</w:t>
      </w:r>
      <w:r w:rsidR="00A47AD9" w:rsidRPr="002A4292">
        <w:t xml:space="preserve">ribati primary school students </w:t>
      </w:r>
      <w:r w:rsidRPr="002A4292">
        <w:t>reflected ongoing decline in the education system</w:t>
      </w:r>
      <w:r w:rsidR="0008688E">
        <w:t xml:space="preserve">. </w:t>
      </w:r>
      <w:r w:rsidR="00BD51D3" w:rsidRPr="002A4292">
        <w:t>The program’s design significantly underestimated the rate of decline in English literacy</w:t>
      </w:r>
      <w:r w:rsidR="0008688E">
        <w:t xml:space="preserve">. </w:t>
      </w:r>
      <w:r w:rsidR="00BD51D3" w:rsidRPr="002A4292">
        <w:t>Consequently</w:t>
      </w:r>
      <w:r w:rsidR="008F4B75">
        <w:t>,</w:t>
      </w:r>
      <w:r w:rsidR="00BD51D3" w:rsidRPr="002A4292">
        <w:t xml:space="preserve"> at the Australia – Kiribati Partnership Talks in September 2012</w:t>
      </w:r>
      <w:r w:rsidR="00147CB3">
        <w:t>,</w:t>
      </w:r>
      <w:r w:rsidR="00BD51D3" w:rsidRPr="002A4292">
        <w:t xml:space="preserve"> the </w:t>
      </w:r>
      <w:r w:rsidRPr="002A4292">
        <w:t>targets for 2013 were</w:t>
      </w:r>
      <w:r w:rsidR="00A47AD9" w:rsidRPr="002A4292">
        <w:t xml:space="preserve"> updated </w:t>
      </w:r>
      <w:r w:rsidR="00965A0C">
        <w:t>(T</w:t>
      </w:r>
      <w:r w:rsidR="00A47AD9" w:rsidRPr="002A4292">
        <w:t xml:space="preserve">able </w:t>
      </w:r>
      <w:r w:rsidR="00BC6161">
        <w:t>5</w:t>
      </w:r>
      <w:r w:rsidR="00965A0C">
        <w:t>)</w:t>
      </w:r>
      <w:r w:rsidR="0008688E">
        <w:t xml:space="preserve">. </w:t>
      </w:r>
    </w:p>
    <w:p w:rsidR="008E06F4" w:rsidRPr="002A4292" w:rsidRDefault="008E06F4" w:rsidP="008A67C0">
      <w:pPr>
        <w:pStyle w:val="BodyText"/>
      </w:pPr>
    </w:p>
    <w:p w:rsidR="00695E6D" w:rsidRPr="002A4292" w:rsidRDefault="00695E6D" w:rsidP="008A67C0">
      <w:pPr>
        <w:pStyle w:val="Caption"/>
        <w:rPr>
          <w:rFonts w:eastAsia="SimSun"/>
        </w:rPr>
      </w:pPr>
      <w:r w:rsidRPr="002A4292">
        <w:rPr>
          <w:rFonts w:eastAsia="SimSun"/>
        </w:rPr>
        <w:t xml:space="preserve">Table </w:t>
      </w:r>
      <w:r w:rsidR="00147CB3">
        <w:rPr>
          <w:rFonts w:eastAsia="SimSun"/>
        </w:rPr>
        <w:t>5</w:t>
      </w:r>
      <w:r w:rsidRPr="002A4292">
        <w:rPr>
          <w:rFonts w:eastAsia="SimSun"/>
        </w:rPr>
        <w:t>: Updated literacy and numeracy targets for 2013</w:t>
      </w:r>
    </w:p>
    <w:tbl>
      <w:tblPr>
        <w:tblStyle w:val="APPR"/>
        <w:tblpPr w:leftFromText="180" w:rightFromText="180" w:vertAnchor="text" w:tblpY="1"/>
        <w:tblW w:w="0" w:type="auto"/>
        <w:tblLook w:val="04A0" w:firstRow="1" w:lastRow="0" w:firstColumn="1" w:lastColumn="0" w:noHBand="0" w:noVBand="1"/>
      </w:tblPr>
      <w:tblGrid>
        <w:gridCol w:w="1662"/>
        <w:gridCol w:w="1265"/>
        <w:gridCol w:w="1241"/>
        <w:gridCol w:w="1648"/>
        <w:gridCol w:w="1122"/>
        <w:gridCol w:w="1136"/>
      </w:tblGrid>
      <w:tr w:rsidR="00695E6D" w:rsidRPr="008A67C0" w:rsidTr="008A67C0">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rsidR="00695E6D" w:rsidRPr="008A67C0" w:rsidRDefault="00695E6D" w:rsidP="008A67C0">
            <w:pPr>
              <w:pStyle w:val="TableTextColumnHeading"/>
              <w:rPr>
                <w:b/>
              </w:rPr>
            </w:pPr>
            <w:r w:rsidRPr="008A67C0">
              <w:rPr>
                <w:b/>
              </w:rPr>
              <w:t xml:space="preserve">Grade </w:t>
            </w:r>
            <w:r w:rsidR="00DD090D" w:rsidRPr="008A67C0">
              <w:rPr>
                <w:b/>
              </w:rPr>
              <w:t>f</w:t>
            </w:r>
            <w:r w:rsidRPr="008A67C0">
              <w:rPr>
                <w:b/>
              </w:rPr>
              <w:t xml:space="preserve">our </w:t>
            </w:r>
          </w:p>
        </w:tc>
        <w:tc>
          <w:tcPr>
            <w:tcW w:w="1237" w:type="dxa"/>
            <w:noWrap/>
            <w:hideMark/>
          </w:tcPr>
          <w:p w:rsidR="00695E6D" w:rsidRPr="008A67C0" w:rsidRDefault="00695E6D" w:rsidP="008A67C0">
            <w:pPr>
              <w:pStyle w:val="TableTextColumnHeading"/>
              <w:rPr>
                <w:b/>
              </w:rPr>
            </w:pPr>
            <w:r w:rsidRPr="008A67C0">
              <w:rPr>
                <w:b/>
              </w:rPr>
              <w:t>Original</w:t>
            </w:r>
          </w:p>
          <w:p w:rsidR="00695E6D" w:rsidRPr="008A67C0" w:rsidRDefault="00695E6D" w:rsidP="008A67C0">
            <w:pPr>
              <w:pStyle w:val="TableTextColumnHeading"/>
              <w:rPr>
                <w:b/>
              </w:rPr>
            </w:pPr>
            <w:r w:rsidRPr="008A67C0">
              <w:rPr>
                <w:b/>
              </w:rPr>
              <w:t xml:space="preserve">2013 </w:t>
            </w:r>
            <w:r w:rsidR="00DD090D" w:rsidRPr="008A67C0">
              <w:rPr>
                <w:b/>
              </w:rPr>
              <w:t>t</w:t>
            </w:r>
            <w:r w:rsidRPr="008A67C0">
              <w:rPr>
                <w:b/>
              </w:rPr>
              <w:t>arget</w:t>
            </w:r>
          </w:p>
          <w:p w:rsidR="00965A0C" w:rsidRPr="008A67C0" w:rsidRDefault="00965A0C" w:rsidP="008A67C0">
            <w:pPr>
              <w:pStyle w:val="TableTextColumnHeading"/>
              <w:rPr>
                <w:b/>
              </w:rPr>
            </w:pPr>
            <w:r w:rsidRPr="008A67C0">
              <w:rPr>
                <w:b/>
              </w:rPr>
              <w:t>(%)</w:t>
            </w:r>
          </w:p>
        </w:tc>
        <w:tc>
          <w:tcPr>
            <w:tcW w:w="1213" w:type="dxa"/>
          </w:tcPr>
          <w:p w:rsidR="00695E6D" w:rsidRPr="008A67C0" w:rsidRDefault="00695E6D" w:rsidP="008A67C0">
            <w:pPr>
              <w:pStyle w:val="TableTextColumnHeading"/>
              <w:rPr>
                <w:b/>
              </w:rPr>
            </w:pPr>
            <w:r w:rsidRPr="008A67C0">
              <w:rPr>
                <w:b/>
              </w:rPr>
              <w:t>Updated</w:t>
            </w:r>
          </w:p>
          <w:p w:rsidR="00695E6D" w:rsidRPr="008A67C0" w:rsidRDefault="00695E6D" w:rsidP="008A67C0">
            <w:pPr>
              <w:pStyle w:val="TableTextColumnHeading"/>
              <w:rPr>
                <w:b/>
              </w:rPr>
            </w:pPr>
            <w:r w:rsidRPr="008A67C0">
              <w:rPr>
                <w:b/>
              </w:rPr>
              <w:t xml:space="preserve">2013 </w:t>
            </w:r>
            <w:r w:rsidR="00DD090D" w:rsidRPr="008A67C0">
              <w:rPr>
                <w:b/>
              </w:rPr>
              <w:t>t</w:t>
            </w:r>
            <w:r w:rsidRPr="008A67C0">
              <w:rPr>
                <w:b/>
              </w:rPr>
              <w:t>arget</w:t>
            </w:r>
          </w:p>
          <w:p w:rsidR="00965A0C" w:rsidRPr="008A67C0" w:rsidRDefault="00965A0C" w:rsidP="008A67C0">
            <w:pPr>
              <w:pStyle w:val="TableTextColumnHeading"/>
              <w:rPr>
                <w:b/>
              </w:rPr>
            </w:pPr>
            <w:r w:rsidRPr="008A67C0">
              <w:rPr>
                <w:b/>
              </w:rPr>
              <w:t>(%)</w:t>
            </w:r>
          </w:p>
        </w:tc>
        <w:tc>
          <w:tcPr>
            <w:tcW w:w="0" w:type="auto"/>
          </w:tcPr>
          <w:p w:rsidR="00695E6D" w:rsidRPr="008A67C0" w:rsidRDefault="00695E6D" w:rsidP="008A67C0">
            <w:pPr>
              <w:pStyle w:val="TableTextColumnHeading"/>
              <w:rPr>
                <w:b/>
              </w:rPr>
            </w:pPr>
            <w:r w:rsidRPr="008A67C0">
              <w:rPr>
                <w:b/>
              </w:rPr>
              <w:t xml:space="preserve">Grade </w:t>
            </w:r>
            <w:r w:rsidR="00DD090D" w:rsidRPr="008A67C0">
              <w:rPr>
                <w:b/>
              </w:rPr>
              <w:t>s</w:t>
            </w:r>
            <w:r w:rsidRPr="008A67C0">
              <w:rPr>
                <w:b/>
              </w:rPr>
              <w:t>ix</w:t>
            </w:r>
          </w:p>
        </w:tc>
        <w:tc>
          <w:tcPr>
            <w:tcW w:w="0" w:type="auto"/>
          </w:tcPr>
          <w:p w:rsidR="00695E6D" w:rsidRPr="008A67C0" w:rsidRDefault="00695E6D" w:rsidP="008A67C0">
            <w:pPr>
              <w:pStyle w:val="TableTextColumnHeading"/>
              <w:rPr>
                <w:b/>
              </w:rPr>
            </w:pPr>
            <w:r w:rsidRPr="008A67C0">
              <w:rPr>
                <w:b/>
              </w:rPr>
              <w:t>Original</w:t>
            </w:r>
          </w:p>
          <w:p w:rsidR="00695E6D" w:rsidRPr="008A67C0" w:rsidRDefault="00695E6D" w:rsidP="008A67C0">
            <w:pPr>
              <w:pStyle w:val="TableTextColumnHeading"/>
              <w:rPr>
                <w:b/>
              </w:rPr>
            </w:pPr>
            <w:r w:rsidRPr="008A67C0">
              <w:rPr>
                <w:b/>
              </w:rPr>
              <w:t xml:space="preserve">2013 </w:t>
            </w:r>
            <w:r w:rsidR="00DD090D" w:rsidRPr="008A67C0">
              <w:rPr>
                <w:b/>
              </w:rPr>
              <w:t>t</w:t>
            </w:r>
            <w:r w:rsidRPr="008A67C0">
              <w:rPr>
                <w:b/>
              </w:rPr>
              <w:t>arget</w:t>
            </w:r>
          </w:p>
          <w:p w:rsidR="00965A0C" w:rsidRPr="008A67C0" w:rsidRDefault="00965A0C" w:rsidP="008A67C0">
            <w:pPr>
              <w:pStyle w:val="TableTextColumnHeading"/>
              <w:rPr>
                <w:b/>
              </w:rPr>
            </w:pPr>
            <w:r w:rsidRPr="008A67C0">
              <w:rPr>
                <w:b/>
              </w:rPr>
              <w:t>(%)</w:t>
            </w:r>
          </w:p>
        </w:tc>
        <w:tc>
          <w:tcPr>
            <w:tcW w:w="0" w:type="auto"/>
          </w:tcPr>
          <w:p w:rsidR="00695E6D" w:rsidRPr="008A67C0" w:rsidRDefault="00695E6D" w:rsidP="008A67C0">
            <w:pPr>
              <w:pStyle w:val="TableTextColumnHeading"/>
              <w:rPr>
                <w:b/>
              </w:rPr>
            </w:pPr>
            <w:r w:rsidRPr="008A67C0">
              <w:rPr>
                <w:b/>
              </w:rPr>
              <w:t>Updated</w:t>
            </w:r>
          </w:p>
          <w:p w:rsidR="00695E6D" w:rsidRPr="008A67C0" w:rsidRDefault="00695E6D" w:rsidP="008A67C0">
            <w:pPr>
              <w:pStyle w:val="TableTextColumnHeading"/>
              <w:rPr>
                <w:b/>
              </w:rPr>
            </w:pPr>
            <w:r w:rsidRPr="008A67C0">
              <w:rPr>
                <w:b/>
              </w:rPr>
              <w:t xml:space="preserve">2013 </w:t>
            </w:r>
            <w:r w:rsidR="00DD090D" w:rsidRPr="008A67C0">
              <w:rPr>
                <w:b/>
              </w:rPr>
              <w:t>t</w:t>
            </w:r>
            <w:r w:rsidRPr="008A67C0">
              <w:rPr>
                <w:b/>
              </w:rPr>
              <w:t>arget</w:t>
            </w:r>
          </w:p>
          <w:p w:rsidR="00965A0C" w:rsidRPr="008A67C0" w:rsidRDefault="00965A0C" w:rsidP="008A67C0">
            <w:pPr>
              <w:pStyle w:val="TableTextColumnHeading"/>
              <w:rPr>
                <w:b/>
              </w:rPr>
            </w:pPr>
            <w:r w:rsidRPr="008A67C0">
              <w:rPr>
                <w:b/>
              </w:rPr>
              <w:t>(%)</w:t>
            </w:r>
          </w:p>
        </w:tc>
      </w:tr>
      <w:tr w:rsidR="00695E6D" w:rsidRPr="008A67C0" w:rsidTr="008A67C0">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rsidR="00695E6D" w:rsidRPr="008A67C0" w:rsidRDefault="00695E6D" w:rsidP="008A67C0">
            <w:pPr>
              <w:pStyle w:val="TableTextEntries"/>
              <w:rPr>
                <w:b w:val="0"/>
              </w:rPr>
            </w:pPr>
            <w:r w:rsidRPr="008A67C0">
              <w:rPr>
                <w:b w:val="0"/>
              </w:rPr>
              <w:t>English literacy rate</w:t>
            </w:r>
          </w:p>
        </w:tc>
        <w:tc>
          <w:tcPr>
            <w:tcW w:w="1237" w:type="dxa"/>
            <w:noWrap/>
            <w:hideMark/>
          </w:tcPr>
          <w:p w:rsidR="00695E6D" w:rsidRPr="008A67C0" w:rsidRDefault="00695E6D" w:rsidP="008A67C0">
            <w:pPr>
              <w:pStyle w:val="TableTextEntries"/>
              <w:rPr>
                <w:b w:val="0"/>
              </w:rPr>
            </w:pPr>
            <w:r w:rsidRPr="008A67C0">
              <w:rPr>
                <w:b w:val="0"/>
              </w:rPr>
              <w:t>47.7</w:t>
            </w:r>
          </w:p>
        </w:tc>
        <w:tc>
          <w:tcPr>
            <w:tcW w:w="1213" w:type="dxa"/>
          </w:tcPr>
          <w:p w:rsidR="00695E6D" w:rsidRPr="008A67C0" w:rsidRDefault="00695E6D" w:rsidP="008A67C0">
            <w:pPr>
              <w:pStyle w:val="TableTextEntries"/>
              <w:rPr>
                <w:b w:val="0"/>
              </w:rPr>
            </w:pPr>
            <w:r w:rsidRPr="008A67C0">
              <w:rPr>
                <w:b w:val="0"/>
              </w:rPr>
              <w:t>33.5</w:t>
            </w:r>
          </w:p>
        </w:tc>
        <w:tc>
          <w:tcPr>
            <w:tcW w:w="0" w:type="auto"/>
          </w:tcPr>
          <w:p w:rsidR="00695E6D" w:rsidRPr="008A67C0" w:rsidRDefault="00695E6D" w:rsidP="008A67C0">
            <w:pPr>
              <w:pStyle w:val="TableTextEntries"/>
              <w:rPr>
                <w:b w:val="0"/>
              </w:rPr>
            </w:pPr>
            <w:r w:rsidRPr="008A67C0">
              <w:rPr>
                <w:b w:val="0"/>
              </w:rPr>
              <w:t>English literacy rate</w:t>
            </w:r>
          </w:p>
        </w:tc>
        <w:tc>
          <w:tcPr>
            <w:tcW w:w="0" w:type="auto"/>
          </w:tcPr>
          <w:p w:rsidR="00695E6D" w:rsidRPr="008A67C0" w:rsidRDefault="00695E6D" w:rsidP="008A67C0">
            <w:pPr>
              <w:pStyle w:val="TableTextEntries"/>
              <w:rPr>
                <w:b w:val="0"/>
              </w:rPr>
            </w:pPr>
            <w:r w:rsidRPr="008A67C0">
              <w:rPr>
                <w:b w:val="0"/>
              </w:rPr>
              <w:t>44.8</w:t>
            </w:r>
          </w:p>
        </w:tc>
        <w:tc>
          <w:tcPr>
            <w:tcW w:w="0" w:type="auto"/>
          </w:tcPr>
          <w:p w:rsidR="00695E6D" w:rsidRPr="008A67C0" w:rsidRDefault="00695E6D" w:rsidP="008A67C0">
            <w:pPr>
              <w:pStyle w:val="TableTextEntries"/>
              <w:rPr>
                <w:b w:val="0"/>
              </w:rPr>
            </w:pPr>
            <w:r w:rsidRPr="008A67C0">
              <w:rPr>
                <w:b w:val="0"/>
              </w:rPr>
              <w:t>26</w:t>
            </w:r>
          </w:p>
        </w:tc>
      </w:tr>
      <w:tr w:rsidR="00695E6D" w:rsidRPr="008A67C0" w:rsidTr="008A67C0">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rsidR="00695E6D" w:rsidRPr="008A67C0" w:rsidRDefault="00695E6D" w:rsidP="008A67C0">
            <w:pPr>
              <w:pStyle w:val="TableTextEntries"/>
              <w:rPr>
                <w:b w:val="0"/>
              </w:rPr>
            </w:pPr>
            <w:r w:rsidRPr="008A67C0">
              <w:rPr>
                <w:b w:val="0"/>
              </w:rPr>
              <w:t>Kiribati literacy rate</w:t>
            </w:r>
          </w:p>
        </w:tc>
        <w:tc>
          <w:tcPr>
            <w:tcW w:w="1237" w:type="dxa"/>
            <w:noWrap/>
            <w:hideMark/>
          </w:tcPr>
          <w:p w:rsidR="00695E6D" w:rsidRPr="008A67C0" w:rsidRDefault="00695E6D" w:rsidP="008A67C0">
            <w:pPr>
              <w:pStyle w:val="TableTextEntries"/>
              <w:rPr>
                <w:b w:val="0"/>
              </w:rPr>
            </w:pPr>
            <w:r w:rsidRPr="008A67C0">
              <w:rPr>
                <w:b w:val="0"/>
              </w:rPr>
              <w:t>70.3</w:t>
            </w:r>
          </w:p>
        </w:tc>
        <w:tc>
          <w:tcPr>
            <w:tcW w:w="1213" w:type="dxa"/>
          </w:tcPr>
          <w:p w:rsidR="00695E6D" w:rsidRPr="008A67C0" w:rsidRDefault="00695E6D" w:rsidP="008A67C0">
            <w:pPr>
              <w:pStyle w:val="TableTextEntries"/>
              <w:rPr>
                <w:b w:val="0"/>
              </w:rPr>
            </w:pPr>
            <w:r w:rsidRPr="008A67C0">
              <w:rPr>
                <w:b w:val="0"/>
              </w:rPr>
              <w:t>71.3</w:t>
            </w:r>
          </w:p>
        </w:tc>
        <w:tc>
          <w:tcPr>
            <w:tcW w:w="0" w:type="auto"/>
          </w:tcPr>
          <w:p w:rsidR="00695E6D" w:rsidRPr="008A67C0" w:rsidRDefault="00695E6D" w:rsidP="008A67C0">
            <w:pPr>
              <w:pStyle w:val="TableTextEntries"/>
              <w:rPr>
                <w:b w:val="0"/>
              </w:rPr>
            </w:pPr>
            <w:r w:rsidRPr="008A67C0">
              <w:rPr>
                <w:b w:val="0"/>
              </w:rPr>
              <w:t>Kiribati literacy rate</w:t>
            </w:r>
          </w:p>
        </w:tc>
        <w:tc>
          <w:tcPr>
            <w:tcW w:w="0" w:type="auto"/>
          </w:tcPr>
          <w:p w:rsidR="00695E6D" w:rsidRPr="008A67C0" w:rsidRDefault="00695E6D" w:rsidP="008A67C0">
            <w:pPr>
              <w:pStyle w:val="TableTextEntries"/>
              <w:rPr>
                <w:b w:val="0"/>
              </w:rPr>
            </w:pPr>
            <w:r w:rsidRPr="008A67C0">
              <w:rPr>
                <w:b w:val="0"/>
              </w:rPr>
              <w:t>59.8</w:t>
            </w:r>
          </w:p>
        </w:tc>
        <w:tc>
          <w:tcPr>
            <w:tcW w:w="0" w:type="auto"/>
          </w:tcPr>
          <w:p w:rsidR="00695E6D" w:rsidRPr="008A67C0" w:rsidRDefault="00695E6D" w:rsidP="008A67C0">
            <w:pPr>
              <w:pStyle w:val="TableTextEntries"/>
              <w:rPr>
                <w:b w:val="0"/>
              </w:rPr>
            </w:pPr>
            <w:r w:rsidRPr="008A67C0">
              <w:rPr>
                <w:b w:val="0"/>
              </w:rPr>
              <w:t>70</w:t>
            </w:r>
          </w:p>
        </w:tc>
      </w:tr>
      <w:tr w:rsidR="00695E6D" w:rsidRPr="008A67C0" w:rsidTr="008A67C0">
        <w:trPr>
          <w:cnfStyle w:val="100000000000" w:firstRow="1" w:lastRow="0" w:firstColumn="0" w:lastColumn="0" w:oddVBand="0" w:evenVBand="0" w:oddHBand="0" w:evenHBand="0" w:firstRowFirstColumn="0" w:firstRowLastColumn="0" w:lastRowFirstColumn="0" w:lastRowLastColumn="0"/>
          <w:trHeight w:val="300"/>
        </w:trPr>
        <w:tc>
          <w:tcPr>
            <w:tcW w:w="0" w:type="auto"/>
            <w:noWrap/>
            <w:hideMark/>
          </w:tcPr>
          <w:p w:rsidR="00695E6D" w:rsidRPr="008A67C0" w:rsidRDefault="00695E6D" w:rsidP="008A67C0">
            <w:pPr>
              <w:pStyle w:val="TableTextEntries"/>
              <w:rPr>
                <w:b w:val="0"/>
              </w:rPr>
            </w:pPr>
            <w:r w:rsidRPr="008A67C0">
              <w:rPr>
                <w:b w:val="0"/>
              </w:rPr>
              <w:t xml:space="preserve">Numeracy rate </w:t>
            </w:r>
          </w:p>
        </w:tc>
        <w:tc>
          <w:tcPr>
            <w:tcW w:w="1237" w:type="dxa"/>
            <w:noWrap/>
            <w:hideMark/>
          </w:tcPr>
          <w:p w:rsidR="00695E6D" w:rsidRPr="008A67C0" w:rsidRDefault="00695E6D" w:rsidP="008A67C0">
            <w:pPr>
              <w:pStyle w:val="TableTextEntries"/>
              <w:rPr>
                <w:b w:val="0"/>
              </w:rPr>
            </w:pPr>
            <w:r w:rsidRPr="008A67C0">
              <w:rPr>
                <w:b w:val="0"/>
              </w:rPr>
              <w:t>38.3</w:t>
            </w:r>
          </w:p>
        </w:tc>
        <w:tc>
          <w:tcPr>
            <w:tcW w:w="1213" w:type="dxa"/>
          </w:tcPr>
          <w:p w:rsidR="00695E6D" w:rsidRPr="008A67C0" w:rsidRDefault="00695E6D" w:rsidP="008A67C0">
            <w:pPr>
              <w:pStyle w:val="TableTextEntries"/>
              <w:rPr>
                <w:b w:val="0"/>
              </w:rPr>
            </w:pPr>
            <w:r w:rsidRPr="008A67C0">
              <w:rPr>
                <w:b w:val="0"/>
              </w:rPr>
              <w:t>48</w:t>
            </w:r>
          </w:p>
        </w:tc>
        <w:tc>
          <w:tcPr>
            <w:tcW w:w="0" w:type="auto"/>
          </w:tcPr>
          <w:p w:rsidR="00695E6D" w:rsidRPr="008A67C0" w:rsidRDefault="00695E6D" w:rsidP="008A67C0">
            <w:pPr>
              <w:pStyle w:val="TableTextEntries"/>
              <w:rPr>
                <w:b w:val="0"/>
              </w:rPr>
            </w:pPr>
            <w:r w:rsidRPr="008A67C0">
              <w:rPr>
                <w:b w:val="0"/>
              </w:rPr>
              <w:t>Numeracy rate</w:t>
            </w:r>
          </w:p>
        </w:tc>
        <w:tc>
          <w:tcPr>
            <w:tcW w:w="0" w:type="auto"/>
          </w:tcPr>
          <w:p w:rsidR="00695E6D" w:rsidRPr="008A67C0" w:rsidRDefault="00695E6D" w:rsidP="008A67C0">
            <w:pPr>
              <w:pStyle w:val="TableTextEntries"/>
              <w:rPr>
                <w:b w:val="0"/>
              </w:rPr>
            </w:pPr>
            <w:r w:rsidRPr="008A67C0">
              <w:rPr>
                <w:b w:val="0"/>
              </w:rPr>
              <w:t>22</w:t>
            </w:r>
          </w:p>
        </w:tc>
        <w:tc>
          <w:tcPr>
            <w:tcW w:w="0" w:type="auto"/>
          </w:tcPr>
          <w:p w:rsidR="00695E6D" w:rsidRPr="008A67C0" w:rsidRDefault="00695E6D" w:rsidP="008A67C0">
            <w:pPr>
              <w:pStyle w:val="TableTextEntries"/>
              <w:rPr>
                <w:b w:val="0"/>
              </w:rPr>
            </w:pPr>
            <w:r w:rsidRPr="008A67C0">
              <w:rPr>
                <w:b w:val="0"/>
              </w:rPr>
              <w:t>21</w:t>
            </w:r>
          </w:p>
        </w:tc>
      </w:tr>
    </w:tbl>
    <w:p w:rsidR="008A67C0" w:rsidRDefault="008A67C0" w:rsidP="008A67C0">
      <w:pPr>
        <w:pStyle w:val="BodyText"/>
        <w:rPr>
          <w:szCs w:val="22"/>
        </w:rPr>
      </w:pPr>
    </w:p>
    <w:p w:rsidR="00184CDD" w:rsidRPr="002A4292" w:rsidRDefault="00651F63" w:rsidP="008A67C0">
      <w:pPr>
        <w:pStyle w:val="BodyText"/>
        <w:rPr>
          <w:szCs w:val="22"/>
        </w:rPr>
      </w:pPr>
      <w:r>
        <w:rPr>
          <w:szCs w:val="22"/>
        </w:rPr>
        <w:t xml:space="preserve">DFAT </w:t>
      </w:r>
      <w:r w:rsidR="00BD51D3" w:rsidRPr="002A4292">
        <w:rPr>
          <w:szCs w:val="22"/>
        </w:rPr>
        <w:t>expect</w:t>
      </w:r>
      <w:r w:rsidR="005D6190">
        <w:rPr>
          <w:szCs w:val="22"/>
        </w:rPr>
        <w:t>s</w:t>
      </w:r>
      <w:r w:rsidR="00BD51D3" w:rsidRPr="002A4292">
        <w:rPr>
          <w:szCs w:val="22"/>
        </w:rPr>
        <w:t xml:space="preserve"> </w:t>
      </w:r>
      <w:r w:rsidR="00695E6D" w:rsidRPr="002A4292">
        <w:rPr>
          <w:szCs w:val="22"/>
        </w:rPr>
        <w:t>that</w:t>
      </w:r>
      <w:r w:rsidR="00BD51D3" w:rsidRPr="002A4292">
        <w:rPr>
          <w:szCs w:val="22"/>
        </w:rPr>
        <w:t xml:space="preserve"> program</w:t>
      </w:r>
      <w:r w:rsidR="00695E6D" w:rsidRPr="002A4292">
        <w:rPr>
          <w:szCs w:val="22"/>
        </w:rPr>
        <w:t xml:space="preserve"> efforts to improve school facilities, teachers’ professional development and the national curriculum will improve</w:t>
      </w:r>
      <w:r w:rsidR="003A34CE" w:rsidRPr="002A4292">
        <w:rPr>
          <w:szCs w:val="22"/>
        </w:rPr>
        <w:t xml:space="preserve"> all</w:t>
      </w:r>
      <w:r w:rsidR="00695E6D" w:rsidRPr="002A4292">
        <w:rPr>
          <w:szCs w:val="22"/>
        </w:rPr>
        <w:t xml:space="preserve"> rates beginning with the 2013 results</w:t>
      </w:r>
      <w:r w:rsidR="0008688E">
        <w:rPr>
          <w:szCs w:val="22"/>
        </w:rPr>
        <w:t xml:space="preserve">. </w:t>
      </w:r>
      <w:r w:rsidR="00E544CC">
        <w:rPr>
          <w:szCs w:val="22"/>
        </w:rPr>
        <w:t xml:space="preserve">The </w:t>
      </w:r>
      <w:r w:rsidR="00E83D31">
        <w:rPr>
          <w:szCs w:val="22"/>
        </w:rPr>
        <w:t>d</w:t>
      </w:r>
      <w:r w:rsidR="00436B8C">
        <w:rPr>
          <w:szCs w:val="22"/>
        </w:rPr>
        <w:t xml:space="preserve">epartment </w:t>
      </w:r>
      <w:r w:rsidR="00BD51D3" w:rsidRPr="002A4292">
        <w:rPr>
          <w:szCs w:val="22"/>
        </w:rPr>
        <w:t>also anticipate</w:t>
      </w:r>
      <w:r w:rsidR="00E544CC">
        <w:rPr>
          <w:szCs w:val="22"/>
        </w:rPr>
        <w:t>s</w:t>
      </w:r>
      <w:r w:rsidR="00BD51D3" w:rsidRPr="002A4292">
        <w:rPr>
          <w:szCs w:val="22"/>
        </w:rPr>
        <w:t xml:space="preserve"> reaching the program’s </w:t>
      </w:r>
      <w:r w:rsidR="00184CDD" w:rsidRPr="002A4292">
        <w:rPr>
          <w:szCs w:val="22"/>
        </w:rPr>
        <w:t xml:space="preserve">(unadjusted) </w:t>
      </w:r>
      <w:r w:rsidR="00BD51D3" w:rsidRPr="002A4292">
        <w:rPr>
          <w:szCs w:val="22"/>
        </w:rPr>
        <w:t xml:space="preserve">2020 targets </w:t>
      </w:r>
      <w:r w:rsidR="00184CDD" w:rsidRPr="002A4292">
        <w:rPr>
          <w:szCs w:val="22"/>
        </w:rPr>
        <w:t>despite adjustments made to the 2013 targets</w:t>
      </w:r>
      <w:r w:rsidR="0008688E">
        <w:rPr>
          <w:szCs w:val="22"/>
        </w:rPr>
        <w:t xml:space="preserve">. </w:t>
      </w:r>
    </w:p>
    <w:p w:rsidR="003A34CE" w:rsidRPr="002A4292" w:rsidRDefault="005D6190" w:rsidP="008A67C0">
      <w:pPr>
        <w:pStyle w:val="BodyText"/>
        <w:rPr>
          <w:szCs w:val="22"/>
        </w:rPr>
      </w:pPr>
      <w:r>
        <w:rPr>
          <w:szCs w:val="22"/>
        </w:rPr>
        <w:t xml:space="preserve">In 2014, </w:t>
      </w:r>
      <w:r w:rsidR="00651F63">
        <w:rPr>
          <w:szCs w:val="22"/>
        </w:rPr>
        <w:t xml:space="preserve">DFAT </w:t>
      </w:r>
      <w:r>
        <w:rPr>
          <w:szCs w:val="22"/>
        </w:rPr>
        <w:t>will organise</w:t>
      </w:r>
      <w:r w:rsidR="00147CB3">
        <w:rPr>
          <w:szCs w:val="22"/>
        </w:rPr>
        <w:t xml:space="preserve"> an</w:t>
      </w:r>
      <w:r>
        <w:rPr>
          <w:szCs w:val="22"/>
        </w:rPr>
        <w:t xml:space="preserve"> independent evaluation of the program, including</w:t>
      </w:r>
      <w:r w:rsidR="00695E6D" w:rsidRPr="002A4292">
        <w:rPr>
          <w:szCs w:val="22"/>
        </w:rPr>
        <w:t xml:space="preserve"> an assessment of progress against 2013 targets and whether educational approaches and resourcing in the early years</w:t>
      </w:r>
      <w:r w:rsidR="00BD51D3" w:rsidRPr="002A4292">
        <w:rPr>
          <w:szCs w:val="22"/>
        </w:rPr>
        <w:t xml:space="preserve"> of schooling</w:t>
      </w:r>
      <w:r w:rsidR="00695E6D" w:rsidRPr="002A4292">
        <w:rPr>
          <w:szCs w:val="22"/>
        </w:rPr>
        <w:t xml:space="preserve"> are appropriately targeted</w:t>
      </w:r>
      <w:r w:rsidR="00A70C52">
        <w:rPr>
          <w:szCs w:val="22"/>
        </w:rPr>
        <w:t xml:space="preserve">. </w:t>
      </w:r>
      <w:r w:rsidR="00DA3336" w:rsidRPr="002A4292">
        <w:rPr>
          <w:szCs w:val="22"/>
        </w:rPr>
        <w:t>Given the long</w:t>
      </w:r>
      <w:r w:rsidR="00965A0C">
        <w:rPr>
          <w:szCs w:val="22"/>
        </w:rPr>
        <w:t>-</w:t>
      </w:r>
      <w:r w:rsidR="00DA3336" w:rsidRPr="002A4292">
        <w:rPr>
          <w:szCs w:val="22"/>
        </w:rPr>
        <w:t>term nature of the program objectives</w:t>
      </w:r>
      <w:r w:rsidR="008367E3" w:rsidRPr="002A4292">
        <w:rPr>
          <w:szCs w:val="22"/>
        </w:rPr>
        <w:t xml:space="preserve">, </w:t>
      </w:r>
      <w:r w:rsidR="00651F63">
        <w:rPr>
          <w:szCs w:val="22"/>
        </w:rPr>
        <w:t xml:space="preserve">DFAT </w:t>
      </w:r>
      <w:r w:rsidR="008367E3" w:rsidRPr="002A4292">
        <w:rPr>
          <w:szCs w:val="22"/>
        </w:rPr>
        <w:t xml:space="preserve">will also explore options to improve how </w:t>
      </w:r>
      <w:r>
        <w:rPr>
          <w:szCs w:val="22"/>
        </w:rPr>
        <w:t>it</w:t>
      </w:r>
      <w:r w:rsidR="008367E3" w:rsidRPr="002A4292">
        <w:rPr>
          <w:szCs w:val="22"/>
        </w:rPr>
        <w:t xml:space="preserve"> </w:t>
      </w:r>
      <w:proofErr w:type="gramStart"/>
      <w:r w:rsidR="008367E3" w:rsidRPr="002A4292">
        <w:rPr>
          <w:szCs w:val="22"/>
        </w:rPr>
        <w:t>assess</w:t>
      </w:r>
      <w:proofErr w:type="gramEnd"/>
      <w:r w:rsidR="00DA3336" w:rsidRPr="002A4292">
        <w:rPr>
          <w:szCs w:val="22"/>
        </w:rPr>
        <w:t xml:space="preserve"> </w:t>
      </w:r>
      <w:r w:rsidR="008367E3" w:rsidRPr="002A4292">
        <w:rPr>
          <w:szCs w:val="22"/>
        </w:rPr>
        <w:t xml:space="preserve">the program’s </w:t>
      </w:r>
      <w:r w:rsidR="00DA3336" w:rsidRPr="002A4292">
        <w:rPr>
          <w:szCs w:val="22"/>
        </w:rPr>
        <w:t>intermediate objectives</w:t>
      </w:r>
      <w:r w:rsidR="0008688E">
        <w:rPr>
          <w:szCs w:val="22"/>
        </w:rPr>
        <w:t xml:space="preserve">. </w:t>
      </w:r>
    </w:p>
    <w:p w:rsidR="00695E6D" w:rsidRPr="002A4292" w:rsidRDefault="00695E6D" w:rsidP="008A67C0">
      <w:pPr>
        <w:pStyle w:val="BodyText"/>
        <w:rPr>
          <w:rFonts w:eastAsia="SimSun"/>
        </w:rPr>
      </w:pPr>
      <w:r w:rsidRPr="002A4292">
        <w:rPr>
          <w:rFonts w:eastAsia="SimSun"/>
        </w:rPr>
        <w:t>In 2012</w:t>
      </w:r>
      <w:r w:rsidR="00DD090D">
        <w:rPr>
          <w:rFonts w:eastAsia="SimSun"/>
        </w:rPr>
        <w:t>–</w:t>
      </w:r>
      <w:r w:rsidRPr="002A4292">
        <w:rPr>
          <w:rFonts w:eastAsia="SimSun"/>
        </w:rPr>
        <w:t>13, the</w:t>
      </w:r>
      <w:r w:rsidR="00147CB3">
        <w:rPr>
          <w:rFonts w:eastAsia="SimSun"/>
        </w:rPr>
        <w:t xml:space="preserve"> following</w:t>
      </w:r>
      <w:r w:rsidRPr="002A4292">
        <w:rPr>
          <w:rFonts w:eastAsia="SimSun"/>
        </w:rPr>
        <w:t xml:space="preserve"> activities were implemented to support the program’s target of improved literacy, numeracy and enrolment rates.</w:t>
      </w:r>
    </w:p>
    <w:p w:rsidR="00695E6D" w:rsidRPr="00C17E42" w:rsidRDefault="00DE478F" w:rsidP="00C17E42">
      <w:pPr>
        <w:pStyle w:val="BodyText"/>
        <w:rPr>
          <w:b/>
        </w:rPr>
      </w:pPr>
      <w:r w:rsidRPr="00C17E42">
        <w:rPr>
          <w:b/>
        </w:rPr>
        <w:lastRenderedPageBreak/>
        <w:t>(a</w:t>
      </w:r>
      <w:r w:rsidR="00FB77A5" w:rsidRPr="00C17E42">
        <w:rPr>
          <w:b/>
        </w:rPr>
        <w:t xml:space="preserve">) </w:t>
      </w:r>
      <w:r w:rsidR="00695E6D" w:rsidRPr="00C17E42">
        <w:rPr>
          <w:b/>
        </w:rPr>
        <w:t>Improvements to school facilities</w:t>
      </w:r>
    </w:p>
    <w:p w:rsidR="00695E6D" w:rsidRPr="002A4292" w:rsidRDefault="00695E6D" w:rsidP="00C17E42">
      <w:pPr>
        <w:pStyle w:val="BodyText"/>
      </w:pPr>
      <w:r w:rsidRPr="002A4292">
        <w:t>In 2012</w:t>
      </w:r>
      <w:r w:rsidR="00965A0C">
        <w:t>,</w:t>
      </w:r>
      <w:r w:rsidRPr="002A4292">
        <w:t xml:space="preserve"> Australia supported the rehabilitation of six schools, enabl</w:t>
      </w:r>
      <w:r w:rsidR="008506C8" w:rsidRPr="002A4292">
        <w:t>ing 870 children to learn in 49 </w:t>
      </w:r>
      <w:r w:rsidRPr="002A4292">
        <w:t>improved school facilities</w:t>
      </w:r>
      <w:r w:rsidR="008506C8" w:rsidRPr="002A4292">
        <w:t>,</w:t>
      </w:r>
      <w:r w:rsidRPr="002A4292">
        <w:t xml:space="preserve"> including 33 newly rehabilitated classrooms</w:t>
      </w:r>
      <w:r w:rsidR="0008688E">
        <w:t xml:space="preserve">. </w:t>
      </w:r>
      <w:r w:rsidRPr="002A4292">
        <w:t>However, delays in rehabilitating a</w:t>
      </w:r>
      <w:r w:rsidR="00965A0C">
        <w:t>nother</w:t>
      </w:r>
      <w:r w:rsidRPr="002A4292">
        <w:t xml:space="preserve"> 36</w:t>
      </w:r>
      <w:r w:rsidR="00147CB3">
        <w:t> </w:t>
      </w:r>
      <w:r w:rsidRPr="002A4292">
        <w:t>schools occurred in 2013 due to</w:t>
      </w:r>
      <w:r w:rsidR="00147CB3">
        <w:t xml:space="preserve"> the</w:t>
      </w:r>
      <w:r w:rsidRPr="002A4292">
        <w:t xml:space="preserve"> </w:t>
      </w:r>
      <w:r w:rsidR="008506C8" w:rsidRPr="002A4292">
        <w:t xml:space="preserve">delay in agreeing </w:t>
      </w:r>
      <w:r w:rsidRPr="002A4292">
        <w:t>whether these schools should be rehabilitated using permanent materials or a hybrid of permanent and traditional materials</w:t>
      </w:r>
      <w:r w:rsidR="0008688E">
        <w:t xml:space="preserve">. </w:t>
      </w:r>
      <w:r w:rsidRPr="002A4292">
        <w:t>Should the Government of Kiribati decide to rehabilitate the remaining schools with permanent materials only, Australia is likely to restrict its funding to rehabilitating schools in urban areas</w:t>
      </w:r>
      <w:r w:rsidR="003C0492" w:rsidRPr="002A4292">
        <w:t xml:space="preserve"> or where schools are already built (or predominately built) in permanent materials</w:t>
      </w:r>
      <w:r w:rsidRPr="002A4292">
        <w:t xml:space="preserve"> to better assure the sustainability of Australia’s investment.</w:t>
      </w:r>
      <w:r w:rsidRPr="002A4292">
        <w:rPr>
          <w:rStyle w:val="FootnoteReference"/>
          <w:sz w:val="14"/>
          <w:szCs w:val="22"/>
        </w:rPr>
        <w:footnoteReference w:id="30"/>
      </w:r>
    </w:p>
    <w:p w:rsidR="00695E6D" w:rsidRPr="002A4292" w:rsidRDefault="00695E6D" w:rsidP="00C17E42">
      <w:pPr>
        <w:pStyle w:val="BodyText"/>
      </w:pPr>
      <w:r w:rsidRPr="002A4292">
        <w:t xml:space="preserve">The </w:t>
      </w:r>
      <w:r w:rsidR="00965A0C">
        <w:t xml:space="preserve">program’s </w:t>
      </w:r>
      <w:r w:rsidRPr="002A4292">
        <w:t>school rehabilitation component has focused on gender and social inclusion, including ensuring access to appropriate toilet facilities and improved access for children with disabilit</w:t>
      </w:r>
      <w:r w:rsidR="00965A0C">
        <w:t>y</w:t>
      </w:r>
      <w:r w:rsidR="0008688E">
        <w:t xml:space="preserve">. </w:t>
      </w:r>
      <w:r w:rsidRPr="002A4292">
        <w:t>Attention has also been paid to the composition of community consultation teams to balance male and female team members</w:t>
      </w:r>
      <w:r w:rsidR="0008688E">
        <w:t xml:space="preserve">. </w:t>
      </w:r>
      <w:r w:rsidRPr="002A4292">
        <w:t>Careful consideration of the venue for consultations also proved effective with more women actively participating when discussions were held in church</w:t>
      </w:r>
      <w:r w:rsidR="00CA6524" w:rsidRPr="002A4292">
        <w:t>es</w:t>
      </w:r>
      <w:r w:rsidRPr="002A4292">
        <w:t xml:space="preserve"> rather than</w:t>
      </w:r>
      <w:r w:rsidR="00147CB3">
        <w:t xml:space="preserve"> in</w:t>
      </w:r>
      <w:r w:rsidRPr="002A4292">
        <w:t xml:space="preserve"> traditional </w:t>
      </w:r>
      <w:proofErr w:type="spellStart"/>
      <w:r w:rsidRPr="00BC6161">
        <w:rPr>
          <w:i/>
        </w:rPr>
        <w:t>maneabas</w:t>
      </w:r>
      <w:proofErr w:type="spellEnd"/>
      <w:r w:rsidRPr="002A4292">
        <w:t>.</w:t>
      </w:r>
    </w:p>
    <w:p w:rsidR="00695E6D" w:rsidRPr="00C17E42" w:rsidRDefault="00C17E42" w:rsidP="00C17E42">
      <w:pPr>
        <w:pStyle w:val="BodyText"/>
        <w:rPr>
          <w:b/>
        </w:rPr>
      </w:pPr>
      <w:r w:rsidRPr="00C17E42">
        <w:rPr>
          <w:b/>
        </w:rPr>
        <w:t xml:space="preserve"> </w:t>
      </w:r>
      <w:r w:rsidR="00DE478F" w:rsidRPr="00C17E42">
        <w:rPr>
          <w:b/>
        </w:rPr>
        <w:t>(b</w:t>
      </w:r>
      <w:r w:rsidR="00FB77A5" w:rsidRPr="00C17E42">
        <w:rPr>
          <w:b/>
        </w:rPr>
        <w:t xml:space="preserve">) </w:t>
      </w:r>
      <w:r w:rsidR="00695E6D" w:rsidRPr="00C17E42">
        <w:rPr>
          <w:b/>
        </w:rPr>
        <w:t>Stronger legislative framework</w:t>
      </w:r>
    </w:p>
    <w:p w:rsidR="00695E6D" w:rsidRPr="002A4292" w:rsidRDefault="00695E6D" w:rsidP="00C17E42">
      <w:pPr>
        <w:pStyle w:val="BodyText"/>
      </w:pPr>
      <w:r w:rsidRPr="002A4292">
        <w:t xml:space="preserve">The program has developed a draft </w:t>
      </w:r>
      <w:r w:rsidR="00965A0C">
        <w:t>e</w:t>
      </w:r>
      <w:r w:rsidRPr="002A4292">
        <w:t xml:space="preserve">ducation </w:t>
      </w:r>
      <w:r w:rsidR="00DD090D">
        <w:t>b</w:t>
      </w:r>
      <w:r w:rsidRPr="002A4292">
        <w:t xml:space="preserve">ill </w:t>
      </w:r>
      <w:r w:rsidR="00965A0C">
        <w:t>covering</w:t>
      </w:r>
      <w:r w:rsidRPr="002A4292">
        <w:t xml:space="preserve"> legislative provision for an inclusive and quality education system</w:t>
      </w:r>
      <w:r w:rsidR="0008688E">
        <w:t xml:space="preserve">. </w:t>
      </w:r>
      <w:r w:rsidRPr="002A4292">
        <w:t xml:space="preserve">Gender and social inclusion considerations underpin the draft </w:t>
      </w:r>
      <w:r w:rsidR="00DD090D">
        <w:t>b</w:t>
      </w:r>
      <w:r w:rsidRPr="002A4292">
        <w:t>ill, with key sections focusing on disability inclusion</w:t>
      </w:r>
      <w:r w:rsidR="00CA6524" w:rsidRPr="002A4292">
        <w:t>,</w:t>
      </w:r>
      <w:r w:rsidRPr="002A4292">
        <w:t xml:space="preserve"> school safety</w:t>
      </w:r>
      <w:r w:rsidR="00CA6524" w:rsidRPr="002A4292">
        <w:t>,</w:t>
      </w:r>
      <w:r w:rsidRPr="002A4292">
        <w:t xml:space="preserve"> mandatory reporting of child abuse and neglect</w:t>
      </w:r>
      <w:r w:rsidR="00CA6524" w:rsidRPr="002A4292">
        <w:t>,</w:t>
      </w:r>
      <w:r w:rsidRPr="002A4292">
        <w:t xml:space="preserve"> and protection against discrimination on the grounds of pregnancy or status as a parent</w:t>
      </w:r>
      <w:r w:rsidR="0008688E">
        <w:t xml:space="preserve">. </w:t>
      </w:r>
      <w:r w:rsidRPr="002A4292">
        <w:t xml:space="preserve">The </w:t>
      </w:r>
      <w:r w:rsidR="00DD090D">
        <w:t>b</w:t>
      </w:r>
      <w:r w:rsidRPr="002A4292">
        <w:t xml:space="preserve">ill was due to be tabled in </w:t>
      </w:r>
      <w:r w:rsidR="00A44753">
        <w:t>p</w:t>
      </w:r>
      <w:r w:rsidRPr="002A4292">
        <w:t>arliament in 2012, but was delayed due to the need to obtain tec</w:t>
      </w:r>
      <w:r w:rsidR="008506C8" w:rsidRPr="002A4292">
        <w:t xml:space="preserve">hnical advice from Kiribati’s Office of the </w:t>
      </w:r>
      <w:r w:rsidR="00420EC7" w:rsidRPr="002A4292">
        <w:t>Attorney</w:t>
      </w:r>
      <w:r w:rsidR="00420EC7" w:rsidRPr="002A4292">
        <w:noBreakHyphen/>
      </w:r>
      <w:r w:rsidRPr="002A4292">
        <w:t>General</w:t>
      </w:r>
      <w:r w:rsidR="0008688E">
        <w:t xml:space="preserve">. </w:t>
      </w:r>
      <w:r w:rsidRPr="002A4292">
        <w:t>It is now expected to be tabled in</w:t>
      </w:r>
      <w:r w:rsidR="002E7A71">
        <w:t xml:space="preserve"> </w:t>
      </w:r>
      <w:r w:rsidRPr="002A4292">
        <w:t>2013</w:t>
      </w:r>
      <w:r w:rsidR="00DC064B">
        <w:t>–</w:t>
      </w:r>
      <w:r w:rsidR="002E7A71">
        <w:t>14</w:t>
      </w:r>
      <w:r w:rsidRPr="002A4292">
        <w:t xml:space="preserve">. </w:t>
      </w:r>
    </w:p>
    <w:p w:rsidR="00695E6D" w:rsidRPr="00C17E42" w:rsidRDefault="00DE478F" w:rsidP="00C17E42">
      <w:pPr>
        <w:pStyle w:val="BodyText"/>
        <w:rPr>
          <w:rFonts w:eastAsia="SimSun"/>
          <w:b/>
        </w:rPr>
      </w:pPr>
      <w:r w:rsidRPr="00C17E42">
        <w:rPr>
          <w:rFonts w:eastAsia="SimSun"/>
          <w:b/>
        </w:rPr>
        <w:t>(c</w:t>
      </w:r>
      <w:r w:rsidR="00FB77A5" w:rsidRPr="00C17E42">
        <w:rPr>
          <w:rFonts w:eastAsia="SimSun"/>
          <w:b/>
        </w:rPr>
        <w:t xml:space="preserve">) </w:t>
      </w:r>
      <w:r w:rsidR="00695E6D" w:rsidRPr="00C17E42">
        <w:rPr>
          <w:rFonts w:eastAsia="SimSun"/>
          <w:b/>
        </w:rPr>
        <w:t>Workforce development</w:t>
      </w:r>
    </w:p>
    <w:p w:rsidR="00695E6D" w:rsidRPr="002A4292" w:rsidRDefault="00695E6D" w:rsidP="00C17E42">
      <w:pPr>
        <w:pStyle w:val="BodyText"/>
      </w:pPr>
      <w:r w:rsidRPr="002A4292">
        <w:t xml:space="preserve">A teacher professional development framework incorporating English language competencies, teacher performance and service standards was developed in 2011 and implemented in 2012. Australian support to this </w:t>
      </w:r>
      <w:r w:rsidR="00903149">
        <w:t xml:space="preserve">program </w:t>
      </w:r>
      <w:r w:rsidRPr="002A4292">
        <w:t>component enabled 771 of Kiribati’s 1</w:t>
      </w:r>
      <w:r w:rsidR="003557F2">
        <w:t>,</w:t>
      </w:r>
      <w:r w:rsidRPr="002A4292">
        <w:t>002 primary and junior secondary teachers to</w:t>
      </w:r>
      <w:r w:rsidR="0023281F">
        <w:t xml:space="preserve"> be trained (590 female and 181 </w:t>
      </w:r>
      <w:r w:rsidRPr="002A4292">
        <w:t>male).</w:t>
      </w:r>
      <w:r w:rsidRPr="002A4292">
        <w:rPr>
          <w:rStyle w:val="FootnoteReference"/>
        </w:rPr>
        <w:footnoteReference w:id="31"/>
      </w:r>
      <w:r w:rsidR="00A44753">
        <w:t xml:space="preserve"> Of these, </w:t>
      </w:r>
      <w:r w:rsidRPr="002A4292">
        <w:t>382 completed Kiribati English Langua</w:t>
      </w:r>
      <w:r w:rsidR="0023281F">
        <w:t>ge Proficiency training with 75 </w:t>
      </w:r>
      <w:r w:rsidRPr="002A4292">
        <w:t>per cent achieving the required competency standards (benchmarked against international standards for language programs)</w:t>
      </w:r>
      <w:r w:rsidR="0008688E">
        <w:t xml:space="preserve">. </w:t>
      </w:r>
      <w:r w:rsidRPr="002A4292">
        <w:t>Teachers who failed to meet the competency standards have been supported with self-study kits and will be re-tested over the coming year</w:t>
      </w:r>
      <w:r w:rsidR="0008688E">
        <w:t xml:space="preserve">. </w:t>
      </w:r>
      <w:r w:rsidR="0023281F">
        <w:t>389 </w:t>
      </w:r>
      <w:r w:rsidRPr="002A4292">
        <w:t xml:space="preserve">teachers were also trained in the new </w:t>
      </w:r>
      <w:r w:rsidR="00DA4BBC" w:rsidRPr="002A4292">
        <w:t>grades</w:t>
      </w:r>
      <w:r w:rsidRPr="002A4292">
        <w:t xml:space="preserve"> 1 </w:t>
      </w:r>
      <w:r w:rsidR="00A44753">
        <w:t>and</w:t>
      </w:r>
      <w:r w:rsidR="00E544CC">
        <w:t xml:space="preserve"> </w:t>
      </w:r>
      <w:r w:rsidR="00CA6524" w:rsidRPr="002A4292">
        <w:t>2 curricula</w:t>
      </w:r>
      <w:r w:rsidRPr="002A4292">
        <w:t>.</w:t>
      </w:r>
    </w:p>
    <w:p w:rsidR="00695E6D" w:rsidRDefault="00695E6D" w:rsidP="00C17E42">
      <w:pPr>
        <w:pStyle w:val="BodyText"/>
      </w:pPr>
      <w:r w:rsidRPr="002A4292">
        <w:t xml:space="preserve">The provision of professional development is resource intensive, as it involves </w:t>
      </w:r>
      <w:r w:rsidR="00664E48">
        <w:t>temporarily removing</w:t>
      </w:r>
      <w:r w:rsidRPr="002A4292">
        <w:t xml:space="preserve"> teachers from schools to attend training in South Tarawa and recruit</w:t>
      </w:r>
      <w:r w:rsidR="00664E48">
        <w:t>ing</w:t>
      </w:r>
      <w:r w:rsidRPr="002A4292">
        <w:t xml:space="preserve"> supplementary teachers to replace them</w:t>
      </w:r>
      <w:r w:rsidR="0008688E">
        <w:t xml:space="preserve">. </w:t>
      </w:r>
      <w:r w:rsidRPr="002A4292">
        <w:t xml:space="preserve">The program is working towards decentralising teacher training to improve efficiency, and </w:t>
      </w:r>
      <w:r w:rsidR="00664E48">
        <w:t>removing</w:t>
      </w:r>
      <w:r w:rsidRPr="002A4292">
        <w:t xml:space="preserve"> barriers to male and female teachers from the outer-islands accessing these opportunities</w:t>
      </w:r>
      <w:r w:rsidR="0008688E">
        <w:t xml:space="preserve">. </w:t>
      </w:r>
      <w:r w:rsidRPr="002A4292">
        <w:t>The impact of these professional development opportunities on teaching and learning outcomes will be measured through annual teacher service standard appraisals and an impact study to be undertaken</w:t>
      </w:r>
      <w:r w:rsidR="00BC6161">
        <w:t xml:space="preserve"> by the program</w:t>
      </w:r>
      <w:r w:rsidRPr="002A4292">
        <w:t xml:space="preserve"> in 2014.</w:t>
      </w:r>
    </w:p>
    <w:p w:rsidR="003B3233" w:rsidRDefault="003B3233">
      <w:pPr>
        <w:spacing w:after="200" w:line="276" w:lineRule="auto"/>
        <w:rPr>
          <w:b/>
          <w:sz w:val="22"/>
        </w:rPr>
      </w:pPr>
      <w:r>
        <w:rPr>
          <w:b/>
        </w:rPr>
        <w:br w:type="page"/>
      </w:r>
    </w:p>
    <w:p w:rsidR="00695E6D" w:rsidRPr="00C17E42" w:rsidRDefault="00DE478F" w:rsidP="00C17E42">
      <w:pPr>
        <w:pStyle w:val="BodyText"/>
        <w:rPr>
          <w:rFonts w:eastAsia="SimSun"/>
          <w:b/>
        </w:rPr>
      </w:pPr>
      <w:r w:rsidRPr="00C17E42">
        <w:rPr>
          <w:rFonts w:eastAsia="SimSun"/>
          <w:b/>
        </w:rPr>
        <w:lastRenderedPageBreak/>
        <w:t>(d</w:t>
      </w:r>
      <w:r w:rsidR="00FB77A5" w:rsidRPr="00C17E42">
        <w:rPr>
          <w:rFonts w:eastAsia="SimSun"/>
          <w:b/>
        </w:rPr>
        <w:t xml:space="preserve">) </w:t>
      </w:r>
      <w:r w:rsidR="00695E6D" w:rsidRPr="00C17E42">
        <w:rPr>
          <w:rFonts w:eastAsia="SimSun"/>
          <w:b/>
        </w:rPr>
        <w:t>Curriculum and assessment</w:t>
      </w:r>
    </w:p>
    <w:p w:rsidR="00695E6D" w:rsidRPr="002A4292" w:rsidRDefault="00695E6D" w:rsidP="00C17E42">
      <w:pPr>
        <w:pStyle w:val="BodyText"/>
        <w:rPr>
          <w:rFonts w:eastAsia="SimSun"/>
        </w:rPr>
      </w:pPr>
      <w:r w:rsidRPr="002A4292">
        <w:rPr>
          <w:rFonts w:eastAsia="SimSun"/>
        </w:rPr>
        <w:t>2013 was the first year of implementation of the National Curriculum and Assessment Framework</w:t>
      </w:r>
      <w:r w:rsidR="0008688E">
        <w:rPr>
          <w:rFonts w:eastAsia="SimSun"/>
        </w:rPr>
        <w:t xml:space="preserve">. </w:t>
      </w:r>
      <w:r w:rsidRPr="002A4292">
        <w:rPr>
          <w:rFonts w:eastAsia="SimSun"/>
        </w:rPr>
        <w:t xml:space="preserve">The </w:t>
      </w:r>
      <w:r w:rsidR="00664E48">
        <w:rPr>
          <w:rFonts w:eastAsia="SimSun"/>
        </w:rPr>
        <w:t>f</w:t>
      </w:r>
      <w:r w:rsidRPr="002A4292">
        <w:rPr>
          <w:rFonts w:eastAsia="SimSun"/>
        </w:rPr>
        <w:t xml:space="preserve">ramework aims to substantially improve the quality of the syllabus and teaching materials to enhance learning experiences and quality learning outcomes. Additional teaching resources for </w:t>
      </w:r>
      <w:r w:rsidR="00DA4BBC" w:rsidRPr="002A4292">
        <w:rPr>
          <w:rFonts w:eastAsia="SimSun"/>
        </w:rPr>
        <w:t xml:space="preserve">grades </w:t>
      </w:r>
      <w:r w:rsidRPr="002A4292">
        <w:rPr>
          <w:rFonts w:eastAsia="SimSun"/>
        </w:rPr>
        <w:t xml:space="preserve">1 </w:t>
      </w:r>
      <w:r w:rsidR="00A44753">
        <w:rPr>
          <w:rFonts w:eastAsia="SimSun"/>
        </w:rPr>
        <w:t>and</w:t>
      </w:r>
      <w:r w:rsidR="00DE478F">
        <w:rPr>
          <w:rFonts w:eastAsia="SimSun"/>
        </w:rPr>
        <w:t xml:space="preserve"> </w:t>
      </w:r>
      <w:r w:rsidRPr="002A4292">
        <w:rPr>
          <w:rFonts w:eastAsia="SimSun"/>
        </w:rPr>
        <w:t>2 have been developed and are being introduced to all schools.</w:t>
      </w:r>
    </w:p>
    <w:p w:rsidR="00695E6D" w:rsidRPr="002A4292" w:rsidRDefault="00695E6D" w:rsidP="00C17E42">
      <w:pPr>
        <w:pStyle w:val="BodyText"/>
        <w:rPr>
          <w:i/>
          <w:szCs w:val="19"/>
        </w:rPr>
      </w:pPr>
      <w:r w:rsidRPr="002A4292">
        <w:rPr>
          <w:i/>
          <w:szCs w:val="19"/>
        </w:rPr>
        <w:t>Kiribati Education Ma</w:t>
      </w:r>
      <w:r w:rsidR="003C0492" w:rsidRPr="002A4292">
        <w:rPr>
          <w:i/>
          <w:szCs w:val="19"/>
        </w:rPr>
        <w:t>nagement Information System data</w:t>
      </w:r>
      <w:r w:rsidR="00FB77A5" w:rsidRPr="002A4292">
        <w:rPr>
          <w:i/>
          <w:szCs w:val="19"/>
        </w:rPr>
        <w:t xml:space="preserve"> reported annually</w:t>
      </w:r>
      <w:r w:rsidR="00664E48">
        <w:rPr>
          <w:i/>
          <w:szCs w:val="19"/>
        </w:rPr>
        <w:t xml:space="preserve"> to key stakeholders</w:t>
      </w:r>
      <w:r w:rsidR="00FB77A5" w:rsidRPr="002A4292">
        <w:rPr>
          <w:i/>
          <w:szCs w:val="19"/>
        </w:rPr>
        <w:t xml:space="preserve"> (on track)</w:t>
      </w:r>
    </w:p>
    <w:p w:rsidR="00695E6D" w:rsidRPr="002A4292" w:rsidRDefault="00695E6D" w:rsidP="00C17E42">
      <w:pPr>
        <w:pStyle w:val="BodyText"/>
        <w:rPr>
          <w:szCs w:val="19"/>
        </w:rPr>
      </w:pPr>
      <w:r w:rsidRPr="002A4292">
        <w:rPr>
          <w:szCs w:val="19"/>
        </w:rPr>
        <w:t>The Ministry of Education uses the Kiribati Education Management Information System to collect</w:t>
      </w:r>
      <w:r w:rsidR="00EA43AE" w:rsidRPr="002A4292">
        <w:rPr>
          <w:szCs w:val="19"/>
        </w:rPr>
        <w:t xml:space="preserve"> and store valuable performance information </w:t>
      </w:r>
      <w:r w:rsidR="00903149">
        <w:rPr>
          <w:szCs w:val="19"/>
        </w:rPr>
        <w:t>on</w:t>
      </w:r>
      <w:r w:rsidR="00903149" w:rsidRPr="002A4292">
        <w:rPr>
          <w:szCs w:val="19"/>
        </w:rPr>
        <w:t xml:space="preserve"> </w:t>
      </w:r>
      <w:r w:rsidR="00EA43AE" w:rsidRPr="002A4292">
        <w:rPr>
          <w:szCs w:val="19"/>
        </w:rPr>
        <w:t>the sector, i</w:t>
      </w:r>
      <w:r w:rsidR="00241A52" w:rsidRPr="002A4292">
        <w:rPr>
          <w:szCs w:val="19"/>
        </w:rPr>
        <w:t>ncluding data about</w:t>
      </w:r>
      <w:r w:rsidR="00EA43AE" w:rsidRPr="002A4292">
        <w:rPr>
          <w:szCs w:val="19"/>
        </w:rPr>
        <w:t xml:space="preserve"> </w:t>
      </w:r>
      <w:r w:rsidR="00241A52" w:rsidRPr="002A4292">
        <w:rPr>
          <w:szCs w:val="19"/>
        </w:rPr>
        <w:t>pupils, teachers, facilities</w:t>
      </w:r>
      <w:r w:rsidR="00EA43AE" w:rsidRPr="002A4292">
        <w:rPr>
          <w:szCs w:val="19"/>
        </w:rPr>
        <w:t xml:space="preserve"> and resources at each school. </w:t>
      </w:r>
      <w:r w:rsidRPr="002A4292">
        <w:rPr>
          <w:szCs w:val="19"/>
        </w:rPr>
        <w:t xml:space="preserve">The data is then used to produce an annual </w:t>
      </w:r>
      <w:r w:rsidR="00664E48">
        <w:rPr>
          <w:szCs w:val="19"/>
        </w:rPr>
        <w:t>e</w:t>
      </w:r>
      <w:r w:rsidRPr="002A4292">
        <w:rPr>
          <w:szCs w:val="19"/>
        </w:rPr>
        <w:t xml:space="preserve">ducation </w:t>
      </w:r>
      <w:r w:rsidR="00664E48">
        <w:rPr>
          <w:szCs w:val="19"/>
        </w:rPr>
        <w:t>d</w:t>
      </w:r>
      <w:r w:rsidRPr="002A4292">
        <w:rPr>
          <w:szCs w:val="19"/>
        </w:rPr>
        <w:t>igest</w:t>
      </w:r>
      <w:r w:rsidR="0008688E">
        <w:rPr>
          <w:szCs w:val="19"/>
        </w:rPr>
        <w:t xml:space="preserve">. </w:t>
      </w:r>
      <w:r w:rsidRPr="002A4292">
        <w:rPr>
          <w:szCs w:val="19"/>
        </w:rPr>
        <w:t xml:space="preserve">The 2012 </w:t>
      </w:r>
      <w:r w:rsidR="00664E48">
        <w:rPr>
          <w:szCs w:val="19"/>
        </w:rPr>
        <w:t xml:space="preserve">Education </w:t>
      </w:r>
      <w:r w:rsidRPr="002A4292">
        <w:rPr>
          <w:szCs w:val="19"/>
        </w:rPr>
        <w:t>Digest will be made available to all stakeholders in June 2013 as scheduled</w:t>
      </w:r>
      <w:r w:rsidR="0008688E">
        <w:rPr>
          <w:szCs w:val="19"/>
        </w:rPr>
        <w:t xml:space="preserve">. </w:t>
      </w:r>
    </w:p>
    <w:p w:rsidR="00695E6D" w:rsidRPr="002A4292" w:rsidRDefault="00695E6D" w:rsidP="00C17E42">
      <w:pPr>
        <w:pStyle w:val="BodyText"/>
        <w:rPr>
          <w:szCs w:val="19"/>
        </w:rPr>
      </w:pPr>
      <w:r w:rsidRPr="002A4292">
        <w:rPr>
          <w:szCs w:val="19"/>
        </w:rPr>
        <w:t xml:space="preserve">In 2012, the program reviewed the capacity of the </w:t>
      </w:r>
      <w:r w:rsidR="00FB77A5" w:rsidRPr="002A4292">
        <w:rPr>
          <w:szCs w:val="19"/>
        </w:rPr>
        <w:t>Kiribati Education Management Information System</w:t>
      </w:r>
      <w:r w:rsidRPr="002A4292">
        <w:rPr>
          <w:szCs w:val="19"/>
        </w:rPr>
        <w:t xml:space="preserve"> to collect and report against the</w:t>
      </w:r>
      <w:r w:rsidR="00C47CE2" w:rsidRPr="002A4292">
        <w:rPr>
          <w:szCs w:val="19"/>
        </w:rPr>
        <w:t xml:space="preserve"> Monitoring and</w:t>
      </w:r>
      <w:r w:rsidRPr="002A4292">
        <w:rPr>
          <w:szCs w:val="19"/>
        </w:rPr>
        <w:t xml:space="preserve"> Evaluation Framework</w:t>
      </w:r>
      <w:r w:rsidR="00C47CE2" w:rsidRPr="002A4292">
        <w:rPr>
          <w:szCs w:val="19"/>
        </w:rPr>
        <w:t xml:space="preserve"> for the Education Sector Strategic Plan</w:t>
      </w:r>
      <w:r w:rsidR="00903149">
        <w:rPr>
          <w:szCs w:val="19"/>
        </w:rPr>
        <w:t xml:space="preserve"> (2012–15)</w:t>
      </w:r>
      <w:r w:rsidR="0008688E">
        <w:rPr>
          <w:szCs w:val="19"/>
        </w:rPr>
        <w:t xml:space="preserve">. </w:t>
      </w:r>
      <w:r w:rsidRPr="002A4292">
        <w:rPr>
          <w:szCs w:val="19"/>
        </w:rPr>
        <w:t>The</w:t>
      </w:r>
      <w:r w:rsidR="00664E48">
        <w:rPr>
          <w:szCs w:val="19"/>
        </w:rPr>
        <w:t xml:space="preserve"> review</w:t>
      </w:r>
      <w:r w:rsidRPr="002A4292">
        <w:rPr>
          <w:szCs w:val="19"/>
        </w:rPr>
        <w:t xml:space="preserve"> outcome included revisions to the framework and plans for upgrading the</w:t>
      </w:r>
      <w:r w:rsidR="00CA6524" w:rsidRPr="002A4292">
        <w:rPr>
          <w:szCs w:val="19"/>
        </w:rPr>
        <w:t xml:space="preserve"> </w:t>
      </w:r>
      <w:r w:rsidR="003575ED">
        <w:rPr>
          <w:szCs w:val="19"/>
        </w:rPr>
        <w:t>information tech</w:t>
      </w:r>
      <w:r w:rsidR="00DE478F">
        <w:rPr>
          <w:szCs w:val="19"/>
        </w:rPr>
        <w:t>nology</w:t>
      </w:r>
      <w:r w:rsidR="00CA6524" w:rsidRPr="002A4292">
        <w:rPr>
          <w:szCs w:val="19"/>
        </w:rPr>
        <w:t xml:space="preserve"> operating environment in</w:t>
      </w:r>
      <w:r w:rsidRPr="002A4292">
        <w:rPr>
          <w:szCs w:val="19"/>
        </w:rPr>
        <w:t xml:space="preserve"> </w:t>
      </w:r>
      <w:r w:rsidR="00CA6524" w:rsidRPr="002A4292">
        <w:rPr>
          <w:szCs w:val="19"/>
        </w:rPr>
        <w:t>the Ministry of Education</w:t>
      </w:r>
      <w:r w:rsidRPr="002A4292">
        <w:rPr>
          <w:szCs w:val="19"/>
        </w:rPr>
        <w:t xml:space="preserve">. </w:t>
      </w:r>
    </w:p>
    <w:p w:rsidR="00695E6D" w:rsidRPr="002A4292" w:rsidRDefault="00695E6D" w:rsidP="00C17E42">
      <w:pPr>
        <w:pStyle w:val="Heading3"/>
      </w:pPr>
      <w:r w:rsidRPr="002A4292">
        <w:t xml:space="preserve">Delivery </w:t>
      </w:r>
      <w:r w:rsidR="0066491C" w:rsidRPr="002A4292">
        <w:t>e</w:t>
      </w:r>
      <w:r w:rsidRPr="002A4292">
        <w:t>ffectiveness</w:t>
      </w:r>
    </w:p>
    <w:p w:rsidR="00A92B08" w:rsidRPr="002A4292" w:rsidRDefault="00A92B08" w:rsidP="00C17E42">
      <w:pPr>
        <w:pStyle w:val="BodyText"/>
      </w:pPr>
      <w:r w:rsidRPr="002A4292">
        <w:t xml:space="preserve">The program uses a number of </w:t>
      </w:r>
      <w:r w:rsidR="003575ED">
        <w:t>delivery methods</w:t>
      </w:r>
      <w:r w:rsidR="003575ED" w:rsidRPr="002A4292">
        <w:t xml:space="preserve"> </w:t>
      </w:r>
      <w:r w:rsidRPr="002A4292">
        <w:t>to support the Ministry of</w:t>
      </w:r>
      <w:r w:rsidR="003C0492" w:rsidRPr="002A4292">
        <w:t xml:space="preserve"> Education</w:t>
      </w:r>
      <w:r w:rsidR="0008688E">
        <w:t xml:space="preserve">. </w:t>
      </w:r>
      <w:r w:rsidR="003575ED">
        <w:t>Most</w:t>
      </w:r>
      <w:r w:rsidR="003C0492" w:rsidRPr="002A4292">
        <w:t xml:space="preserve"> of</w:t>
      </w:r>
      <w:r w:rsidRPr="002A4292">
        <w:t xml:space="preserve"> Australia’s support is being implemented by a managing contractor</w:t>
      </w:r>
      <w:r w:rsidR="0008688E">
        <w:t>.</w:t>
      </w:r>
      <w:r w:rsidR="00D23312">
        <w:t xml:space="preserve"> </w:t>
      </w:r>
      <w:r w:rsidR="00DE478F">
        <w:t xml:space="preserve">Australia is </w:t>
      </w:r>
      <w:r w:rsidRPr="002A4292">
        <w:t>also provid</w:t>
      </w:r>
      <w:r w:rsidR="00DE478F">
        <w:t>ing</w:t>
      </w:r>
      <w:r w:rsidRPr="002A4292">
        <w:t xml:space="preserve"> grant funding to UNESCO and UNICEF, technical support through </w:t>
      </w:r>
      <w:r w:rsidR="003575ED">
        <w:t xml:space="preserve">the Pacific Technical Assistance Mechanism </w:t>
      </w:r>
      <w:r w:rsidRPr="002A4292">
        <w:t xml:space="preserve">and </w:t>
      </w:r>
      <w:r w:rsidR="00651F63">
        <w:t>DFAT</w:t>
      </w:r>
      <w:r w:rsidR="00651F63" w:rsidRPr="002A4292">
        <w:t xml:space="preserve">’s </w:t>
      </w:r>
      <w:r w:rsidRPr="002A4292">
        <w:t xml:space="preserve">Education Resource Facility and </w:t>
      </w:r>
      <w:proofErr w:type="gramStart"/>
      <w:r w:rsidR="003C0492" w:rsidRPr="002A4292">
        <w:t>a</w:t>
      </w:r>
      <w:r w:rsidRPr="002A4292">
        <w:t>ccountable</w:t>
      </w:r>
      <w:proofErr w:type="gramEnd"/>
      <w:r w:rsidRPr="002A4292">
        <w:t xml:space="preserve"> </w:t>
      </w:r>
      <w:r w:rsidR="003C0492" w:rsidRPr="002A4292">
        <w:t>cash g</w:t>
      </w:r>
      <w:r w:rsidRPr="002A4292">
        <w:t>rants to the Ministry of Education.</w:t>
      </w:r>
    </w:p>
    <w:p w:rsidR="00903149" w:rsidRDefault="00A92B08" w:rsidP="00C17E42">
      <w:pPr>
        <w:pStyle w:val="BodyText"/>
      </w:pPr>
      <w:r w:rsidRPr="002A4292">
        <w:t>UN partners completed prescribed activities by the end of the</w:t>
      </w:r>
      <w:r w:rsidR="003575ED">
        <w:t xml:space="preserve"> program’s</w:t>
      </w:r>
      <w:r w:rsidRPr="002A4292">
        <w:t xml:space="preserve"> first phase of the program, thereby alleviating</w:t>
      </w:r>
      <w:r w:rsidR="004628F9">
        <w:t xml:space="preserve"> </w:t>
      </w:r>
      <w:r w:rsidR="00651F63">
        <w:t>DFAT</w:t>
      </w:r>
      <w:r w:rsidR="00196CDF">
        <w:t>’s</w:t>
      </w:r>
      <w:r w:rsidRPr="002A4292">
        <w:t xml:space="preserve"> initial concerns about their slow performance</w:t>
      </w:r>
      <w:r w:rsidR="0008688E">
        <w:t xml:space="preserve">. </w:t>
      </w:r>
    </w:p>
    <w:p w:rsidR="00A92B08" w:rsidRPr="002A4292" w:rsidRDefault="00A92B08" w:rsidP="00C17E42">
      <w:pPr>
        <w:pStyle w:val="BodyText"/>
      </w:pPr>
      <w:r w:rsidRPr="002A4292">
        <w:t>In 2012:</w:t>
      </w:r>
    </w:p>
    <w:p w:rsidR="00695E6D" w:rsidRPr="002A4292" w:rsidRDefault="00695E6D" w:rsidP="00C17E42">
      <w:pPr>
        <w:pStyle w:val="ListBullet"/>
      </w:pPr>
      <w:r w:rsidRPr="002A4292">
        <w:t>UNESCO supported the Ministry of Education to develop a</w:t>
      </w:r>
      <w:r w:rsidR="003C0492" w:rsidRPr="002A4292">
        <w:t xml:space="preserve"> </w:t>
      </w:r>
      <w:r w:rsidRPr="002A4292">
        <w:t>Monitoring and Evaluation Framework for its Education Sector Strategic Plan</w:t>
      </w:r>
      <w:r w:rsidR="0008688E">
        <w:t xml:space="preserve">. </w:t>
      </w:r>
      <w:r w:rsidRPr="002A4292">
        <w:t xml:space="preserve">The </w:t>
      </w:r>
      <w:r w:rsidR="003575ED">
        <w:t>f</w:t>
      </w:r>
      <w:r w:rsidRPr="002A4292">
        <w:t>ramework indicators have been designed to enhance gender and social inclusion monitoring.</w:t>
      </w:r>
      <w:r w:rsidRPr="002A4292">
        <w:rPr>
          <w:rStyle w:val="FootnoteReference"/>
        </w:rPr>
        <w:footnoteReference w:id="32"/>
      </w:r>
      <w:r w:rsidR="00C47CE2" w:rsidRPr="002A4292">
        <w:rPr>
          <w:rStyle w:val="FootnoteReference"/>
        </w:rPr>
        <w:t xml:space="preserve"> </w:t>
      </w:r>
      <w:r w:rsidRPr="002A4292">
        <w:t xml:space="preserve">UNESCO also supported the implementation of the Teacher Service Standards and Teacher Appraisal </w:t>
      </w:r>
      <w:r w:rsidR="003575ED">
        <w:t>S</w:t>
      </w:r>
      <w:r w:rsidRPr="002A4292">
        <w:t xml:space="preserve">ystem and incorporation of climate change, culture and disaster response into the new </w:t>
      </w:r>
      <w:r w:rsidR="00184CDD" w:rsidRPr="002A4292">
        <w:t>grade</w:t>
      </w:r>
      <w:r w:rsidR="00F319E6">
        <w:t>s</w:t>
      </w:r>
      <w:r w:rsidRPr="002A4292">
        <w:t xml:space="preserve"> 1 </w:t>
      </w:r>
      <w:r w:rsidR="00A44753">
        <w:t>and</w:t>
      </w:r>
      <w:r w:rsidR="00F319E6">
        <w:t xml:space="preserve"> </w:t>
      </w:r>
      <w:r w:rsidRPr="002A4292">
        <w:t>2 curriculum.</w:t>
      </w:r>
    </w:p>
    <w:p w:rsidR="00695E6D" w:rsidRPr="002A4292" w:rsidRDefault="00695E6D" w:rsidP="00C17E42">
      <w:pPr>
        <w:pStyle w:val="ListBullet"/>
      </w:pPr>
      <w:r w:rsidRPr="002A4292">
        <w:t xml:space="preserve">UNICEF improved access to water and sanitation facilities for 2458 students at four South Tarawa schools and supported the Ministry of Education in conducting early grade literacy training workshops, reviewing </w:t>
      </w:r>
      <w:r w:rsidR="003575ED">
        <w:t>s</w:t>
      </w:r>
      <w:r w:rsidRPr="002A4292">
        <w:t xml:space="preserve">chool </w:t>
      </w:r>
      <w:r w:rsidR="003575ED">
        <w:t>i</w:t>
      </w:r>
      <w:r w:rsidRPr="002A4292">
        <w:t xml:space="preserve">mprovement </w:t>
      </w:r>
      <w:r w:rsidR="003575ED">
        <w:t>s</w:t>
      </w:r>
      <w:r w:rsidRPr="002A4292">
        <w:t>tandards and facilitating a learning mission on community</w:t>
      </w:r>
      <w:r w:rsidR="003575ED">
        <w:t>-</w:t>
      </w:r>
      <w:r w:rsidRPr="002A4292">
        <w:t>based school reconstruction to Solomon Islands.</w:t>
      </w:r>
    </w:p>
    <w:p w:rsidR="00695E6D" w:rsidRPr="002A4292" w:rsidRDefault="00695E6D" w:rsidP="00C17E42">
      <w:pPr>
        <w:pStyle w:val="BodyText"/>
      </w:pPr>
      <w:r w:rsidRPr="002A4292">
        <w:t xml:space="preserve">The use of multiple </w:t>
      </w:r>
      <w:r w:rsidR="003575ED">
        <w:t>ways to deliver aid</w:t>
      </w:r>
      <w:r w:rsidR="003575ED" w:rsidRPr="002A4292">
        <w:t xml:space="preserve"> </w:t>
      </w:r>
      <w:r w:rsidRPr="002A4292">
        <w:t xml:space="preserve">has enabled </w:t>
      </w:r>
      <w:r w:rsidR="00651F63">
        <w:t xml:space="preserve">DFAT </w:t>
      </w:r>
      <w:r w:rsidRPr="002A4292">
        <w:t>to be responsive and flexible to Ministry of Education requests</w:t>
      </w:r>
      <w:r w:rsidR="0008688E">
        <w:t xml:space="preserve">. </w:t>
      </w:r>
      <w:r w:rsidRPr="002A4292">
        <w:t>Aside from delays in rehabilitating school facilities, most deliverables have been provided in a timely and efficient manner underscoring the program’s ongoing value for money</w:t>
      </w:r>
      <w:r w:rsidR="0008688E">
        <w:t xml:space="preserve">. </w:t>
      </w:r>
      <w:r w:rsidRPr="002A4292">
        <w:t xml:space="preserve">However, the use of multiple </w:t>
      </w:r>
      <w:r w:rsidR="003575ED">
        <w:t>methods</w:t>
      </w:r>
      <w:r w:rsidR="003575ED" w:rsidRPr="002A4292">
        <w:t xml:space="preserve"> </w:t>
      </w:r>
      <w:r w:rsidR="003575ED">
        <w:t>is challenging</w:t>
      </w:r>
      <w:r w:rsidRPr="002A4292">
        <w:t xml:space="preserve"> for </w:t>
      </w:r>
      <w:r w:rsidR="00651F63">
        <w:t xml:space="preserve">DFAT </w:t>
      </w:r>
      <w:r w:rsidR="003A54B4">
        <w:t xml:space="preserve">since it requires the </w:t>
      </w:r>
      <w:r w:rsidR="00436B8C">
        <w:t>department</w:t>
      </w:r>
      <w:r w:rsidR="003575ED">
        <w:t xml:space="preserve"> to manage various</w:t>
      </w:r>
      <w:r w:rsidRPr="002A4292">
        <w:t xml:space="preserve"> resource-intensive inputs and agreements</w:t>
      </w:r>
      <w:r w:rsidR="0008688E">
        <w:t xml:space="preserve">. </w:t>
      </w:r>
      <w:r w:rsidRPr="002A4292">
        <w:t xml:space="preserve">This challenge </w:t>
      </w:r>
      <w:r w:rsidR="003575ED">
        <w:t>will</w:t>
      </w:r>
      <w:r w:rsidR="003575ED" w:rsidRPr="002A4292">
        <w:t xml:space="preserve"> </w:t>
      </w:r>
      <w:r w:rsidRPr="002A4292">
        <w:t>likely increase when the</w:t>
      </w:r>
      <w:r w:rsidR="003575ED">
        <w:t xml:space="preserve"> program’s</w:t>
      </w:r>
      <w:r w:rsidRPr="002A4292">
        <w:t xml:space="preserve"> school grants component</w:t>
      </w:r>
      <w:r w:rsidR="003575ED">
        <w:t xml:space="preserve"> </w:t>
      </w:r>
      <w:r w:rsidRPr="002A4292">
        <w:t xml:space="preserve">is </w:t>
      </w:r>
      <w:r w:rsidRPr="002A4292">
        <w:lastRenderedPageBreak/>
        <w:t>implemented. It has also affected the Ministry of Education, which struggle</w:t>
      </w:r>
      <w:r w:rsidR="003575ED">
        <w:t>s</w:t>
      </w:r>
      <w:r w:rsidRPr="002A4292">
        <w:t xml:space="preserve"> at times to understand the roles and contributions of players</w:t>
      </w:r>
      <w:r w:rsidR="0008688E">
        <w:t xml:space="preserve">. </w:t>
      </w:r>
      <w:r w:rsidR="003A54B4">
        <w:t>Australia</w:t>
      </w:r>
      <w:r w:rsidR="003575ED">
        <w:t xml:space="preserve"> may need to provide more</w:t>
      </w:r>
      <w:r w:rsidRPr="002A4292">
        <w:t xml:space="preserve"> assistance to address </w:t>
      </w:r>
      <w:r w:rsidR="003575ED">
        <w:t xml:space="preserve">the </w:t>
      </w:r>
      <w:r w:rsidR="00A92FB9">
        <w:t>M</w:t>
      </w:r>
      <w:r w:rsidR="003575ED">
        <w:t xml:space="preserve">inistry’s </w:t>
      </w:r>
      <w:r w:rsidRPr="002A4292">
        <w:t>capacity constraints.</w:t>
      </w:r>
    </w:p>
    <w:p w:rsidR="00695E6D" w:rsidRPr="002A4292" w:rsidRDefault="00695E6D" w:rsidP="00C17E42">
      <w:pPr>
        <w:pStyle w:val="BodyText"/>
        <w:rPr>
          <w:rFonts w:ascii="Franklin Gothic Demi" w:hAnsi="Franklin Gothic Demi" w:cs="Arial"/>
          <w:color w:val="AD495D"/>
          <w:kern w:val="28"/>
          <w:sz w:val="24"/>
          <w:szCs w:val="28"/>
        </w:rPr>
      </w:pPr>
      <w:r w:rsidRPr="002A4292">
        <w:t>Australia supports the gradual transition</w:t>
      </w:r>
      <w:r w:rsidR="00903149">
        <w:t xml:space="preserve"> of the program</w:t>
      </w:r>
      <w:r w:rsidRPr="002A4292">
        <w:t xml:space="preserve"> to a sector</w:t>
      </w:r>
      <w:r w:rsidR="00A92FB9">
        <w:t>-</w:t>
      </w:r>
      <w:r w:rsidRPr="002A4292">
        <w:t>wide approach</w:t>
      </w:r>
      <w:r w:rsidR="0008688E">
        <w:t xml:space="preserve">. </w:t>
      </w:r>
      <w:r w:rsidRPr="002A4292">
        <w:t xml:space="preserve">Moving toward </w:t>
      </w:r>
      <w:r w:rsidR="00A92FB9">
        <w:t>this</w:t>
      </w:r>
      <w:r w:rsidRPr="002A4292">
        <w:t xml:space="preserve"> approach over time will enable the program to strengthen key government machinery (procurement, policy, planning and budget management systems)</w:t>
      </w:r>
      <w:r w:rsidR="00903149">
        <w:t>, which is</w:t>
      </w:r>
      <w:r w:rsidRPr="002A4292">
        <w:t xml:space="preserve"> critical to ensuring benefits are sustained beyond the life of the program</w:t>
      </w:r>
      <w:r w:rsidR="00A70C52">
        <w:t xml:space="preserve">. </w:t>
      </w:r>
      <w:r w:rsidRPr="002A4292">
        <w:t xml:space="preserve">Phase </w:t>
      </w:r>
      <w:r w:rsidR="00DC7C01" w:rsidRPr="002A4292">
        <w:t>T</w:t>
      </w:r>
      <w:r w:rsidRPr="002A4292">
        <w:t>wo will focus on establishing some basic components, such as better donor coordination and alignment behind a Government of Kiribati</w:t>
      </w:r>
      <w:r w:rsidR="00A92FB9">
        <w:t>-</w:t>
      </w:r>
      <w:r w:rsidRPr="002A4292">
        <w:t>led sector strategy.</w:t>
      </w:r>
    </w:p>
    <w:p w:rsidR="00695E6D" w:rsidRPr="00C17E42" w:rsidRDefault="00695E6D" w:rsidP="00C17E42">
      <w:pPr>
        <w:pStyle w:val="Heading2"/>
      </w:pPr>
      <w:r w:rsidRPr="00C17E42">
        <w:t>Outcome 2: Workforce Skills Development</w:t>
      </w:r>
    </w:p>
    <w:p w:rsidR="00695E6D" w:rsidRPr="002A4292" w:rsidRDefault="00695E6D" w:rsidP="00C17E42">
      <w:pPr>
        <w:pStyle w:val="BodyText"/>
        <w:ind w:left="1440" w:hanging="1440"/>
      </w:pPr>
      <w:r w:rsidRPr="002A4292">
        <w:rPr>
          <w:b/>
        </w:rPr>
        <w:t xml:space="preserve">Commitment </w:t>
      </w:r>
      <w:r w:rsidR="00C17E42">
        <w:rPr>
          <w:b/>
        </w:rPr>
        <w:tab/>
      </w:r>
      <w:r w:rsidRPr="002A4292">
        <w:t>Provide opportunities for people to develop workforce skills in areas of domestic and international industry demand</w:t>
      </w:r>
      <w:r w:rsidR="00F319E6">
        <w:t>.</w:t>
      </w:r>
    </w:p>
    <w:p w:rsidR="00695E6D" w:rsidRPr="002A4292" w:rsidRDefault="00695E6D" w:rsidP="00C17E42">
      <w:pPr>
        <w:pStyle w:val="BodyText"/>
        <w:ind w:left="1440" w:hanging="1440"/>
        <w:rPr>
          <w:b/>
        </w:rPr>
      </w:pPr>
      <w:r w:rsidRPr="002A4292">
        <w:rPr>
          <w:b/>
        </w:rPr>
        <w:t xml:space="preserve">Targets </w:t>
      </w:r>
      <w:r w:rsidR="00C17E42">
        <w:tab/>
      </w:r>
      <w:r w:rsidRPr="002A4292">
        <w:t>I</w:t>
      </w:r>
      <w:proofErr w:type="spellStart"/>
      <w:r w:rsidRPr="002A4292">
        <w:rPr>
          <w:lang w:val="en-GB"/>
        </w:rPr>
        <w:t>ncrease</w:t>
      </w:r>
      <w:proofErr w:type="spellEnd"/>
      <w:r w:rsidRPr="002A4292">
        <w:rPr>
          <w:lang w:val="en-GB"/>
        </w:rPr>
        <w:t xml:space="preserve"> each year the number of people aged 16 to 24 </w:t>
      </w:r>
      <w:r w:rsidR="00A92FB9">
        <w:rPr>
          <w:lang w:val="en-GB"/>
        </w:rPr>
        <w:t xml:space="preserve">years </w:t>
      </w:r>
      <w:r w:rsidRPr="002A4292">
        <w:rPr>
          <w:lang w:val="en-GB"/>
        </w:rPr>
        <w:t xml:space="preserve">enrolling in and completing </w:t>
      </w:r>
      <w:r w:rsidR="00A92FB9">
        <w:rPr>
          <w:bCs/>
          <w:lang w:val="en-GB"/>
        </w:rPr>
        <w:t>TVET</w:t>
      </w:r>
      <w:r w:rsidRPr="002A4292">
        <w:rPr>
          <w:bCs/>
          <w:lang w:val="en-GB"/>
        </w:rPr>
        <w:t xml:space="preserve"> </w:t>
      </w:r>
      <w:r w:rsidRPr="002A4292">
        <w:rPr>
          <w:lang w:val="en-GB"/>
        </w:rPr>
        <w:t>courses which have internationally recognised qualifications</w:t>
      </w:r>
      <w:r w:rsidRPr="002A4292">
        <w:rPr>
          <w:b/>
        </w:rPr>
        <w:t xml:space="preserve"> </w:t>
      </w:r>
      <w:r w:rsidRPr="002A4292">
        <w:t>(on track).</w:t>
      </w:r>
    </w:p>
    <w:p w:rsidR="00695E6D" w:rsidRPr="002A4292" w:rsidRDefault="00695E6D" w:rsidP="00C17E42">
      <w:pPr>
        <w:pStyle w:val="BodyText"/>
        <w:ind w:left="1440"/>
      </w:pPr>
      <w:r w:rsidRPr="002A4292">
        <w:t xml:space="preserve">Increase completion rates for </w:t>
      </w:r>
      <w:r w:rsidR="00263E83" w:rsidRPr="002A4292">
        <w:t>i-Kiribati</w:t>
      </w:r>
      <w:r w:rsidRPr="002A4292">
        <w:t xml:space="preserve"> studying at tert</w:t>
      </w:r>
      <w:r w:rsidR="005B7D58" w:rsidRPr="002A4292">
        <w:t>iary education institutions (on </w:t>
      </w:r>
      <w:r w:rsidRPr="002A4292">
        <w:t>track</w:t>
      </w:r>
      <w:r w:rsidR="0085675A" w:rsidRPr="002A4292">
        <w:t xml:space="preserve"> for domestic students</w:t>
      </w:r>
      <w:r w:rsidR="00903149">
        <w:t xml:space="preserve"> and </w:t>
      </w:r>
      <w:r w:rsidR="0085675A" w:rsidRPr="002A4292">
        <w:t>off</w:t>
      </w:r>
      <w:r w:rsidR="00CF0985">
        <w:t xml:space="preserve"> </w:t>
      </w:r>
      <w:r w:rsidR="0085675A" w:rsidRPr="002A4292">
        <w:t>track for international students)</w:t>
      </w:r>
      <w:r w:rsidRPr="002A4292">
        <w:t>.</w:t>
      </w:r>
    </w:p>
    <w:p w:rsidR="00695E6D" w:rsidRPr="002A4292" w:rsidRDefault="00695E6D" w:rsidP="00C17E42">
      <w:pPr>
        <w:pStyle w:val="BodyText"/>
        <w:ind w:left="1440"/>
      </w:pPr>
      <w:r w:rsidRPr="002A4292">
        <w:t xml:space="preserve">Increase the number of </w:t>
      </w:r>
      <w:r w:rsidR="00263E83" w:rsidRPr="002A4292">
        <w:t>i-Kiribati</w:t>
      </w:r>
      <w:r w:rsidRPr="002A4292">
        <w:t xml:space="preserve"> workers accessing employment opportunities overseas (off track).</w:t>
      </w:r>
    </w:p>
    <w:p w:rsidR="00695E6D" w:rsidRPr="002A4292" w:rsidRDefault="00695E6D" w:rsidP="00C17E42">
      <w:pPr>
        <w:pStyle w:val="BodyText"/>
        <w:ind w:left="1440" w:hanging="1440"/>
      </w:pPr>
      <w:proofErr w:type="gramStart"/>
      <w:r w:rsidRPr="002A4292">
        <w:rPr>
          <w:b/>
        </w:rPr>
        <w:t xml:space="preserve">Rating </w:t>
      </w:r>
      <w:r w:rsidRPr="002A4292">
        <w:rPr>
          <w:b/>
        </w:rPr>
        <w:tab/>
      </w:r>
      <w:r w:rsidRPr="002A4292">
        <w:t xml:space="preserve">Amber: Results for the workforce </w:t>
      </w:r>
      <w:r w:rsidR="00DC7C01" w:rsidRPr="002A4292">
        <w:t xml:space="preserve">skills </w:t>
      </w:r>
      <w:r w:rsidRPr="002A4292">
        <w:t>development outcome continued to be mixed in 2012</w:t>
      </w:r>
      <w:r w:rsidR="00A44753">
        <w:t>–</w:t>
      </w:r>
      <w:r w:rsidRPr="002A4292">
        <w:t>13</w:t>
      </w:r>
      <w:r w:rsidR="0008688E">
        <w:t>.</w:t>
      </w:r>
      <w:proofErr w:type="gramEnd"/>
      <w:r w:rsidR="00D23312">
        <w:t xml:space="preserve"> </w:t>
      </w:r>
      <w:r w:rsidR="005666B6">
        <w:t xml:space="preserve">Australia’s </w:t>
      </w:r>
      <w:r w:rsidRPr="002A4292">
        <w:t>support to strengthen the TVET sector is perfor</w:t>
      </w:r>
      <w:r w:rsidR="005E7D29">
        <w:t xml:space="preserve">ming satisfactorily, however, </w:t>
      </w:r>
      <w:r w:rsidR="00651F63">
        <w:t xml:space="preserve">DFAT </w:t>
      </w:r>
      <w:r w:rsidR="005E7D29">
        <w:t>has</w:t>
      </w:r>
      <w:r w:rsidRPr="002A4292">
        <w:t xml:space="preserve"> serious concerns about the </w:t>
      </w:r>
      <w:r w:rsidR="005155DB" w:rsidRPr="002A4292">
        <w:t>efficiency</w:t>
      </w:r>
      <w:r w:rsidRPr="002A4292">
        <w:t xml:space="preserve"> of </w:t>
      </w:r>
      <w:r w:rsidR="004D102A" w:rsidRPr="002A4292">
        <w:t xml:space="preserve">the </w:t>
      </w:r>
      <w:r w:rsidRPr="002A4292">
        <w:t>Kiribati</w:t>
      </w:r>
      <w:r w:rsidR="00903149">
        <w:t>-</w:t>
      </w:r>
      <w:r w:rsidRPr="002A4292">
        <w:t>Australia Nursing Initiative</w:t>
      </w:r>
      <w:r w:rsidR="005155DB" w:rsidRPr="002A4292">
        <w:t xml:space="preserve"> </w:t>
      </w:r>
      <w:r w:rsidRPr="002A4292">
        <w:t xml:space="preserve">and the findings of an independent review are being used to inform a decision about </w:t>
      </w:r>
      <w:r w:rsidR="005666B6">
        <w:t>Australia’s</w:t>
      </w:r>
      <w:r w:rsidR="00DC7C01" w:rsidRPr="002A4292">
        <w:t xml:space="preserve"> future support to this area</w:t>
      </w:r>
      <w:r w:rsidR="0008688E">
        <w:t xml:space="preserve">. </w:t>
      </w:r>
      <w:r w:rsidRPr="002A4292">
        <w:t xml:space="preserve">Overall, the outcome is partially on track to meet joint commitments. </w:t>
      </w:r>
    </w:p>
    <w:p w:rsidR="00E8695F" w:rsidRDefault="00695E6D" w:rsidP="00C17E42">
      <w:pPr>
        <w:pStyle w:val="BodyText"/>
      </w:pPr>
      <w:r w:rsidRPr="002A4292">
        <w:t xml:space="preserve">Australia is supporting the </w:t>
      </w:r>
      <w:r w:rsidR="00A92FB9">
        <w:t>p</w:t>
      </w:r>
      <w:r w:rsidRPr="002A4292">
        <w:t xml:space="preserve">artnership commitment of providing opportunities for </w:t>
      </w:r>
      <w:r w:rsidR="00263E83" w:rsidRPr="002A4292">
        <w:t>i-Kiribati</w:t>
      </w:r>
      <w:r w:rsidRPr="002A4292">
        <w:t xml:space="preserve"> women and men to develop workforce skills in domestic and international industry demand through bilateral and regional programs</w:t>
      </w:r>
      <w:r w:rsidR="0008688E">
        <w:t xml:space="preserve">. </w:t>
      </w:r>
      <w:r w:rsidRPr="002A4292">
        <w:t xml:space="preserve">The </w:t>
      </w:r>
      <w:r w:rsidR="00A92FB9">
        <w:t xml:space="preserve">long-term </w:t>
      </w:r>
      <w:r w:rsidRPr="002A4292">
        <w:t>Kiribati T</w:t>
      </w:r>
      <w:r w:rsidR="002F241E">
        <w:t xml:space="preserve">VET </w:t>
      </w:r>
      <w:r w:rsidRPr="002A4292">
        <w:t>Sector Strengthening Program strengthen</w:t>
      </w:r>
      <w:r w:rsidR="00A92FB9">
        <w:t>s</w:t>
      </w:r>
      <w:r w:rsidRPr="002A4292">
        <w:t xml:space="preserve"> the Ministry of Labour and Human Resource Development’s (MLHRD) capacity to oversee and manage TVET</w:t>
      </w:r>
      <w:r w:rsidRPr="002A4292" w:rsidDel="00071BE5">
        <w:t xml:space="preserve"> </w:t>
      </w:r>
      <w:r w:rsidRPr="002A4292">
        <w:t>institutions, including the Kiribati Institute of Technology, Maritime Training College and Fisheries Training College</w:t>
      </w:r>
      <w:r w:rsidR="0008688E">
        <w:t xml:space="preserve">. </w:t>
      </w:r>
      <w:r w:rsidRPr="002A4292">
        <w:t>The program is also working directly with the Kiribati Institute of Technology to expand and improve the quality of courses it offers</w:t>
      </w:r>
      <w:r w:rsidR="0008688E">
        <w:t xml:space="preserve">. </w:t>
      </w:r>
      <w:r w:rsidRPr="002A4292">
        <w:t xml:space="preserve">Other programs that support access to training and employment opportunities in the region include scholarships (Australia Awards Scholarships and Kiribati-Australia Nursing Initiative Scholarships), the Australia-Pacific Technical College </w:t>
      </w:r>
      <w:r w:rsidR="00EB260D">
        <w:t xml:space="preserve">(APTC) </w:t>
      </w:r>
      <w:r w:rsidRPr="002A4292">
        <w:t>and the Pacific Seasonal Worker Scheme</w:t>
      </w:r>
      <w:r w:rsidR="0008688E">
        <w:t xml:space="preserve">. </w:t>
      </w:r>
    </w:p>
    <w:p w:rsidR="00F319E6" w:rsidRPr="002A4292" w:rsidRDefault="00F319E6" w:rsidP="00C17E42">
      <w:pPr>
        <w:pStyle w:val="Heading3"/>
      </w:pPr>
      <w:r w:rsidRPr="002A4292">
        <w:t>Progress against targets</w:t>
      </w:r>
    </w:p>
    <w:p w:rsidR="00695E6D" w:rsidRPr="002A4292" w:rsidRDefault="00695E6D" w:rsidP="00C17E42">
      <w:pPr>
        <w:pStyle w:val="BodyText"/>
        <w:rPr>
          <w:i/>
        </w:rPr>
      </w:pPr>
      <w:r w:rsidRPr="002A4292">
        <w:rPr>
          <w:i/>
        </w:rPr>
        <w:t>Stronger technical and vocational education and training sector</w:t>
      </w:r>
    </w:p>
    <w:p w:rsidR="00695E6D" w:rsidRPr="002A4292" w:rsidRDefault="00695E6D" w:rsidP="00C17E42">
      <w:pPr>
        <w:pStyle w:val="BodyText"/>
      </w:pPr>
      <w:r w:rsidRPr="002A4292">
        <w:t>In 2012</w:t>
      </w:r>
      <w:r w:rsidR="00A44753">
        <w:t>–</w:t>
      </w:r>
      <w:r w:rsidRPr="002A4292">
        <w:t>13</w:t>
      </w:r>
      <w:r w:rsidR="00E8695F">
        <w:t>,</w:t>
      </w:r>
      <w:r w:rsidRPr="002A4292">
        <w:t xml:space="preserve"> activities to strengthen MLHRD capacity to oversee and manage TVET</w:t>
      </w:r>
      <w:r w:rsidRPr="002A4292" w:rsidDel="00071BE5">
        <w:t xml:space="preserve"> </w:t>
      </w:r>
      <w:r w:rsidRPr="002A4292">
        <w:t>institutions included:</w:t>
      </w:r>
    </w:p>
    <w:p w:rsidR="00695E6D" w:rsidRPr="002A4292" w:rsidRDefault="00695E6D" w:rsidP="00C17E42">
      <w:pPr>
        <w:pStyle w:val="ListBullet"/>
      </w:pPr>
      <w:r w:rsidRPr="002A4292">
        <w:t>drafting a sector-wide po</w:t>
      </w:r>
      <w:r w:rsidR="00756B1C" w:rsidRPr="002A4292">
        <w:t>licy and strategic framework,</w:t>
      </w:r>
      <w:r w:rsidRPr="002A4292">
        <w:t xml:space="preserve"> a MLHRD strategic plan</w:t>
      </w:r>
      <w:r w:rsidR="00756B1C" w:rsidRPr="002A4292">
        <w:t xml:space="preserve"> and</w:t>
      </w:r>
      <w:r w:rsidRPr="002A4292">
        <w:t xml:space="preserve"> a position paper </w:t>
      </w:r>
      <w:r w:rsidR="00E8695F">
        <w:t>on</w:t>
      </w:r>
      <w:r w:rsidR="00E8695F" w:rsidRPr="002A4292">
        <w:t xml:space="preserve"> </w:t>
      </w:r>
      <w:r w:rsidRPr="002A4292">
        <w:t>modernising the apprenticeship and trade-testing system</w:t>
      </w:r>
      <w:r w:rsidR="00D23312">
        <w:t xml:space="preserve"> </w:t>
      </w:r>
    </w:p>
    <w:p w:rsidR="00695E6D" w:rsidRPr="002A4292" w:rsidRDefault="005155DB" w:rsidP="00C17E42">
      <w:pPr>
        <w:pStyle w:val="ListBullet"/>
      </w:pPr>
      <w:r w:rsidRPr="002A4292">
        <w:t>prepar</w:t>
      </w:r>
      <w:r w:rsidR="00A44753">
        <w:t xml:space="preserve">ing </w:t>
      </w:r>
      <w:r w:rsidRPr="002A4292">
        <w:t>labour mobility strategies</w:t>
      </w:r>
      <w:r w:rsidR="00695E6D" w:rsidRPr="002A4292">
        <w:t xml:space="preserve"> </w:t>
      </w:r>
    </w:p>
    <w:p w:rsidR="00695E6D" w:rsidRPr="002A4292" w:rsidRDefault="00695E6D" w:rsidP="00C17E42">
      <w:pPr>
        <w:pStyle w:val="ListBullet"/>
      </w:pPr>
      <w:proofErr w:type="gramStart"/>
      <w:r w:rsidRPr="002A4292">
        <w:lastRenderedPageBreak/>
        <w:t>establish</w:t>
      </w:r>
      <w:r w:rsidR="00A44753">
        <w:t>ing</w:t>
      </w:r>
      <w:proofErr w:type="gramEnd"/>
      <w:r w:rsidRPr="002A4292">
        <w:t xml:space="preserve"> stronger sectoral advisory mechanisms, including a new TVET Board and </w:t>
      </w:r>
      <w:r w:rsidR="00E8695F">
        <w:t>i</w:t>
      </w:r>
      <w:r w:rsidRPr="002A4292">
        <w:t xml:space="preserve">ndustry </w:t>
      </w:r>
      <w:r w:rsidR="00E8695F">
        <w:t>t</w:t>
      </w:r>
      <w:r w:rsidRPr="002A4292">
        <w:t xml:space="preserve">raining </w:t>
      </w:r>
      <w:r w:rsidR="00E8695F">
        <w:t>a</w:t>
      </w:r>
      <w:r w:rsidRPr="002A4292">
        <w:t xml:space="preserve">dvisory </w:t>
      </w:r>
      <w:r w:rsidR="00E8695F">
        <w:t>c</w:t>
      </w:r>
      <w:r w:rsidRPr="002A4292">
        <w:t xml:space="preserve">ommittees. </w:t>
      </w:r>
    </w:p>
    <w:p w:rsidR="00695E6D" w:rsidRDefault="00695E6D" w:rsidP="00C17E42">
      <w:pPr>
        <w:pStyle w:val="BodyText"/>
      </w:pPr>
      <w:r w:rsidRPr="002A4292">
        <w:t>It is too early to gauge the effe</w:t>
      </w:r>
      <w:r w:rsidR="00756B1C" w:rsidRPr="002A4292">
        <w:t xml:space="preserve">ctiveness of these </w:t>
      </w:r>
      <w:proofErr w:type="gramStart"/>
      <w:r w:rsidR="00756B1C" w:rsidRPr="002A4292">
        <w:t>activities,</w:t>
      </w:r>
      <w:proofErr w:type="gramEnd"/>
      <w:r w:rsidR="00756B1C" w:rsidRPr="002A4292">
        <w:t xml:space="preserve"> however, </w:t>
      </w:r>
      <w:r w:rsidRPr="002A4292">
        <w:t>overall progress in 2012</w:t>
      </w:r>
      <w:r w:rsidR="003557F2">
        <w:noBreakHyphen/>
      </w:r>
      <w:r w:rsidRPr="002A4292">
        <w:t>13 was slow</w:t>
      </w:r>
      <w:r w:rsidR="0008688E">
        <w:t xml:space="preserve">. </w:t>
      </w:r>
      <w:r w:rsidRPr="002A4292">
        <w:t>The primary reason was leadership and staffing constraints within</w:t>
      </w:r>
      <w:r w:rsidR="00EB260D">
        <w:t xml:space="preserve"> the</w:t>
      </w:r>
      <w:r w:rsidRPr="002A4292">
        <w:t xml:space="preserve"> MLHRD</w:t>
      </w:r>
      <w:r w:rsidR="0008688E">
        <w:t xml:space="preserve">. </w:t>
      </w:r>
      <w:r w:rsidRPr="002A4292">
        <w:t xml:space="preserve">In late 2012, </w:t>
      </w:r>
      <w:r w:rsidR="00EB260D">
        <w:t xml:space="preserve">the </w:t>
      </w:r>
      <w:r w:rsidRPr="002A4292">
        <w:t>MLHRD secured strong capable leadership and progress sub</w:t>
      </w:r>
      <w:r w:rsidR="00D5456B" w:rsidRPr="002A4292">
        <w:t>sequently improved</w:t>
      </w:r>
      <w:r w:rsidR="0008688E">
        <w:t xml:space="preserve">. </w:t>
      </w:r>
      <w:r w:rsidR="00651F63">
        <w:t xml:space="preserve">DFAT </w:t>
      </w:r>
      <w:r w:rsidR="005E7D29">
        <w:t>is</w:t>
      </w:r>
      <w:r w:rsidR="00C17E42">
        <w:t xml:space="preserve"> examining whether </w:t>
      </w:r>
      <w:r w:rsidR="00C969FA" w:rsidRPr="002A4292">
        <w:t xml:space="preserve">directing more of existing program resources (including adviser inputs) to MLHRD activities </w:t>
      </w:r>
      <w:r w:rsidRPr="002A4292">
        <w:t xml:space="preserve">would help to improve progress. </w:t>
      </w:r>
    </w:p>
    <w:p w:rsidR="00695E6D" w:rsidRPr="002A4292" w:rsidRDefault="00695E6D" w:rsidP="00C17E42">
      <w:pPr>
        <w:pStyle w:val="BodyText"/>
      </w:pPr>
      <w:r w:rsidRPr="002A4292">
        <w:t>Progress to improve the quality, quantity, scope and equity of training delivered at the Kiribati Institute of Technology was more successful</w:t>
      </w:r>
      <w:r w:rsidR="0008688E">
        <w:t xml:space="preserve">. </w:t>
      </w:r>
      <w:r w:rsidRPr="002A4292">
        <w:t xml:space="preserve">Results include </w:t>
      </w:r>
      <w:r w:rsidR="002F241E">
        <w:t>adopting</w:t>
      </w:r>
      <w:r w:rsidRPr="002A4292">
        <w:t xml:space="preserve"> the Australian Quality Training Framework standards and improvements in staff technical capacity</w:t>
      </w:r>
      <w:r w:rsidR="0008688E">
        <w:t xml:space="preserve">. </w:t>
      </w:r>
      <w:r w:rsidR="000E1043" w:rsidRPr="002A4292">
        <w:t xml:space="preserve">In 2012, 240 full-time students enrolled compared to 249 in 2011, </w:t>
      </w:r>
      <w:r w:rsidR="00F65AD7" w:rsidRPr="002A4292">
        <w:t>but</w:t>
      </w:r>
      <w:r w:rsidR="000E1043" w:rsidRPr="002A4292">
        <w:t xml:space="preserve"> 20 per cent more graduated than in 2011</w:t>
      </w:r>
      <w:r w:rsidR="0008688E">
        <w:t xml:space="preserve">. </w:t>
      </w:r>
      <w:r w:rsidR="00EB260D">
        <w:t>Adopting m</w:t>
      </w:r>
      <w:r w:rsidRPr="002A4292">
        <w:t>ore flexible delivery options, sharing facilities with the Maritime Training College, and us</w:t>
      </w:r>
      <w:r w:rsidR="00EB260D">
        <w:t>ing</w:t>
      </w:r>
      <w:r w:rsidRPr="002A4292">
        <w:t xml:space="preserve"> workplaces for delivery are </w:t>
      </w:r>
      <w:r w:rsidR="00EB260D">
        <w:t xml:space="preserve">all </w:t>
      </w:r>
      <w:r w:rsidRPr="002A4292">
        <w:t>expected to</w:t>
      </w:r>
      <w:r w:rsidR="00EB260D">
        <w:t xml:space="preserve"> contribute to increased</w:t>
      </w:r>
      <w:r w:rsidRPr="002A4292">
        <w:t xml:space="preserve"> enrolments in 2013</w:t>
      </w:r>
      <w:r w:rsidR="0008688E">
        <w:t xml:space="preserve">. </w:t>
      </w:r>
      <w:r w:rsidRPr="002A4292">
        <w:t>However, delays in facility and equipment upgrades at the Kiribati Institute of Technology have hampered the quality of course delivery and slowed efforts to increase the amount and scope of training delivered</w:t>
      </w:r>
      <w:r w:rsidR="0008688E">
        <w:t xml:space="preserve">. </w:t>
      </w:r>
    </w:p>
    <w:p w:rsidR="00695E6D" w:rsidRPr="002A4292" w:rsidRDefault="00695E6D" w:rsidP="00C17E42">
      <w:pPr>
        <w:pStyle w:val="BodyText"/>
      </w:pPr>
      <w:r w:rsidRPr="002A4292">
        <w:t xml:space="preserve">Although </w:t>
      </w:r>
      <w:r w:rsidR="00651F63">
        <w:t xml:space="preserve">DFAT </w:t>
      </w:r>
      <w:r w:rsidR="00F319E6">
        <w:t>is</w:t>
      </w:r>
      <w:r w:rsidRPr="002A4292">
        <w:t xml:space="preserve"> confident </w:t>
      </w:r>
      <w:r w:rsidR="00F319E6">
        <w:t>that Australia’s</w:t>
      </w:r>
      <w:r w:rsidRPr="002A4292">
        <w:t xml:space="preserve"> support is strengthening the capacity of </w:t>
      </w:r>
      <w:r w:rsidR="00EB260D">
        <w:t xml:space="preserve">the </w:t>
      </w:r>
      <w:r w:rsidRPr="002A4292">
        <w:t xml:space="preserve">MLHRD and the Kiribati Institute of Technology, </w:t>
      </w:r>
      <w:r w:rsidR="002F241E">
        <w:t>it</w:t>
      </w:r>
      <w:r w:rsidR="002122CC" w:rsidRPr="002A4292">
        <w:t xml:space="preserve"> </w:t>
      </w:r>
      <w:r w:rsidR="00314348" w:rsidRPr="002A4292">
        <w:t xml:space="preserve">needs </w:t>
      </w:r>
      <w:r w:rsidR="002122CC" w:rsidRPr="002A4292">
        <w:t>to</w:t>
      </w:r>
      <w:r w:rsidRPr="002A4292">
        <w:t xml:space="preserve"> </w:t>
      </w:r>
      <w:r w:rsidR="005155DB" w:rsidRPr="002A4292">
        <w:t>un</w:t>
      </w:r>
      <w:r w:rsidR="002122CC" w:rsidRPr="002A4292">
        <w:t>derpin</w:t>
      </w:r>
      <w:r w:rsidR="005155DB" w:rsidRPr="002A4292">
        <w:t xml:space="preserve"> viable pathways to </w:t>
      </w:r>
      <w:r w:rsidRPr="002A4292">
        <w:t>employment</w:t>
      </w:r>
      <w:r w:rsidR="0008688E">
        <w:t xml:space="preserve">. </w:t>
      </w:r>
      <w:r w:rsidRPr="002A4292">
        <w:t>TVET programs cannot</w:t>
      </w:r>
      <w:r w:rsidR="002F241E">
        <w:t xml:space="preserve"> themselves</w:t>
      </w:r>
      <w:r w:rsidRPr="002A4292">
        <w:t xml:space="preserve"> create jobs, and</w:t>
      </w:r>
      <w:r w:rsidR="002122CC" w:rsidRPr="002A4292">
        <w:t xml:space="preserve"> the reasons for low employment outcomes are complex and multi</w:t>
      </w:r>
      <w:r w:rsidR="002122CC" w:rsidRPr="002A4292">
        <w:noBreakHyphen/>
        <w:t>faceted</w:t>
      </w:r>
      <w:r w:rsidR="0008688E">
        <w:t xml:space="preserve">. </w:t>
      </w:r>
      <w:r w:rsidRPr="002A4292">
        <w:t>The program is supporting the</w:t>
      </w:r>
      <w:r w:rsidR="00EB260D">
        <w:t xml:space="preserve"> Kiribati</w:t>
      </w:r>
      <w:r w:rsidRPr="002A4292">
        <w:t xml:space="preserve"> Institute of Technology to increase the labour market relevance of its course offerings, thereby maximising graduate employment opportunities</w:t>
      </w:r>
      <w:r w:rsidR="0008688E">
        <w:t xml:space="preserve">. </w:t>
      </w:r>
      <w:r w:rsidRPr="002A4292">
        <w:t xml:space="preserve">For example, the </w:t>
      </w:r>
      <w:r w:rsidR="00EB260D">
        <w:t>i</w:t>
      </w:r>
      <w:r w:rsidRPr="002A4292">
        <w:t xml:space="preserve">nstitute is working closely with </w:t>
      </w:r>
      <w:r w:rsidR="00C8513D" w:rsidRPr="002A4292">
        <w:t>major international contractors</w:t>
      </w:r>
      <w:r w:rsidRPr="002A4292">
        <w:t xml:space="preserve"> to identify demand for skilled labour on key domestic infrastructure projects that could be met by </w:t>
      </w:r>
      <w:r w:rsidR="00263E83" w:rsidRPr="002A4292">
        <w:t>i-Kiribati</w:t>
      </w:r>
      <w:r w:rsidRPr="002A4292">
        <w:t>.</w:t>
      </w:r>
    </w:p>
    <w:p w:rsidR="00D5456B" w:rsidRPr="002A4292" w:rsidRDefault="00D5456B" w:rsidP="00C17E42">
      <w:pPr>
        <w:pStyle w:val="BodyText"/>
      </w:pPr>
      <w:r w:rsidRPr="000A4E43">
        <w:t>Female enrolment decreased</w:t>
      </w:r>
      <w:r w:rsidRPr="002A4292">
        <w:t xml:space="preserve"> from 88 in 2011 to 75 in 2012 and female participation in apprenticeships remained low (24 females compared</w:t>
      </w:r>
      <w:r w:rsidR="00EB260D">
        <w:t xml:space="preserve"> to</w:t>
      </w:r>
      <w:r w:rsidRPr="002A4292">
        <w:t xml:space="preserve"> 138 males, a ratio of approximately </w:t>
      </w:r>
      <w:r w:rsidR="002F241E">
        <w:t>1:6</w:t>
      </w:r>
      <w:r w:rsidRPr="002A4292">
        <w:t>)</w:t>
      </w:r>
      <w:r w:rsidR="0008688E">
        <w:t xml:space="preserve">. </w:t>
      </w:r>
      <w:r w:rsidRPr="002A4292">
        <w:t>T</w:t>
      </w:r>
      <w:r w:rsidR="00695E6D" w:rsidRPr="002A4292">
        <w:t>he 2012 Annual Kiribati TVET Sector Strengthening Program Assessment (April 2012)</w:t>
      </w:r>
      <w:r w:rsidRPr="002A4292">
        <w:t xml:space="preserve"> </w:t>
      </w:r>
      <w:r w:rsidR="00695E6D" w:rsidRPr="002A4292">
        <w:t>found the program had given insufficient priority to gender access</w:t>
      </w:r>
      <w:r w:rsidR="00EB260D">
        <w:t xml:space="preserve">, </w:t>
      </w:r>
      <w:r w:rsidR="00695E6D" w:rsidRPr="002A4292">
        <w:t>including</w:t>
      </w:r>
      <w:r w:rsidR="00EB260D">
        <w:t xml:space="preserve"> with</w:t>
      </w:r>
      <w:r w:rsidR="00695E6D" w:rsidRPr="002A4292">
        <w:t xml:space="preserve"> course participation and completion</w:t>
      </w:r>
      <w:r w:rsidR="0008688E">
        <w:t xml:space="preserve">. </w:t>
      </w:r>
      <w:r w:rsidR="00695E6D" w:rsidRPr="002A4292">
        <w:t xml:space="preserve">The managing contractor, MLHRD and Kiribati Institute of Technology have taken these findings seriously and made considerable progress to address </w:t>
      </w:r>
      <w:r w:rsidR="00EB260D">
        <w:t xml:space="preserve">the </w:t>
      </w:r>
      <w:r w:rsidR="00695E6D" w:rsidRPr="002A4292">
        <w:t>issues in 2012</w:t>
      </w:r>
      <w:r w:rsidR="000A4E43">
        <w:t>–</w:t>
      </w:r>
      <w:r w:rsidR="00695E6D" w:rsidRPr="002A4292">
        <w:t>13, including by drafting sectoral and institutional policies and delivering training on gender equality</w:t>
      </w:r>
      <w:r w:rsidR="0008688E">
        <w:t xml:space="preserve">. </w:t>
      </w:r>
      <w:r w:rsidR="006A234F" w:rsidRPr="002A4292">
        <w:t xml:space="preserve">Changes to the types of courses offered (from male-dominated trade courses towards non-trade </w:t>
      </w:r>
      <w:r w:rsidR="00FE48DC" w:rsidRPr="002A4292">
        <w:t>course</w:t>
      </w:r>
      <w:r w:rsidR="002F241E">
        <w:t>s</w:t>
      </w:r>
      <w:r w:rsidR="00FE48DC" w:rsidRPr="002A4292">
        <w:t>)</w:t>
      </w:r>
      <w:r w:rsidR="006A234F" w:rsidRPr="002A4292">
        <w:t xml:space="preserve"> and </w:t>
      </w:r>
      <w:r w:rsidR="002F241E">
        <w:t>providing</w:t>
      </w:r>
      <w:r w:rsidR="00FE48DC" w:rsidRPr="002A4292">
        <w:t xml:space="preserve"> more flexible </w:t>
      </w:r>
      <w:r w:rsidR="006A234F" w:rsidRPr="002A4292">
        <w:t xml:space="preserve">course </w:t>
      </w:r>
      <w:r w:rsidR="00FE48DC" w:rsidRPr="002A4292">
        <w:t xml:space="preserve">delivery </w:t>
      </w:r>
      <w:r w:rsidR="006A234F" w:rsidRPr="002A4292">
        <w:t>arrangements are expected to increase female enrolment</w:t>
      </w:r>
      <w:r w:rsidR="0008688E">
        <w:rPr>
          <w:color w:val="333333"/>
        </w:rPr>
        <w:t xml:space="preserve">. </w:t>
      </w:r>
      <w:r w:rsidRPr="002A4292">
        <w:t>There is good gender representation in leadership and decision</w:t>
      </w:r>
      <w:r w:rsidR="002F241E">
        <w:t xml:space="preserve"> </w:t>
      </w:r>
      <w:r w:rsidRPr="002A4292">
        <w:t>making at MLHRD and the Kiribati Institute of Technology.</w:t>
      </w:r>
      <w:r w:rsidRPr="002A4292">
        <w:rPr>
          <w:rStyle w:val="FootnoteReference"/>
          <w:szCs w:val="22"/>
        </w:rPr>
        <w:footnoteReference w:id="33"/>
      </w:r>
      <w:r w:rsidR="00D23312">
        <w:t xml:space="preserve"> </w:t>
      </w:r>
    </w:p>
    <w:p w:rsidR="00695E6D" w:rsidRPr="002A4292" w:rsidRDefault="00695E6D" w:rsidP="00C17E42">
      <w:pPr>
        <w:pStyle w:val="BodyText"/>
        <w:rPr>
          <w:i/>
        </w:rPr>
      </w:pPr>
      <w:r w:rsidRPr="002A4292">
        <w:rPr>
          <w:i/>
        </w:rPr>
        <w:t>Australia Awards Scholarships</w:t>
      </w:r>
    </w:p>
    <w:p w:rsidR="00D5456B" w:rsidRPr="002A4292" w:rsidRDefault="00D5456B" w:rsidP="00C17E42">
      <w:pPr>
        <w:pStyle w:val="BodyText"/>
        <w:rPr>
          <w:rFonts w:ascii="Tahoma" w:hAnsi="Tahoma" w:cs="Tahoma"/>
          <w:sz w:val="14"/>
          <w:bdr w:val="none" w:sz="0" w:space="0" w:color="auto" w:frame="1"/>
          <w:lang w:val="en"/>
        </w:rPr>
      </w:pPr>
      <w:r w:rsidRPr="002A4292">
        <w:rPr>
          <w:bdr w:val="none" w:sz="0" w:space="0" w:color="auto" w:frame="1"/>
          <w:lang w:val="en"/>
        </w:rPr>
        <w:t xml:space="preserve">The Australia Awards Scholarships program helps </w:t>
      </w:r>
      <w:r w:rsidR="00263E83" w:rsidRPr="002A4292">
        <w:rPr>
          <w:bdr w:val="none" w:sz="0" w:space="0" w:color="auto" w:frame="1"/>
          <w:lang w:val="en"/>
        </w:rPr>
        <w:t>i-Kiribati</w:t>
      </w:r>
      <w:r w:rsidR="008B1D1B" w:rsidRPr="002A4292">
        <w:rPr>
          <w:bdr w:val="none" w:sz="0" w:space="0" w:color="auto" w:frame="1"/>
          <w:lang w:val="en"/>
        </w:rPr>
        <w:t xml:space="preserve"> </w:t>
      </w:r>
      <w:r w:rsidRPr="002A4292">
        <w:rPr>
          <w:bdr w:val="none" w:sz="0" w:space="0" w:color="auto" w:frame="1"/>
          <w:lang w:val="en"/>
        </w:rPr>
        <w:t xml:space="preserve">pursue long-term training at tertiary institutions in Australia, while </w:t>
      </w:r>
      <w:r w:rsidR="00371312">
        <w:rPr>
          <w:bdr w:val="none" w:sz="0" w:space="0" w:color="auto" w:frame="1"/>
          <w:lang w:val="en"/>
        </w:rPr>
        <w:t xml:space="preserve">the </w:t>
      </w:r>
      <w:r w:rsidRPr="002A4292">
        <w:rPr>
          <w:bdr w:val="none" w:sz="0" w:space="0" w:color="auto" w:frame="1"/>
          <w:lang w:val="en"/>
        </w:rPr>
        <w:t>Australia Awards Pacific Scholarships help</w:t>
      </w:r>
      <w:r w:rsidR="0023281F">
        <w:rPr>
          <w:bdr w:val="none" w:sz="0" w:space="0" w:color="auto" w:frame="1"/>
          <w:lang w:val="en"/>
        </w:rPr>
        <w:t xml:space="preserve"> i</w:t>
      </w:r>
      <w:r w:rsidR="0023281F">
        <w:rPr>
          <w:bdr w:val="none" w:sz="0" w:space="0" w:color="auto" w:frame="1"/>
          <w:lang w:val="en"/>
        </w:rPr>
        <w:noBreakHyphen/>
      </w:r>
      <w:r w:rsidR="00263E83" w:rsidRPr="002A4292">
        <w:rPr>
          <w:bdr w:val="none" w:sz="0" w:space="0" w:color="auto" w:frame="1"/>
          <w:lang w:val="en"/>
        </w:rPr>
        <w:t>Kiribati</w:t>
      </w:r>
      <w:r w:rsidRPr="002A4292">
        <w:rPr>
          <w:bdr w:val="none" w:sz="0" w:space="0" w:color="auto" w:frame="1"/>
          <w:lang w:val="en"/>
        </w:rPr>
        <w:t xml:space="preserve"> access education in the Pacific region</w:t>
      </w:r>
      <w:r w:rsidR="0008688E">
        <w:rPr>
          <w:bdr w:val="none" w:sz="0" w:space="0" w:color="auto" w:frame="1"/>
          <w:lang w:val="en"/>
        </w:rPr>
        <w:t xml:space="preserve">. </w:t>
      </w:r>
      <w:r w:rsidRPr="002A4292">
        <w:rPr>
          <w:bdr w:val="none" w:sz="0" w:space="0" w:color="auto" w:frame="1"/>
          <w:lang w:val="en"/>
        </w:rPr>
        <w:t>Kiribati does not have a national</w:t>
      </w:r>
      <w:r w:rsidR="002F241E">
        <w:rPr>
          <w:bdr w:val="none" w:sz="0" w:space="0" w:color="auto" w:frame="1"/>
          <w:lang w:val="en"/>
        </w:rPr>
        <w:t xml:space="preserve"> university-level</w:t>
      </w:r>
      <w:r w:rsidRPr="002A4292">
        <w:rPr>
          <w:bdr w:val="none" w:sz="0" w:space="0" w:color="auto" w:frame="1"/>
          <w:lang w:val="en"/>
        </w:rPr>
        <w:t xml:space="preserve"> institution so scholarship</w:t>
      </w:r>
      <w:r w:rsidR="002F241E">
        <w:rPr>
          <w:bdr w:val="none" w:sz="0" w:space="0" w:color="auto" w:frame="1"/>
          <w:lang w:val="en"/>
        </w:rPr>
        <w:t>s</w:t>
      </w:r>
      <w:r w:rsidRPr="002A4292">
        <w:rPr>
          <w:bdr w:val="none" w:sz="0" w:space="0" w:color="auto" w:frame="1"/>
          <w:lang w:val="en"/>
        </w:rPr>
        <w:t xml:space="preserve"> </w:t>
      </w:r>
      <w:r w:rsidR="002F241E">
        <w:rPr>
          <w:bdr w:val="none" w:sz="0" w:space="0" w:color="auto" w:frame="1"/>
          <w:lang w:val="en"/>
        </w:rPr>
        <w:t>are</w:t>
      </w:r>
      <w:r w:rsidRPr="002A4292">
        <w:rPr>
          <w:bdr w:val="none" w:sz="0" w:space="0" w:color="auto" w:frame="1"/>
          <w:lang w:val="en"/>
        </w:rPr>
        <w:t xml:space="preserve"> important to human resource development needs</w:t>
      </w:r>
      <w:r w:rsidR="0008688E">
        <w:rPr>
          <w:bdr w:val="none" w:sz="0" w:space="0" w:color="auto" w:frame="1"/>
          <w:lang w:val="en"/>
        </w:rPr>
        <w:t xml:space="preserve">. </w:t>
      </w:r>
      <w:r w:rsidRPr="002A4292">
        <w:rPr>
          <w:bdr w:val="none" w:sz="0" w:space="0" w:color="auto" w:frame="1"/>
          <w:lang w:val="en"/>
        </w:rPr>
        <w:t xml:space="preserve">Scholarship recipients are selected to study programs </w:t>
      </w:r>
      <w:proofErr w:type="spellStart"/>
      <w:r w:rsidRPr="002A4292">
        <w:rPr>
          <w:bdr w:val="none" w:sz="0" w:space="0" w:color="auto" w:frame="1"/>
          <w:lang w:val="en"/>
        </w:rPr>
        <w:t>prioritised</w:t>
      </w:r>
      <w:proofErr w:type="spellEnd"/>
      <w:r w:rsidRPr="002A4292">
        <w:rPr>
          <w:bdr w:val="none" w:sz="0" w:space="0" w:color="auto" w:frame="1"/>
          <w:lang w:val="en"/>
        </w:rPr>
        <w:t xml:space="preserve"> in the Kiribati National Human Resource Development Plan</w:t>
      </w:r>
      <w:r w:rsidR="0008688E">
        <w:rPr>
          <w:bdr w:val="none" w:sz="0" w:space="0" w:color="auto" w:frame="1"/>
          <w:lang w:val="en"/>
        </w:rPr>
        <w:t xml:space="preserve">. </w:t>
      </w:r>
      <w:r w:rsidRPr="002A4292">
        <w:rPr>
          <w:bdr w:val="none" w:sz="0" w:space="0" w:color="auto" w:frame="1"/>
          <w:lang w:val="en"/>
        </w:rPr>
        <w:t xml:space="preserve">The current focus of Australia Awards is commerce, </w:t>
      </w:r>
      <w:r w:rsidR="00552CA2" w:rsidRPr="002A4292">
        <w:rPr>
          <w:bdr w:val="none" w:sz="0" w:space="0" w:color="auto" w:frame="1"/>
          <w:lang w:val="en"/>
        </w:rPr>
        <w:t>engineering,</w:t>
      </w:r>
      <w:r w:rsidR="00552CA2">
        <w:rPr>
          <w:bdr w:val="none" w:sz="0" w:space="0" w:color="auto" w:frame="1"/>
          <w:lang w:val="en"/>
        </w:rPr>
        <w:t xml:space="preserve"> </w:t>
      </w:r>
      <w:r w:rsidRPr="002A4292">
        <w:rPr>
          <w:bdr w:val="none" w:sz="0" w:space="0" w:color="auto" w:frame="1"/>
          <w:lang w:val="en"/>
        </w:rPr>
        <w:t xml:space="preserve">marine science, </w:t>
      </w:r>
      <w:r w:rsidR="00552CA2" w:rsidRPr="002A4292">
        <w:rPr>
          <w:bdr w:val="none" w:sz="0" w:space="0" w:color="auto" w:frame="1"/>
          <w:lang w:val="en"/>
        </w:rPr>
        <w:t xml:space="preserve">teaching, </w:t>
      </w:r>
      <w:r w:rsidRPr="002A4292">
        <w:rPr>
          <w:bdr w:val="none" w:sz="0" w:space="0" w:color="auto" w:frame="1"/>
          <w:lang w:val="en"/>
        </w:rPr>
        <w:t xml:space="preserve">technology information and management. </w:t>
      </w:r>
    </w:p>
    <w:p w:rsidR="00371312" w:rsidRDefault="00D5456B" w:rsidP="00C17E42">
      <w:pPr>
        <w:pStyle w:val="BodyText"/>
        <w:rPr>
          <w:bdr w:val="none" w:sz="0" w:space="0" w:color="auto" w:frame="1"/>
          <w:lang w:val="en"/>
        </w:rPr>
      </w:pPr>
      <w:r w:rsidRPr="002A4292">
        <w:lastRenderedPageBreak/>
        <w:t xml:space="preserve">In 2013, </w:t>
      </w:r>
      <w:r w:rsidR="00C37A08" w:rsidRPr="002A4292">
        <w:t>eight</w:t>
      </w:r>
      <w:r w:rsidRPr="002A4292">
        <w:t xml:space="preserve"> Australia Awards Scholarships and </w:t>
      </w:r>
      <w:r w:rsidR="00AC647E" w:rsidRPr="002A4292">
        <w:t>19</w:t>
      </w:r>
      <w:r w:rsidRPr="002A4292">
        <w:t xml:space="preserve"> Australia Awards Pacific Scholarships were provided (</w:t>
      </w:r>
      <w:r w:rsidRPr="002A4292">
        <w:rPr>
          <w:bdr w:val="none" w:sz="0" w:space="0" w:color="auto" w:frame="1"/>
          <w:lang w:val="en"/>
        </w:rPr>
        <w:t>1</w:t>
      </w:r>
      <w:r w:rsidR="00AC647E" w:rsidRPr="002A4292">
        <w:rPr>
          <w:bdr w:val="none" w:sz="0" w:space="0" w:color="auto" w:frame="1"/>
          <w:lang w:val="en"/>
        </w:rPr>
        <w:t>4</w:t>
      </w:r>
      <w:r w:rsidR="00D83285" w:rsidRPr="002A4292">
        <w:rPr>
          <w:bdr w:val="none" w:sz="0" w:space="0" w:color="auto" w:frame="1"/>
          <w:lang w:val="en"/>
        </w:rPr>
        <w:t> </w:t>
      </w:r>
      <w:r w:rsidRPr="002A4292">
        <w:rPr>
          <w:bdr w:val="none" w:sz="0" w:space="0" w:color="auto" w:frame="1"/>
          <w:lang w:val="en"/>
        </w:rPr>
        <w:t xml:space="preserve">females and </w:t>
      </w:r>
      <w:r w:rsidR="00AC647E" w:rsidRPr="002A4292">
        <w:rPr>
          <w:bdr w:val="none" w:sz="0" w:space="0" w:color="auto" w:frame="1"/>
          <w:lang w:val="en"/>
        </w:rPr>
        <w:t>13</w:t>
      </w:r>
      <w:r w:rsidRPr="002A4292">
        <w:rPr>
          <w:bdr w:val="none" w:sz="0" w:space="0" w:color="auto" w:frame="1"/>
          <w:lang w:val="en"/>
        </w:rPr>
        <w:t> males)</w:t>
      </w:r>
      <w:r w:rsidR="0008688E">
        <w:t xml:space="preserve">. </w:t>
      </w:r>
      <w:r w:rsidR="002F241E">
        <w:t>Short-term outputs can be difficult to measure g</w:t>
      </w:r>
      <w:r w:rsidRPr="002A4292">
        <w:t>iven these scholarships involve three</w:t>
      </w:r>
      <w:r w:rsidR="00552CA2">
        <w:t xml:space="preserve"> </w:t>
      </w:r>
      <w:r w:rsidRPr="002A4292">
        <w:t>to</w:t>
      </w:r>
      <w:r w:rsidR="00552CA2">
        <w:t xml:space="preserve"> </w:t>
      </w:r>
      <w:r w:rsidRPr="002A4292">
        <w:t>five year</w:t>
      </w:r>
      <w:r w:rsidR="00552CA2">
        <w:t xml:space="preserve">s </w:t>
      </w:r>
      <w:r w:rsidRPr="002A4292">
        <w:t>of study</w:t>
      </w:r>
      <w:r w:rsidR="0008688E">
        <w:t xml:space="preserve">. </w:t>
      </w:r>
      <w:r w:rsidRPr="002A4292">
        <w:rPr>
          <w:bdr w:val="none" w:sz="0" w:space="0" w:color="auto" w:frame="1"/>
          <w:lang w:val="en"/>
        </w:rPr>
        <w:t>In 2013, a</w:t>
      </w:r>
      <w:r w:rsidR="00F319E6">
        <w:rPr>
          <w:bdr w:val="none" w:sz="0" w:space="0" w:color="auto" w:frame="1"/>
          <w:lang w:val="en"/>
        </w:rPr>
        <w:t xml:space="preserve">n </w:t>
      </w:r>
      <w:r w:rsidR="00651F63">
        <w:rPr>
          <w:bdr w:val="none" w:sz="0" w:space="0" w:color="auto" w:frame="1"/>
          <w:lang w:val="en"/>
        </w:rPr>
        <w:t xml:space="preserve">Australian Government </w:t>
      </w:r>
      <w:r w:rsidRPr="002A4292">
        <w:rPr>
          <w:bdr w:val="none" w:sz="0" w:space="0" w:color="auto" w:frame="1"/>
          <w:lang w:val="en"/>
        </w:rPr>
        <w:t xml:space="preserve">joint tracer study for microstates, including Kiribati, will assess the impact and relevance of Australia Awards to </w:t>
      </w:r>
      <w:r w:rsidR="009B73CC">
        <w:rPr>
          <w:bdr w:val="none" w:sz="0" w:space="0" w:color="auto" w:frame="1"/>
          <w:lang w:val="en"/>
        </w:rPr>
        <w:t>Kiribati’s</w:t>
      </w:r>
      <w:r w:rsidR="009B73CC" w:rsidRPr="002A4292">
        <w:rPr>
          <w:bdr w:val="none" w:sz="0" w:space="0" w:color="auto" w:frame="1"/>
          <w:lang w:val="en"/>
        </w:rPr>
        <w:t xml:space="preserve"> </w:t>
      </w:r>
      <w:r w:rsidRPr="002A4292">
        <w:rPr>
          <w:bdr w:val="none" w:sz="0" w:space="0" w:color="auto" w:frame="1"/>
          <w:lang w:val="en"/>
        </w:rPr>
        <w:t>development</w:t>
      </w:r>
      <w:r w:rsidR="0008688E">
        <w:rPr>
          <w:bdr w:val="none" w:sz="0" w:space="0" w:color="auto" w:frame="1"/>
          <w:lang w:val="en"/>
        </w:rPr>
        <w:t xml:space="preserve">. </w:t>
      </w:r>
    </w:p>
    <w:p w:rsidR="00D5456B" w:rsidRPr="002A4292" w:rsidRDefault="00D5456B" w:rsidP="00C17E42">
      <w:pPr>
        <w:pStyle w:val="BodyText"/>
      </w:pPr>
      <w:r w:rsidRPr="002A4292">
        <w:rPr>
          <w:bdr w:val="none" w:sz="0" w:space="0" w:color="auto" w:frame="1"/>
          <w:lang w:val="en"/>
        </w:rPr>
        <w:t>A</w:t>
      </w:r>
      <w:r w:rsidRPr="002A4292">
        <w:t xml:space="preserve"> database has been developed to monitor the whereabouts of </w:t>
      </w:r>
      <w:r w:rsidR="00263E83" w:rsidRPr="002A4292">
        <w:t>i-Kiribati</w:t>
      </w:r>
      <w:r w:rsidRPr="002A4292">
        <w:t xml:space="preserve"> Australia Awards alumni</w:t>
      </w:r>
      <w:r w:rsidR="0008688E">
        <w:t xml:space="preserve">. </w:t>
      </w:r>
      <w:r w:rsidR="005E34B6" w:rsidRPr="002A4292">
        <w:t xml:space="preserve">As well as occupying </w:t>
      </w:r>
      <w:r w:rsidRPr="002A4292">
        <w:t xml:space="preserve">prominent positions in </w:t>
      </w:r>
      <w:r w:rsidR="009B73CC">
        <w:t>g</w:t>
      </w:r>
      <w:r w:rsidRPr="002A4292">
        <w:t>overnment,</w:t>
      </w:r>
      <w:r w:rsidR="005E34B6" w:rsidRPr="002A4292">
        <w:rPr>
          <w:sz w:val="14"/>
        </w:rPr>
        <w:t xml:space="preserve"> </w:t>
      </w:r>
      <w:r w:rsidR="005E34B6" w:rsidRPr="002A4292">
        <w:t>alumni are working</w:t>
      </w:r>
      <w:r w:rsidRPr="002A4292">
        <w:rPr>
          <w:rFonts w:eastAsia="SimSun"/>
          <w:bdr w:val="none" w:sz="0" w:space="0" w:color="auto" w:frame="1"/>
          <w:lang w:val="en"/>
        </w:rPr>
        <w:t xml:space="preserve"> within international agencies such as the </w:t>
      </w:r>
      <w:r w:rsidR="009B73CC">
        <w:rPr>
          <w:rFonts w:eastAsia="SimSun"/>
          <w:bdr w:val="none" w:sz="0" w:space="0" w:color="auto" w:frame="1"/>
          <w:lang w:val="en"/>
        </w:rPr>
        <w:t xml:space="preserve">Asian Development Bank, UN and </w:t>
      </w:r>
      <w:r w:rsidRPr="002A4292">
        <w:rPr>
          <w:rFonts w:eastAsia="SimSun"/>
          <w:bdr w:val="none" w:sz="0" w:space="0" w:color="auto" w:frame="1"/>
          <w:lang w:val="en"/>
        </w:rPr>
        <w:t>World Bank</w:t>
      </w:r>
      <w:r w:rsidR="0008688E">
        <w:rPr>
          <w:rFonts w:eastAsia="SimSun"/>
          <w:bdr w:val="none" w:sz="0" w:space="0" w:color="auto" w:frame="1"/>
          <w:lang w:val="en"/>
        </w:rPr>
        <w:t xml:space="preserve">. </w:t>
      </w:r>
      <w:r w:rsidRPr="002A4292">
        <w:rPr>
          <w:rFonts w:eastAsia="SimSun"/>
          <w:bdr w:val="none" w:sz="0" w:space="0" w:color="auto" w:frame="1"/>
          <w:lang w:val="en"/>
        </w:rPr>
        <w:t xml:space="preserve">In particular, the </w:t>
      </w:r>
      <w:r w:rsidR="007B746F" w:rsidRPr="002A4292">
        <w:rPr>
          <w:rFonts w:eastAsia="SimSun"/>
          <w:bdr w:val="none" w:sz="0" w:space="0" w:color="auto" w:frame="1"/>
          <w:lang w:val="en"/>
        </w:rPr>
        <w:t>p</w:t>
      </w:r>
      <w:r w:rsidRPr="002A4292">
        <w:rPr>
          <w:rFonts w:eastAsia="SimSun"/>
          <w:bdr w:val="none" w:sz="0" w:space="0" w:color="auto" w:frame="1"/>
          <w:lang w:val="en"/>
        </w:rPr>
        <w:t>rogram has helped women to achieve leadership and decision</w:t>
      </w:r>
      <w:r w:rsidR="009B73CC">
        <w:rPr>
          <w:rFonts w:eastAsia="SimSun"/>
          <w:bdr w:val="none" w:sz="0" w:space="0" w:color="auto" w:frame="1"/>
          <w:lang w:val="en"/>
        </w:rPr>
        <w:t>-</w:t>
      </w:r>
      <w:r w:rsidRPr="002A4292">
        <w:rPr>
          <w:rFonts w:eastAsia="SimSun"/>
          <w:bdr w:val="none" w:sz="0" w:space="0" w:color="auto" w:frame="1"/>
          <w:lang w:val="en"/>
        </w:rPr>
        <w:t>making positions</w:t>
      </w:r>
      <w:r w:rsidR="0008688E">
        <w:rPr>
          <w:rFonts w:eastAsia="SimSun"/>
          <w:bdr w:val="none" w:sz="0" w:space="0" w:color="auto" w:frame="1"/>
          <w:lang w:val="en"/>
        </w:rPr>
        <w:t xml:space="preserve">. </w:t>
      </w:r>
      <w:r w:rsidRPr="002A4292">
        <w:rPr>
          <w:rFonts w:eastAsia="SimSun"/>
          <w:bdr w:val="none" w:sz="0" w:space="0" w:color="auto" w:frame="1"/>
          <w:lang w:val="en"/>
        </w:rPr>
        <w:t xml:space="preserve">One female Parliamentarian and four female </w:t>
      </w:r>
      <w:r w:rsidR="009B73CC">
        <w:rPr>
          <w:rFonts w:eastAsia="SimSun"/>
          <w:bdr w:val="none" w:sz="0" w:space="0" w:color="auto" w:frame="1"/>
          <w:lang w:val="en"/>
        </w:rPr>
        <w:t>s</w:t>
      </w:r>
      <w:r w:rsidRPr="002A4292">
        <w:rPr>
          <w:rFonts w:eastAsia="SimSun"/>
          <w:bdr w:val="none" w:sz="0" w:space="0" w:color="auto" w:frame="1"/>
          <w:lang w:val="en"/>
        </w:rPr>
        <w:t xml:space="preserve">ecretaries are </w:t>
      </w:r>
      <w:r w:rsidR="009B73CC">
        <w:rPr>
          <w:rFonts w:eastAsia="SimSun"/>
          <w:bdr w:val="none" w:sz="0" w:space="0" w:color="auto" w:frame="1"/>
          <w:lang w:val="en"/>
        </w:rPr>
        <w:t>a</w:t>
      </w:r>
      <w:r w:rsidRPr="002A4292">
        <w:rPr>
          <w:rFonts w:eastAsia="SimSun"/>
          <w:bdr w:val="none" w:sz="0" w:space="0" w:color="auto" w:frame="1"/>
          <w:lang w:val="en"/>
        </w:rPr>
        <w:t>lumni.</w:t>
      </w:r>
      <w:r w:rsidRPr="002A4292">
        <w:rPr>
          <w:bdr w:val="none" w:sz="0" w:space="0" w:color="auto" w:frame="1"/>
          <w:lang w:val="en"/>
        </w:rPr>
        <w:t xml:space="preserve"> </w:t>
      </w:r>
    </w:p>
    <w:p w:rsidR="00746E80" w:rsidRPr="002A4292" w:rsidRDefault="009B73CC" w:rsidP="00C17E42">
      <w:pPr>
        <w:pStyle w:val="BodyText"/>
      </w:pPr>
      <w:r>
        <w:t>Australia Awards Scholarship c</w:t>
      </w:r>
      <w:r w:rsidR="009858D3" w:rsidRPr="002A4292">
        <w:t>ompletion rates</w:t>
      </w:r>
      <w:r w:rsidR="00D5456B" w:rsidRPr="002A4292">
        <w:t xml:space="preserve"> </w:t>
      </w:r>
      <w:r w:rsidR="009858D3" w:rsidRPr="002A4292">
        <w:t>remain a concern. Between 2005</w:t>
      </w:r>
      <w:r w:rsidR="00FF5A53">
        <w:t xml:space="preserve"> and</w:t>
      </w:r>
      <w:r w:rsidR="00DC4C3F">
        <w:t xml:space="preserve"> </w:t>
      </w:r>
      <w:r w:rsidR="009858D3" w:rsidRPr="002A4292">
        <w:t xml:space="preserve">2012, </w:t>
      </w:r>
      <w:r w:rsidR="00C17E42">
        <w:t>83</w:t>
      </w:r>
      <w:r w:rsidR="003557F2">
        <w:t> </w:t>
      </w:r>
      <w:r w:rsidR="00C17E42">
        <w:t xml:space="preserve">per cent of </w:t>
      </w:r>
      <w:r w:rsidR="00263E83" w:rsidRPr="002A4292">
        <w:t>i-Kiribati</w:t>
      </w:r>
      <w:r w:rsidR="009858D3" w:rsidRPr="002A4292">
        <w:t xml:space="preserve"> </w:t>
      </w:r>
      <w:r w:rsidR="00D5456B" w:rsidRPr="002A4292">
        <w:t>students</w:t>
      </w:r>
      <w:r w:rsidR="009858D3" w:rsidRPr="002A4292">
        <w:t xml:space="preserve"> completed their studies</w:t>
      </w:r>
      <w:r w:rsidR="00D5456B" w:rsidRPr="002A4292">
        <w:t xml:space="preserve"> compared to 97 per cent globally</w:t>
      </w:r>
      <w:r w:rsidR="009858D3" w:rsidRPr="002A4292">
        <w:t xml:space="preserve">. </w:t>
      </w:r>
      <w:r w:rsidR="00FF5A53">
        <w:t xml:space="preserve">Sixty-nine </w:t>
      </w:r>
      <w:r w:rsidR="00C17E42">
        <w:t xml:space="preserve">per cent of </w:t>
      </w:r>
      <w:r w:rsidR="00263E83" w:rsidRPr="002A4292">
        <w:t>i-Kiribati</w:t>
      </w:r>
      <w:r w:rsidR="009858D3" w:rsidRPr="002A4292">
        <w:t xml:space="preserve"> </w:t>
      </w:r>
      <w:r w:rsidR="00D5456B" w:rsidRPr="002A4292">
        <w:t>Australia Awards Pacific Scholarships students</w:t>
      </w:r>
      <w:r w:rsidR="009858D3" w:rsidRPr="002A4292">
        <w:t xml:space="preserve"> completed</w:t>
      </w:r>
      <w:r w:rsidR="00371312">
        <w:t xml:space="preserve"> their studies</w:t>
      </w:r>
      <w:r w:rsidR="00D5456B" w:rsidRPr="002A4292">
        <w:t xml:space="preserve"> compared to 81 per cent across the Pacific</w:t>
      </w:r>
      <w:r w:rsidR="0008688E">
        <w:t xml:space="preserve">. </w:t>
      </w:r>
      <w:r w:rsidR="007B5BF2">
        <w:rPr>
          <w:bdr w:val="none" w:sz="0" w:space="0" w:color="auto" w:frame="1"/>
          <w:lang w:val="en"/>
        </w:rPr>
        <w:t xml:space="preserve">Over time, </w:t>
      </w:r>
      <w:r w:rsidR="00651F63">
        <w:rPr>
          <w:bdr w:val="none" w:sz="0" w:space="0" w:color="auto" w:frame="1"/>
          <w:lang w:val="en"/>
        </w:rPr>
        <w:t xml:space="preserve">DFAT </w:t>
      </w:r>
      <w:r w:rsidR="00D5456B" w:rsidRPr="002A4292">
        <w:rPr>
          <w:bdr w:val="none" w:sz="0" w:space="0" w:color="auto" w:frame="1"/>
          <w:lang w:val="en"/>
        </w:rPr>
        <w:t>expect</w:t>
      </w:r>
      <w:r w:rsidR="00E83D31">
        <w:rPr>
          <w:bdr w:val="none" w:sz="0" w:space="0" w:color="auto" w:frame="1"/>
          <w:lang w:val="en"/>
        </w:rPr>
        <w:t>s</w:t>
      </w:r>
      <w:r w:rsidR="00D5456B" w:rsidRPr="002A4292">
        <w:rPr>
          <w:bdr w:val="none" w:sz="0" w:space="0" w:color="auto" w:frame="1"/>
          <w:lang w:val="en"/>
        </w:rPr>
        <w:t xml:space="preserve"> that </w:t>
      </w:r>
      <w:r w:rsidR="007B5BF2">
        <w:rPr>
          <w:bdr w:val="none" w:sz="0" w:space="0" w:color="auto" w:frame="1"/>
          <w:lang w:val="en"/>
        </w:rPr>
        <w:t>the</w:t>
      </w:r>
      <w:r w:rsidR="00D5456B" w:rsidRPr="002A4292">
        <w:rPr>
          <w:bdr w:val="none" w:sz="0" w:space="0" w:color="auto" w:frame="1"/>
          <w:lang w:val="en"/>
        </w:rPr>
        <w:t xml:space="preserve"> </w:t>
      </w:r>
      <w:r w:rsidR="00D5456B" w:rsidRPr="002A4292">
        <w:t xml:space="preserve">efforts to increase English literacy rates in Kiribati under the Kiribati Education Improvement Program will help improve </w:t>
      </w:r>
      <w:r>
        <w:t>these</w:t>
      </w:r>
      <w:r w:rsidR="00D5456B" w:rsidRPr="002A4292">
        <w:t xml:space="preserve"> rates</w:t>
      </w:r>
      <w:r w:rsidR="0008688E">
        <w:t xml:space="preserve">. </w:t>
      </w:r>
      <w:r w:rsidR="00D5456B" w:rsidRPr="002A4292">
        <w:t>However this is a long-term solution</w:t>
      </w:r>
      <w:r w:rsidR="0008688E">
        <w:t xml:space="preserve">. </w:t>
      </w:r>
      <w:r w:rsidR="00B707A1" w:rsidRPr="002A4292">
        <w:t xml:space="preserve">Other factors affecting completion rates may include </w:t>
      </w:r>
      <w:r w:rsidR="00746E80" w:rsidRPr="002A4292">
        <w:t>acculturation and other socialisation issues</w:t>
      </w:r>
      <w:r>
        <w:t xml:space="preserve">. </w:t>
      </w:r>
      <w:r w:rsidR="00651F63">
        <w:t xml:space="preserve">DFAT </w:t>
      </w:r>
      <w:r>
        <w:t>will investigate these</w:t>
      </w:r>
      <w:r w:rsidR="00B707A1" w:rsidRPr="002A4292">
        <w:t xml:space="preserve"> </w:t>
      </w:r>
      <w:r w:rsidR="0009037C" w:rsidRPr="002A4292">
        <w:t xml:space="preserve">further </w:t>
      </w:r>
      <w:r w:rsidR="00B707A1" w:rsidRPr="002A4292">
        <w:t>in 2013</w:t>
      </w:r>
      <w:r w:rsidR="00FF5A53">
        <w:t>–</w:t>
      </w:r>
      <w:r w:rsidR="00B707A1" w:rsidRPr="002A4292">
        <w:t xml:space="preserve">14. </w:t>
      </w:r>
    </w:p>
    <w:p w:rsidR="00D5456B" w:rsidRPr="002A4292" w:rsidRDefault="00D5456B" w:rsidP="00FD1244">
      <w:pPr>
        <w:pStyle w:val="BodyText"/>
      </w:pPr>
      <w:r w:rsidRPr="002A4292">
        <w:t>The Government of Kiribati (Public Service Office and Ministry of Education) conducts the Australia Awards Scholarship selectio</w:t>
      </w:r>
      <w:r w:rsidR="009858D3" w:rsidRPr="002A4292">
        <w:t xml:space="preserve">n process with </w:t>
      </w:r>
      <w:r w:rsidR="00651F63">
        <w:t xml:space="preserve">DFAT </w:t>
      </w:r>
      <w:r w:rsidR="009858D3" w:rsidRPr="002A4292">
        <w:t>involvement</w:t>
      </w:r>
      <w:r w:rsidR="0008688E">
        <w:t xml:space="preserve">. </w:t>
      </w:r>
      <w:r w:rsidR="007B5BF2">
        <w:t>For t</w:t>
      </w:r>
      <w:r w:rsidRPr="002A4292">
        <w:t>he 2014 intake</w:t>
      </w:r>
      <w:r w:rsidR="007B5BF2">
        <w:t>,</w:t>
      </w:r>
      <w:r w:rsidR="00DC4C3F" w:rsidRPr="00DC4C3F">
        <w:rPr>
          <w:vanish/>
        </w:rPr>
        <w:t xml:space="preserve"> </w:t>
      </w:r>
      <w:r w:rsidR="00651F63">
        <w:t xml:space="preserve">DFAT </w:t>
      </w:r>
      <w:r w:rsidR="00027887">
        <w:t>will n</w:t>
      </w:r>
      <w:r w:rsidRPr="002A4292">
        <w:t xml:space="preserve">eed to ensure </w:t>
      </w:r>
      <w:r w:rsidR="009B73CC">
        <w:t xml:space="preserve">even </w:t>
      </w:r>
      <w:r w:rsidRPr="002A4292">
        <w:t>greater involvement to</w:t>
      </w:r>
      <w:r w:rsidR="009B73CC">
        <w:t xml:space="preserve"> ensure</w:t>
      </w:r>
      <w:r w:rsidR="00371312">
        <w:t xml:space="preserve"> that</w:t>
      </w:r>
      <w:r w:rsidRPr="002A4292">
        <w:t xml:space="preserve"> minimum standards for selecti</w:t>
      </w:r>
      <w:r w:rsidR="009B73CC">
        <w:t>ng</w:t>
      </w:r>
      <w:r w:rsidRPr="002A4292">
        <w:t xml:space="preserve"> Australia Awards Scholarship</w:t>
      </w:r>
      <w:r w:rsidR="009858D3" w:rsidRPr="002A4292">
        <w:t>s</w:t>
      </w:r>
      <w:r w:rsidR="009B73CC">
        <w:t xml:space="preserve"> are complied with</w:t>
      </w:r>
      <w:r w:rsidR="0008688E">
        <w:t xml:space="preserve">. </w:t>
      </w:r>
      <w:r w:rsidR="007B5BF2">
        <w:t xml:space="preserve">The </w:t>
      </w:r>
      <w:r w:rsidR="00436B8C">
        <w:t xml:space="preserve">department </w:t>
      </w:r>
      <w:r w:rsidRPr="002A4292">
        <w:t xml:space="preserve">will also examine options for outsourcing the </w:t>
      </w:r>
      <w:r w:rsidR="009B73CC">
        <w:t>administration</w:t>
      </w:r>
      <w:r w:rsidRPr="002A4292">
        <w:t xml:space="preserve"> of the selection process to a managing contractor to reduce the burden on</w:t>
      </w:r>
      <w:r w:rsidR="004628F9">
        <w:t xml:space="preserve"> </w:t>
      </w:r>
      <w:r w:rsidR="00651F63">
        <w:t>DFAT</w:t>
      </w:r>
      <w:r w:rsidR="00DC4C3F">
        <w:t xml:space="preserve">’s Tarawa </w:t>
      </w:r>
      <w:r w:rsidRPr="002A4292">
        <w:t>Post</w:t>
      </w:r>
      <w:r w:rsidR="0008688E">
        <w:t xml:space="preserve">. </w:t>
      </w:r>
    </w:p>
    <w:p w:rsidR="00695E6D" w:rsidRPr="002A4292" w:rsidRDefault="00695E6D" w:rsidP="00FD1244">
      <w:pPr>
        <w:pStyle w:val="BodyText"/>
        <w:rPr>
          <w:i/>
        </w:rPr>
      </w:pPr>
      <w:r w:rsidRPr="002A4292">
        <w:rPr>
          <w:i/>
        </w:rPr>
        <w:t xml:space="preserve">Kiribati-Australia Nursing Initiative </w:t>
      </w:r>
      <w:r w:rsidR="00371312">
        <w:rPr>
          <w:i/>
        </w:rPr>
        <w:t>s</w:t>
      </w:r>
      <w:r w:rsidRPr="002A4292">
        <w:rPr>
          <w:i/>
        </w:rPr>
        <w:t>cholarships</w:t>
      </w:r>
    </w:p>
    <w:p w:rsidR="00695E6D" w:rsidRPr="002A4292" w:rsidRDefault="00695E6D" w:rsidP="00FD1244">
      <w:pPr>
        <w:pStyle w:val="BodyText"/>
      </w:pPr>
      <w:r w:rsidRPr="002A4292">
        <w:t xml:space="preserve">The Kiribati-Australia Nursing Initiative provides scholarships to </w:t>
      </w:r>
      <w:r w:rsidR="00263E83" w:rsidRPr="002A4292">
        <w:t>i-Kiribati</w:t>
      </w:r>
      <w:r w:rsidRPr="002A4292">
        <w:t xml:space="preserve"> to undertake a nursing degree in Australia (through Griffith University) with the explicit purpose of enabling graduates to find employment in Australia.</w:t>
      </w:r>
      <w:r w:rsidRPr="002A4292">
        <w:rPr>
          <w:rStyle w:val="FootnoteReference"/>
          <w:sz w:val="14"/>
        </w:rPr>
        <w:footnoteReference w:id="34"/>
      </w:r>
      <w:r w:rsidRPr="002A4292">
        <w:rPr>
          <w:sz w:val="24"/>
        </w:rPr>
        <w:t xml:space="preserve"> </w:t>
      </w:r>
      <w:bookmarkStart w:id="0" w:name="OLE_LINK1"/>
      <w:bookmarkStart w:id="1" w:name="OLE_LINK2"/>
      <w:r w:rsidR="00AB1BE1" w:rsidRPr="002A4292">
        <w:t xml:space="preserve">This </w:t>
      </w:r>
      <w:r w:rsidR="00F2546B" w:rsidRPr="002A4292">
        <w:t xml:space="preserve">is distinct from </w:t>
      </w:r>
      <w:r w:rsidR="009B73CC">
        <w:t xml:space="preserve">the </w:t>
      </w:r>
      <w:r w:rsidR="00F2546B" w:rsidRPr="002A4292">
        <w:t>Australia Awards that</w:t>
      </w:r>
      <w:r w:rsidR="00EA502D" w:rsidRPr="002A4292">
        <w:t xml:space="preserve"> aim to develop </w:t>
      </w:r>
      <w:r w:rsidR="00F2546B" w:rsidRPr="002A4292">
        <w:t>individual</w:t>
      </w:r>
      <w:r w:rsidR="00AB1BE1" w:rsidRPr="002A4292">
        <w:t xml:space="preserve"> </w:t>
      </w:r>
      <w:r w:rsidR="00EA502D" w:rsidRPr="002A4292">
        <w:t xml:space="preserve">capacity and leadership skills </w:t>
      </w:r>
      <w:r w:rsidR="004D4DCE" w:rsidRPr="002A4292">
        <w:t>to</w:t>
      </w:r>
      <w:r w:rsidR="00AB1BE1" w:rsidRPr="002A4292">
        <w:t xml:space="preserve"> enable </w:t>
      </w:r>
      <w:r w:rsidR="00371312">
        <w:t>participants</w:t>
      </w:r>
      <w:r w:rsidR="00371312" w:rsidRPr="002A4292">
        <w:t xml:space="preserve"> </w:t>
      </w:r>
      <w:r w:rsidR="00AB1BE1" w:rsidRPr="002A4292">
        <w:t>to</w:t>
      </w:r>
      <w:r w:rsidR="004D4DCE" w:rsidRPr="002A4292">
        <w:t xml:space="preserve"> better</w:t>
      </w:r>
      <w:r w:rsidR="00EA502D" w:rsidRPr="002A4292">
        <w:t xml:space="preserve"> contribute to de</w:t>
      </w:r>
      <w:r w:rsidR="004D4DCE" w:rsidRPr="002A4292">
        <w:t>velopment on</w:t>
      </w:r>
      <w:r w:rsidR="00AB1BE1" w:rsidRPr="002A4292">
        <w:t xml:space="preserve"> return to their home country</w:t>
      </w:r>
      <w:r w:rsidR="0008688E">
        <w:t xml:space="preserve">. </w:t>
      </w:r>
      <w:r w:rsidRPr="002A4292">
        <w:t xml:space="preserve">The </w:t>
      </w:r>
      <w:r w:rsidR="00AB1BE1" w:rsidRPr="002A4292">
        <w:t xml:space="preserve">Kiribati-Australia Nursing Initiative </w:t>
      </w:r>
      <w:r w:rsidR="009B73CC">
        <w:t>began</w:t>
      </w:r>
      <w:r w:rsidR="009B73CC" w:rsidRPr="002A4292">
        <w:t xml:space="preserve"> </w:t>
      </w:r>
      <w:r w:rsidRPr="002A4292">
        <w:t>in 2007 and is a unique and innovative model of supporting skilled migration from a small,</w:t>
      </w:r>
      <w:r w:rsidR="0085675A" w:rsidRPr="002A4292">
        <w:t xml:space="preserve"> remote and</w:t>
      </w:r>
      <w:r w:rsidRPr="002A4292">
        <w:t xml:space="preserve"> environmentally fragile Pacific island country</w:t>
      </w:r>
      <w:r w:rsidR="0008688E">
        <w:t xml:space="preserve">. </w:t>
      </w:r>
    </w:p>
    <w:p w:rsidR="00FE75DA" w:rsidRPr="002A4292" w:rsidRDefault="005155DB" w:rsidP="00FD1244">
      <w:pPr>
        <w:pStyle w:val="BodyText"/>
      </w:pPr>
      <w:r w:rsidRPr="002A4292">
        <w:t>In 2012</w:t>
      </w:r>
      <w:r w:rsidR="00FF5A53">
        <w:t>–</w:t>
      </w:r>
      <w:r w:rsidRPr="002A4292">
        <w:t xml:space="preserve">13, </w:t>
      </w:r>
      <w:r w:rsidR="00761D0F">
        <w:t>the Australian</w:t>
      </w:r>
      <w:r w:rsidR="002736AB">
        <w:t xml:space="preserve"> Government </w:t>
      </w:r>
      <w:r w:rsidR="009B73CC">
        <w:t>ha</w:t>
      </w:r>
      <w:r w:rsidR="004419D7">
        <w:t>d</w:t>
      </w:r>
      <w:r w:rsidR="009B73CC">
        <w:t xml:space="preserve"> the</w:t>
      </w:r>
      <w:r w:rsidR="009B73CC" w:rsidRPr="002A4292">
        <w:t xml:space="preserve"> </w:t>
      </w:r>
      <w:r w:rsidR="009B73CC">
        <w:t>initiative</w:t>
      </w:r>
      <w:r w:rsidR="009B73CC" w:rsidRPr="002A4292">
        <w:t xml:space="preserve"> </w:t>
      </w:r>
      <w:r w:rsidRPr="002A4292">
        <w:t>independently reviewed</w:t>
      </w:r>
      <w:r w:rsidR="0008688E">
        <w:t xml:space="preserve">. </w:t>
      </w:r>
      <w:r w:rsidRPr="002A4292">
        <w:t xml:space="preserve">The review rated the effectiveness as ‘adequate quality’. </w:t>
      </w:r>
      <w:r w:rsidR="001B28F6" w:rsidRPr="002A4292">
        <w:t xml:space="preserve">It found that </w:t>
      </w:r>
      <w:r w:rsidRPr="002A4292">
        <w:t xml:space="preserve">educational outputs </w:t>
      </w:r>
      <w:r w:rsidR="009B73CC">
        <w:t>were</w:t>
      </w:r>
      <w:r w:rsidRPr="002A4292">
        <w:t xml:space="preserve"> largel</w:t>
      </w:r>
      <w:r w:rsidR="001B28F6" w:rsidRPr="002A4292">
        <w:t>y achieved</w:t>
      </w:r>
      <w:r w:rsidR="00371312">
        <w:t>,</w:t>
      </w:r>
      <w:r w:rsidR="001B28F6" w:rsidRPr="002A4292">
        <w:t xml:space="preserve"> with 68 students (82 </w:t>
      </w:r>
      <w:r w:rsidRPr="002A4292">
        <w:t>per cent</w:t>
      </w:r>
      <w:proofErr w:type="gramStart"/>
      <w:r w:rsidRPr="002A4292">
        <w:t>)</w:t>
      </w:r>
      <w:proofErr w:type="gramEnd"/>
      <w:r w:rsidRPr="002A4292">
        <w:rPr>
          <w:rStyle w:val="FootnoteReference"/>
          <w:sz w:val="14"/>
        </w:rPr>
        <w:footnoteReference w:id="35"/>
      </w:r>
      <w:r w:rsidRPr="002A4292">
        <w:rPr>
          <w:rStyle w:val="FootnoteReference"/>
          <w:sz w:val="14"/>
        </w:rPr>
        <w:t xml:space="preserve"> </w:t>
      </w:r>
      <w:r w:rsidRPr="002A4292">
        <w:t>expected to graduate as registered nurses</w:t>
      </w:r>
      <w:r w:rsidR="0008688E">
        <w:t xml:space="preserve">. </w:t>
      </w:r>
      <w:r w:rsidR="008A5A3C" w:rsidRPr="002A4292">
        <w:t xml:space="preserve">This result </w:t>
      </w:r>
      <w:r w:rsidR="009B73CC">
        <w:t>was</w:t>
      </w:r>
      <w:r w:rsidR="009B73CC" w:rsidRPr="002A4292">
        <w:t xml:space="preserve"> </w:t>
      </w:r>
      <w:r w:rsidR="008A5A3C" w:rsidRPr="002A4292">
        <w:t>simil</w:t>
      </w:r>
      <w:r w:rsidR="00F2546B" w:rsidRPr="002A4292">
        <w:t xml:space="preserve">ar to the completion rates of </w:t>
      </w:r>
      <w:r w:rsidR="00263E83" w:rsidRPr="002A4292">
        <w:t>i</w:t>
      </w:r>
      <w:r w:rsidR="00263E83" w:rsidRPr="002A4292">
        <w:noBreakHyphen/>
        <w:t>Kiribati</w:t>
      </w:r>
      <w:r w:rsidR="008A5A3C" w:rsidRPr="002A4292">
        <w:t xml:space="preserve"> Australia Awards participants (83 per cent), which are concerning (when compared to the </w:t>
      </w:r>
      <w:r w:rsidR="004D4DCE" w:rsidRPr="002A4292">
        <w:t xml:space="preserve">Australia Awards </w:t>
      </w:r>
      <w:r w:rsidR="008A5A3C" w:rsidRPr="002A4292">
        <w:t>completion rate o</w:t>
      </w:r>
      <w:r w:rsidR="00DB7362" w:rsidRPr="002A4292">
        <w:t xml:space="preserve">f 97 per cent globally) but </w:t>
      </w:r>
      <w:r w:rsidR="008A5A3C" w:rsidRPr="002A4292">
        <w:t>not dire</w:t>
      </w:r>
      <w:r w:rsidR="0008688E">
        <w:t xml:space="preserve">. </w:t>
      </w:r>
      <w:r w:rsidR="004D4DCE" w:rsidRPr="002A4292">
        <w:t xml:space="preserve">However, </w:t>
      </w:r>
      <w:r w:rsidR="00651F63">
        <w:t xml:space="preserve">the Australian aid </w:t>
      </w:r>
      <w:r w:rsidR="005546C3">
        <w:t>program</w:t>
      </w:r>
      <w:r w:rsidR="00651F63">
        <w:t xml:space="preserve"> </w:t>
      </w:r>
      <w:r w:rsidR="005E7D29">
        <w:t>has</w:t>
      </w:r>
      <w:r w:rsidR="004D4DCE" w:rsidRPr="002A4292">
        <w:t xml:space="preserve"> been disappointed in the time it has taken for </w:t>
      </w:r>
      <w:r w:rsidRPr="002A4292">
        <w:t>international employment outcomes to emerge</w:t>
      </w:r>
      <w:r w:rsidR="0008688E">
        <w:t xml:space="preserve">. </w:t>
      </w:r>
      <w:r w:rsidR="004D4DCE" w:rsidRPr="002A4292">
        <w:t>By February </w:t>
      </w:r>
      <w:r w:rsidR="00A60023" w:rsidRPr="002A4292">
        <w:t>2012, 17 per cent (5</w:t>
      </w:r>
      <w:r w:rsidR="00FE75DA" w:rsidRPr="002A4292">
        <w:t xml:space="preserve"> out of 29) of participants who had exited </w:t>
      </w:r>
      <w:r w:rsidR="00A60023" w:rsidRPr="002A4292">
        <w:t>had gained full</w:t>
      </w:r>
      <w:r w:rsidR="00C156A0">
        <w:t>-</w:t>
      </w:r>
      <w:r w:rsidR="00A60023" w:rsidRPr="002A4292">
        <w:t xml:space="preserve">time </w:t>
      </w:r>
      <w:r w:rsidR="00FE75DA" w:rsidRPr="002A4292">
        <w:t>employment in the health sector</w:t>
      </w:r>
      <w:r w:rsidR="00A60023" w:rsidRPr="002A4292">
        <w:t xml:space="preserve"> and an</w:t>
      </w:r>
      <w:r w:rsidR="00C156A0">
        <w:t>other</w:t>
      </w:r>
      <w:r w:rsidR="00A60023" w:rsidRPr="002A4292">
        <w:t xml:space="preserve"> </w:t>
      </w:r>
      <w:r w:rsidR="00D81D23" w:rsidRPr="002A4292">
        <w:t>31</w:t>
      </w:r>
      <w:r w:rsidR="00CF0985">
        <w:t> </w:t>
      </w:r>
      <w:r w:rsidR="00D81D23" w:rsidRPr="002A4292">
        <w:t>per</w:t>
      </w:r>
      <w:r w:rsidR="00CF0985">
        <w:t> </w:t>
      </w:r>
      <w:r w:rsidR="00D81D23" w:rsidRPr="002A4292">
        <w:t>cent (</w:t>
      </w:r>
      <w:r w:rsidR="00C156A0">
        <w:t>9</w:t>
      </w:r>
      <w:r w:rsidR="00C156A0" w:rsidRPr="002A4292">
        <w:t xml:space="preserve"> </w:t>
      </w:r>
      <w:r w:rsidR="00D81D23" w:rsidRPr="002A4292">
        <w:t>out of 29) had gained part</w:t>
      </w:r>
      <w:r w:rsidR="00C156A0">
        <w:t>-</w:t>
      </w:r>
      <w:r w:rsidR="00D81D23" w:rsidRPr="002A4292">
        <w:t>time employment</w:t>
      </w:r>
      <w:r w:rsidR="00FE75DA" w:rsidRPr="002A4292">
        <w:t>.</w:t>
      </w:r>
      <w:r w:rsidR="00FE75DA" w:rsidRPr="002A4292">
        <w:rPr>
          <w:rStyle w:val="FootnoteReference"/>
          <w:sz w:val="14"/>
        </w:rPr>
        <w:footnoteReference w:id="36"/>
      </w:r>
      <w:r w:rsidR="001B28F6" w:rsidRPr="002A4292">
        <w:rPr>
          <w:rStyle w:val="FootnoteReference"/>
          <w:sz w:val="14"/>
        </w:rPr>
        <w:t xml:space="preserve"> </w:t>
      </w:r>
      <w:r w:rsidR="002E76B7" w:rsidRPr="002A4292">
        <w:t>By June 2013,</w:t>
      </w:r>
      <w:r w:rsidR="00D81D23" w:rsidRPr="002A4292">
        <w:t xml:space="preserve"> </w:t>
      </w:r>
      <w:r w:rsidR="00A60023" w:rsidRPr="002A4292">
        <w:t>24 per cent (13 out of 54) had gained full</w:t>
      </w:r>
      <w:r w:rsidR="00C156A0">
        <w:t>-</w:t>
      </w:r>
      <w:r w:rsidR="00A60023" w:rsidRPr="002A4292">
        <w:t>time employment and an</w:t>
      </w:r>
      <w:r w:rsidR="00CF0985">
        <w:t>other</w:t>
      </w:r>
      <w:r w:rsidR="00A60023" w:rsidRPr="002A4292">
        <w:t xml:space="preserve"> 46 per cent part</w:t>
      </w:r>
      <w:r w:rsidR="00C156A0">
        <w:t>-</w:t>
      </w:r>
      <w:r w:rsidR="00A60023" w:rsidRPr="002A4292">
        <w:t xml:space="preserve">time </w:t>
      </w:r>
      <w:r w:rsidR="00A60023" w:rsidRPr="002A4292">
        <w:lastRenderedPageBreak/>
        <w:t>employment (25 out of 54)</w:t>
      </w:r>
      <w:r w:rsidR="0008688E">
        <w:t xml:space="preserve">. </w:t>
      </w:r>
      <w:r w:rsidR="005F2768" w:rsidRPr="002A4292">
        <w:t>Although</w:t>
      </w:r>
      <w:r w:rsidR="00F2546B" w:rsidRPr="002A4292">
        <w:t xml:space="preserve"> specific</w:t>
      </w:r>
      <w:r w:rsidR="005F2768" w:rsidRPr="002A4292">
        <w:t xml:space="preserve"> employment target</w:t>
      </w:r>
      <w:r w:rsidR="00D81D23" w:rsidRPr="002A4292">
        <w:t>s</w:t>
      </w:r>
      <w:r w:rsidR="005F2768" w:rsidRPr="002A4292">
        <w:t xml:space="preserve"> were not identified in</w:t>
      </w:r>
      <w:r w:rsidR="00CF0985">
        <w:t xml:space="preserve"> the</w:t>
      </w:r>
      <w:r w:rsidR="005F2768" w:rsidRPr="002A4292">
        <w:t xml:space="preserve"> </w:t>
      </w:r>
      <w:r w:rsidR="00C156A0">
        <w:t>initiative’s</w:t>
      </w:r>
      <w:r w:rsidR="00DB7362" w:rsidRPr="002A4292">
        <w:t xml:space="preserve"> design</w:t>
      </w:r>
      <w:r w:rsidR="005F2768" w:rsidRPr="002A4292">
        <w:t xml:space="preserve">, </w:t>
      </w:r>
      <w:r w:rsidR="00DB7362" w:rsidRPr="002A4292">
        <w:t xml:space="preserve">this </w:t>
      </w:r>
      <w:r w:rsidR="005F2768" w:rsidRPr="002A4292">
        <w:t xml:space="preserve">rate </w:t>
      </w:r>
      <w:r w:rsidR="00DB7362" w:rsidRPr="002A4292">
        <w:t xml:space="preserve">is lower than what </w:t>
      </w:r>
      <w:r w:rsidR="00651F63">
        <w:t xml:space="preserve">the Australian </w:t>
      </w:r>
      <w:r w:rsidR="002736AB">
        <w:t xml:space="preserve">Government </w:t>
      </w:r>
      <w:r w:rsidR="00DB7362" w:rsidRPr="002A4292">
        <w:t>expected.</w:t>
      </w:r>
      <w:r w:rsidR="00FE75DA" w:rsidRPr="002A4292">
        <w:t xml:space="preserve"> </w:t>
      </w:r>
    </w:p>
    <w:p w:rsidR="00E4766C" w:rsidRPr="002A4292" w:rsidRDefault="00704B66" w:rsidP="00FD1244">
      <w:pPr>
        <w:pStyle w:val="BodyText"/>
      </w:pPr>
      <w:r w:rsidRPr="002A4292">
        <w:t xml:space="preserve">The Government of Kiribati </w:t>
      </w:r>
      <w:r w:rsidR="00A60023" w:rsidRPr="002A4292">
        <w:t xml:space="preserve">is pleased with </w:t>
      </w:r>
      <w:r w:rsidRPr="002A4292">
        <w:t xml:space="preserve">the </w:t>
      </w:r>
      <w:r w:rsidR="00C156A0">
        <w:t>initiative’s</w:t>
      </w:r>
      <w:r w:rsidR="00C156A0" w:rsidRPr="002A4292">
        <w:t xml:space="preserve"> </w:t>
      </w:r>
      <w:r w:rsidRPr="002A4292">
        <w:t>achievement</w:t>
      </w:r>
      <w:r w:rsidR="00DB7362" w:rsidRPr="002A4292">
        <w:t>s</w:t>
      </w:r>
      <w:r w:rsidR="0008688E">
        <w:t xml:space="preserve">. </w:t>
      </w:r>
      <w:r w:rsidRPr="002A4292">
        <w:t xml:space="preserve">The 68 young people expected to </w:t>
      </w:r>
      <w:r w:rsidR="00DB7362" w:rsidRPr="002A4292">
        <w:t>graduate</w:t>
      </w:r>
      <w:r w:rsidRPr="002A4292">
        <w:t xml:space="preserve"> have </w:t>
      </w:r>
      <w:r w:rsidR="00DB7362" w:rsidRPr="002A4292">
        <w:t>worked hard to position</w:t>
      </w:r>
      <w:r w:rsidRPr="002A4292">
        <w:t xml:space="preserve"> themselves and their families for a better future</w:t>
      </w:r>
      <w:r w:rsidR="0008688E">
        <w:t xml:space="preserve">. </w:t>
      </w:r>
      <w:r w:rsidR="006F6A3A" w:rsidRPr="002A4292">
        <w:t xml:space="preserve">This </w:t>
      </w:r>
      <w:r w:rsidR="00FE48DC" w:rsidRPr="002A4292">
        <w:t xml:space="preserve">is </w:t>
      </w:r>
      <w:r w:rsidR="006F6A3A" w:rsidRPr="002A4292">
        <w:t>certainly a good outcome</w:t>
      </w:r>
      <w:r w:rsidR="00C156A0">
        <w:t xml:space="preserve"> although</w:t>
      </w:r>
      <w:r w:rsidR="00DB7362" w:rsidRPr="002A4292">
        <w:t xml:space="preserve"> </w:t>
      </w:r>
      <w:r w:rsidR="00651F63">
        <w:t xml:space="preserve">the Australian </w:t>
      </w:r>
      <w:r w:rsidR="002736AB">
        <w:t>Government</w:t>
      </w:r>
      <w:r w:rsidR="00651F63">
        <w:t xml:space="preserve"> </w:t>
      </w:r>
      <w:r w:rsidR="00695E6D" w:rsidRPr="002A4292">
        <w:t>remain</w:t>
      </w:r>
      <w:r w:rsidR="00F2546B" w:rsidRPr="002A4292">
        <w:t>s</w:t>
      </w:r>
      <w:r w:rsidR="00695E6D" w:rsidRPr="002A4292">
        <w:t xml:space="preserve"> concerned about the scale and efficiency of the </w:t>
      </w:r>
      <w:r w:rsidR="00C156A0">
        <w:t>initiative</w:t>
      </w:r>
      <w:r w:rsidR="0008688E">
        <w:t xml:space="preserve">. </w:t>
      </w:r>
      <w:r w:rsidR="00C156A0">
        <w:t>P</w:t>
      </w:r>
      <w:r w:rsidR="00695E6D" w:rsidRPr="002A4292">
        <w:t>rovi</w:t>
      </w:r>
      <w:r w:rsidR="00C156A0">
        <w:t>ding</w:t>
      </w:r>
      <w:r w:rsidR="00695E6D" w:rsidRPr="002A4292">
        <w:t xml:space="preserve"> labour migration scholarships to 83 people out of population </w:t>
      </w:r>
      <w:r w:rsidR="00C156A0">
        <w:t>of</w:t>
      </w:r>
      <w:r w:rsidR="00C156A0" w:rsidRPr="002A4292">
        <w:t xml:space="preserve"> </w:t>
      </w:r>
      <w:r w:rsidR="00695E6D" w:rsidRPr="002A4292">
        <w:t>103</w:t>
      </w:r>
      <w:r w:rsidR="00CD7870">
        <w:t>,</w:t>
      </w:r>
      <w:r w:rsidR="00695E6D" w:rsidRPr="002A4292">
        <w:t>038 raises questions of scale</w:t>
      </w:r>
      <w:r w:rsidR="0008688E">
        <w:t xml:space="preserve">. </w:t>
      </w:r>
      <w:r w:rsidR="00695E6D" w:rsidRPr="002A4292">
        <w:t>The review</w:t>
      </w:r>
      <w:r w:rsidR="00C156A0">
        <w:t xml:space="preserve"> found</w:t>
      </w:r>
      <w:r w:rsidR="00695E6D" w:rsidRPr="002A4292">
        <w:t xml:space="preserve"> the </w:t>
      </w:r>
      <w:r w:rsidR="00C156A0">
        <w:t xml:space="preserve">initiative </w:t>
      </w:r>
      <w:r w:rsidR="00695E6D" w:rsidRPr="002A4292">
        <w:t>would need to continue ov</w:t>
      </w:r>
      <w:r w:rsidR="00FE48DC" w:rsidRPr="002A4292">
        <w:t xml:space="preserve">er many years before remittances </w:t>
      </w:r>
      <w:r w:rsidR="00695E6D" w:rsidRPr="002A4292">
        <w:t xml:space="preserve">from nurses trained under </w:t>
      </w:r>
      <w:r w:rsidR="00C156A0">
        <w:t xml:space="preserve">it </w:t>
      </w:r>
      <w:r w:rsidR="00695E6D" w:rsidRPr="002A4292">
        <w:t>would have any significant economic or social impact on Kiribati</w:t>
      </w:r>
      <w:r w:rsidR="00C156A0">
        <w:t>. This finding</w:t>
      </w:r>
      <w:r w:rsidR="00695E6D" w:rsidRPr="002A4292">
        <w:t xml:space="preserve"> is also pertinent</w:t>
      </w:r>
      <w:r w:rsidR="0008688E">
        <w:t xml:space="preserve">. </w:t>
      </w:r>
      <w:r w:rsidR="002C69EB" w:rsidRPr="002A4292">
        <w:t>T</w:t>
      </w:r>
      <w:r w:rsidR="00695E6D" w:rsidRPr="002A4292">
        <w:t>he</w:t>
      </w:r>
      <w:r w:rsidR="00C156A0">
        <w:t xml:space="preserve"> review’s</w:t>
      </w:r>
      <w:r w:rsidR="00695E6D" w:rsidRPr="002A4292">
        <w:t xml:space="preserve"> cost</w:t>
      </w:r>
      <w:r w:rsidR="00C156A0">
        <w:t>-</w:t>
      </w:r>
      <w:r w:rsidR="00695E6D" w:rsidRPr="002A4292">
        <w:t xml:space="preserve">benefit analysis showed </w:t>
      </w:r>
      <w:r w:rsidR="00E4766C" w:rsidRPr="002A4292">
        <w:t xml:space="preserve">only marginally </w:t>
      </w:r>
      <w:r w:rsidR="00695E6D" w:rsidRPr="002A4292">
        <w:t xml:space="preserve">positive net benefits on </w:t>
      </w:r>
      <w:r w:rsidR="00E4766C" w:rsidRPr="002A4292">
        <w:t>realistic</w:t>
      </w:r>
      <w:r w:rsidR="00695E6D" w:rsidRPr="002A4292">
        <w:t xml:space="preserve"> scenarios, </w:t>
      </w:r>
      <w:r w:rsidR="00F74F2E" w:rsidRPr="002A4292">
        <w:t xml:space="preserve">and would have shown a negative net benefit had private salaries of individuals not been counted as ‘benefits’. </w:t>
      </w:r>
    </w:p>
    <w:p w:rsidR="00695E6D" w:rsidRPr="002A4292" w:rsidRDefault="00695E6D" w:rsidP="00FD1244">
      <w:pPr>
        <w:pStyle w:val="BodyText"/>
      </w:pPr>
      <w:r w:rsidRPr="002A4292">
        <w:t xml:space="preserve">The review found that the </w:t>
      </w:r>
      <w:r w:rsidR="00C156A0" w:rsidRPr="002A4292">
        <w:t>Kiribati-Australia Nursing Initiative</w:t>
      </w:r>
      <w:r w:rsidRPr="002A4292">
        <w:t xml:space="preserve">’s concept </w:t>
      </w:r>
      <w:r w:rsidR="00F2546B" w:rsidRPr="002A4292">
        <w:t xml:space="preserve">remained </w:t>
      </w:r>
      <w:r w:rsidRPr="002A4292">
        <w:t xml:space="preserve">highly relevant to </w:t>
      </w:r>
      <w:r w:rsidR="00C156A0">
        <w:t>country</w:t>
      </w:r>
      <w:r w:rsidR="00C156A0" w:rsidRPr="002A4292">
        <w:t xml:space="preserve"> </w:t>
      </w:r>
      <w:r w:rsidRPr="002A4292">
        <w:t>priorities</w:t>
      </w:r>
      <w:r w:rsidR="0008688E">
        <w:t xml:space="preserve">. </w:t>
      </w:r>
      <w:r w:rsidR="006F6A3A" w:rsidRPr="002A4292">
        <w:t>S</w:t>
      </w:r>
      <w:r w:rsidR="00DB7362" w:rsidRPr="002A4292">
        <w:t>upporting citizens to migrate with dignity</w:t>
      </w:r>
      <w:r w:rsidR="006F6A3A" w:rsidRPr="002A4292">
        <w:t xml:space="preserve"> is</w:t>
      </w:r>
      <w:r w:rsidR="00CF0985">
        <w:t xml:space="preserve"> a</w:t>
      </w:r>
      <w:r w:rsidR="006F6A3A" w:rsidRPr="002A4292">
        <w:t xml:space="preserve"> </w:t>
      </w:r>
      <w:r w:rsidR="00576A6A" w:rsidRPr="002A4292">
        <w:t>key</w:t>
      </w:r>
      <w:r w:rsidR="006F6A3A" w:rsidRPr="002A4292">
        <w:t xml:space="preserve"> priority</w:t>
      </w:r>
      <w:r w:rsidR="00F2546B" w:rsidRPr="002A4292">
        <w:t xml:space="preserve"> for the Government of Kiribati</w:t>
      </w:r>
      <w:r w:rsidR="0008688E">
        <w:t xml:space="preserve">. </w:t>
      </w:r>
      <w:r w:rsidR="004419D7">
        <w:t xml:space="preserve">Australia’s </w:t>
      </w:r>
      <w:r w:rsidR="006F6A3A" w:rsidRPr="002A4292">
        <w:t xml:space="preserve">support for the </w:t>
      </w:r>
      <w:r w:rsidR="00C156A0">
        <w:t>initiative</w:t>
      </w:r>
      <w:r w:rsidR="00C156A0" w:rsidRPr="002A4292">
        <w:t xml:space="preserve"> </w:t>
      </w:r>
      <w:r w:rsidR="00F2546B" w:rsidRPr="002A4292">
        <w:t>adds weight</w:t>
      </w:r>
      <w:r w:rsidR="006F6A3A" w:rsidRPr="002A4292">
        <w:t xml:space="preserve"> to the </w:t>
      </w:r>
      <w:r w:rsidR="00C156A0">
        <w:t>g</w:t>
      </w:r>
      <w:r w:rsidR="006F6A3A" w:rsidRPr="002A4292">
        <w:t>overnment’s calls for o</w:t>
      </w:r>
      <w:r w:rsidR="00DB7362" w:rsidRPr="002A4292">
        <w:t>ther donors to support labour migration programs</w:t>
      </w:r>
      <w:r w:rsidR="0008688E">
        <w:t xml:space="preserve">. </w:t>
      </w:r>
      <w:r w:rsidR="00F2546B" w:rsidRPr="002A4292">
        <w:t>However, there have</w:t>
      </w:r>
      <w:r w:rsidRPr="002A4292">
        <w:t xml:space="preserve"> been changes to the operating context since </w:t>
      </w:r>
      <w:r w:rsidR="00C156A0">
        <w:t>inception</w:t>
      </w:r>
      <w:r w:rsidR="00CF0985">
        <w:t>, and these</w:t>
      </w:r>
      <w:r w:rsidR="00C156A0">
        <w:t xml:space="preserve"> have</w:t>
      </w:r>
      <w:r w:rsidRPr="002A4292">
        <w:t xml:space="preserve"> influenced implementation and achievement of results</w:t>
      </w:r>
      <w:r w:rsidR="0008688E">
        <w:t xml:space="preserve">. </w:t>
      </w:r>
      <w:r w:rsidR="00CF0985">
        <w:t>Changes</w:t>
      </w:r>
      <w:r w:rsidR="00CF0985" w:rsidRPr="002A4292">
        <w:t xml:space="preserve"> </w:t>
      </w:r>
      <w:r w:rsidRPr="002A4292">
        <w:t>include a depressed local nursing market in Queensland</w:t>
      </w:r>
      <w:r w:rsidRPr="002A4292">
        <w:rPr>
          <w:rStyle w:val="FootnoteReference"/>
          <w:sz w:val="14"/>
        </w:rPr>
        <w:footnoteReference w:id="37"/>
      </w:r>
      <w:r w:rsidR="00EE4AB8" w:rsidRPr="002A4292">
        <w:t>,</w:t>
      </w:r>
      <w:r w:rsidR="00EE4AB8">
        <w:t xml:space="preserve"> </w:t>
      </w:r>
      <w:r w:rsidRPr="002A4292">
        <w:t xml:space="preserve">Queensland Health’s policy of employing domestic graduates first, an increase </w:t>
      </w:r>
      <w:r w:rsidR="00FE48DC" w:rsidRPr="002A4292">
        <w:t>in</w:t>
      </w:r>
      <w:r w:rsidRPr="002A4292">
        <w:t xml:space="preserve"> the score required for </w:t>
      </w:r>
      <w:proofErr w:type="gramStart"/>
      <w:r w:rsidRPr="002A4292">
        <w:t>an English</w:t>
      </w:r>
      <w:proofErr w:type="gramEnd"/>
      <w:r w:rsidRPr="002A4292">
        <w:t xml:space="preserve"> for Skilled Graduate (Temporary 485) visa application</w:t>
      </w:r>
      <w:r w:rsidRPr="002A4292">
        <w:rPr>
          <w:rStyle w:val="FootnoteReference"/>
          <w:sz w:val="14"/>
        </w:rPr>
        <w:footnoteReference w:id="38"/>
      </w:r>
      <w:r w:rsidR="00C156A0">
        <w:t>, and</w:t>
      </w:r>
      <w:r w:rsidRPr="002A4292">
        <w:t xml:space="preserve"> increased costs in providing living allowances and visas for scholarship students</w:t>
      </w:r>
      <w:r w:rsidR="0008688E">
        <w:t xml:space="preserve">. </w:t>
      </w:r>
      <w:r w:rsidRPr="002A4292">
        <w:t xml:space="preserve">Other factors </w:t>
      </w:r>
      <w:r w:rsidR="00C156A0">
        <w:t>influencing</w:t>
      </w:r>
      <w:r w:rsidR="00C156A0" w:rsidRPr="002A4292">
        <w:t xml:space="preserve"> </w:t>
      </w:r>
      <w:r w:rsidRPr="002A4292">
        <w:t>implementation include the high rate of student pregnancies (</w:t>
      </w:r>
      <w:r w:rsidR="006E7668" w:rsidRPr="002A4292">
        <w:t xml:space="preserve">almost half </w:t>
      </w:r>
      <w:r w:rsidRPr="002A4292">
        <w:t>of female students) leading to increased extensions, repetition and a generally more lenient attitude to academic failures</w:t>
      </w:r>
      <w:r w:rsidR="0008688E">
        <w:t xml:space="preserve">. </w:t>
      </w:r>
      <w:r w:rsidRPr="002A4292">
        <w:t>The review found that other social and cultural issues relat</w:t>
      </w:r>
      <w:r w:rsidR="00CF0985">
        <w:t>ing</w:t>
      </w:r>
      <w:r w:rsidRPr="002A4292">
        <w:t xml:space="preserve"> to gender roles also </w:t>
      </w:r>
      <w:r w:rsidR="00C156A0">
        <w:t xml:space="preserve">had an </w:t>
      </w:r>
      <w:r w:rsidRPr="002A4292">
        <w:t>impact and recommended that a comprehensive gender strategy be developed for any future phase.</w:t>
      </w:r>
      <w:r w:rsidRPr="002A4292">
        <w:rPr>
          <w:rStyle w:val="FootnoteReference"/>
          <w:sz w:val="14"/>
        </w:rPr>
        <w:footnoteReference w:id="39"/>
      </w:r>
    </w:p>
    <w:bookmarkEnd w:id="0"/>
    <w:bookmarkEnd w:id="1"/>
    <w:p w:rsidR="006E7668" w:rsidRPr="002A4292" w:rsidRDefault="006E7668" w:rsidP="00FD1244">
      <w:pPr>
        <w:pStyle w:val="BodyText"/>
      </w:pPr>
      <w:r w:rsidRPr="002A4292">
        <w:rPr>
          <w:rFonts w:cs="Arial"/>
        </w:rPr>
        <w:t>T</w:t>
      </w:r>
      <w:r w:rsidRPr="002A4292">
        <w:t>he program is scheduled to end in mid-2014</w:t>
      </w:r>
      <w:r w:rsidR="0008688E">
        <w:t xml:space="preserve">. </w:t>
      </w:r>
      <w:r w:rsidRPr="002A4292">
        <w:rPr>
          <w:color w:val="333333"/>
        </w:rPr>
        <w:t xml:space="preserve">The </w:t>
      </w:r>
      <w:r w:rsidRPr="002A4292">
        <w:t>review’s findings and recommendations will contribute to a management decision on how to reshape the program</w:t>
      </w:r>
      <w:r w:rsidR="0008688E">
        <w:t xml:space="preserve">. </w:t>
      </w:r>
      <w:r w:rsidRPr="002A4292">
        <w:t>Alternative options to address rising youth unemployment in Kiribati include increasing the Australia Awards program, increasing places at A</w:t>
      </w:r>
      <w:r w:rsidR="00EB260D">
        <w:t>PTC</w:t>
      </w:r>
      <w:r w:rsidRPr="002A4292">
        <w:t>, the Kiribati Institute of Technology and/or the Kiribati School of Nursing</w:t>
      </w:r>
      <w:r w:rsidR="00CF0985">
        <w:t>,</w:t>
      </w:r>
      <w:r w:rsidRPr="002A4292">
        <w:t xml:space="preserve"> and strengthening</w:t>
      </w:r>
      <w:r w:rsidR="00CF0985">
        <w:t xml:space="preserve"> the</w:t>
      </w:r>
      <w:r w:rsidRPr="002A4292">
        <w:t xml:space="preserve"> transition to work and migration within these programs</w:t>
      </w:r>
      <w:r w:rsidR="0008688E">
        <w:t xml:space="preserve">. </w:t>
      </w:r>
      <w:r w:rsidRPr="002A4292">
        <w:t xml:space="preserve">The review noted that further support to the education sector, particularly in secondary school English language teaching, would be a sound investment in labour mobility for </w:t>
      </w:r>
      <w:r w:rsidR="00FC4623">
        <w:t xml:space="preserve">young </w:t>
      </w:r>
      <w:r w:rsidR="00263E83" w:rsidRPr="002A4292">
        <w:t>i-Kiribati</w:t>
      </w:r>
      <w:r w:rsidR="0008688E">
        <w:t xml:space="preserve">. </w:t>
      </w:r>
      <w:r w:rsidR="00651F63">
        <w:t>DFAT</w:t>
      </w:r>
      <w:r w:rsidR="004628F9">
        <w:t xml:space="preserve"> </w:t>
      </w:r>
      <w:r w:rsidRPr="002A4292">
        <w:t>will work with the Government of Kiribati in 2013</w:t>
      </w:r>
      <w:r w:rsidR="00FC4623">
        <w:t>–</w:t>
      </w:r>
      <w:r w:rsidRPr="002A4292">
        <w:t>14 to explore all options.</w:t>
      </w:r>
    </w:p>
    <w:p w:rsidR="006E7668" w:rsidRPr="002A4292" w:rsidRDefault="006E7668" w:rsidP="00FD1244">
      <w:pPr>
        <w:pStyle w:val="BodyText"/>
        <w:rPr>
          <w:i/>
        </w:rPr>
      </w:pPr>
      <w:r w:rsidRPr="002A4292">
        <w:rPr>
          <w:i/>
        </w:rPr>
        <w:t>Australia-Pacific Technical College</w:t>
      </w:r>
    </w:p>
    <w:p w:rsidR="006E7668" w:rsidRPr="002A4292" w:rsidRDefault="00FE48DC" w:rsidP="00FD1244">
      <w:pPr>
        <w:pStyle w:val="BodyText"/>
      </w:pPr>
      <w:r w:rsidRPr="002A4292">
        <w:t>APTC awards</w:t>
      </w:r>
      <w:r w:rsidR="006E7668" w:rsidRPr="002A4292">
        <w:t xml:space="preserve"> internationally recognised Australian qualifications in targeted industry sectors in the Pacific region, including in the automotive,</w:t>
      </w:r>
      <w:r w:rsidR="00FB139C">
        <w:t xml:space="preserve"> </w:t>
      </w:r>
      <w:r w:rsidR="006E7668" w:rsidRPr="002A4292">
        <w:t>construction</w:t>
      </w:r>
      <w:r w:rsidR="00FB139C">
        <w:t>,</w:t>
      </w:r>
      <w:r w:rsidR="006E7668" w:rsidRPr="002A4292">
        <w:t xml:space="preserve"> electrical,</w:t>
      </w:r>
      <w:r w:rsidR="00FB139C">
        <w:t xml:space="preserve"> health,</w:t>
      </w:r>
      <w:r w:rsidR="00552CA2" w:rsidRPr="00552CA2">
        <w:t xml:space="preserve"> </w:t>
      </w:r>
      <w:r w:rsidR="00552CA2" w:rsidRPr="002A4292">
        <w:t>manufacturing</w:t>
      </w:r>
      <w:r w:rsidR="00552CA2">
        <w:t>,</w:t>
      </w:r>
      <w:r w:rsidR="006E7668" w:rsidRPr="002A4292">
        <w:t xml:space="preserve"> tourism</w:t>
      </w:r>
      <w:r w:rsidR="00FB139C">
        <w:t xml:space="preserve"> and</w:t>
      </w:r>
      <w:r w:rsidR="006E7668" w:rsidRPr="002A4292">
        <w:t xml:space="preserve"> hospitality sectors.</w:t>
      </w:r>
    </w:p>
    <w:p w:rsidR="006E7668" w:rsidRPr="002A4292" w:rsidRDefault="006E7668" w:rsidP="00FD1244">
      <w:pPr>
        <w:pStyle w:val="BodyText"/>
      </w:pPr>
      <w:r w:rsidRPr="002A4292">
        <w:t xml:space="preserve">Since June 2007, </w:t>
      </w:r>
      <w:proofErr w:type="gramStart"/>
      <w:r w:rsidRPr="002A4292">
        <w:t>124</w:t>
      </w:r>
      <w:r w:rsidR="00FD1244">
        <w:t xml:space="preserve"> </w:t>
      </w:r>
      <w:r w:rsidR="00263E83" w:rsidRPr="002A4292">
        <w:t>i-Kiribati</w:t>
      </w:r>
      <w:proofErr w:type="gramEnd"/>
      <w:r w:rsidRPr="002A4292">
        <w:t xml:space="preserve"> have graduate</w:t>
      </w:r>
      <w:r w:rsidR="00B0394E" w:rsidRPr="002A4292">
        <w:t>d</w:t>
      </w:r>
      <w:r w:rsidR="00FE48DC" w:rsidRPr="002A4292">
        <w:t xml:space="preserve"> from APTC </w:t>
      </w:r>
      <w:r w:rsidR="00F2546B" w:rsidRPr="002A4292">
        <w:t>(70 female</w:t>
      </w:r>
      <w:r w:rsidR="00FF5A53">
        <w:t xml:space="preserve"> or</w:t>
      </w:r>
      <w:r w:rsidRPr="002A4292">
        <w:t xml:space="preserve"> 56 per cent)</w:t>
      </w:r>
      <w:r w:rsidR="0008688E">
        <w:t xml:space="preserve">. </w:t>
      </w:r>
      <w:r w:rsidRPr="002A4292">
        <w:t xml:space="preserve">In 2013, </w:t>
      </w:r>
      <w:r w:rsidR="00FE48DC" w:rsidRPr="002A4292">
        <w:t>APTC</w:t>
      </w:r>
      <w:r w:rsidRPr="002A4292">
        <w:t xml:space="preserve"> provided a pathway for 16 </w:t>
      </w:r>
      <w:r w:rsidR="00802232" w:rsidRPr="002A4292">
        <w:t>Certificate II c</w:t>
      </w:r>
      <w:r w:rsidRPr="002A4292">
        <w:t xml:space="preserve">arpentry graduates from the Kiribati Institute of Technology to undertake </w:t>
      </w:r>
      <w:r w:rsidRPr="0057295D">
        <w:t xml:space="preserve">an accelerated program of training at </w:t>
      </w:r>
      <w:r w:rsidR="00FE48DC" w:rsidRPr="0057295D">
        <w:t>APTC</w:t>
      </w:r>
      <w:r w:rsidR="00FC4623" w:rsidRPr="0057295D">
        <w:t>,</w:t>
      </w:r>
      <w:r w:rsidRPr="0057295D">
        <w:t xml:space="preserve"> leading to </w:t>
      </w:r>
      <w:r w:rsidRPr="0057295D">
        <w:lastRenderedPageBreak/>
        <w:t xml:space="preserve">the award of a Certificate III in </w:t>
      </w:r>
      <w:r w:rsidR="00802232" w:rsidRPr="0057295D">
        <w:t>c</w:t>
      </w:r>
      <w:r w:rsidRPr="0057295D">
        <w:t>arpentry</w:t>
      </w:r>
      <w:r w:rsidR="0008688E" w:rsidRPr="0057295D">
        <w:t xml:space="preserve">. </w:t>
      </w:r>
      <w:r w:rsidRPr="0057295D">
        <w:t>All 16 students successfully completed this</w:t>
      </w:r>
      <w:r w:rsidRPr="002A4292">
        <w:t xml:space="preserve"> program.</w:t>
      </w:r>
    </w:p>
    <w:p w:rsidR="00695E6D" w:rsidRPr="00E36601" w:rsidRDefault="00695E6D" w:rsidP="00FD1244">
      <w:pPr>
        <w:pStyle w:val="BodyText"/>
        <w:rPr>
          <w:i/>
          <w:color w:val="333333"/>
        </w:rPr>
      </w:pPr>
      <w:r w:rsidRPr="00BD044B">
        <w:rPr>
          <w:i/>
          <w:color w:val="333333"/>
        </w:rPr>
        <w:t xml:space="preserve">Seasonal Workers Program </w:t>
      </w:r>
    </w:p>
    <w:p w:rsidR="00D10B26" w:rsidRPr="002A4292" w:rsidRDefault="00695E6D" w:rsidP="00FD1244">
      <w:pPr>
        <w:pStyle w:val="BodyText"/>
      </w:pPr>
      <w:r w:rsidRPr="00BD044B">
        <w:t>Australia’s Seasonal Worker Program is creating opportunities for Pacific islanders to access additional income by obtaining seasonal employment in Australia</w:t>
      </w:r>
      <w:r w:rsidR="0008688E" w:rsidRPr="00BD044B">
        <w:t xml:space="preserve">. </w:t>
      </w:r>
      <w:r w:rsidR="000E1043" w:rsidRPr="00BD044B">
        <w:t>In 2012, 12 visas were granted for workers from Kiribati</w:t>
      </w:r>
      <w:r w:rsidR="0008688E" w:rsidRPr="00BD044B">
        <w:t xml:space="preserve">. </w:t>
      </w:r>
      <w:r w:rsidRPr="00BD044B">
        <w:t>The average</w:t>
      </w:r>
      <w:r w:rsidRPr="002A4292">
        <w:t xml:space="preserve"> worker remits </w:t>
      </w:r>
      <w:r w:rsidRPr="0057295D">
        <w:t>around $5</w:t>
      </w:r>
      <w:r w:rsidR="00CD7870">
        <w:t>,</w:t>
      </w:r>
      <w:r w:rsidRPr="0057295D">
        <w:t>000</w:t>
      </w:r>
      <w:r w:rsidR="00CF0985">
        <w:t xml:space="preserve"> to </w:t>
      </w:r>
      <w:r w:rsidRPr="0057295D">
        <w:t>$6</w:t>
      </w:r>
      <w:r w:rsidR="00CD7870">
        <w:t>,</w:t>
      </w:r>
      <w:r w:rsidRPr="0057295D">
        <w:t xml:space="preserve">000 </w:t>
      </w:r>
      <w:r w:rsidR="00CF0985">
        <w:t>a</w:t>
      </w:r>
      <w:r w:rsidR="00CF0985" w:rsidRPr="0057295D">
        <w:t xml:space="preserve"> </w:t>
      </w:r>
      <w:r w:rsidRPr="0057295D">
        <w:t>year</w:t>
      </w:r>
      <w:r w:rsidR="0057295D">
        <w:t xml:space="preserve"> which</w:t>
      </w:r>
      <w:r w:rsidRPr="002A4292">
        <w:t xml:space="preserve"> provides a valuable so</w:t>
      </w:r>
      <w:r w:rsidR="001003FB" w:rsidRPr="002A4292">
        <w:t>urce of income for workers’ dependa</w:t>
      </w:r>
      <w:r w:rsidRPr="002A4292">
        <w:t>nts and communities</w:t>
      </w:r>
      <w:r w:rsidR="0008688E">
        <w:t xml:space="preserve">. </w:t>
      </w:r>
      <w:r w:rsidR="0057295D">
        <w:t>More than</w:t>
      </w:r>
      <w:r w:rsidR="0057295D" w:rsidRPr="002A4292">
        <w:t xml:space="preserve"> </w:t>
      </w:r>
      <w:r w:rsidRPr="002A4292">
        <w:t>2</w:t>
      </w:r>
      <w:r w:rsidR="00CD7870">
        <w:t>,</w:t>
      </w:r>
      <w:r w:rsidRPr="002A4292">
        <w:t>000 workers across the Pacific and Timor-Leste have now participated in this small but successful scheme</w:t>
      </w:r>
      <w:r w:rsidR="0057295D">
        <w:t xml:space="preserve">. </w:t>
      </w:r>
      <w:r w:rsidR="00651F63">
        <w:t xml:space="preserve">DFAT </w:t>
      </w:r>
      <w:r w:rsidRPr="002A4292">
        <w:t>will explore options in 2013</w:t>
      </w:r>
      <w:r w:rsidR="00FF5A53">
        <w:t>–</w:t>
      </w:r>
      <w:r w:rsidRPr="002A4292">
        <w:t>14 for increa</w:t>
      </w:r>
      <w:r w:rsidR="001003FB" w:rsidRPr="002A4292">
        <w:t>sing Kiribati’s participation</w:t>
      </w:r>
      <w:r w:rsidR="005E67EE" w:rsidRPr="002A4292">
        <w:t>, including women</w:t>
      </w:r>
      <w:r w:rsidR="004F0E05" w:rsidRPr="002A4292">
        <w:t>.</w:t>
      </w:r>
      <w:r w:rsidR="005E67EE" w:rsidRPr="002A4292">
        <w:rPr>
          <w:rStyle w:val="FootnoteReference"/>
        </w:rPr>
        <w:footnoteReference w:id="40"/>
      </w:r>
    </w:p>
    <w:p w:rsidR="00695E6D" w:rsidRPr="00FD1244" w:rsidRDefault="00695E6D" w:rsidP="00FD1244">
      <w:pPr>
        <w:pStyle w:val="Heading2"/>
      </w:pPr>
      <w:r w:rsidRPr="00FD1244">
        <w:t xml:space="preserve">Outcome 3: Improved </w:t>
      </w:r>
      <w:r w:rsidR="00A92FB9" w:rsidRPr="00FD1244">
        <w:t>g</w:t>
      </w:r>
      <w:r w:rsidRPr="00FD1244">
        <w:t xml:space="preserve">rowth and </w:t>
      </w:r>
      <w:r w:rsidR="00A92FB9" w:rsidRPr="00FD1244">
        <w:t>e</w:t>
      </w:r>
      <w:r w:rsidRPr="00FD1244">
        <w:t xml:space="preserve">conomic </w:t>
      </w:r>
      <w:r w:rsidR="00A92FB9" w:rsidRPr="00FD1244">
        <w:t>m</w:t>
      </w:r>
      <w:r w:rsidRPr="00FD1244">
        <w:t>anagement</w:t>
      </w:r>
    </w:p>
    <w:p w:rsidR="00695E6D" w:rsidRPr="002A4292" w:rsidRDefault="00695E6D" w:rsidP="00FD1244">
      <w:pPr>
        <w:pStyle w:val="BodyText"/>
        <w:ind w:left="1440" w:hanging="1440"/>
      </w:pPr>
      <w:r w:rsidRPr="002A4292">
        <w:rPr>
          <w:b/>
        </w:rPr>
        <w:t xml:space="preserve">Commitment </w:t>
      </w:r>
      <w:r w:rsidR="00FD1244">
        <w:rPr>
          <w:b/>
        </w:rPr>
        <w:tab/>
      </w:r>
      <w:r w:rsidRPr="002A4292">
        <w:t>Strengthen economic management to support mutually agree</w:t>
      </w:r>
      <w:r w:rsidR="004419D7">
        <w:t>d Kiribati-led economic reforms.</w:t>
      </w:r>
    </w:p>
    <w:p w:rsidR="00695E6D" w:rsidRPr="002A4292" w:rsidRDefault="00695E6D" w:rsidP="00FD1244">
      <w:pPr>
        <w:pStyle w:val="BodyText"/>
        <w:ind w:left="1440" w:hanging="1440"/>
      </w:pPr>
      <w:r w:rsidRPr="002A4292">
        <w:rPr>
          <w:b/>
        </w:rPr>
        <w:t>Targets</w:t>
      </w:r>
      <w:r w:rsidR="00FD1244">
        <w:rPr>
          <w:b/>
        </w:rPr>
        <w:tab/>
      </w:r>
      <w:r w:rsidRPr="002A4292">
        <w:t>Strengthened expenditure control to reflect better planning and financial discipline (on track)</w:t>
      </w:r>
      <w:r w:rsidR="002E7053">
        <w:t>.</w:t>
      </w:r>
    </w:p>
    <w:p w:rsidR="00695E6D" w:rsidRPr="002A4292" w:rsidRDefault="00695E6D" w:rsidP="00FD1244">
      <w:pPr>
        <w:pStyle w:val="BodyText"/>
        <w:ind w:left="1440"/>
      </w:pPr>
      <w:r w:rsidRPr="002A4292">
        <w:t>Increased revenue through</w:t>
      </w:r>
      <w:r w:rsidR="00CF0985">
        <w:t xml:space="preserve"> an</w:t>
      </w:r>
      <w:r w:rsidRPr="002A4292">
        <w:t xml:space="preserve"> expanded revenue base and improved compliance, including</w:t>
      </w:r>
      <w:r w:rsidR="00CF0985">
        <w:t xml:space="preserve"> through</w:t>
      </w:r>
      <w:r w:rsidRPr="002A4292">
        <w:t xml:space="preserve"> fishing revenues (on track)</w:t>
      </w:r>
      <w:r w:rsidR="002E7053">
        <w:t>.</w:t>
      </w:r>
    </w:p>
    <w:p w:rsidR="00695E6D" w:rsidRPr="002A4292" w:rsidRDefault="001C26F0" w:rsidP="00FD1244">
      <w:pPr>
        <w:pStyle w:val="BodyText"/>
        <w:ind w:left="1440"/>
      </w:pPr>
      <w:r w:rsidRPr="002A4292">
        <w:t>Improved state</w:t>
      </w:r>
      <w:r w:rsidR="00A70C52">
        <w:t>-</w:t>
      </w:r>
      <w:r w:rsidRPr="002A4292">
        <w:t>owned e</w:t>
      </w:r>
      <w:r w:rsidR="00695E6D" w:rsidRPr="002A4292">
        <w:t>nterprise oversight, management and service delivery and reduced costs (on track)</w:t>
      </w:r>
      <w:r w:rsidR="002E7053">
        <w:t>.</w:t>
      </w:r>
    </w:p>
    <w:p w:rsidR="00695E6D" w:rsidRPr="002A4292" w:rsidRDefault="00314348" w:rsidP="00FD1244">
      <w:pPr>
        <w:pStyle w:val="BodyText"/>
        <w:ind w:left="720" w:firstLine="720"/>
      </w:pPr>
      <w:proofErr w:type="gramStart"/>
      <w:r w:rsidRPr="002A4292">
        <w:t>Improv</w:t>
      </w:r>
      <w:r w:rsidR="00CF0985">
        <w:t>ed</w:t>
      </w:r>
      <w:r w:rsidR="00695E6D" w:rsidRPr="002A4292">
        <w:t xml:space="preserve"> aid effectiveness and alignment (on track)</w:t>
      </w:r>
      <w:r w:rsidR="00CF0985">
        <w:t>.</w:t>
      </w:r>
      <w:proofErr w:type="gramEnd"/>
    </w:p>
    <w:p w:rsidR="00695E6D" w:rsidRPr="002A4292" w:rsidRDefault="00695E6D" w:rsidP="00FD1244">
      <w:pPr>
        <w:pStyle w:val="BodyText"/>
        <w:ind w:left="1440" w:hanging="1440"/>
      </w:pPr>
      <w:r w:rsidRPr="002A4292">
        <w:rPr>
          <w:b/>
        </w:rPr>
        <w:t xml:space="preserve">Rating </w:t>
      </w:r>
      <w:r w:rsidRPr="002A4292">
        <w:rPr>
          <w:b/>
        </w:rPr>
        <w:tab/>
      </w:r>
      <w:r w:rsidRPr="002A4292">
        <w:t xml:space="preserve">Green: </w:t>
      </w:r>
      <w:r w:rsidR="005666B6">
        <w:t>Australia’s</w:t>
      </w:r>
      <w:r w:rsidRPr="002A4292">
        <w:t xml:space="preserve"> support for improved growth and economic management is on track</w:t>
      </w:r>
      <w:r w:rsidR="00C156A0">
        <w:t>,</w:t>
      </w:r>
      <w:r w:rsidRPr="002A4292">
        <w:t xml:space="preserve"> having improved from an uncertain beginning in 2011. </w:t>
      </w:r>
    </w:p>
    <w:p w:rsidR="00695E6D" w:rsidRPr="002A4292" w:rsidRDefault="00695E6D" w:rsidP="00FD1244">
      <w:pPr>
        <w:pStyle w:val="BodyText"/>
      </w:pPr>
      <w:r w:rsidRPr="002A4292">
        <w:t>There is a pressing need to improve growth and economic management in Kiribati</w:t>
      </w:r>
      <w:r w:rsidR="0008688E">
        <w:t xml:space="preserve">. </w:t>
      </w:r>
      <w:r w:rsidRPr="002A4292">
        <w:t xml:space="preserve">With </w:t>
      </w:r>
      <w:r w:rsidR="00E967BA">
        <w:t>g</w:t>
      </w:r>
      <w:r w:rsidRPr="002A4292">
        <w:t>ross </w:t>
      </w:r>
      <w:r w:rsidR="00E967BA">
        <w:t>n</w:t>
      </w:r>
      <w:r w:rsidRPr="002A4292">
        <w:t xml:space="preserve">ational </w:t>
      </w:r>
      <w:r w:rsidR="00E967BA">
        <w:t>i</w:t>
      </w:r>
      <w:r w:rsidRPr="002A4292">
        <w:t xml:space="preserve">ncome per capita of </w:t>
      </w:r>
      <w:r w:rsidRPr="00A456A3">
        <w:t>approximately $2</w:t>
      </w:r>
      <w:r w:rsidR="00CD7870">
        <w:t>,</w:t>
      </w:r>
      <w:r w:rsidRPr="00A456A3">
        <w:t xml:space="preserve">000 and </w:t>
      </w:r>
      <w:r w:rsidR="00BC1544" w:rsidRPr="00A456A3">
        <w:t xml:space="preserve">government </w:t>
      </w:r>
      <w:r w:rsidRPr="00A456A3">
        <w:t>revenues per capita of $700,</w:t>
      </w:r>
      <w:r w:rsidRPr="002A4292">
        <w:t xml:space="preserve"> Kiribati is one of the poorest countries in the region</w:t>
      </w:r>
      <w:r w:rsidR="0008688E">
        <w:t xml:space="preserve">. </w:t>
      </w:r>
      <w:r w:rsidRPr="002A4292">
        <w:t>There is political will to improve public financial management and implement difficult economic reforms</w:t>
      </w:r>
      <w:r w:rsidR="0008688E">
        <w:t xml:space="preserve">. </w:t>
      </w:r>
      <w:r w:rsidRPr="002A4292">
        <w:t>Australia is support</w:t>
      </w:r>
      <w:r w:rsidR="009011F7" w:rsidRPr="002A4292">
        <w:t>ing</w:t>
      </w:r>
      <w:r w:rsidRPr="002A4292">
        <w:t xml:space="preserve"> this by engaging in policy </w:t>
      </w:r>
      <w:r w:rsidR="00A456A3">
        <w:t>discussion</w:t>
      </w:r>
      <w:r w:rsidR="00CF0985">
        <w:t>s</w:t>
      </w:r>
      <w:r w:rsidR="00A456A3" w:rsidRPr="002A4292">
        <w:t xml:space="preserve"> </w:t>
      </w:r>
      <w:r w:rsidRPr="002A4292">
        <w:t>with the Government of Kiribati and other development partner</w:t>
      </w:r>
      <w:r w:rsidR="009011F7" w:rsidRPr="002A4292">
        <w:t>s on economic reform, in addition to</w:t>
      </w:r>
      <w:r w:rsidR="00F75B84" w:rsidRPr="002A4292">
        <w:t xml:space="preserve"> funding programs to reform s</w:t>
      </w:r>
      <w:r w:rsidRPr="002A4292">
        <w:t>tate</w:t>
      </w:r>
      <w:r w:rsidR="00A70C52">
        <w:t>-</w:t>
      </w:r>
      <w:r w:rsidR="00F75B84" w:rsidRPr="002A4292">
        <w:t>owned e</w:t>
      </w:r>
      <w:r w:rsidRPr="002A4292">
        <w:t xml:space="preserve">nterprises, improve taxation and administration, enhance </w:t>
      </w:r>
      <w:r w:rsidR="00F75B84" w:rsidRPr="002A4292">
        <w:t>accounting and budgeting practic</w:t>
      </w:r>
      <w:r w:rsidRPr="002A4292">
        <w:t>es</w:t>
      </w:r>
      <w:r w:rsidR="00A456A3">
        <w:t>,</w:t>
      </w:r>
      <w:r w:rsidRPr="002A4292">
        <w:t xml:space="preserve"> and strengthen fisheries management.</w:t>
      </w:r>
    </w:p>
    <w:p w:rsidR="004419D7" w:rsidRPr="002A4292" w:rsidRDefault="004419D7" w:rsidP="00D23312">
      <w:pPr>
        <w:pStyle w:val="Heading3"/>
      </w:pPr>
      <w:r w:rsidRPr="002A4292">
        <w:t>Progress against targets</w:t>
      </w:r>
    </w:p>
    <w:p w:rsidR="00695E6D" w:rsidRPr="002A4292" w:rsidRDefault="00695E6D" w:rsidP="00FD1244">
      <w:pPr>
        <w:pStyle w:val="BodyText"/>
        <w:rPr>
          <w:szCs w:val="22"/>
        </w:rPr>
      </w:pPr>
      <w:r w:rsidRPr="002A4292">
        <w:rPr>
          <w:szCs w:val="22"/>
        </w:rPr>
        <w:t xml:space="preserve">Overall </w:t>
      </w:r>
      <w:r w:rsidR="00831BCA" w:rsidRPr="002A4292">
        <w:rPr>
          <w:szCs w:val="22"/>
        </w:rPr>
        <w:t xml:space="preserve">Australia’s </w:t>
      </w:r>
      <w:r w:rsidRPr="002A4292">
        <w:rPr>
          <w:szCs w:val="22"/>
        </w:rPr>
        <w:t xml:space="preserve">support is on track to meet </w:t>
      </w:r>
      <w:r w:rsidR="00CF0985">
        <w:rPr>
          <w:szCs w:val="22"/>
        </w:rPr>
        <w:t>most</w:t>
      </w:r>
      <w:r w:rsidRPr="002A4292">
        <w:rPr>
          <w:szCs w:val="22"/>
        </w:rPr>
        <w:t xml:space="preserve"> objectives by 2015</w:t>
      </w:r>
      <w:r w:rsidR="0008688E">
        <w:rPr>
          <w:szCs w:val="22"/>
        </w:rPr>
        <w:t xml:space="preserve">. </w:t>
      </w:r>
      <w:r w:rsidR="00831BCA" w:rsidRPr="002A4292">
        <w:rPr>
          <w:szCs w:val="22"/>
        </w:rPr>
        <w:t>Key results in 2012</w:t>
      </w:r>
      <w:r w:rsidR="000759B9">
        <w:rPr>
          <w:szCs w:val="22"/>
        </w:rPr>
        <w:noBreakHyphen/>
      </w:r>
      <w:r w:rsidRPr="002A4292">
        <w:rPr>
          <w:szCs w:val="22"/>
        </w:rPr>
        <w:t>13 were:</w:t>
      </w:r>
    </w:p>
    <w:p w:rsidR="00695E6D" w:rsidRPr="002A4292" w:rsidRDefault="00FB139C" w:rsidP="00FD1244">
      <w:pPr>
        <w:pStyle w:val="ListBullet"/>
      </w:pPr>
      <w:r>
        <w:t xml:space="preserve">participating in </w:t>
      </w:r>
      <w:r w:rsidR="00F75B84" w:rsidRPr="002A4292">
        <w:t xml:space="preserve">regular </w:t>
      </w:r>
      <w:r w:rsidR="00695E6D" w:rsidRPr="002A4292">
        <w:t xml:space="preserve">policy </w:t>
      </w:r>
      <w:r w:rsidR="00CF0985">
        <w:t>discussion</w:t>
      </w:r>
      <w:r w:rsidR="00CF0985" w:rsidRPr="002A4292">
        <w:t xml:space="preserve"> </w:t>
      </w:r>
      <w:r w:rsidR="00695E6D" w:rsidRPr="002A4292">
        <w:t>between development partners and the Government of Kiribati on economic reform (led effectively by the World Bank)</w:t>
      </w:r>
      <w:r w:rsidR="00CF0985">
        <w:t>, which</w:t>
      </w:r>
      <w:r w:rsidR="00134E95" w:rsidRPr="002A4292">
        <w:t xml:space="preserve"> has improved the coherence and prioritisation of economic reform in Kiribati</w:t>
      </w:r>
    </w:p>
    <w:p w:rsidR="00695E6D" w:rsidRPr="002A4292" w:rsidRDefault="00695E6D" w:rsidP="00FD1244">
      <w:pPr>
        <w:pStyle w:val="ListBullet"/>
      </w:pPr>
      <w:r w:rsidRPr="002A4292">
        <w:t xml:space="preserve">drafting new </w:t>
      </w:r>
      <w:r w:rsidR="00F75B84" w:rsidRPr="002A4292">
        <w:t>s</w:t>
      </w:r>
      <w:r w:rsidRPr="002A4292">
        <w:t>tate</w:t>
      </w:r>
      <w:r w:rsidR="009B7089">
        <w:t>-</w:t>
      </w:r>
      <w:r w:rsidR="00F75B84" w:rsidRPr="002A4292">
        <w:t>owned e</w:t>
      </w:r>
      <w:r w:rsidRPr="002A4292">
        <w:t xml:space="preserve">nterprise </w:t>
      </w:r>
      <w:r w:rsidR="00495F8A" w:rsidRPr="002A4292">
        <w:t>r</w:t>
      </w:r>
      <w:r w:rsidRPr="002A4292">
        <w:t xml:space="preserve">eform legislation (passed by Parliament in April 2013), establishing a Monitoring and Advisory Unit in the Ministry of Finance and </w:t>
      </w:r>
      <w:r w:rsidRPr="002A4292">
        <w:lastRenderedPageBreak/>
        <w:t xml:space="preserve">Economic Development to oversee </w:t>
      </w:r>
      <w:r w:rsidR="00F75B84" w:rsidRPr="002A4292">
        <w:t>state</w:t>
      </w:r>
      <w:r w:rsidR="009B7089">
        <w:t>-</w:t>
      </w:r>
      <w:r w:rsidR="00F75B84" w:rsidRPr="002A4292">
        <w:t>owned e</w:t>
      </w:r>
      <w:r w:rsidRPr="002A4292">
        <w:t>nterprises (although resourcing remains a concern) and</w:t>
      </w:r>
      <w:r w:rsidR="00A167B7">
        <w:t xml:space="preserve"> implementing</w:t>
      </w:r>
      <w:r w:rsidRPr="002A4292">
        <w:t xml:space="preserve"> reforms</w:t>
      </w:r>
      <w:r w:rsidR="001C26F0" w:rsidRPr="002A4292">
        <w:t xml:space="preserve"> to key state</w:t>
      </w:r>
      <w:r w:rsidR="009B7089">
        <w:t>-</w:t>
      </w:r>
      <w:r w:rsidR="001C26F0" w:rsidRPr="002A4292">
        <w:t>o</w:t>
      </w:r>
      <w:r w:rsidRPr="002A4292">
        <w:t xml:space="preserve">wned </w:t>
      </w:r>
      <w:r w:rsidR="001C26F0" w:rsidRPr="002A4292">
        <w:t>e</w:t>
      </w:r>
      <w:r w:rsidRPr="002A4292">
        <w:t xml:space="preserve">nterprises </w:t>
      </w:r>
    </w:p>
    <w:p w:rsidR="00695E6D" w:rsidRPr="002A4292" w:rsidRDefault="00A167B7" w:rsidP="00FD1244">
      <w:pPr>
        <w:pStyle w:val="ListBullet"/>
      </w:pPr>
      <w:r>
        <w:t xml:space="preserve">providing </w:t>
      </w:r>
      <w:r w:rsidR="00695E6D" w:rsidRPr="002A4292">
        <w:t xml:space="preserve">technical assistance to support the Government of Kiribati introduce </w:t>
      </w:r>
      <w:r w:rsidR="009011F7" w:rsidRPr="002A4292">
        <w:t>a proposed Value Added Tax</w:t>
      </w:r>
      <w:r w:rsidR="00695E6D" w:rsidRPr="002A4292">
        <w:t xml:space="preserve">, including analysis on the </w:t>
      </w:r>
      <w:r w:rsidR="004E476A" w:rsidRPr="002A4292">
        <w:t xml:space="preserve">potential </w:t>
      </w:r>
      <w:r w:rsidR="00695E6D" w:rsidRPr="002A4292">
        <w:t>social impacts that will inform policy deliberations on the need for compensatory measures to poor households</w:t>
      </w:r>
    </w:p>
    <w:p w:rsidR="00695E6D" w:rsidRPr="002A4292" w:rsidRDefault="00A167B7" w:rsidP="00FD1244">
      <w:pPr>
        <w:pStyle w:val="ListBullet"/>
      </w:pPr>
      <w:r w:rsidRPr="002A4292">
        <w:t>commenc</w:t>
      </w:r>
      <w:r>
        <w:t>ing</w:t>
      </w:r>
      <w:r w:rsidR="00695E6D" w:rsidRPr="002A4292">
        <w:t xml:space="preserve"> activities to assist the Ministry of Finance and Economic Developme</w:t>
      </w:r>
      <w:r w:rsidR="00F75B84" w:rsidRPr="002A4292">
        <w:t>nt to improve accounting practic</w:t>
      </w:r>
      <w:r w:rsidR="00695E6D" w:rsidRPr="002A4292">
        <w:t xml:space="preserve">es across government and budget management </w:t>
      </w:r>
      <w:r w:rsidR="009011F7" w:rsidRPr="002A4292">
        <w:t>(</w:t>
      </w:r>
      <w:r w:rsidR="00695E6D" w:rsidRPr="002A4292">
        <w:t>including better alignment between the development budget and the recurrent budget</w:t>
      </w:r>
      <w:r w:rsidR="009011F7" w:rsidRPr="002A4292">
        <w:t>)</w:t>
      </w:r>
      <w:r w:rsidR="00695E6D" w:rsidRPr="002A4292">
        <w:t xml:space="preserve"> </w:t>
      </w:r>
    </w:p>
    <w:p w:rsidR="00695E6D" w:rsidRPr="002A4292" w:rsidRDefault="00695E6D" w:rsidP="00FD1244">
      <w:pPr>
        <w:pStyle w:val="ListBullet"/>
      </w:pPr>
      <w:proofErr w:type="gramStart"/>
      <w:r w:rsidRPr="002A4292">
        <w:t>supporting</w:t>
      </w:r>
      <w:proofErr w:type="gramEnd"/>
      <w:r w:rsidRPr="002A4292">
        <w:t xml:space="preserve"> the Ministry for Fisheries and Marine Resources Development to develop the National Fisheries Policy and the Institutional Strengthening Strategy for endorsement by Cabinet in 2013</w:t>
      </w:r>
      <w:r w:rsidR="00A167B7">
        <w:t xml:space="preserve">, which will </w:t>
      </w:r>
      <w:r w:rsidRPr="002A4292">
        <w:t>mandate improvements in fisheries management (particularly relating to issues of transparency, accountability and sustainability) and encourage gr</w:t>
      </w:r>
      <w:r w:rsidR="009011F7" w:rsidRPr="002A4292">
        <w:t xml:space="preserve">eater donor coordination of </w:t>
      </w:r>
      <w:r w:rsidR="00216609">
        <w:t>identified priorities.</w:t>
      </w:r>
    </w:p>
    <w:p w:rsidR="004419D7" w:rsidRPr="002A4292" w:rsidRDefault="004419D7" w:rsidP="00FD1244">
      <w:pPr>
        <w:pStyle w:val="Heading3"/>
      </w:pPr>
      <w:r w:rsidRPr="002A4292">
        <w:t>Delivery effectiveness</w:t>
      </w:r>
    </w:p>
    <w:p w:rsidR="00695E6D" w:rsidRPr="002A4292" w:rsidRDefault="00831BCA" w:rsidP="00FD1244">
      <w:pPr>
        <w:pStyle w:val="BodyText"/>
      </w:pPr>
      <w:r w:rsidRPr="002A4292">
        <w:t>Aus</w:t>
      </w:r>
      <w:r w:rsidR="009E50D9">
        <w:t>tralia</w:t>
      </w:r>
      <w:r w:rsidR="00BC1544" w:rsidRPr="002A4292">
        <w:t xml:space="preserve"> </w:t>
      </w:r>
      <w:r w:rsidR="005014A5" w:rsidRPr="002A4292">
        <w:t>primarily</w:t>
      </w:r>
      <w:r w:rsidR="002243CD" w:rsidRPr="002A4292">
        <w:t xml:space="preserve"> support</w:t>
      </w:r>
      <w:r w:rsidR="005014A5" w:rsidRPr="002A4292">
        <w:t>s growth and economic ma</w:t>
      </w:r>
      <w:r w:rsidRPr="002A4292">
        <w:t>na</w:t>
      </w:r>
      <w:r w:rsidR="005014A5" w:rsidRPr="002A4292">
        <w:t xml:space="preserve">gement by funding </w:t>
      </w:r>
      <w:r w:rsidR="00695E6D" w:rsidRPr="002A4292">
        <w:t>the multilateral development banks to provide assistance to the Government of Kiribati</w:t>
      </w:r>
      <w:r w:rsidR="0008688E">
        <w:t xml:space="preserve">. </w:t>
      </w:r>
      <w:r w:rsidR="00651F63">
        <w:t xml:space="preserve">DFAT </w:t>
      </w:r>
      <w:r w:rsidRPr="002A4292">
        <w:t>remains</w:t>
      </w:r>
      <w:r w:rsidR="005014A5" w:rsidRPr="002A4292">
        <w:t xml:space="preserve"> heavily involved in </w:t>
      </w:r>
      <w:r w:rsidR="00695E6D" w:rsidRPr="002A4292">
        <w:t xml:space="preserve">policy </w:t>
      </w:r>
      <w:r w:rsidR="000B3C80">
        <w:t>discussion</w:t>
      </w:r>
      <w:r w:rsidR="000B3C80" w:rsidRPr="002A4292">
        <w:t xml:space="preserve"> </w:t>
      </w:r>
      <w:r w:rsidR="00695E6D" w:rsidRPr="002A4292">
        <w:t>and oversight of funded programs</w:t>
      </w:r>
      <w:r w:rsidR="0008688E">
        <w:t xml:space="preserve">. </w:t>
      </w:r>
      <w:r w:rsidR="00695E6D" w:rsidRPr="002A4292">
        <w:t>This approach supports Kiribati’s longer-term interests in developing effective partnerships with the banks</w:t>
      </w:r>
      <w:r w:rsidR="0008688E">
        <w:t xml:space="preserve">. </w:t>
      </w:r>
      <w:r w:rsidR="00695E6D" w:rsidRPr="002A4292">
        <w:t xml:space="preserve">However, </w:t>
      </w:r>
      <w:r w:rsidR="00BD044B">
        <w:t>it</w:t>
      </w:r>
      <w:r w:rsidR="00C5078F">
        <w:t xml:space="preserve"> </w:t>
      </w:r>
      <w:r w:rsidR="00695E6D" w:rsidRPr="002A4292">
        <w:t xml:space="preserve">is not necessarily less resource intensive than other delivery </w:t>
      </w:r>
      <w:r w:rsidR="000B3C80">
        <w:t>methods</w:t>
      </w:r>
      <w:r w:rsidR="0008688E">
        <w:t xml:space="preserve">. </w:t>
      </w:r>
      <w:r w:rsidR="00695E6D" w:rsidRPr="002A4292">
        <w:t>In 2012</w:t>
      </w:r>
      <w:r w:rsidR="000759B9">
        <w:noBreakHyphen/>
      </w:r>
      <w:r w:rsidR="00695E6D" w:rsidRPr="002A4292">
        <w:t>13</w:t>
      </w:r>
      <w:r w:rsidR="000B3C80">
        <w:t>,</w:t>
      </w:r>
      <w:r w:rsidR="00695E6D" w:rsidRPr="002A4292">
        <w:t xml:space="preserve"> </w:t>
      </w:r>
      <w:r w:rsidRPr="002A4292">
        <w:t>Aus</w:t>
      </w:r>
      <w:r w:rsidR="004A472A">
        <w:t>tralia</w:t>
      </w:r>
      <w:r w:rsidRPr="002A4292">
        <w:t xml:space="preserve"> </w:t>
      </w:r>
      <w:r w:rsidR="00695E6D" w:rsidRPr="002A4292">
        <w:t>shifted to</w:t>
      </w:r>
      <w:r w:rsidRPr="002A4292">
        <w:t xml:space="preserve"> a blended approach, </w:t>
      </w:r>
      <w:r w:rsidR="000B3C80">
        <w:t>financing</w:t>
      </w:r>
      <w:r w:rsidR="00695E6D" w:rsidRPr="002A4292">
        <w:t xml:space="preserve"> the ba</w:t>
      </w:r>
      <w:r w:rsidRPr="002A4292">
        <w:t>nks to manage projects while</w:t>
      </w:r>
      <w:r w:rsidR="004A472A">
        <w:t xml:space="preserve"> implement</w:t>
      </w:r>
      <w:r w:rsidR="00651F63">
        <w:t>ing</w:t>
      </w:r>
      <w:r w:rsidR="00695E6D" w:rsidRPr="002A4292">
        <w:t xml:space="preserve"> projects directly (for example, t</w:t>
      </w:r>
      <w:r w:rsidRPr="002A4292">
        <w:t>he Tax Improvement Program)</w:t>
      </w:r>
      <w:r w:rsidR="0008688E">
        <w:t xml:space="preserve">. </w:t>
      </w:r>
      <w:r w:rsidR="004A472A">
        <w:t>This approach responded</w:t>
      </w:r>
      <w:r w:rsidR="00695E6D" w:rsidRPr="002A4292">
        <w:t xml:space="preserve"> to the banks’ delivery constraints (namely </w:t>
      </w:r>
      <w:r w:rsidRPr="002A4292">
        <w:t>lim</w:t>
      </w:r>
      <w:r w:rsidR="000B3C80">
        <w:t>it</w:t>
      </w:r>
      <w:r w:rsidRPr="002A4292">
        <w:t xml:space="preserve">ations </w:t>
      </w:r>
      <w:r w:rsidR="00CE0E0B" w:rsidRPr="002A4292">
        <w:t>to</w:t>
      </w:r>
      <w:r w:rsidRPr="002A4292">
        <w:t xml:space="preserve"> their </w:t>
      </w:r>
      <w:r w:rsidR="00CE0E0B" w:rsidRPr="002A4292">
        <w:t>a</w:t>
      </w:r>
      <w:r w:rsidR="00695E6D" w:rsidRPr="002A4292">
        <w:t xml:space="preserve">bility </w:t>
      </w:r>
      <w:r w:rsidRPr="002A4292">
        <w:t>to re</w:t>
      </w:r>
      <w:r w:rsidR="00695E6D" w:rsidRPr="002A4292">
        <w:t>spond to Government of Kiribati priorities)</w:t>
      </w:r>
      <w:r w:rsidR="0008688E">
        <w:t xml:space="preserve">. </w:t>
      </w:r>
      <w:r w:rsidR="00651F63">
        <w:t xml:space="preserve">DFAT </w:t>
      </w:r>
      <w:r w:rsidR="004A472A">
        <w:t>expects</w:t>
      </w:r>
      <w:r w:rsidR="00695E6D" w:rsidRPr="002A4292">
        <w:t xml:space="preserve"> to maintain this blended approach until the banks improve their performance in Kiribati</w:t>
      </w:r>
      <w:r w:rsidR="0008688E">
        <w:t xml:space="preserve">. </w:t>
      </w:r>
    </w:p>
    <w:p w:rsidR="00695E6D" w:rsidRPr="002A4292" w:rsidRDefault="00695E6D" w:rsidP="00FD1244">
      <w:pPr>
        <w:pStyle w:val="BodyText"/>
      </w:pPr>
      <w:r w:rsidRPr="002A4292">
        <w:t>To date, gender issues have not been comprehensively integrated into the program</w:t>
      </w:r>
      <w:r w:rsidR="0008688E">
        <w:t xml:space="preserve">. </w:t>
      </w:r>
      <w:r w:rsidR="009011F7" w:rsidRPr="002A4292">
        <w:t>In 2013</w:t>
      </w:r>
      <w:r w:rsidR="000759B9">
        <w:noBreakHyphen/>
      </w:r>
      <w:r w:rsidR="009011F7" w:rsidRPr="002A4292">
        <w:t>14</w:t>
      </w:r>
      <w:r w:rsidR="000B3C80">
        <w:t>,</w:t>
      </w:r>
      <w:r w:rsidR="009011F7" w:rsidRPr="002A4292">
        <w:t xml:space="preserve"> </w:t>
      </w:r>
      <w:r w:rsidR="00651F63">
        <w:t xml:space="preserve">DFAT </w:t>
      </w:r>
      <w:r w:rsidR="009011F7" w:rsidRPr="002A4292">
        <w:t xml:space="preserve">will consider </w:t>
      </w:r>
      <w:r w:rsidR="001965AE" w:rsidRPr="002A4292">
        <w:t xml:space="preserve">what more can be done to effectively </w:t>
      </w:r>
      <w:r w:rsidRPr="002A4292">
        <w:t>incorporate w</w:t>
      </w:r>
      <w:r w:rsidR="009011F7" w:rsidRPr="002A4292">
        <w:t>omen’s economic empowerment</w:t>
      </w:r>
      <w:r w:rsidRPr="002A4292">
        <w:t xml:space="preserve">. </w:t>
      </w:r>
    </w:p>
    <w:p w:rsidR="00695E6D" w:rsidRPr="002A4292" w:rsidRDefault="00695E6D" w:rsidP="00FD1244">
      <w:pPr>
        <w:pStyle w:val="BodyText"/>
      </w:pPr>
      <w:r w:rsidRPr="002A4292">
        <w:t xml:space="preserve">Public support towards </w:t>
      </w:r>
      <w:r w:rsidR="001C26F0" w:rsidRPr="002A4292">
        <w:t>s</w:t>
      </w:r>
      <w:r w:rsidRPr="002A4292">
        <w:t>tate</w:t>
      </w:r>
      <w:r w:rsidR="00A70C52">
        <w:t>-</w:t>
      </w:r>
      <w:r w:rsidR="001C26F0" w:rsidRPr="002A4292">
        <w:t>o</w:t>
      </w:r>
      <w:r w:rsidRPr="002A4292">
        <w:t xml:space="preserve">wned </w:t>
      </w:r>
      <w:r w:rsidR="001C26F0" w:rsidRPr="002A4292">
        <w:t>e</w:t>
      </w:r>
      <w:r w:rsidRPr="002A4292">
        <w:t>nterprise and taxation reform is not strong given the</w:t>
      </w:r>
      <w:r w:rsidR="00F75B84" w:rsidRPr="002A4292">
        <w:t xml:space="preserve"> </w:t>
      </w:r>
      <w:r w:rsidRPr="002A4292">
        <w:t>likely short-term negative impacts</w:t>
      </w:r>
      <w:r w:rsidR="00567EC5">
        <w:t xml:space="preserve"> </w:t>
      </w:r>
      <w:r w:rsidR="00567EC5" w:rsidRPr="002A4292">
        <w:t>perceived</w:t>
      </w:r>
      <w:r w:rsidR="00567EC5">
        <w:t xml:space="preserve"> by the public</w:t>
      </w:r>
      <w:r w:rsidR="0008688E">
        <w:t xml:space="preserve">. </w:t>
      </w:r>
      <w:r w:rsidRPr="002A4292">
        <w:t>To date, the program has not focused sufficiently on building public awareness o</w:t>
      </w:r>
      <w:r w:rsidR="00A167B7">
        <w:t>f</w:t>
      </w:r>
      <w:r w:rsidRPr="002A4292">
        <w:t xml:space="preserve"> long-term benefits and the opportunity cost of continuing the status quo</w:t>
      </w:r>
      <w:r w:rsidR="0008688E">
        <w:t xml:space="preserve">. </w:t>
      </w:r>
      <w:r w:rsidRPr="002A4292">
        <w:t>In 2013</w:t>
      </w:r>
      <w:r w:rsidR="0050775D">
        <w:t>–</w:t>
      </w:r>
      <w:r w:rsidRPr="002A4292">
        <w:t xml:space="preserve">14, </w:t>
      </w:r>
      <w:r w:rsidR="00651F63">
        <w:t xml:space="preserve">DFAT </w:t>
      </w:r>
      <w:r w:rsidRPr="002A4292">
        <w:t xml:space="preserve">will consider adopting a public diplomacy and communication strategy to support </w:t>
      </w:r>
      <w:r w:rsidR="00567EC5">
        <w:t>Australia’s</w:t>
      </w:r>
      <w:r w:rsidRPr="002A4292">
        <w:t xml:space="preserve"> assistance to th</w:t>
      </w:r>
      <w:r w:rsidR="000B3C80">
        <w:t>is</w:t>
      </w:r>
      <w:r w:rsidRPr="002A4292">
        <w:t xml:space="preserve"> sector.</w:t>
      </w:r>
    </w:p>
    <w:p w:rsidR="00695E6D" w:rsidRPr="002A4292" w:rsidRDefault="00695E6D" w:rsidP="00FD1244">
      <w:pPr>
        <w:pStyle w:val="BodyText"/>
      </w:pPr>
      <w:r w:rsidRPr="002A4292">
        <w:t>The first phase of the A</w:t>
      </w:r>
      <w:r w:rsidR="008571D3">
        <w:t>sian Development Bank</w:t>
      </w:r>
      <w:r w:rsidRPr="002A4292">
        <w:t xml:space="preserve">-led </w:t>
      </w:r>
      <w:r w:rsidR="00567EC5" w:rsidRPr="008A768C">
        <w:t>Economic Management and Public Sector Reform Program</w:t>
      </w:r>
      <w:r w:rsidR="00567EC5" w:rsidRPr="002A4292">
        <w:t xml:space="preserve"> </w:t>
      </w:r>
      <w:r w:rsidRPr="002A4292">
        <w:t xml:space="preserve">will be completed in September 2013 and a second phase will </w:t>
      </w:r>
      <w:r w:rsidR="000B3C80">
        <w:t>start</w:t>
      </w:r>
      <w:r w:rsidR="000B3C80" w:rsidRPr="002A4292">
        <w:t xml:space="preserve"> </w:t>
      </w:r>
      <w:r w:rsidRPr="002A4292">
        <w:t>shortly after</w:t>
      </w:r>
      <w:r w:rsidR="0008688E">
        <w:t xml:space="preserve">. </w:t>
      </w:r>
      <w:r w:rsidRPr="002A4292">
        <w:t xml:space="preserve">It </w:t>
      </w:r>
      <w:r w:rsidR="000B3C80">
        <w:t>is</w:t>
      </w:r>
      <w:r w:rsidRPr="002A4292">
        <w:t xml:space="preserve"> important to maintain momentum for reforms</w:t>
      </w:r>
      <w:r w:rsidR="00BC1544" w:rsidRPr="002A4292">
        <w:t>,</w:t>
      </w:r>
      <w:r w:rsidRPr="002A4292">
        <w:t xml:space="preserve"> as a gap in assistance could potentially jeopardise the Government of Kiribati’s commitment to the</w:t>
      </w:r>
      <w:r w:rsidR="000B3C80">
        <w:t>m</w:t>
      </w:r>
      <w:r w:rsidR="0008688E">
        <w:t xml:space="preserve">. </w:t>
      </w:r>
      <w:r w:rsidR="00A167B7">
        <w:t xml:space="preserve">The </w:t>
      </w:r>
      <w:r w:rsidR="008A768C" w:rsidRPr="002A4292">
        <w:t>A</w:t>
      </w:r>
      <w:r w:rsidR="008A768C">
        <w:t xml:space="preserve">sian Development Bank and </w:t>
      </w:r>
      <w:r w:rsidR="00651F63">
        <w:t xml:space="preserve">DFAT </w:t>
      </w:r>
      <w:r w:rsidRPr="002A4292">
        <w:t xml:space="preserve">will need to review lessons learned from the first phase, particularly </w:t>
      </w:r>
      <w:r w:rsidR="000B3C80">
        <w:t>on</w:t>
      </w:r>
      <w:r w:rsidR="005014A5" w:rsidRPr="002A4292">
        <w:t xml:space="preserve"> </w:t>
      </w:r>
      <w:r w:rsidRPr="002A4292">
        <w:t>the political economy of decision</w:t>
      </w:r>
      <w:r w:rsidR="000B3C80">
        <w:t xml:space="preserve"> </w:t>
      </w:r>
      <w:r w:rsidRPr="002A4292">
        <w:t>making</w:t>
      </w:r>
      <w:r w:rsidR="005014A5" w:rsidRPr="002A4292">
        <w:t>,</w:t>
      </w:r>
      <w:r w:rsidRPr="002A4292">
        <w:t xml:space="preserve"> if </w:t>
      </w:r>
      <w:r w:rsidR="008A768C">
        <w:t>they</w:t>
      </w:r>
      <w:r w:rsidRPr="002A4292">
        <w:t xml:space="preserve"> are to successfully engage with the </w:t>
      </w:r>
      <w:r w:rsidR="0050775D">
        <w:t>g</w:t>
      </w:r>
      <w:r w:rsidRPr="002A4292">
        <w:t>overnment in the next phase.</w:t>
      </w:r>
    </w:p>
    <w:p w:rsidR="00932B83" w:rsidRPr="002A4292" w:rsidRDefault="00695E6D" w:rsidP="00FD1244">
      <w:pPr>
        <w:pStyle w:val="BodyText"/>
      </w:pPr>
      <w:r w:rsidRPr="002A4292">
        <w:t xml:space="preserve">Although </w:t>
      </w:r>
      <w:r w:rsidR="00076988" w:rsidRPr="002A4292">
        <w:t>Aus</w:t>
      </w:r>
      <w:r w:rsidR="00567EC5">
        <w:t>tralia</w:t>
      </w:r>
      <w:r w:rsidR="00076988" w:rsidRPr="002A4292">
        <w:t>’s</w:t>
      </w:r>
      <w:r w:rsidRPr="002A4292">
        <w:t xml:space="preserve"> focus on fisheries remains very relevant to Kiribati’s development, </w:t>
      </w:r>
      <w:r w:rsidR="00567EC5">
        <w:t>its</w:t>
      </w:r>
      <w:r w:rsidR="000B3C80" w:rsidRPr="002A4292">
        <w:t xml:space="preserve"> </w:t>
      </w:r>
      <w:r w:rsidRPr="002A4292">
        <w:t>ability to effect ch</w:t>
      </w:r>
      <w:r w:rsidR="005014A5" w:rsidRPr="002A4292">
        <w:t>ange is untested</w:t>
      </w:r>
      <w:r w:rsidR="0008688E">
        <w:t xml:space="preserve">. </w:t>
      </w:r>
      <w:r w:rsidR="005014A5" w:rsidRPr="002A4292">
        <w:t>In 2013</w:t>
      </w:r>
      <w:r w:rsidR="0050775D">
        <w:t>–</w:t>
      </w:r>
      <w:r w:rsidR="005014A5" w:rsidRPr="002A4292">
        <w:t>14</w:t>
      </w:r>
      <w:r w:rsidR="000B3C80">
        <w:t>,</w:t>
      </w:r>
      <w:r w:rsidR="005014A5" w:rsidRPr="002A4292">
        <w:t xml:space="preserve"> Aus</w:t>
      </w:r>
      <w:r w:rsidR="00567EC5">
        <w:t>tralia</w:t>
      </w:r>
      <w:r w:rsidRPr="002A4292">
        <w:t xml:space="preserve"> will fund a fisheries specialist to </w:t>
      </w:r>
      <w:r w:rsidR="00BD044B">
        <w:t>supplement</w:t>
      </w:r>
      <w:r w:rsidR="00BD044B" w:rsidRPr="002A4292">
        <w:t xml:space="preserve"> </w:t>
      </w:r>
      <w:r w:rsidRPr="002A4292">
        <w:t>the Ministry for Fisheries and Marine Resources Development</w:t>
      </w:r>
      <w:r w:rsidR="008A768C">
        <w:t xml:space="preserve"> </w:t>
      </w:r>
      <w:r w:rsidR="00BD044B">
        <w:t xml:space="preserve">to </w:t>
      </w:r>
      <w:r w:rsidR="008A768C">
        <w:t>support</w:t>
      </w:r>
      <w:r w:rsidR="00BD044B">
        <w:t xml:space="preserve"> </w:t>
      </w:r>
      <w:r w:rsidR="00F75B84" w:rsidRPr="002A4292">
        <w:t xml:space="preserve">the </w:t>
      </w:r>
      <w:r w:rsidR="000B3C80">
        <w:t>g</w:t>
      </w:r>
      <w:r w:rsidRPr="002A4292">
        <w:t>overnment</w:t>
      </w:r>
      <w:r w:rsidR="00134E95" w:rsidRPr="002A4292">
        <w:t>’s</w:t>
      </w:r>
      <w:r w:rsidR="00F75B84" w:rsidRPr="002A4292">
        <w:t xml:space="preserve"> </w:t>
      </w:r>
      <w:r w:rsidRPr="002A4292">
        <w:t>implementation of the National Fisheries Policy and adherence to regional initiatives</w:t>
      </w:r>
      <w:r w:rsidR="0008688E">
        <w:t xml:space="preserve">. </w:t>
      </w:r>
      <w:r w:rsidR="005014A5" w:rsidRPr="002A4292">
        <w:t>Australia will</w:t>
      </w:r>
      <w:r w:rsidR="00851A9A" w:rsidRPr="002A4292">
        <w:t xml:space="preserve"> also</w:t>
      </w:r>
      <w:r w:rsidR="00990759" w:rsidRPr="002A4292">
        <w:t xml:space="preserve"> urge the </w:t>
      </w:r>
      <w:r w:rsidR="00BD044B">
        <w:t>g</w:t>
      </w:r>
      <w:r w:rsidR="00990759" w:rsidRPr="002A4292">
        <w:t>overnment to maintain agreed limits under the Parties to the Na</w:t>
      </w:r>
      <w:r w:rsidR="00851A9A" w:rsidRPr="002A4292">
        <w:t>uru Agreement</w:t>
      </w:r>
      <w:r w:rsidR="0008688E">
        <w:t xml:space="preserve">. </w:t>
      </w:r>
      <w:r w:rsidR="004E7955" w:rsidRPr="002A4292">
        <w:t xml:space="preserve">Adherence to this scheme is important </w:t>
      </w:r>
      <w:r w:rsidR="00BD044B">
        <w:t xml:space="preserve">given </w:t>
      </w:r>
      <w:r w:rsidR="007400D2" w:rsidRPr="002A4292">
        <w:t xml:space="preserve">the impact of projected </w:t>
      </w:r>
      <w:r w:rsidR="000178A3" w:rsidRPr="002A4292">
        <w:t>climate change scenarios on the distribution of tuna stocks.</w:t>
      </w:r>
    </w:p>
    <w:p w:rsidR="00695E6D" w:rsidRPr="002A4292" w:rsidRDefault="00695E6D" w:rsidP="00FD1244">
      <w:pPr>
        <w:pStyle w:val="BodyText"/>
      </w:pPr>
      <w:r w:rsidRPr="002A4292">
        <w:t>In 2013, Aus</w:t>
      </w:r>
      <w:r w:rsidR="008A768C">
        <w:t>tralia</w:t>
      </w:r>
      <w:r w:rsidRPr="002A4292">
        <w:t xml:space="preserve"> will complement its portfolio with a </w:t>
      </w:r>
      <w:r w:rsidR="00076988" w:rsidRPr="002A4292">
        <w:t>targeted</w:t>
      </w:r>
      <w:r w:rsidRPr="002A4292">
        <w:t xml:space="preserve"> budget support program </w:t>
      </w:r>
      <w:r w:rsidR="00134E95" w:rsidRPr="002A4292">
        <w:t>led by the World Bank</w:t>
      </w:r>
      <w:r w:rsidR="0008688E">
        <w:t xml:space="preserve">. </w:t>
      </w:r>
      <w:r w:rsidR="00D876B5" w:rsidRPr="002A4292">
        <w:t xml:space="preserve">The </w:t>
      </w:r>
      <w:r w:rsidRPr="002A4292">
        <w:t xml:space="preserve">program </w:t>
      </w:r>
      <w:r w:rsidR="00076988" w:rsidRPr="002A4292">
        <w:t>will</w:t>
      </w:r>
      <w:r w:rsidRPr="002A4292">
        <w:t xml:space="preserve"> provide incentives for the Government of Kiribati to </w:t>
      </w:r>
      <w:r w:rsidRPr="002A4292">
        <w:lastRenderedPageBreak/>
        <w:t>maintain its refo</w:t>
      </w:r>
      <w:r w:rsidR="00076988" w:rsidRPr="002A4292">
        <w:t>rms for improv</w:t>
      </w:r>
      <w:r w:rsidR="002E7053">
        <w:t>ing</w:t>
      </w:r>
      <w:r w:rsidRPr="002A4292">
        <w:t xml:space="preserve"> its fiscal situation</w:t>
      </w:r>
      <w:r w:rsidR="0008688E">
        <w:t xml:space="preserve">. </w:t>
      </w:r>
      <w:r w:rsidR="00D876B5" w:rsidRPr="002A4292">
        <w:t xml:space="preserve">It should </w:t>
      </w:r>
      <w:r w:rsidR="000A18C2" w:rsidRPr="002A4292">
        <w:t xml:space="preserve">also </w:t>
      </w:r>
      <w:r w:rsidR="00D876B5" w:rsidRPr="002A4292">
        <w:t xml:space="preserve">ease the need </w:t>
      </w:r>
      <w:r w:rsidR="000A18C2" w:rsidRPr="002A4292">
        <w:t>for</w:t>
      </w:r>
      <w:r w:rsidR="00291AF4" w:rsidRPr="002A4292">
        <w:t xml:space="preserve"> the government to</w:t>
      </w:r>
      <w:r w:rsidR="000A18C2" w:rsidRPr="002A4292">
        <w:t xml:space="preserve"> draw down on the</w:t>
      </w:r>
      <w:r w:rsidR="00C51389" w:rsidRPr="002A4292">
        <w:t xml:space="preserve"> Kiribati Revenue Equalisation Reserve Fund </w:t>
      </w:r>
      <w:r w:rsidR="00291AF4" w:rsidRPr="002A4292">
        <w:t>to meet the budget deficit over the short term</w:t>
      </w:r>
      <w:r w:rsidR="0008688E">
        <w:t xml:space="preserve">. </w:t>
      </w:r>
    </w:p>
    <w:p w:rsidR="00695E6D" w:rsidRPr="002A4292" w:rsidRDefault="00651F63" w:rsidP="00FD1244">
      <w:pPr>
        <w:pStyle w:val="BodyText"/>
      </w:pPr>
      <w:r>
        <w:t xml:space="preserve">DFAT </w:t>
      </w:r>
      <w:r w:rsidR="005A4845">
        <w:t xml:space="preserve">will make sure that </w:t>
      </w:r>
      <w:r w:rsidR="008A768C">
        <w:t>Australia</w:t>
      </w:r>
      <w:r w:rsidR="00076988" w:rsidRPr="002A4292">
        <w:t>’s</w:t>
      </w:r>
      <w:r w:rsidR="00695E6D" w:rsidRPr="002A4292">
        <w:t xml:space="preserve"> approach to budget support </w:t>
      </w:r>
      <w:r w:rsidR="005A4845">
        <w:t>is</w:t>
      </w:r>
      <w:r w:rsidR="00932B83" w:rsidRPr="002A4292">
        <w:t xml:space="preserve"> pragmatic and align</w:t>
      </w:r>
      <w:r w:rsidR="00977182">
        <w:t>s</w:t>
      </w:r>
      <w:r w:rsidR="00695E6D" w:rsidRPr="002A4292">
        <w:t xml:space="preserve"> with</w:t>
      </w:r>
      <w:r w:rsidR="00932B83" w:rsidRPr="002A4292">
        <w:t xml:space="preserve"> the approach of</w:t>
      </w:r>
      <w:r w:rsidR="00695E6D" w:rsidRPr="002A4292">
        <w:t xml:space="preserve"> other development partners</w:t>
      </w:r>
      <w:r w:rsidR="002E7053">
        <w:t xml:space="preserve"> operating in Kiribati</w:t>
      </w:r>
      <w:r w:rsidR="0008688E">
        <w:t xml:space="preserve">. </w:t>
      </w:r>
      <w:r>
        <w:t xml:space="preserve">DFAT </w:t>
      </w:r>
      <w:r w:rsidR="00695E6D" w:rsidRPr="002A4292">
        <w:t xml:space="preserve">will </w:t>
      </w:r>
      <w:r w:rsidR="005A4845">
        <w:t xml:space="preserve">also </w:t>
      </w:r>
      <w:r w:rsidR="00695E6D" w:rsidRPr="002A4292">
        <w:t>need to manage the risks associated with using weak partner government systems, including the potential for poor transparency, accountability and misuse</w:t>
      </w:r>
      <w:r w:rsidR="0008688E">
        <w:t xml:space="preserve">. </w:t>
      </w:r>
      <w:r>
        <w:t xml:space="preserve">DFAT </w:t>
      </w:r>
      <w:r w:rsidR="00695E6D" w:rsidRPr="002A4292">
        <w:t xml:space="preserve">will be informed by </w:t>
      </w:r>
      <w:r w:rsidR="00076988" w:rsidRPr="002A4292">
        <w:t>its</w:t>
      </w:r>
      <w:r w:rsidR="00695E6D" w:rsidRPr="002A4292">
        <w:t xml:space="preserve"> </w:t>
      </w:r>
      <w:r w:rsidR="005D6190">
        <w:t>a</w:t>
      </w:r>
      <w:r w:rsidR="00695E6D" w:rsidRPr="002A4292">
        <w:t xml:space="preserve">ssessment of </w:t>
      </w:r>
      <w:r w:rsidR="005D6190">
        <w:t>n</w:t>
      </w:r>
      <w:r w:rsidR="00695E6D" w:rsidRPr="002A4292">
        <w:t xml:space="preserve">ational </w:t>
      </w:r>
      <w:r w:rsidR="005D6190">
        <w:t>s</w:t>
      </w:r>
      <w:r w:rsidR="00695E6D" w:rsidRPr="002A4292">
        <w:t>ystems (completed in 2012) in this regard.</w:t>
      </w:r>
    </w:p>
    <w:p w:rsidR="00695E6D" w:rsidRPr="00EE4AB8" w:rsidRDefault="00695E6D" w:rsidP="00FD1244">
      <w:pPr>
        <w:pStyle w:val="Heading2"/>
      </w:pPr>
      <w:r w:rsidRPr="002A4292">
        <w:t>Outcome 4</w:t>
      </w:r>
      <w:r w:rsidRPr="00EE4AB8">
        <w:t xml:space="preserve">: Improved </w:t>
      </w:r>
      <w:r w:rsidR="00A92FB9" w:rsidRPr="00EE4AB8">
        <w:t>i</w:t>
      </w:r>
      <w:r w:rsidRPr="00EE4AB8">
        <w:t xml:space="preserve">nfrastructure </w:t>
      </w:r>
      <w:r w:rsidR="00A92FB9" w:rsidRPr="00EE4AB8">
        <w:t>s</w:t>
      </w:r>
      <w:r w:rsidRPr="00EE4AB8">
        <w:t>ervices</w:t>
      </w:r>
    </w:p>
    <w:p w:rsidR="00695E6D" w:rsidRPr="002A4292" w:rsidRDefault="00695E6D" w:rsidP="00FD1244">
      <w:pPr>
        <w:pStyle w:val="BodyText"/>
        <w:ind w:left="1440" w:hanging="1440"/>
      </w:pPr>
      <w:r w:rsidRPr="00EE4AB8">
        <w:rPr>
          <w:b/>
        </w:rPr>
        <w:t xml:space="preserve">Commitment </w:t>
      </w:r>
      <w:r w:rsidR="00FD1244">
        <w:rPr>
          <w:b/>
        </w:rPr>
        <w:tab/>
      </w:r>
      <w:r w:rsidRPr="00EE4AB8">
        <w:t>Improved infrastructure services through increasing access to telecommunications and sanitation services and improving the main road network</w:t>
      </w:r>
      <w:r w:rsidR="005A4845" w:rsidRPr="00EE4AB8">
        <w:t>.</w:t>
      </w:r>
    </w:p>
    <w:p w:rsidR="00695E6D" w:rsidRPr="002A4292" w:rsidRDefault="00004B03" w:rsidP="00FD1244">
      <w:pPr>
        <w:pStyle w:val="BodyText"/>
      </w:pPr>
      <w:r w:rsidRPr="002A4292">
        <w:rPr>
          <w:b/>
        </w:rPr>
        <w:t>Targets</w:t>
      </w:r>
      <w:r w:rsidR="00FD1244">
        <w:rPr>
          <w:b/>
        </w:rPr>
        <w:tab/>
      </w:r>
      <w:r w:rsidR="00695E6D" w:rsidRPr="002A4292">
        <w:t>Increased access to telecommunication services (off track)</w:t>
      </w:r>
      <w:r w:rsidR="002E7053">
        <w:t>.</w:t>
      </w:r>
    </w:p>
    <w:p w:rsidR="00695E6D" w:rsidRPr="002A4292" w:rsidRDefault="00695E6D" w:rsidP="00FD1244">
      <w:pPr>
        <w:pStyle w:val="BodyText"/>
        <w:ind w:left="1440"/>
      </w:pPr>
      <w:r w:rsidRPr="002A4292">
        <w:t>Improved health of South Tarawa’s population through enhanc</w:t>
      </w:r>
      <w:r w:rsidR="00977182">
        <w:t xml:space="preserve">ing </w:t>
      </w:r>
      <w:r w:rsidRPr="002A4292">
        <w:t>access to sanitation services (</w:t>
      </w:r>
      <w:r w:rsidR="00A268D9" w:rsidRPr="002A4292">
        <w:t>too early to measure</w:t>
      </w:r>
      <w:r w:rsidRPr="002A4292">
        <w:t>)</w:t>
      </w:r>
      <w:r w:rsidR="002E7053">
        <w:t>.</w:t>
      </w:r>
    </w:p>
    <w:p w:rsidR="00695E6D" w:rsidRPr="002A4292" w:rsidRDefault="00695E6D" w:rsidP="00FD1244">
      <w:pPr>
        <w:pStyle w:val="BodyText"/>
        <w:ind w:left="1440"/>
      </w:pPr>
      <w:r w:rsidRPr="002A4292">
        <w:t>Improved main road network on South Tarawa and strengthened road finance and maintenance capacity (off track)</w:t>
      </w:r>
      <w:r w:rsidR="002E7053">
        <w:t>.</w:t>
      </w:r>
      <w:r w:rsidRPr="002A4292">
        <w:t xml:space="preserve"> </w:t>
      </w:r>
    </w:p>
    <w:p w:rsidR="00695E6D" w:rsidRPr="002A4292" w:rsidRDefault="00695E6D" w:rsidP="00FD1244">
      <w:pPr>
        <w:pStyle w:val="BodyText"/>
        <w:ind w:left="1440"/>
      </w:pPr>
      <w:proofErr w:type="gramStart"/>
      <w:r w:rsidRPr="002A4292">
        <w:t>Reduced dependence on imported diesel for power generation (</w:t>
      </w:r>
      <w:r w:rsidR="00F2546B" w:rsidRPr="002A4292">
        <w:t>too early to measure)</w:t>
      </w:r>
      <w:r w:rsidR="002E7053">
        <w:t>.</w:t>
      </w:r>
      <w:proofErr w:type="gramEnd"/>
    </w:p>
    <w:p w:rsidR="00695E6D" w:rsidRPr="002A4292" w:rsidRDefault="00EE4AB8" w:rsidP="00FD1244">
      <w:pPr>
        <w:pStyle w:val="BodyText"/>
        <w:ind w:left="720" w:firstLine="720"/>
      </w:pPr>
      <w:proofErr w:type="gramStart"/>
      <w:r>
        <w:t>C</w:t>
      </w:r>
      <w:r w:rsidR="00695E6D" w:rsidRPr="002A4292">
        <w:t>oordinate</w:t>
      </w:r>
      <w:r>
        <w:t>d</w:t>
      </w:r>
      <w:r w:rsidR="00695E6D" w:rsidRPr="002A4292">
        <w:t xml:space="preserve"> infrastructure investments (off track)</w:t>
      </w:r>
      <w:r w:rsidR="0050775D">
        <w:t>.</w:t>
      </w:r>
      <w:proofErr w:type="gramEnd"/>
    </w:p>
    <w:p w:rsidR="00695E6D" w:rsidRPr="002A4292" w:rsidRDefault="00695E6D" w:rsidP="00FD1244">
      <w:pPr>
        <w:pStyle w:val="BodyText"/>
        <w:ind w:left="1440" w:hanging="1440"/>
      </w:pPr>
      <w:proofErr w:type="gramStart"/>
      <w:r w:rsidRPr="002A4292">
        <w:rPr>
          <w:b/>
        </w:rPr>
        <w:t xml:space="preserve">Rating </w:t>
      </w:r>
      <w:r w:rsidRPr="002A4292">
        <w:rPr>
          <w:b/>
        </w:rPr>
        <w:tab/>
      </w:r>
      <w:r w:rsidR="006A37C1" w:rsidRPr="002A4292">
        <w:t xml:space="preserve">Amber: </w:t>
      </w:r>
      <w:r w:rsidR="005666B6">
        <w:rPr>
          <w:rFonts w:eastAsia="SimSun"/>
        </w:rPr>
        <w:t>Australia’s</w:t>
      </w:r>
      <w:r w:rsidRPr="002A4292">
        <w:rPr>
          <w:rFonts w:eastAsia="SimSun"/>
        </w:rPr>
        <w:t xml:space="preserve"> infrastructure investments experience</w:t>
      </w:r>
      <w:r w:rsidR="00831BCA" w:rsidRPr="002A4292">
        <w:rPr>
          <w:rFonts w:eastAsia="SimSun"/>
        </w:rPr>
        <w:t>d</w:t>
      </w:r>
      <w:r w:rsidRPr="002A4292">
        <w:rPr>
          <w:rFonts w:eastAsia="SimSun"/>
        </w:rPr>
        <w:t xml:space="preserve"> significant delays and cost blow outs in 2012</w:t>
      </w:r>
      <w:r w:rsidR="00A92FB9">
        <w:rPr>
          <w:rFonts w:eastAsia="SimSun"/>
        </w:rPr>
        <w:t>–</w:t>
      </w:r>
      <w:r w:rsidRPr="002A4292">
        <w:rPr>
          <w:rFonts w:eastAsia="SimSun"/>
        </w:rPr>
        <w:t>13 and are off</w:t>
      </w:r>
      <w:r w:rsidR="007D2062">
        <w:rPr>
          <w:rFonts w:eastAsia="SimSun"/>
        </w:rPr>
        <w:t xml:space="preserve"> </w:t>
      </w:r>
      <w:r w:rsidRPr="002A4292">
        <w:rPr>
          <w:rFonts w:eastAsia="SimSun"/>
        </w:rPr>
        <w:t>track to meet targets.</w:t>
      </w:r>
      <w:proofErr w:type="gramEnd"/>
    </w:p>
    <w:p w:rsidR="00004B03" w:rsidRPr="002A4292" w:rsidRDefault="002E7053" w:rsidP="00FD1244">
      <w:pPr>
        <w:pStyle w:val="BodyText"/>
      </w:pPr>
      <w:r>
        <w:t>Australia’s</w:t>
      </w:r>
      <w:r w:rsidRPr="002A4292">
        <w:t xml:space="preserve"> </w:t>
      </w:r>
      <w:r w:rsidR="00695E6D" w:rsidRPr="002A4292">
        <w:t>support for infrastructure has been a major growth area with</w:t>
      </w:r>
      <w:r w:rsidR="00FE2FD5" w:rsidRPr="002A4292">
        <w:t xml:space="preserve"> </w:t>
      </w:r>
      <w:r w:rsidR="00695E6D" w:rsidRPr="002A4292">
        <w:t xml:space="preserve">programs in </w:t>
      </w:r>
      <w:r w:rsidR="006A37C1" w:rsidRPr="002A4292">
        <w:t>the</w:t>
      </w:r>
      <w:r w:rsidR="00695E6D" w:rsidRPr="002A4292">
        <w:t xml:space="preserve"> telecommunicati</w:t>
      </w:r>
      <w:r w:rsidR="006A37C1" w:rsidRPr="002A4292">
        <w:t xml:space="preserve">ons, </w:t>
      </w:r>
      <w:r w:rsidR="00695E6D" w:rsidRPr="002A4292">
        <w:t>sanitation</w:t>
      </w:r>
      <w:r w:rsidR="006A37C1" w:rsidRPr="002A4292">
        <w:t>, transport</w:t>
      </w:r>
      <w:r w:rsidR="00695E6D" w:rsidRPr="002A4292">
        <w:t xml:space="preserve"> and energy sectors</w:t>
      </w:r>
      <w:r w:rsidR="0008688E">
        <w:t xml:space="preserve">. </w:t>
      </w:r>
      <w:r w:rsidR="00E44364">
        <w:rPr>
          <w:rFonts w:cstheme="minorHAnsi"/>
          <w:bCs/>
        </w:rPr>
        <w:t>Australia’s</w:t>
      </w:r>
      <w:r w:rsidR="00FE2FD5" w:rsidRPr="002A4292">
        <w:rPr>
          <w:rFonts w:cstheme="minorHAnsi"/>
          <w:bCs/>
        </w:rPr>
        <w:t xml:space="preserve"> support is provided in partnership with the </w:t>
      </w:r>
      <w:r w:rsidR="00FE2FD5" w:rsidRPr="002A4292">
        <w:t>multilateral development banks</w:t>
      </w:r>
      <w:r w:rsidR="00FE2FD5" w:rsidRPr="002A4292">
        <w:rPr>
          <w:rFonts w:cstheme="minorHAnsi"/>
          <w:bCs/>
        </w:rPr>
        <w:t xml:space="preserve"> </w:t>
      </w:r>
      <w:r w:rsidR="0021626F" w:rsidRPr="002A4292">
        <w:rPr>
          <w:rFonts w:cstheme="minorHAnsi"/>
          <w:bCs/>
        </w:rPr>
        <w:t xml:space="preserve">and is coordinated </w:t>
      </w:r>
      <w:r w:rsidR="00FE2FD5" w:rsidRPr="002A4292">
        <w:rPr>
          <w:rFonts w:cstheme="minorHAnsi"/>
          <w:bCs/>
        </w:rPr>
        <w:t xml:space="preserve">through the Pacific Region Infrastructure Facility. </w:t>
      </w:r>
    </w:p>
    <w:p w:rsidR="002B5127" w:rsidRPr="002A4292" w:rsidRDefault="002B5127" w:rsidP="00FD1244">
      <w:pPr>
        <w:pStyle w:val="Heading3"/>
      </w:pPr>
      <w:r w:rsidRPr="002A4292">
        <w:t>Progress against targets</w:t>
      </w:r>
    </w:p>
    <w:p w:rsidR="00920016" w:rsidRPr="00FD1244" w:rsidRDefault="00920016" w:rsidP="00FD1244">
      <w:pPr>
        <w:pStyle w:val="BodyText"/>
        <w:rPr>
          <w:i/>
        </w:rPr>
      </w:pPr>
      <w:r w:rsidRPr="00FD1244">
        <w:rPr>
          <w:i/>
        </w:rPr>
        <w:t>Increased access to telecommunication services</w:t>
      </w:r>
      <w:r w:rsidR="00487809" w:rsidRPr="00FD1244">
        <w:rPr>
          <w:i/>
        </w:rPr>
        <w:t xml:space="preserve"> (off track)</w:t>
      </w:r>
    </w:p>
    <w:p w:rsidR="00920016" w:rsidRPr="002A4292" w:rsidRDefault="00920016" w:rsidP="00FD1244">
      <w:pPr>
        <w:pStyle w:val="BodyText"/>
        <w:rPr>
          <w:szCs w:val="16"/>
        </w:rPr>
      </w:pPr>
      <w:r w:rsidRPr="002A4292">
        <w:t>In 2012</w:t>
      </w:r>
      <w:r w:rsidR="0050775D">
        <w:t>–</w:t>
      </w:r>
      <w:r w:rsidRPr="002A4292">
        <w:t>13, the World Bank-led Telecommunications and ICT Development Project achieved some results, including the presentation of new telecommunications legislation to Parliament</w:t>
      </w:r>
      <w:r w:rsidR="00004B03" w:rsidRPr="002A4292">
        <w:t xml:space="preserve"> to encourage competition</w:t>
      </w:r>
      <w:r w:rsidR="0008688E">
        <w:t xml:space="preserve">. </w:t>
      </w:r>
      <w:r w:rsidRPr="002A4292">
        <w:t xml:space="preserve">However, reforms to </w:t>
      </w:r>
      <w:r w:rsidR="00004B03" w:rsidRPr="002A4292">
        <w:t xml:space="preserve">the </w:t>
      </w:r>
      <w:r w:rsidRPr="002A4292">
        <w:t>government</w:t>
      </w:r>
      <w:r w:rsidR="002E7053">
        <w:t>-</w:t>
      </w:r>
      <w:r w:rsidRPr="002A4292">
        <w:t>owned operator (</w:t>
      </w:r>
      <w:r w:rsidR="002E7053" w:rsidRPr="00EE4173">
        <w:t>Telecom Services Kiribati Limited—</w:t>
      </w:r>
      <w:r w:rsidRPr="002A4292">
        <w:t>TSKL) are not on track</w:t>
      </w:r>
      <w:r w:rsidR="0008688E">
        <w:t xml:space="preserve">. </w:t>
      </w:r>
      <w:r w:rsidRPr="002A4292">
        <w:t>The Ministry of Communication’s initial shortlisting process for a consultant to undertake the reforms was not consistent with World Bank guidelines</w:t>
      </w:r>
      <w:r w:rsidR="0008688E">
        <w:t xml:space="preserve">. </w:t>
      </w:r>
      <w:r w:rsidRPr="002A4292">
        <w:t>Consequently, the process had to be repeated and was not completed until the end of 2012</w:t>
      </w:r>
      <w:r w:rsidR="0008688E">
        <w:t xml:space="preserve">. </w:t>
      </w:r>
      <w:r w:rsidRPr="002A4292">
        <w:t>In the absence of advisory assistance, TSKL</w:t>
      </w:r>
      <w:r w:rsidR="002E7053">
        <w:t xml:space="preserve">’s performance </w:t>
      </w:r>
      <w:r w:rsidRPr="002A4292">
        <w:t>continued to deteriorate throughout 2012</w:t>
      </w:r>
      <w:r w:rsidR="0008688E">
        <w:t xml:space="preserve">. </w:t>
      </w:r>
      <w:r w:rsidRPr="002A4292">
        <w:t>This is a</w:t>
      </w:r>
      <w:r w:rsidR="00F2546B" w:rsidRPr="002A4292">
        <w:t>n</w:t>
      </w:r>
      <w:r w:rsidRPr="002A4292">
        <w:t xml:space="preserve"> example of misalignment between </w:t>
      </w:r>
      <w:r w:rsidR="006A37C1" w:rsidRPr="002A4292">
        <w:t>World B</w:t>
      </w:r>
      <w:r w:rsidRPr="002A4292">
        <w:t xml:space="preserve">ank expectations and </w:t>
      </w:r>
      <w:r w:rsidR="00F2546B" w:rsidRPr="002A4292">
        <w:t xml:space="preserve">the </w:t>
      </w:r>
      <w:r w:rsidRPr="002A4292">
        <w:t>reality of implementation capacity in Kiribati.</w:t>
      </w:r>
    </w:p>
    <w:p w:rsidR="00920016" w:rsidRPr="002A4292" w:rsidRDefault="00651F63" w:rsidP="00FD1244">
      <w:pPr>
        <w:pStyle w:val="BodyText"/>
      </w:pPr>
      <w:r>
        <w:t xml:space="preserve">DFAT </w:t>
      </w:r>
      <w:r w:rsidR="00A15E49" w:rsidRPr="002A4292">
        <w:t>has</w:t>
      </w:r>
      <w:r w:rsidR="00920016" w:rsidRPr="002A4292">
        <w:t xml:space="preserve"> other concerns with the project’s efficiency, including the decision to link the timeframe for selecting a private operator to TSKL reforms</w:t>
      </w:r>
      <w:r w:rsidR="0008688E">
        <w:t xml:space="preserve">. </w:t>
      </w:r>
      <w:r w:rsidR="00920016" w:rsidRPr="002A4292">
        <w:t>In 2013</w:t>
      </w:r>
      <w:r w:rsidR="0050775D">
        <w:t>–</w:t>
      </w:r>
      <w:r w:rsidR="00920016" w:rsidRPr="002A4292">
        <w:t>14</w:t>
      </w:r>
      <w:r w:rsidR="00487809" w:rsidRPr="002A4292">
        <w:t xml:space="preserve">, </w:t>
      </w:r>
      <w:r w:rsidR="002E7053">
        <w:t xml:space="preserve">the </w:t>
      </w:r>
      <w:r w:rsidR="00436B8C">
        <w:t xml:space="preserve">department </w:t>
      </w:r>
      <w:r w:rsidR="00920016" w:rsidRPr="002A4292">
        <w:t xml:space="preserve">will work with the World Bank and Government of Kiribati to explore options for fast tracking private sector engagement. </w:t>
      </w:r>
    </w:p>
    <w:p w:rsidR="00695E6D" w:rsidRPr="00FD1244" w:rsidRDefault="00920016" w:rsidP="00FD1244">
      <w:pPr>
        <w:pStyle w:val="BodyText"/>
        <w:rPr>
          <w:i/>
        </w:rPr>
      </w:pPr>
      <w:r w:rsidRPr="00FD1244">
        <w:rPr>
          <w:i/>
        </w:rPr>
        <w:t>Improved sanitation services</w:t>
      </w:r>
      <w:r w:rsidR="00487809" w:rsidRPr="00FD1244">
        <w:rPr>
          <w:i/>
        </w:rPr>
        <w:t xml:space="preserve"> (</w:t>
      </w:r>
      <w:r w:rsidR="00A268D9" w:rsidRPr="00FD1244">
        <w:rPr>
          <w:i/>
        </w:rPr>
        <w:t>too early to measure</w:t>
      </w:r>
      <w:r w:rsidR="00487809" w:rsidRPr="00FD1244">
        <w:rPr>
          <w:i/>
        </w:rPr>
        <w:t>)</w:t>
      </w:r>
    </w:p>
    <w:p w:rsidR="00695E6D" w:rsidRPr="002A4292" w:rsidRDefault="00695E6D" w:rsidP="00FD1244">
      <w:pPr>
        <w:pStyle w:val="BodyText"/>
      </w:pPr>
      <w:r w:rsidRPr="002A4292">
        <w:t xml:space="preserve">The </w:t>
      </w:r>
      <w:r w:rsidR="00920016" w:rsidRPr="002A4292">
        <w:t>South Tarawa Sanitation Improvement Sector Project</w:t>
      </w:r>
      <w:r w:rsidR="00977182">
        <w:t>, led by the Asian Development Bank,</w:t>
      </w:r>
      <w:r w:rsidRPr="002A4292">
        <w:t xml:space="preserve"> is still in </w:t>
      </w:r>
      <w:r w:rsidR="00555152" w:rsidRPr="002A4292">
        <w:t xml:space="preserve">the </w:t>
      </w:r>
      <w:r w:rsidRPr="002A4292">
        <w:t xml:space="preserve">early </w:t>
      </w:r>
      <w:r w:rsidR="00555152" w:rsidRPr="002A4292">
        <w:t xml:space="preserve">design </w:t>
      </w:r>
      <w:r w:rsidR="00A268D9" w:rsidRPr="002A4292">
        <w:t>phase</w:t>
      </w:r>
      <w:r w:rsidRPr="002A4292">
        <w:t xml:space="preserve"> so it is </w:t>
      </w:r>
      <w:r w:rsidR="00555152" w:rsidRPr="002A4292">
        <w:t>not possible</w:t>
      </w:r>
      <w:r w:rsidRPr="002A4292">
        <w:t xml:space="preserve"> to measure effectiveness</w:t>
      </w:r>
      <w:r w:rsidR="0008688E">
        <w:t xml:space="preserve">. </w:t>
      </w:r>
      <w:r w:rsidRPr="002A4292">
        <w:t xml:space="preserve">Hygiene </w:t>
      </w:r>
      <w:r w:rsidRPr="002A4292">
        <w:lastRenderedPageBreak/>
        <w:t xml:space="preserve">promotion activities </w:t>
      </w:r>
      <w:r w:rsidR="002E7053">
        <w:t>are underway</w:t>
      </w:r>
      <w:r w:rsidR="002E7053" w:rsidRPr="002A4292">
        <w:t xml:space="preserve"> </w:t>
      </w:r>
      <w:r w:rsidR="00A15E49" w:rsidRPr="002A4292">
        <w:t>but</w:t>
      </w:r>
      <w:r w:rsidRPr="002A4292">
        <w:t xml:space="preserve"> their effectiveness will remain limited while open defecation remains common practice</w:t>
      </w:r>
      <w:r w:rsidR="0008688E">
        <w:t xml:space="preserve">. </w:t>
      </w:r>
      <w:r w:rsidR="00651F63">
        <w:t xml:space="preserve">DFAT </w:t>
      </w:r>
      <w:r w:rsidR="00EE4173">
        <w:t xml:space="preserve">is </w:t>
      </w:r>
      <w:r w:rsidRPr="002A4292">
        <w:t xml:space="preserve">urging </w:t>
      </w:r>
      <w:r w:rsidR="00A268D9" w:rsidRPr="002A4292">
        <w:t xml:space="preserve">the Government of Kiribati and </w:t>
      </w:r>
      <w:r w:rsidRPr="002A4292">
        <w:t>A</w:t>
      </w:r>
      <w:r w:rsidR="00A70C52">
        <w:t>sian Development Bank</w:t>
      </w:r>
      <w:r w:rsidRPr="002A4292">
        <w:t xml:space="preserve"> to fast track sub-projects involving communal toilets to allow alternatives to open defecation for people not serviced by the sewerage system</w:t>
      </w:r>
      <w:r w:rsidR="00A70C52">
        <w:t xml:space="preserve">. </w:t>
      </w:r>
      <w:r w:rsidR="00A15E49" w:rsidRPr="002A4292">
        <w:t>Fi</w:t>
      </w:r>
      <w:r w:rsidRPr="002A4292">
        <w:t>nalising the design for core sub-projects</w:t>
      </w:r>
      <w:r w:rsidR="00A15E49" w:rsidRPr="002A4292">
        <w:t xml:space="preserve"> </w:t>
      </w:r>
      <w:r w:rsidR="002E7053">
        <w:t>was</w:t>
      </w:r>
      <w:r w:rsidR="00A15E49" w:rsidRPr="002A4292">
        <w:t xml:space="preserve"> delayed</w:t>
      </w:r>
      <w:r w:rsidR="0008688E">
        <w:t xml:space="preserve">. </w:t>
      </w:r>
      <w:r w:rsidR="00A15E49" w:rsidRPr="002A4292">
        <w:t>H</w:t>
      </w:r>
      <w:r w:rsidRPr="002A4292">
        <w:t>owever, recent experience with the Kiribati Road Rehabilitation Program (where bid prices significantly exceeded cost estimates for work) has reinforced the importance of taking the time to get designs and cost estimates right</w:t>
      </w:r>
      <w:r w:rsidR="0008688E">
        <w:t xml:space="preserve">. </w:t>
      </w:r>
      <w:r w:rsidR="00651F63">
        <w:t xml:space="preserve">DFAT </w:t>
      </w:r>
      <w:r w:rsidR="00E21A07" w:rsidRPr="002A4292">
        <w:t>will continue to engage with</w:t>
      </w:r>
      <w:r w:rsidR="00A167B7">
        <w:t xml:space="preserve"> the</w:t>
      </w:r>
      <w:r w:rsidR="00E21A07" w:rsidRPr="002A4292">
        <w:t xml:space="preserve"> A</w:t>
      </w:r>
      <w:r w:rsidR="00A70C52">
        <w:t>sian Development Bank</w:t>
      </w:r>
      <w:r w:rsidR="00E21A07" w:rsidRPr="002A4292">
        <w:t xml:space="preserve"> to </w:t>
      </w:r>
      <w:r w:rsidR="00932B83" w:rsidRPr="002A4292">
        <w:t>manage</w:t>
      </w:r>
      <w:r w:rsidR="00E21A07" w:rsidRPr="002A4292">
        <w:t xml:space="preserve"> projec</w:t>
      </w:r>
      <w:r w:rsidR="000F2679" w:rsidRPr="002A4292">
        <w:t>t risks effectively.</w:t>
      </w:r>
    </w:p>
    <w:p w:rsidR="00004B03" w:rsidRPr="00FD1244" w:rsidRDefault="00004B03" w:rsidP="00FD1244">
      <w:pPr>
        <w:pStyle w:val="BodyText"/>
        <w:rPr>
          <w:i/>
        </w:rPr>
      </w:pPr>
      <w:r w:rsidRPr="00FD1244">
        <w:rPr>
          <w:i/>
        </w:rPr>
        <w:t xml:space="preserve">Improved road network </w:t>
      </w:r>
      <w:r w:rsidR="00487809" w:rsidRPr="00FD1244">
        <w:rPr>
          <w:i/>
        </w:rPr>
        <w:t>(off track)</w:t>
      </w:r>
    </w:p>
    <w:p w:rsidR="00695E6D" w:rsidRPr="002A4292" w:rsidRDefault="00695E6D" w:rsidP="00FD1244">
      <w:pPr>
        <w:pStyle w:val="BodyText"/>
      </w:pPr>
      <w:r w:rsidRPr="002A4292">
        <w:t>In 2012</w:t>
      </w:r>
      <w:r w:rsidR="0050775D">
        <w:t>–</w:t>
      </w:r>
      <w:r w:rsidRPr="002A4292">
        <w:t xml:space="preserve">13, </w:t>
      </w:r>
      <w:r w:rsidR="002E7053">
        <w:t>Australia</w:t>
      </w:r>
      <w:r w:rsidR="002E7053" w:rsidRPr="002A4292">
        <w:t xml:space="preserve"> </w:t>
      </w:r>
      <w:r w:rsidRPr="002A4292">
        <w:t>significantly expanded investment in the Kiribati Road Rehabilitation Project</w:t>
      </w:r>
      <w:r w:rsidR="002E7053">
        <w:t>,</w:t>
      </w:r>
      <w:r w:rsidR="00555152" w:rsidRPr="002A4292">
        <w:t xml:space="preserve"> in response to a G</w:t>
      </w:r>
      <w:r w:rsidR="00E21A07" w:rsidRPr="002A4292">
        <w:t xml:space="preserve">overnment of </w:t>
      </w:r>
      <w:r w:rsidR="00555152" w:rsidRPr="002A4292">
        <w:t>K</w:t>
      </w:r>
      <w:r w:rsidR="00E21A07" w:rsidRPr="002A4292">
        <w:t>iribati</w:t>
      </w:r>
      <w:r w:rsidR="00555152" w:rsidRPr="002A4292">
        <w:t xml:space="preserve"> request for reprioritisation of </w:t>
      </w:r>
      <w:r w:rsidR="005666B6">
        <w:t>its</w:t>
      </w:r>
      <w:r w:rsidR="00555152" w:rsidRPr="002A4292">
        <w:t xml:space="preserve"> aid</w:t>
      </w:r>
      <w:r w:rsidR="0008688E">
        <w:t xml:space="preserve">. </w:t>
      </w:r>
      <w:r w:rsidRPr="002A4292">
        <w:t xml:space="preserve">The project is jointly led by the </w:t>
      </w:r>
      <w:r w:rsidR="00977182">
        <w:t xml:space="preserve">Asian Development Bank and </w:t>
      </w:r>
      <w:r w:rsidRPr="002A4292">
        <w:t>World Bank</w:t>
      </w:r>
      <w:r w:rsidR="008571D3">
        <w:t>—</w:t>
      </w:r>
      <w:r w:rsidR="00555152" w:rsidRPr="002A4292">
        <w:t>the first of its kind</w:t>
      </w:r>
      <w:r w:rsidR="00A15E49" w:rsidRPr="002A4292">
        <w:t xml:space="preserve"> world-wide</w:t>
      </w:r>
      <w:r w:rsidR="0008688E">
        <w:t xml:space="preserve">. </w:t>
      </w:r>
      <w:r w:rsidRPr="002A4292">
        <w:t xml:space="preserve">The objective is to </w:t>
      </w:r>
      <w:r w:rsidR="00555152" w:rsidRPr="002A4292">
        <w:t>reconstruct 40</w:t>
      </w:r>
      <w:r w:rsidR="00E21A07" w:rsidRPr="002A4292">
        <w:t xml:space="preserve"> </w:t>
      </w:r>
      <w:r w:rsidR="00555152" w:rsidRPr="002A4292">
        <w:t>k</w:t>
      </w:r>
      <w:r w:rsidR="00E21A07" w:rsidRPr="002A4292">
        <w:t>ilometres</w:t>
      </w:r>
      <w:r w:rsidR="00555152" w:rsidRPr="002A4292">
        <w:t xml:space="preserve"> of road pavement and drainage to </w:t>
      </w:r>
      <w:r w:rsidRPr="002A4292">
        <w:t>improve the condition of South Tarawa's main road network and help strengthen road financing and maintenance capacity</w:t>
      </w:r>
      <w:r w:rsidR="0008688E">
        <w:t xml:space="preserve">. </w:t>
      </w:r>
      <w:r w:rsidRPr="002A4292">
        <w:t xml:space="preserve">The </w:t>
      </w:r>
      <w:r w:rsidR="00EE4173">
        <w:t>three</w:t>
      </w:r>
      <w:r w:rsidRPr="002A4292">
        <w:t xml:space="preserve"> main components</w:t>
      </w:r>
      <w:r w:rsidR="002E7053">
        <w:t xml:space="preserve"> are</w:t>
      </w:r>
      <w:r w:rsidRPr="002A4292">
        <w:t>:</w:t>
      </w:r>
      <w:r w:rsidR="00EE4173">
        <w:t xml:space="preserve"> infrastructure improvements,</w:t>
      </w:r>
      <w:r w:rsidRPr="002A4292">
        <w:t xml:space="preserve"> road sector reform</w:t>
      </w:r>
      <w:r w:rsidR="00EE4173">
        <w:t xml:space="preserve"> and </w:t>
      </w:r>
      <w:r w:rsidR="00637735">
        <w:t>project support</w:t>
      </w:r>
      <w:r w:rsidRPr="002A4292">
        <w:t xml:space="preserve">. </w:t>
      </w:r>
    </w:p>
    <w:p w:rsidR="00EA3E4E" w:rsidRPr="002A4292" w:rsidRDefault="00695E6D" w:rsidP="00FD1244">
      <w:pPr>
        <w:pStyle w:val="BodyText"/>
      </w:pPr>
      <w:r w:rsidRPr="002A4292">
        <w:t xml:space="preserve">The project is </w:t>
      </w:r>
      <w:r w:rsidR="00555152" w:rsidRPr="002A4292">
        <w:t>now 15</w:t>
      </w:r>
      <w:r w:rsidRPr="002A4292">
        <w:t xml:space="preserve"> months behind schedule </w:t>
      </w:r>
      <w:r w:rsidR="00555152" w:rsidRPr="002A4292">
        <w:t xml:space="preserve">due to procurement problems </w:t>
      </w:r>
      <w:r w:rsidRPr="002A4292">
        <w:t xml:space="preserve">and bids for construction </w:t>
      </w:r>
      <w:r w:rsidR="00555152" w:rsidRPr="002A4292">
        <w:t>work coming in 30</w:t>
      </w:r>
      <w:r w:rsidR="00E21A07" w:rsidRPr="002A4292">
        <w:t xml:space="preserve"> per cent </w:t>
      </w:r>
      <w:r w:rsidRPr="002A4292">
        <w:t>over project budget</w:t>
      </w:r>
      <w:r w:rsidR="0008688E">
        <w:t xml:space="preserve">. </w:t>
      </w:r>
      <w:r w:rsidR="00EA3E4E" w:rsidRPr="002A4292">
        <w:t>The key risk that has emerged is the G</w:t>
      </w:r>
      <w:r w:rsidR="008019D0" w:rsidRPr="002A4292">
        <w:t xml:space="preserve">overnment of </w:t>
      </w:r>
      <w:r w:rsidR="00EA3E4E" w:rsidRPr="002A4292">
        <w:t>K</w:t>
      </w:r>
      <w:r w:rsidR="008019D0" w:rsidRPr="002A4292">
        <w:t>iribati</w:t>
      </w:r>
      <w:r w:rsidR="00EA3E4E" w:rsidRPr="002A4292">
        <w:t>’s weak capacity to manage project implementation consultants</w:t>
      </w:r>
      <w:r w:rsidR="0008688E">
        <w:t xml:space="preserve">. </w:t>
      </w:r>
      <w:r w:rsidR="008019D0" w:rsidRPr="002A4292">
        <w:t>To date the adopted risk mitigation measures of establishing a Kiribati Fiduciary Services Unit and engaging a design and supervision consultant to help the</w:t>
      </w:r>
      <w:r w:rsidR="00E967BA">
        <w:t xml:space="preserve"> g</w:t>
      </w:r>
      <w:r w:rsidR="008019D0" w:rsidRPr="002A4292">
        <w:t>overnment with implementation have not been effective</w:t>
      </w:r>
      <w:r w:rsidR="0008688E">
        <w:t xml:space="preserve">. </w:t>
      </w:r>
      <w:r w:rsidR="002E7053">
        <w:t>D</w:t>
      </w:r>
      <w:r w:rsidR="00EA3E4E" w:rsidRPr="002A4292">
        <w:t>onor partners recognise this weakness</w:t>
      </w:r>
      <w:r w:rsidR="002E7053">
        <w:t>, which</w:t>
      </w:r>
      <w:r w:rsidR="00EA3E4E" w:rsidRPr="002A4292">
        <w:t xml:space="preserve"> has led to many </w:t>
      </w:r>
      <w:r w:rsidR="002E7053" w:rsidRPr="002A4292">
        <w:t>delays</w:t>
      </w:r>
      <w:r w:rsidR="002E7053">
        <w:t>. F</w:t>
      </w:r>
      <w:r w:rsidR="000F2679" w:rsidRPr="002A4292">
        <w:t xml:space="preserve">urther support measures, including </w:t>
      </w:r>
      <w:r w:rsidR="00EA3E4E" w:rsidRPr="002A4292">
        <w:t xml:space="preserve">more intense project monitoring and </w:t>
      </w:r>
      <w:r w:rsidR="002E7053">
        <w:t>discussion</w:t>
      </w:r>
      <w:r w:rsidR="002E7053" w:rsidRPr="002A4292">
        <w:t xml:space="preserve"> </w:t>
      </w:r>
      <w:r w:rsidR="00EA3E4E" w:rsidRPr="002A4292">
        <w:t>with sen</w:t>
      </w:r>
      <w:r w:rsidR="000F2679" w:rsidRPr="002A4292">
        <w:t>ior</w:t>
      </w:r>
      <w:r w:rsidR="00E967BA">
        <w:t xml:space="preserve"> g</w:t>
      </w:r>
      <w:r w:rsidR="000F2679" w:rsidRPr="002A4292">
        <w:t xml:space="preserve">overnment officials, </w:t>
      </w:r>
      <w:r w:rsidR="00A15E49" w:rsidRPr="002A4292">
        <w:t>are</w:t>
      </w:r>
      <w:r w:rsidR="000F2679" w:rsidRPr="002A4292">
        <w:t xml:space="preserve"> underway</w:t>
      </w:r>
      <w:r w:rsidR="00EA3E4E" w:rsidRPr="002A4292">
        <w:t>.</w:t>
      </w:r>
    </w:p>
    <w:p w:rsidR="00695E6D" w:rsidRPr="002A4292" w:rsidRDefault="00695E6D" w:rsidP="00FD1244">
      <w:pPr>
        <w:pStyle w:val="BodyText"/>
        <w:rPr>
          <w:szCs w:val="22"/>
        </w:rPr>
      </w:pPr>
      <w:r w:rsidRPr="002A4292">
        <w:rPr>
          <w:szCs w:val="22"/>
        </w:rPr>
        <w:t xml:space="preserve">Despite </w:t>
      </w:r>
      <w:r w:rsidR="00A15E49" w:rsidRPr="002A4292">
        <w:rPr>
          <w:szCs w:val="22"/>
        </w:rPr>
        <w:t>difficulties</w:t>
      </w:r>
      <w:r w:rsidRPr="002A4292">
        <w:rPr>
          <w:szCs w:val="22"/>
        </w:rPr>
        <w:t xml:space="preserve"> </w:t>
      </w:r>
      <w:r w:rsidR="00977182">
        <w:rPr>
          <w:szCs w:val="22"/>
        </w:rPr>
        <w:t>to date</w:t>
      </w:r>
      <w:r w:rsidRPr="002A4292">
        <w:rPr>
          <w:szCs w:val="22"/>
        </w:rPr>
        <w:t xml:space="preserve">, this is a </w:t>
      </w:r>
      <w:r w:rsidR="00EA3E4E" w:rsidRPr="002A4292">
        <w:rPr>
          <w:szCs w:val="22"/>
        </w:rPr>
        <w:t xml:space="preserve">transformational </w:t>
      </w:r>
      <w:r w:rsidRPr="002A4292">
        <w:rPr>
          <w:szCs w:val="22"/>
        </w:rPr>
        <w:t xml:space="preserve">project </w:t>
      </w:r>
      <w:r w:rsidR="00A15E49" w:rsidRPr="002A4292">
        <w:rPr>
          <w:szCs w:val="22"/>
        </w:rPr>
        <w:t xml:space="preserve">for </w:t>
      </w:r>
      <w:r w:rsidR="000F2679" w:rsidRPr="002A4292">
        <w:rPr>
          <w:szCs w:val="22"/>
        </w:rPr>
        <w:t>South </w:t>
      </w:r>
      <w:r w:rsidR="00EA3E4E" w:rsidRPr="002A4292">
        <w:rPr>
          <w:szCs w:val="22"/>
        </w:rPr>
        <w:t>Tarawa</w:t>
      </w:r>
      <w:r w:rsidR="00A15E49" w:rsidRPr="002A4292">
        <w:rPr>
          <w:szCs w:val="22"/>
        </w:rPr>
        <w:t>’s</w:t>
      </w:r>
      <w:r w:rsidR="00EA3E4E" w:rsidRPr="002A4292">
        <w:rPr>
          <w:szCs w:val="22"/>
        </w:rPr>
        <w:t xml:space="preserve"> population </w:t>
      </w:r>
      <w:r w:rsidR="00A15E49" w:rsidRPr="002A4292">
        <w:rPr>
          <w:szCs w:val="22"/>
        </w:rPr>
        <w:t>and Aus</w:t>
      </w:r>
      <w:r w:rsidR="00637735">
        <w:rPr>
          <w:szCs w:val="22"/>
        </w:rPr>
        <w:t>tralia</w:t>
      </w:r>
      <w:r w:rsidR="00A15E49" w:rsidRPr="002A4292">
        <w:rPr>
          <w:szCs w:val="22"/>
        </w:rPr>
        <w:t xml:space="preserve"> has </w:t>
      </w:r>
      <w:r w:rsidRPr="002A4292">
        <w:rPr>
          <w:szCs w:val="22"/>
        </w:rPr>
        <w:t xml:space="preserve">agreed to provide additional </w:t>
      </w:r>
      <w:r w:rsidRPr="002E7053">
        <w:rPr>
          <w:szCs w:val="22"/>
        </w:rPr>
        <w:t>fina</w:t>
      </w:r>
      <w:r w:rsidR="00A15E49" w:rsidRPr="002E7053">
        <w:rPr>
          <w:szCs w:val="22"/>
        </w:rPr>
        <w:t>ncing of $15 million (taking the</w:t>
      </w:r>
      <w:r w:rsidRPr="002E7053">
        <w:rPr>
          <w:szCs w:val="22"/>
        </w:rPr>
        <w:t xml:space="preserve"> total commitment to $21</w:t>
      </w:r>
      <w:r w:rsidR="00977182">
        <w:rPr>
          <w:szCs w:val="22"/>
        </w:rPr>
        <w:t> </w:t>
      </w:r>
      <w:r w:rsidRPr="002E7053">
        <w:rPr>
          <w:szCs w:val="22"/>
        </w:rPr>
        <w:t>million).</w:t>
      </w:r>
      <w:r w:rsidRPr="002A4292">
        <w:rPr>
          <w:szCs w:val="22"/>
        </w:rPr>
        <w:t xml:space="preserve"> Additional funding is, however, contingent on </w:t>
      </w:r>
      <w:r w:rsidR="002E7053">
        <w:rPr>
          <w:szCs w:val="22"/>
        </w:rPr>
        <w:t xml:space="preserve">the </w:t>
      </w:r>
      <w:r w:rsidRPr="002A4292">
        <w:rPr>
          <w:szCs w:val="22"/>
        </w:rPr>
        <w:t>Government of Kiribati meeting key performance milestones</w:t>
      </w:r>
      <w:r w:rsidR="0008688E">
        <w:rPr>
          <w:szCs w:val="22"/>
        </w:rPr>
        <w:t xml:space="preserve">. </w:t>
      </w:r>
      <w:r w:rsidRPr="002A4292">
        <w:rPr>
          <w:szCs w:val="22"/>
        </w:rPr>
        <w:t xml:space="preserve">In addition, </w:t>
      </w:r>
      <w:r w:rsidR="0007683F">
        <w:rPr>
          <w:szCs w:val="22"/>
        </w:rPr>
        <w:t xml:space="preserve">DFAT </w:t>
      </w:r>
      <w:r w:rsidR="00EA3E4E" w:rsidRPr="002A4292">
        <w:rPr>
          <w:szCs w:val="22"/>
        </w:rPr>
        <w:t xml:space="preserve">has increased its level of </w:t>
      </w:r>
      <w:r w:rsidR="000F2679" w:rsidRPr="002A4292">
        <w:rPr>
          <w:szCs w:val="22"/>
        </w:rPr>
        <w:t>participation</w:t>
      </w:r>
      <w:r w:rsidRPr="002A4292">
        <w:rPr>
          <w:szCs w:val="22"/>
        </w:rPr>
        <w:t xml:space="preserve"> in quarterly supervision mission</w:t>
      </w:r>
      <w:r w:rsidR="00A15E49" w:rsidRPr="002A4292">
        <w:rPr>
          <w:szCs w:val="22"/>
        </w:rPr>
        <w:t>s</w:t>
      </w:r>
      <w:r w:rsidRPr="002A4292">
        <w:rPr>
          <w:szCs w:val="22"/>
        </w:rPr>
        <w:t xml:space="preserve"> led by the </w:t>
      </w:r>
      <w:r w:rsidR="006A37C1" w:rsidRPr="002A4292">
        <w:rPr>
          <w:szCs w:val="22"/>
        </w:rPr>
        <w:t>b</w:t>
      </w:r>
      <w:r w:rsidRPr="002A4292">
        <w:rPr>
          <w:szCs w:val="22"/>
        </w:rPr>
        <w:t>ank</w:t>
      </w:r>
      <w:r w:rsidR="006A37C1" w:rsidRPr="002A4292">
        <w:rPr>
          <w:szCs w:val="22"/>
        </w:rPr>
        <w:t>s</w:t>
      </w:r>
      <w:r w:rsidRPr="002A4292">
        <w:rPr>
          <w:szCs w:val="22"/>
        </w:rPr>
        <w:t xml:space="preserve"> and </w:t>
      </w:r>
      <w:r w:rsidR="00A15E49" w:rsidRPr="002A4292">
        <w:rPr>
          <w:szCs w:val="22"/>
        </w:rPr>
        <w:t xml:space="preserve">has </w:t>
      </w:r>
      <w:r w:rsidR="00EA3E4E" w:rsidRPr="002A4292">
        <w:rPr>
          <w:szCs w:val="22"/>
        </w:rPr>
        <w:t xml:space="preserve">contracted </w:t>
      </w:r>
      <w:r w:rsidR="00A15E49" w:rsidRPr="002A4292">
        <w:rPr>
          <w:szCs w:val="22"/>
        </w:rPr>
        <w:t xml:space="preserve">an </w:t>
      </w:r>
      <w:r w:rsidR="00EA3E4E" w:rsidRPr="002A4292">
        <w:rPr>
          <w:szCs w:val="22"/>
        </w:rPr>
        <w:t xml:space="preserve">infrastructure specialist to </w:t>
      </w:r>
      <w:proofErr w:type="gramStart"/>
      <w:r w:rsidRPr="002A4292">
        <w:rPr>
          <w:szCs w:val="22"/>
        </w:rPr>
        <w:t>advise</w:t>
      </w:r>
      <w:proofErr w:type="gramEnd"/>
      <w:r w:rsidRPr="002A4292">
        <w:rPr>
          <w:szCs w:val="22"/>
        </w:rPr>
        <w:t xml:space="preserve"> on project progress and risk</w:t>
      </w:r>
      <w:r w:rsidR="00EA3E4E" w:rsidRPr="002A4292">
        <w:rPr>
          <w:szCs w:val="22"/>
        </w:rPr>
        <w:t xml:space="preserve"> management</w:t>
      </w:r>
      <w:r w:rsidRPr="002A4292">
        <w:rPr>
          <w:szCs w:val="22"/>
        </w:rPr>
        <w:t>.</w:t>
      </w:r>
    </w:p>
    <w:p w:rsidR="00695E6D" w:rsidRPr="002A4292" w:rsidRDefault="00004B03" w:rsidP="00FD1244">
      <w:pPr>
        <w:pStyle w:val="BodyText"/>
        <w:rPr>
          <w:i/>
          <w:szCs w:val="22"/>
        </w:rPr>
      </w:pPr>
      <w:r w:rsidRPr="002A4292">
        <w:rPr>
          <w:i/>
          <w:szCs w:val="22"/>
        </w:rPr>
        <w:t xml:space="preserve">Reduced dependence on imported diesel </w:t>
      </w:r>
      <w:r w:rsidR="00F2546B" w:rsidRPr="002A4292">
        <w:rPr>
          <w:i/>
          <w:szCs w:val="22"/>
        </w:rPr>
        <w:t>(too early to measure)</w:t>
      </w:r>
    </w:p>
    <w:p w:rsidR="002B5127" w:rsidRDefault="00695E6D" w:rsidP="00FD1244">
      <w:pPr>
        <w:pStyle w:val="BodyText"/>
        <w:rPr>
          <w:szCs w:val="22"/>
        </w:rPr>
      </w:pPr>
      <w:r w:rsidRPr="002A4292">
        <w:rPr>
          <w:szCs w:val="22"/>
        </w:rPr>
        <w:t xml:space="preserve">In </w:t>
      </w:r>
      <w:r w:rsidR="002B5127" w:rsidRPr="002A4292">
        <w:rPr>
          <w:szCs w:val="22"/>
        </w:rPr>
        <w:t>2012</w:t>
      </w:r>
      <w:r w:rsidR="0050775D">
        <w:rPr>
          <w:szCs w:val="22"/>
        </w:rPr>
        <w:t>–</w:t>
      </w:r>
      <w:r w:rsidR="002B5127" w:rsidRPr="002A4292">
        <w:rPr>
          <w:szCs w:val="22"/>
        </w:rPr>
        <w:t>13</w:t>
      </w:r>
      <w:r w:rsidR="002E7053">
        <w:rPr>
          <w:szCs w:val="22"/>
        </w:rPr>
        <w:t>,</w:t>
      </w:r>
      <w:r w:rsidR="002B5127" w:rsidRPr="002A4292">
        <w:rPr>
          <w:szCs w:val="22"/>
        </w:rPr>
        <w:t xml:space="preserve"> </w:t>
      </w:r>
      <w:r w:rsidR="00E44364">
        <w:rPr>
          <w:szCs w:val="22"/>
        </w:rPr>
        <w:t xml:space="preserve">Australia </w:t>
      </w:r>
      <w:r w:rsidR="002B5127" w:rsidRPr="002A4292">
        <w:rPr>
          <w:szCs w:val="22"/>
        </w:rPr>
        <w:t>supported the</w:t>
      </w:r>
      <w:r w:rsidRPr="002A4292">
        <w:rPr>
          <w:szCs w:val="22"/>
        </w:rPr>
        <w:t xml:space="preserve"> South Tarawa Solar </w:t>
      </w:r>
      <w:r w:rsidR="00574320" w:rsidRPr="002A4292">
        <w:rPr>
          <w:szCs w:val="22"/>
        </w:rPr>
        <w:t>Pro</w:t>
      </w:r>
      <w:r w:rsidR="00574320">
        <w:rPr>
          <w:szCs w:val="22"/>
        </w:rPr>
        <w:t>ject</w:t>
      </w:r>
      <w:r w:rsidR="00977182">
        <w:rPr>
          <w:szCs w:val="22"/>
        </w:rPr>
        <w:t>, led by the World Bank,</w:t>
      </w:r>
      <w:r w:rsidR="00487809" w:rsidRPr="002A4292">
        <w:rPr>
          <w:szCs w:val="22"/>
        </w:rPr>
        <w:t xml:space="preserve"> to</w:t>
      </w:r>
      <w:r w:rsidRPr="002A4292">
        <w:rPr>
          <w:szCs w:val="22"/>
        </w:rPr>
        <w:t xml:space="preserve"> install solar photovoltaic at four selected sites </w:t>
      </w:r>
      <w:r w:rsidR="00637735">
        <w:rPr>
          <w:szCs w:val="22"/>
        </w:rPr>
        <w:t>on South Tarawa</w:t>
      </w:r>
      <w:r w:rsidR="0008688E">
        <w:rPr>
          <w:szCs w:val="22"/>
        </w:rPr>
        <w:t xml:space="preserve">. </w:t>
      </w:r>
      <w:r w:rsidR="00E44364">
        <w:rPr>
          <w:szCs w:val="22"/>
        </w:rPr>
        <w:t>D</w:t>
      </w:r>
      <w:r w:rsidR="00E44364" w:rsidRPr="00E44364">
        <w:rPr>
          <w:szCs w:val="22"/>
        </w:rPr>
        <w:t xml:space="preserve">raft bid documents for the physical works have been prepared </w:t>
      </w:r>
      <w:r w:rsidR="00E44364">
        <w:rPr>
          <w:szCs w:val="22"/>
        </w:rPr>
        <w:t>and t</w:t>
      </w:r>
      <w:r w:rsidR="00E44364" w:rsidRPr="00E44364">
        <w:rPr>
          <w:szCs w:val="22"/>
        </w:rPr>
        <w:t xml:space="preserve">he </w:t>
      </w:r>
      <w:r w:rsidR="00E44364">
        <w:rPr>
          <w:szCs w:val="22"/>
        </w:rPr>
        <w:t xml:space="preserve">project </w:t>
      </w:r>
      <w:r w:rsidR="00E44364" w:rsidRPr="00E44364">
        <w:rPr>
          <w:szCs w:val="22"/>
        </w:rPr>
        <w:t xml:space="preserve">is awaiting procurement of a project management consultant. </w:t>
      </w:r>
      <w:r w:rsidR="00E44364">
        <w:rPr>
          <w:szCs w:val="22"/>
        </w:rPr>
        <w:t xml:space="preserve">Although it </w:t>
      </w:r>
      <w:r w:rsidRPr="002A4292">
        <w:rPr>
          <w:szCs w:val="22"/>
        </w:rPr>
        <w:t xml:space="preserve">is too early to assess </w:t>
      </w:r>
      <w:r w:rsidR="00487809" w:rsidRPr="002A4292">
        <w:rPr>
          <w:szCs w:val="22"/>
        </w:rPr>
        <w:t>overall effectiveness</w:t>
      </w:r>
      <w:r w:rsidR="00E44364">
        <w:rPr>
          <w:szCs w:val="22"/>
        </w:rPr>
        <w:t xml:space="preserve">, </w:t>
      </w:r>
      <w:r w:rsidRPr="002A4292">
        <w:rPr>
          <w:szCs w:val="22"/>
        </w:rPr>
        <w:t xml:space="preserve">some useful work was </w:t>
      </w:r>
      <w:r w:rsidR="00392BC1">
        <w:rPr>
          <w:szCs w:val="22"/>
        </w:rPr>
        <w:t>completed</w:t>
      </w:r>
      <w:r w:rsidR="00392BC1" w:rsidRPr="002A4292">
        <w:rPr>
          <w:szCs w:val="22"/>
        </w:rPr>
        <w:t xml:space="preserve"> </w:t>
      </w:r>
      <w:r w:rsidRPr="002A4292">
        <w:rPr>
          <w:szCs w:val="22"/>
        </w:rPr>
        <w:t xml:space="preserve">by </w:t>
      </w:r>
      <w:r w:rsidR="00392BC1">
        <w:rPr>
          <w:szCs w:val="22"/>
        </w:rPr>
        <w:t xml:space="preserve">the </w:t>
      </w:r>
      <w:r w:rsidRPr="002A4292">
        <w:rPr>
          <w:szCs w:val="22"/>
        </w:rPr>
        <w:t>Pacific Infrastructure Advisory Centre</w:t>
      </w:r>
      <w:r w:rsidR="00392BC1">
        <w:rPr>
          <w:szCs w:val="22"/>
        </w:rPr>
        <w:t xml:space="preserve">’s </w:t>
      </w:r>
      <w:r w:rsidRPr="002A4292">
        <w:rPr>
          <w:szCs w:val="22"/>
        </w:rPr>
        <w:t>energy specialist in 2012</w:t>
      </w:r>
      <w:r w:rsidR="0050775D">
        <w:rPr>
          <w:szCs w:val="22"/>
        </w:rPr>
        <w:t>–</w:t>
      </w:r>
      <w:r w:rsidRPr="002A4292">
        <w:rPr>
          <w:szCs w:val="22"/>
        </w:rPr>
        <w:t>13 with the Public Utilities Board to establish clear baseline data on South Tarawa grid</w:t>
      </w:r>
      <w:r w:rsidR="00392BC1">
        <w:rPr>
          <w:szCs w:val="22"/>
        </w:rPr>
        <w:t xml:space="preserve"> operations</w:t>
      </w:r>
      <w:r w:rsidR="0008688E">
        <w:rPr>
          <w:szCs w:val="22"/>
        </w:rPr>
        <w:t xml:space="preserve">. </w:t>
      </w:r>
      <w:r w:rsidRPr="002A4292">
        <w:rPr>
          <w:szCs w:val="22"/>
        </w:rPr>
        <w:t xml:space="preserve">This data will help assess the progress of this </w:t>
      </w:r>
      <w:r w:rsidR="00977182">
        <w:rPr>
          <w:szCs w:val="22"/>
        </w:rPr>
        <w:t>pro</w:t>
      </w:r>
      <w:r w:rsidR="00574320">
        <w:rPr>
          <w:szCs w:val="22"/>
        </w:rPr>
        <w:t>ject</w:t>
      </w:r>
      <w:r w:rsidR="00977182" w:rsidRPr="002A4292">
        <w:rPr>
          <w:szCs w:val="22"/>
        </w:rPr>
        <w:t xml:space="preserve"> </w:t>
      </w:r>
      <w:r w:rsidRPr="002A4292">
        <w:rPr>
          <w:szCs w:val="22"/>
        </w:rPr>
        <w:t xml:space="preserve">and other assistance to </w:t>
      </w:r>
      <w:r w:rsidR="00392BC1">
        <w:rPr>
          <w:szCs w:val="22"/>
        </w:rPr>
        <w:t xml:space="preserve">the </w:t>
      </w:r>
      <w:r w:rsidRPr="002A4292">
        <w:rPr>
          <w:szCs w:val="22"/>
        </w:rPr>
        <w:t xml:space="preserve">Public Utilities Board. </w:t>
      </w:r>
    </w:p>
    <w:p w:rsidR="00487809" w:rsidRPr="002A4292" w:rsidRDefault="00BE772E" w:rsidP="00FD1244">
      <w:pPr>
        <w:pStyle w:val="BodyText"/>
        <w:rPr>
          <w:i/>
          <w:szCs w:val="22"/>
        </w:rPr>
      </w:pPr>
      <w:r w:rsidRPr="002A4292">
        <w:rPr>
          <w:i/>
          <w:szCs w:val="22"/>
        </w:rPr>
        <w:t xml:space="preserve">Effectively coordination of </w:t>
      </w:r>
      <w:r w:rsidR="00487809" w:rsidRPr="002A4292">
        <w:rPr>
          <w:i/>
          <w:szCs w:val="22"/>
        </w:rPr>
        <w:t>infrastructure investments (off track)</w:t>
      </w:r>
    </w:p>
    <w:p w:rsidR="00DC16AF" w:rsidRPr="002A4292" w:rsidRDefault="00A15E49" w:rsidP="00FD1244">
      <w:pPr>
        <w:pStyle w:val="BodyText"/>
        <w:rPr>
          <w:szCs w:val="22"/>
        </w:rPr>
      </w:pPr>
      <w:r w:rsidRPr="002A4292">
        <w:rPr>
          <w:szCs w:val="22"/>
        </w:rPr>
        <w:t>Aus</w:t>
      </w:r>
      <w:r w:rsidR="005E7D29">
        <w:rPr>
          <w:szCs w:val="22"/>
        </w:rPr>
        <w:t>tralia</w:t>
      </w:r>
      <w:r w:rsidRPr="002A4292">
        <w:rPr>
          <w:szCs w:val="22"/>
        </w:rPr>
        <w:t xml:space="preserve">’s </w:t>
      </w:r>
      <w:r w:rsidR="003836C7" w:rsidRPr="002A4292">
        <w:rPr>
          <w:szCs w:val="22"/>
        </w:rPr>
        <w:t xml:space="preserve">infrastructure </w:t>
      </w:r>
      <w:r w:rsidR="00DC16AF" w:rsidRPr="002A4292">
        <w:rPr>
          <w:szCs w:val="22"/>
        </w:rPr>
        <w:t>investments are coordinated through the Pacific Region Infrastructure Facility</w:t>
      </w:r>
      <w:r w:rsidRPr="002A4292">
        <w:rPr>
          <w:szCs w:val="22"/>
        </w:rPr>
        <w:t>, which</w:t>
      </w:r>
      <w:r w:rsidR="00F2546B" w:rsidRPr="002A4292">
        <w:rPr>
          <w:szCs w:val="22"/>
        </w:rPr>
        <w:t xml:space="preserve"> operates</w:t>
      </w:r>
      <w:r w:rsidR="00DC16AF" w:rsidRPr="002A4292">
        <w:rPr>
          <w:szCs w:val="22"/>
        </w:rPr>
        <w:t xml:space="preserve"> at regional level to focus development partner support on the highest priority infrastructure </w:t>
      </w:r>
      <w:r w:rsidR="003836C7" w:rsidRPr="002A4292">
        <w:rPr>
          <w:szCs w:val="22"/>
        </w:rPr>
        <w:t>investments</w:t>
      </w:r>
      <w:r w:rsidR="00DC16AF" w:rsidRPr="002A4292">
        <w:rPr>
          <w:szCs w:val="22"/>
        </w:rPr>
        <w:t xml:space="preserve">, eliminate duplication between </w:t>
      </w:r>
      <w:r w:rsidRPr="002A4292">
        <w:rPr>
          <w:szCs w:val="22"/>
        </w:rPr>
        <w:t>donor</w:t>
      </w:r>
      <w:r w:rsidR="003836C7" w:rsidRPr="002A4292">
        <w:rPr>
          <w:szCs w:val="22"/>
        </w:rPr>
        <w:t xml:space="preserve"> programs and reduce</w:t>
      </w:r>
      <w:r w:rsidR="00DC16AF" w:rsidRPr="002A4292">
        <w:rPr>
          <w:szCs w:val="22"/>
        </w:rPr>
        <w:t xml:space="preserve"> the burden on Pacific island governments of dealing with multiple donor projects</w:t>
      </w:r>
      <w:r w:rsidR="0008688E">
        <w:rPr>
          <w:szCs w:val="22"/>
        </w:rPr>
        <w:t xml:space="preserve">. </w:t>
      </w:r>
      <w:r w:rsidR="00DC16AF" w:rsidRPr="002A4292">
        <w:rPr>
          <w:szCs w:val="22"/>
        </w:rPr>
        <w:t>However, coordinati</w:t>
      </w:r>
      <w:r w:rsidR="00BD044B">
        <w:rPr>
          <w:szCs w:val="22"/>
        </w:rPr>
        <w:t>ng</w:t>
      </w:r>
      <w:r w:rsidR="003836C7" w:rsidRPr="002A4292">
        <w:rPr>
          <w:szCs w:val="22"/>
        </w:rPr>
        <w:t xml:space="preserve"> infrastructure program implementation in Kiribati </w:t>
      </w:r>
      <w:r w:rsidR="00BD044B">
        <w:rPr>
          <w:szCs w:val="22"/>
        </w:rPr>
        <w:t>is</w:t>
      </w:r>
      <w:r w:rsidR="00BD044B" w:rsidRPr="002A4292">
        <w:rPr>
          <w:szCs w:val="22"/>
        </w:rPr>
        <w:t xml:space="preserve"> </w:t>
      </w:r>
      <w:r w:rsidR="002116EF" w:rsidRPr="002A4292">
        <w:rPr>
          <w:szCs w:val="22"/>
        </w:rPr>
        <w:t>not</w:t>
      </w:r>
      <w:r w:rsidR="00FA70D7" w:rsidRPr="002A4292">
        <w:rPr>
          <w:szCs w:val="22"/>
        </w:rPr>
        <w:t xml:space="preserve"> </w:t>
      </w:r>
      <w:r w:rsidR="000F2679" w:rsidRPr="002A4292">
        <w:rPr>
          <w:szCs w:val="22"/>
        </w:rPr>
        <w:t xml:space="preserve">yet </w:t>
      </w:r>
      <w:r w:rsidR="002116EF" w:rsidRPr="002A4292">
        <w:rPr>
          <w:szCs w:val="22"/>
        </w:rPr>
        <w:t>effective</w:t>
      </w:r>
      <w:r w:rsidR="0008688E">
        <w:rPr>
          <w:szCs w:val="22"/>
        </w:rPr>
        <w:t xml:space="preserve">. </w:t>
      </w:r>
    </w:p>
    <w:p w:rsidR="00777473" w:rsidRPr="002A4292" w:rsidRDefault="00977182" w:rsidP="00FD1244">
      <w:pPr>
        <w:pStyle w:val="BodyText"/>
      </w:pPr>
      <w:r>
        <w:t>T</w:t>
      </w:r>
      <w:r w:rsidR="002116EF" w:rsidRPr="002A4292">
        <w:t>he Government of Kiribati has established the National Infrastructure Development Steering Committee,</w:t>
      </w:r>
      <w:r>
        <w:t xml:space="preserve"> although</w:t>
      </w:r>
      <w:r w:rsidR="002116EF" w:rsidRPr="002A4292">
        <w:t xml:space="preserve"> it rarely meets and</w:t>
      </w:r>
      <w:r w:rsidR="00A15E49" w:rsidRPr="002A4292">
        <w:t xml:space="preserve"> does not have</w:t>
      </w:r>
      <w:r w:rsidR="002116EF" w:rsidRPr="002A4292">
        <w:t xml:space="preserve"> </w:t>
      </w:r>
      <w:r w:rsidR="00A15E49" w:rsidRPr="002A4292">
        <w:t>t</w:t>
      </w:r>
      <w:r w:rsidR="002116EF" w:rsidRPr="002A4292">
        <w:t xml:space="preserve">erms of </w:t>
      </w:r>
      <w:r w:rsidR="00A15E49" w:rsidRPr="002A4292">
        <w:t>r</w:t>
      </w:r>
      <w:r w:rsidR="002116EF" w:rsidRPr="002A4292">
        <w:t>eference</w:t>
      </w:r>
      <w:r w:rsidR="0008688E">
        <w:t xml:space="preserve">. </w:t>
      </w:r>
      <w:r w:rsidR="00777473" w:rsidRPr="002A4292">
        <w:t>In 2013</w:t>
      </w:r>
      <w:r w:rsidR="0050775D">
        <w:t>–</w:t>
      </w:r>
      <w:r w:rsidR="00777473" w:rsidRPr="002A4292">
        <w:t xml:space="preserve">14, </w:t>
      </w:r>
      <w:r w:rsidR="0007683F">
        <w:t xml:space="preserve">DFAT </w:t>
      </w:r>
      <w:r w:rsidR="00777473" w:rsidRPr="002A4292">
        <w:t xml:space="preserve">will </w:t>
      </w:r>
      <w:r w:rsidR="00FE2FD5" w:rsidRPr="002A4292">
        <w:t>work with</w:t>
      </w:r>
      <w:r w:rsidR="00777473" w:rsidRPr="002A4292">
        <w:t xml:space="preserve"> the </w:t>
      </w:r>
      <w:r w:rsidR="00392BC1">
        <w:t>g</w:t>
      </w:r>
      <w:r w:rsidR="002116EF" w:rsidRPr="002A4292">
        <w:t>overnment to</w:t>
      </w:r>
      <w:r w:rsidR="00777473" w:rsidRPr="002A4292">
        <w:t xml:space="preserve"> </w:t>
      </w:r>
      <w:r w:rsidR="00B05E7D" w:rsidRPr="002A4292">
        <w:t>strengthen</w:t>
      </w:r>
      <w:r>
        <w:t xml:space="preserve"> the c</w:t>
      </w:r>
      <w:r w:rsidR="00A15E49" w:rsidRPr="002A4292">
        <w:t>ommittee</w:t>
      </w:r>
      <w:r>
        <w:t>’s</w:t>
      </w:r>
      <w:r w:rsidR="00777473" w:rsidRPr="002A4292">
        <w:t xml:space="preserve"> effectiveness</w:t>
      </w:r>
      <w:r w:rsidR="0008688E">
        <w:t xml:space="preserve">. </w:t>
      </w:r>
      <w:r w:rsidR="000742D9" w:rsidRPr="002A4292">
        <w:t xml:space="preserve">Another priority </w:t>
      </w:r>
      <w:r w:rsidR="000742D9" w:rsidRPr="002A4292">
        <w:lastRenderedPageBreak/>
        <w:t>is</w:t>
      </w:r>
      <w:r w:rsidR="00932B83" w:rsidRPr="002A4292">
        <w:t xml:space="preserve"> to properly resource</w:t>
      </w:r>
      <w:r w:rsidR="00777473" w:rsidRPr="002A4292">
        <w:t xml:space="preserve"> the poorly-functioning Kiribati Fiduciary Services Unit</w:t>
      </w:r>
      <w:r w:rsidR="00392BC1">
        <w:t>,</w:t>
      </w:r>
      <w:r w:rsidR="00777473" w:rsidRPr="002A4292">
        <w:t xml:space="preserve"> established to </w:t>
      </w:r>
      <w:r w:rsidR="003836C7" w:rsidRPr="002A4292">
        <w:t xml:space="preserve">coordinate </w:t>
      </w:r>
      <w:r w:rsidR="00777473" w:rsidRPr="002A4292">
        <w:t>procurement and financial requirements for infrastructure projects funded by the banks</w:t>
      </w:r>
      <w:r w:rsidR="0008688E">
        <w:t>.</w:t>
      </w:r>
      <w:r w:rsidR="00EE4AB8">
        <w:t xml:space="preserve"> </w:t>
      </w:r>
      <w:r>
        <w:t>I</w:t>
      </w:r>
      <w:r w:rsidR="00B05E7D" w:rsidRPr="002A4292">
        <w:t>n 2012</w:t>
      </w:r>
      <w:r w:rsidR="0050775D">
        <w:t>–</w:t>
      </w:r>
      <w:r w:rsidR="00777473" w:rsidRPr="002A4292">
        <w:t>13,</w:t>
      </w:r>
      <w:r>
        <w:t xml:space="preserve"> however,</w:t>
      </w:r>
      <w:r w:rsidR="00777473" w:rsidRPr="002A4292">
        <w:t xml:space="preserve"> the unit was not fully staffed</w:t>
      </w:r>
      <w:r w:rsidR="00392BC1">
        <w:t>,</w:t>
      </w:r>
      <w:r w:rsidR="00777473" w:rsidRPr="002A4292">
        <w:t xml:space="preserve"> support for </w:t>
      </w:r>
      <w:r w:rsidR="00392BC1">
        <w:t>it</w:t>
      </w:r>
      <w:r w:rsidR="00777473" w:rsidRPr="002A4292">
        <w:t xml:space="preserve"> was intermittent (using a fly-in, fly-out model) and the size of the portfolio</w:t>
      </w:r>
      <w:r w:rsidR="00392BC1">
        <w:t xml:space="preserve"> was insufficient</w:t>
      </w:r>
      <w:r w:rsidR="0008688E">
        <w:t xml:space="preserve">. </w:t>
      </w:r>
      <w:r w:rsidR="00777473" w:rsidRPr="002A4292">
        <w:t>Th</w:t>
      </w:r>
      <w:r w:rsidR="0072299A" w:rsidRPr="002A4292">
        <w:t xml:space="preserve">e </w:t>
      </w:r>
      <w:r w:rsidR="000F2679" w:rsidRPr="002A4292">
        <w:t>under</w:t>
      </w:r>
      <w:r w:rsidR="00C5078F">
        <w:t>-</w:t>
      </w:r>
      <w:r w:rsidR="000F2679" w:rsidRPr="002A4292">
        <w:t>resourcing</w:t>
      </w:r>
      <w:r w:rsidR="0072299A" w:rsidRPr="002A4292">
        <w:t xml:space="preserve"> of th</w:t>
      </w:r>
      <w:r w:rsidR="00392BC1">
        <w:t>e</w:t>
      </w:r>
      <w:r w:rsidR="0072299A" w:rsidRPr="002A4292">
        <w:t xml:space="preserve"> unit contributed to </w:t>
      </w:r>
      <w:r w:rsidR="00777473" w:rsidRPr="002A4292">
        <w:t xml:space="preserve">delays </w:t>
      </w:r>
      <w:r w:rsidR="007965A0" w:rsidRPr="002A4292">
        <w:t xml:space="preserve">in </w:t>
      </w:r>
      <w:r w:rsidR="00777473" w:rsidRPr="002A4292">
        <w:t>infrastructure programs and need</w:t>
      </w:r>
      <w:r w:rsidR="00392BC1">
        <w:t>s</w:t>
      </w:r>
      <w:r w:rsidR="00777473" w:rsidRPr="002A4292">
        <w:t xml:space="preserve"> to </w:t>
      </w:r>
      <w:r w:rsidR="0072299A" w:rsidRPr="002A4292">
        <w:t xml:space="preserve">be </w:t>
      </w:r>
      <w:r w:rsidR="00777473" w:rsidRPr="002A4292">
        <w:t xml:space="preserve">redressed as a matter of priority. </w:t>
      </w:r>
    </w:p>
    <w:p w:rsidR="00B05E7D" w:rsidRPr="000759B9" w:rsidRDefault="00B05E7D" w:rsidP="000759B9">
      <w:pPr>
        <w:pStyle w:val="Heading3"/>
      </w:pPr>
      <w:r w:rsidRPr="000759B9">
        <w:t xml:space="preserve">Crosscutting issues </w:t>
      </w:r>
    </w:p>
    <w:p w:rsidR="00C63AA9" w:rsidRPr="002A4292" w:rsidRDefault="0007683F" w:rsidP="00FD1244">
      <w:pPr>
        <w:pStyle w:val="BodyText"/>
      </w:pPr>
      <w:r>
        <w:t>The Australian Government</w:t>
      </w:r>
      <w:r w:rsidR="00A15E49" w:rsidRPr="002A4292">
        <w:t>’s</w:t>
      </w:r>
      <w:r w:rsidR="00C63AA9" w:rsidRPr="002A4292">
        <w:t xml:space="preserve"> infrastructure investments have been designed to promote social safeguards</w:t>
      </w:r>
      <w:r w:rsidR="00702F88" w:rsidRPr="002A4292">
        <w:t xml:space="preserve">, </w:t>
      </w:r>
      <w:r w:rsidR="00C63AA9" w:rsidRPr="002A4292">
        <w:t>local employment</w:t>
      </w:r>
      <w:r w:rsidR="00702F88" w:rsidRPr="002A4292">
        <w:t xml:space="preserve"> and disability inclusive</w:t>
      </w:r>
      <w:r w:rsidR="00392BC1">
        <w:t>ness</w:t>
      </w:r>
      <w:r w:rsidR="0008688E">
        <w:t xml:space="preserve">. </w:t>
      </w:r>
      <w:r w:rsidR="00702F88" w:rsidRPr="002A4292">
        <w:t xml:space="preserve">For example, the Kiribati Road Rehabilitation Project </w:t>
      </w:r>
      <w:r w:rsidR="00392BC1">
        <w:t>was</w:t>
      </w:r>
      <w:r w:rsidR="00702F88" w:rsidRPr="002A4292">
        <w:t xml:space="preserve"> designed in accordance with</w:t>
      </w:r>
      <w:r w:rsidR="004628F9">
        <w:t xml:space="preserve"> </w:t>
      </w:r>
      <w:r>
        <w:t>th</w:t>
      </w:r>
      <w:r w:rsidR="004628F9">
        <w:t>e</w:t>
      </w:r>
      <w:r>
        <w:t xml:space="preserve"> Australian aid </w:t>
      </w:r>
      <w:r w:rsidR="005546C3">
        <w:t>program</w:t>
      </w:r>
      <w:r w:rsidR="00702F88" w:rsidRPr="002A4292">
        <w:t xml:space="preserve">’s </w:t>
      </w:r>
      <w:r w:rsidR="00392BC1">
        <w:t>u</w:t>
      </w:r>
      <w:r w:rsidR="00702F88" w:rsidRPr="002A4292">
        <w:t>niver</w:t>
      </w:r>
      <w:r w:rsidR="002D0D83" w:rsidRPr="002A4292">
        <w:t xml:space="preserve">sal </w:t>
      </w:r>
      <w:r w:rsidR="00392BC1">
        <w:t>a</w:t>
      </w:r>
      <w:r w:rsidR="002D0D83" w:rsidRPr="002A4292">
        <w:t xml:space="preserve">ccess </w:t>
      </w:r>
      <w:r w:rsidR="00392BC1">
        <w:t>g</w:t>
      </w:r>
      <w:r w:rsidR="002D0D83" w:rsidRPr="002A4292">
        <w:t>uidelines</w:t>
      </w:r>
      <w:r w:rsidR="00392BC1">
        <w:rPr>
          <w:rStyle w:val="FootnoteReference"/>
        </w:rPr>
        <w:footnoteReference w:id="41"/>
      </w:r>
      <w:r w:rsidR="002A7421" w:rsidRPr="002A4292">
        <w:t>, which</w:t>
      </w:r>
      <w:r w:rsidR="002D0D83" w:rsidRPr="002A4292">
        <w:t xml:space="preserve"> </w:t>
      </w:r>
      <w:r w:rsidR="00392BC1">
        <w:t>cover guidance for providing</w:t>
      </w:r>
      <w:r w:rsidR="00702F88" w:rsidRPr="002A4292">
        <w:t xml:space="preserve"> elevated bus shelters, segregat</w:t>
      </w:r>
      <w:r w:rsidR="00392BC1">
        <w:t>ing</w:t>
      </w:r>
      <w:r w:rsidR="00702F88" w:rsidRPr="002A4292">
        <w:t xml:space="preserve"> footpaths in appropriate areas</w:t>
      </w:r>
      <w:r w:rsidR="00392BC1">
        <w:t xml:space="preserve">, </w:t>
      </w:r>
      <w:r w:rsidR="00977182">
        <w:t xml:space="preserve">as well as </w:t>
      </w:r>
      <w:r w:rsidR="00392BC1">
        <w:t>installing</w:t>
      </w:r>
      <w:r w:rsidR="00702F88" w:rsidRPr="002A4292">
        <w:t xml:space="preserve"> road side kerbing and crossings</w:t>
      </w:r>
      <w:r w:rsidR="0008688E">
        <w:t xml:space="preserve">. </w:t>
      </w:r>
      <w:r w:rsidR="00456757" w:rsidRPr="002A4292">
        <w:t>M</w:t>
      </w:r>
      <w:r w:rsidR="0072299A" w:rsidRPr="002A4292">
        <w:t xml:space="preserve">easures are being </w:t>
      </w:r>
      <w:r w:rsidR="00456757" w:rsidRPr="002A4292">
        <w:t xml:space="preserve">implemented to </w:t>
      </w:r>
      <w:proofErr w:type="gramStart"/>
      <w:r w:rsidR="00456757" w:rsidRPr="002A4292">
        <w:t>mitigate</w:t>
      </w:r>
      <w:proofErr w:type="gramEnd"/>
      <w:r w:rsidR="00456757" w:rsidRPr="002A4292">
        <w:t xml:space="preserve"> against a number of </w:t>
      </w:r>
      <w:r w:rsidR="00977182">
        <w:t xml:space="preserve">the project’s </w:t>
      </w:r>
      <w:r w:rsidR="00456757" w:rsidRPr="002A4292">
        <w:t>potentially adverse social impacts</w:t>
      </w:r>
      <w:r w:rsidR="002D0D83" w:rsidRPr="002A4292">
        <w:t xml:space="preserve">, including </w:t>
      </w:r>
      <w:r w:rsidR="007D2062">
        <w:t xml:space="preserve">those affecting </w:t>
      </w:r>
      <w:r w:rsidR="002A7421" w:rsidRPr="002A4292">
        <w:t>the livelihoods of</w:t>
      </w:r>
      <w:r w:rsidR="00263E83" w:rsidRPr="002A4292">
        <w:t xml:space="preserve"> i-Kiribati</w:t>
      </w:r>
      <w:r w:rsidR="002D0D83" w:rsidRPr="002A4292">
        <w:t xml:space="preserve"> </w:t>
      </w:r>
      <w:r w:rsidR="0072299A" w:rsidRPr="002A4292">
        <w:t xml:space="preserve">families </w:t>
      </w:r>
      <w:r w:rsidR="002D0D83" w:rsidRPr="002A4292">
        <w:t xml:space="preserve">who </w:t>
      </w:r>
      <w:r w:rsidR="0072299A" w:rsidRPr="002A4292">
        <w:t>rel</w:t>
      </w:r>
      <w:r w:rsidR="002D0D83" w:rsidRPr="002A4292">
        <w:t>y on the</w:t>
      </w:r>
      <w:r w:rsidR="0072299A" w:rsidRPr="002A4292">
        <w:t xml:space="preserve"> beach mining of coral aggregates used in construction</w:t>
      </w:r>
      <w:r w:rsidR="0008688E">
        <w:t xml:space="preserve">. </w:t>
      </w:r>
      <w:r w:rsidR="002D0D83" w:rsidRPr="002A4292">
        <w:t>A</w:t>
      </w:r>
      <w:r w:rsidR="0072299A" w:rsidRPr="002A4292">
        <w:t>ctivities</w:t>
      </w:r>
      <w:r w:rsidR="002D0D83" w:rsidRPr="002A4292">
        <w:t xml:space="preserve"> </w:t>
      </w:r>
      <w:r w:rsidR="00456757" w:rsidRPr="002A4292">
        <w:t>have been planned</w:t>
      </w:r>
      <w:r w:rsidR="0072299A" w:rsidRPr="002A4292">
        <w:t xml:space="preserve"> to minimise</w:t>
      </w:r>
      <w:r w:rsidR="002D0D83" w:rsidRPr="002A4292">
        <w:t xml:space="preserve"> </w:t>
      </w:r>
      <w:r w:rsidR="0072299A" w:rsidRPr="002A4292">
        <w:t>income loss</w:t>
      </w:r>
      <w:r w:rsidR="007D2062">
        <w:t xml:space="preserve"> by</w:t>
      </w:r>
      <w:r w:rsidR="0072299A" w:rsidRPr="002A4292">
        <w:t xml:space="preserve"> s</w:t>
      </w:r>
      <w:r w:rsidR="00456757" w:rsidRPr="002A4292">
        <w:t xml:space="preserve">ourcing aggregates for </w:t>
      </w:r>
      <w:r w:rsidR="002D0D83" w:rsidRPr="002A4292">
        <w:t xml:space="preserve">the project </w:t>
      </w:r>
      <w:r w:rsidR="0072299A" w:rsidRPr="002A4292">
        <w:t xml:space="preserve">through sea </w:t>
      </w:r>
      <w:r w:rsidR="00456757" w:rsidRPr="002A4292">
        <w:t>dredg</w:t>
      </w:r>
      <w:r w:rsidR="0072299A" w:rsidRPr="002A4292">
        <w:t>ing</w:t>
      </w:r>
      <w:r w:rsidR="0008688E">
        <w:t xml:space="preserve">. </w:t>
      </w:r>
    </w:p>
    <w:p w:rsidR="00004B03" w:rsidRPr="002A4292" w:rsidRDefault="007F4BF9" w:rsidP="00FD1244">
      <w:pPr>
        <w:pStyle w:val="BodyText"/>
      </w:pPr>
      <w:r w:rsidRPr="002A4292">
        <w:t>Women in Kiribati shoulder m</w:t>
      </w:r>
      <w:r w:rsidR="00392BC1">
        <w:t>ost</w:t>
      </w:r>
      <w:r w:rsidRPr="002A4292">
        <w:t xml:space="preserve"> home care responsibilities and their roles as caregivers, nurturers and providers for the family means they are particularly affected by the availability of water and sanitation, and access to health, </w:t>
      </w:r>
      <w:r w:rsidR="0030704A">
        <w:t>information and communications technology</w:t>
      </w:r>
      <w:r w:rsidR="0030704A" w:rsidRPr="002A4292">
        <w:t xml:space="preserve"> </w:t>
      </w:r>
      <w:r w:rsidRPr="002A4292">
        <w:t>and energy services</w:t>
      </w:r>
      <w:r w:rsidR="0008688E">
        <w:t xml:space="preserve">. </w:t>
      </w:r>
      <w:r w:rsidRPr="002A4292">
        <w:t xml:space="preserve">Improving access </w:t>
      </w:r>
      <w:r w:rsidR="0030704A">
        <w:t>in these areas will</w:t>
      </w:r>
      <w:r w:rsidRPr="002A4292">
        <w:t xml:space="preserve"> benefit women</w:t>
      </w:r>
      <w:r w:rsidR="0030704A">
        <w:t xml:space="preserve"> and help them</w:t>
      </w:r>
      <w:r w:rsidRPr="002A4292">
        <w:t xml:space="preserve"> access markets a</w:t>
      </w:r>
      <w:r w:rsidR="007D2062">
        <w:t>s well as</w:t>
      </w:r>
      <w:r w:rsidRPr="002A4292">
        <w:t xml:space="preserve"> health and </w:t>
      </w:r>
      <w:r w:rsidR="0030704A">
        <w:t xml:space="preserve">other </w:t>
      </w:r>
      <w:r w:rsidRPr="002A4292">
        <w:t>services</w:t>
      </w:r>
      <w:r w:rsidR="0008688E">
        <w:t xml:space="preserve">. </w:t>
      </w:r>
      <w:r w:rsidR="0007683F">
        <w:t xml:space="preserve">DFAT </w:t>
      </w:r>
      <w:r w:rsidRPr="002A4292">
        <w:t>will collect data on the number of women benefit</w:t>
      </w:r>
      <w:r w:rsidR="0030704A">
        <w:t>ing</w:t>
      </w:r>
      <w:r w:rsidRPr="002A4292">
        <w:t xml:space="preserve"> from improved infrastructure </w:t>
      </w:r>
      <w:proofErr w:type="gramStart"/>
      <w:r w:rsidRPr="002A4292">
        <w:t>services,</w:t>
      </w:r>
      <w:proofErr w:type="gramEnd"/>
      <w:r w:rsidRPr="002A4292">
        <w:t xml:space="preserve"> however, it is too early to assess the impact of investment yet. </w:t>
      </w:r>
    </w:p>
    <w:p w:rsidR="00695E6D" w:rsidRPr="00BB79E6" w:rsidRDefault="00695E6D" w:rsidP="00BB79E6">
      <w:pPr>
        <w:pStyle w:val="Heading2"/>
      </w:pPr>
      <w:r w:rsidRPr="00BB79E6">
        <w:t xml:space="preserve">Support for other sectors </w:t>
      </w:r>
    </w:p>
    <w:p w:rsidR="00695E6D" w:rsidRPr="002A4292" w:rsidRDefault="00695E6D" w:rsidP="00BB79E6">
      <w:pPr>
        <w:pStyle w:val="Heading3"/>
      </w:pPr>
      <w:r w:rsidRPr="002A4292">
        <w:t xml:space="preserve">Climate </w:t>
      </w:r>
      <w:r w:rsidR="0050775D">
        <w:t>c</w:t>
      </w:r>
      <w:r w:rsidRPr="002A4292">
        <w:t xml:space="preserve">hange </w:t>
      </w:r>
    </w:p>
    <w:p w:rsidR="00695E6D" w:rsidRPr="002A4292" w:rsidRDefault="00695E6D" w:rsidP="00BB79E6">
      <w:pPr>
        <w:pStyle w:val="BodyText"/>
      </w:pPr>
      <w:r w:rsidRPr="002A4292">
        <w:t xml:space="preserve">Australia provides assistance to Kiribati to adapt to the impacts of climate change through the Kiribati </w:t>
      </w:r>
      <w:r w:rsidR="002A7421" w:rsidRPr="002A4292">
        <w:t>Adaptation Program</w:t>
      </w:r>
      <w:r w:rsidR="007D2062">
        <w:t xml:space="preserve"> led by the World Bank</w:t>
      </w:r>
      <w:r w:rsidR="0008688E">
        <w:t xml:space="preserve">. </w:t>
      </w:r>
      <w:r w:rsidR="002A7421" w:rsidRPr="002A4292">
        <w:t>In 2012, Aus</w:t>
      </w:r>
      <w:r w:rsidR="00360C40">
        <w:t>tralia</w:t>
      </w:r>
      <w:r w:rsidRPr="002A4292">
        <w:t xml:space="preserve"> invested $5.1 million in the</w:t>
      </w:r>
      <w:r w:rsidR="009B5AA4">
        <w:t xml:space="preserve"> program’s</w:t>
      </w:r>
      <w:r w:rsidRPr="002A4292">
        <w:t xml:space="preserve"> third phase</w:t>
      </w:r>
      <w:r w:rsidR="0008688E">
        <w:t xml:space="preserve">. </w:t>
      </w:r>
      <w:r w:rsidRPr="002A4292">
        <w:t xml:space="preserve">Previous phases </w:t>
      </w:r>
      <w:r w:rsidR="007D2062">
        <w:t>were</w:t>
      </w:r>
      <w:r w:rsidR="007D2062" w:rsidRPr="002A4292">
        <w:t xml:space="preserve"> </w:t>
      </w:r>
      <w:r w:rsidRPr="002A4292">
        <w:t>not entirely successful in achieving stated outcomes</w:t>
      </w:r>
      <w:r w:rsidR="0008688E">
        <w:t xml:space="preserve">. </w:t>
      </w:r>
      <w:r w:rsidRPr="002A4292">
        <w:t xml:space="preserve">However, </w:t>
      </w:r>
      <w:r w:rsidR="0007683F">
        <w:t xml:space="preserve">the Australian Government </w:t>
      </w:r>
      <w:r w:rsidR="00360C40">
        <w:t xml:space="preserve">was </w:t>
      </w:r>
      <w:r w:rsidRPr="002A4292">
        <w:t xml:space="preserve">satisfied that key lessons </w:t>
      </w:r>
      <w:r w:rsidR="007D2062">
        <w:t xml:space="preserve">were </w:t>
      </w:r>
      <w:r w:rsidR="009B5AA4">
        <w:t xml:space="preserve">learned </w:t>
      </w:r>
      <w:r w:rsidR="007D2062">
        <w:t>and are</w:t>
      </w:r>
      <w:r w:rsidR="007D2062" w:rsidRPr="002A4292">
        <w:t xml:space="preserve"> </w:t>
      </w:r>
      <w:r w:rsidRPr="002A4292">
        <w:t xml:space="preserve">incorporated into </w:t>
      </w:r>
      <w:r w:rsidR="00360C40">
        <w:t>the</w:t>
      </w:r>
      <w:r w:rsidR="009B5AA4" w:rsidRPr="002A4292">
        <w:t xml:space="preserve"> </w:t>
      </w:r>
      <w:r w:rsidRPr="002A4292">
        <w:t>design</w:t>
      </w:r>
      <w:r w:rsidR="00360C40">
        <w:t xml:space="preserve"> of the third phase</w:t>
      </w:r>
      <w:r w:rsidR="009B5AA4">
        <w:t>—s</w:t>
      </w:r>
      <w:r w:rsidR="0021438F" w:rsidRPr="002A4292">
        <w:t>pecifically, increased engagement and ownership of the program by the Office of the President, as well</w:t>
      </w:r>
      <w:r w:rsidR="007D2062">
        <w:t xml:space="preserve"> the</w:t>
      </w:r>
      <w:r w:rsidR="0021438F" w:rsidRPr="002A4292">
        <w:t xml:space="preserve"> provision of additional external advisers to </w:t>
      </w:r>
      <w:r w:rsidR="003E6B89" w:rsidRPr="002A4292">
        <w:t xml:space="preserve">improve </w:t>
      </w:r>
      <w:r w:rsidR="00360C40">
        <w:t xml:space="preserve">the government’s </w:t>
      </w:r>
      <w:r w:rsidR="0021438F" w:rsidRPr="002A4292">
        <w:t>capacity</w:t>
      </w:r>
      <w:r w:rsidR="0008688E">
        <w:t xml:space="preserve">. </w:t>
      </w:r>
      <w:r w:rsidRPr="002A4292">
        <w:t xml:space="preserve">The program is linked to assistance </w:t>
      </w:r>
      <w:r w:rsidR="00360C40">
        <w:t>Australia</w:t>
      </w:r>
      <w:r w:rsidR="002A7421" w:rsidRPr="002A4292">
        <w:t xml:space="preserve"> provid</w:t>
      </w:r>
      <w:r w:rsidR="009B5AA4">
        <w:t>es</w:t>
      </w:r>
      <w:r w:rsidR="002A7421" w:rsidRPr="002A4292">
        <w:t xml:space="preserve"> to </w:t>
      </w:r>
      <w:r w:rsidRPr="002A4292">
        <w:t>Kiribati</w:t>
      </w:r>
      <w:r w:rsidR="002A7421" w:rsidRPr="002A4292">
        <w:t>’s</w:t>
      </w:r>
      <w:r w:rsidRPr="002A4292">
        <w:t xml:space="preserve"> water and sanitation sector</w:t>
      </w:r>
      <w:r w:rsidR="00FC4623">
        <w:t>. I</w:t>
      </w:r>
      <w:r w:rsidRPr="002A4292">
        <w:t>n 2012</w:t>
      </w:r>
      <w:r w:rsidR="0050775D">
        <w:t>–</w:t>
      </w:r>
      <w:r w:rsidRPr="002A4292">
        <w:t xml:space="preserve">13, </w:t>
      </w:r>
      <w:r w:rsidR="00360C40">
        <w:t xml:space="preserve">Australia </w:t>
      </w:r>
      <w:r w:rsidRPr="002A4292">
        <w:t>funding was used to map water network assets and complete design and procurement documents fo</w:t>
      </w:r>
      <w:r w:rsidR="002A7421" w:rsidRPr="002A4292">
        <w:t>r improvements to the distribution</w:t>
      </w:r>
      <w:r w:rsidRPr="002A4292">
        <w:t xml:space="preserve"> system</w:t>
      </w:r>
      <w:r w:rsidR="0008688E">
        <w:t xml:space="preserve">. </w:t>
      </w:r>
      <w:r w:rsidRPr="002A4292">
        <w:t xml:space="preserve">However, procurement was delayed by </w:t>
      </w:r>
      <w:r w:rsidR="002A7421" w:rsidRPr="002A4292">
        <w:t xml:space="preserve">capacity weakness in the </w:t>
      </w:r>
      <w:r w:rsidRPr="002A4292">
        <w:t>Kiribati Fiduciary Services Unit</w:t>
      </w:r>
      <w:r w:rsidR="0008688E">
        <w:t xml:space="preserve">. </w:t>
      </w:r>
      <w:r w:rsidR="0007683F">
        <w:t xml:space="preserve">DFAT </w:t>
      </w:r>
      <w:r w:rsidRPr="002A4292">
        <w:t>will continue to monitor th</w:t>
      </w:r>
      <w:r w:rsidR="00FC4623">
        <w:t>e</w:t>
      </w:r>
      <w:r w:rsidRPr="002A4292">
        <w:t xml:space="preserve"> program carefully to ensure the World Bank delivers visible outcomes and maintains realistic expectations about the Government of Kiribati’s capacity.</w:t>
      </w:r>
    </w:p>
    <w:p w:rsidR="00695E6D" w:rsidRPr="002A4292" w:rsidRDefault="00695E6D" w:rsidP="00BB79E6">
      <w:pPr>
        <w:pStyle w:val="BodyText"/>
      </w:pPr>
      <w:r w:rsidRPr="002A4292">
        <w:t>In 2012</w:t>
      </w:r>
      <w:r w:rsidR="0050775D">
        <w:t>–</w:t>
      </w:r>
      <w:r w:rsidR="005E7D29">
        <w:t>13</w:t>
      </w:r>
      <w:r w:rsidR="004F60BA">
        <w:t>,</w:t>
      </w:r>
      <w:r w:rsidR="004F60BA" w:rsidRPr="002A4292">
        <w:t xml:space="preserve"> </w:t>
      </w:r>
      <w:r w:rsidR="00360C40">
        <w:t xml:space="preserve">Australia’s </w:t>
      </w:r>
      <w:r w:rsidRPr="002A4292">
        <w:t>climate change adaption funding also supported</w:t>
      </w:r>
      <w:r w:rsidR="004F60BA">
        <w:t xml:space="preserve"> the</w:t>
      </w:r>
      <w:r w:rsidR="007D2062">
        <w:t>:</w:t>
      </w:r>
    </w:p>
    <w:p w:rsidR="00695E6D" w:rsidRPr="002A4292" w:rsidRDefault="00695E6D" w:rsidP="00BB79E6">
      <w:pPr>
        <w:pStyle w:val="ListBullet"/>
      </w:pPr>
      <w:r w:rsidRPr="002A4292">
        <w:lastRenderedPageBreak/>
        <w:t>Kiribati Meteorological Service to extend its capacity in essential meteorological and climate servic</w:t>
      </w:r>
      <w:r w:rsidR="002A7421" w:rsidRPr="002A4292">
        <w:t>es</w:t>
      </w:r>
      <w:r w:rsidR="00D23312">
        <w:t xml:space="preserve"> </w:t>
      </w:r>
    </w:p>
    <w:p w:rsidR="00695E6D" w:rsidRPr="002A4292" w:rsidRDefault="00C5078F" w:rsidP="00BB79E6">
      <w:pPr>
        <w:pStyle w:val="ListBullet"/>
      </w:pPr>
      <w:r w:rsidRPr="002A4292">
        <w:t>Kiribati Climate Action Network</w:t>
      </w:r>
      <w:r w:rsidRPr="002A4292" w:rsidDel="004F60BA">
        <w:t xml:space="preserve"> </w:t>
      </w:r>
      <w:r>
        <w:t xml:space="preserve">to </w:t>
      </w:r>
      <w:r w:rsidR="00695E6D" w:rsidRPr="002A4292">
        <w:t>implement a food security project to deliver low</w:t>
      </w:r>
      <w:r>
        <w:t>-</w:t>
      </w:r>
      <w:r w:rsidR="00695E6D" w:rsidRPr="002A4292">
        <w:t>cost and community</w:t>
      </w:r>
      <w:r w:rsidR="00FC4623">
        <w:t>-</w:t>
      </w:r>
      <w:r w:rsidR="00695E6D" w:rsidRPr="002A4292">
        <w:t xml:space="preserve">based adaptation practices based on innovative farm technologies. </w:t>
      </w:r>
    </w:p>
    <w:p w:rsidR="00695E6D" w:rsidRPr="002A4292" w:rsidRDefault="002A7421" w:rsidP="00BB79E6">
      <w:pPr>
        <w:pStyle w:val="BodyText"/>
      </w:pPr>
      <w:r w:rsidRPr="002A4292">
        <w:t>At</w:t>
      </w:r>
      <w:r w:rsidR="007D2062">
        <w:t xml:space="preserve"> the</w:t>
      </w:r>
      <w:r w:rsidR="00695E6D" w:rsidRPr="002A4292">
        <w:t xml:space="preserve"> </w:t>
      </w:r>
      <w:r w:rsidR="0050775D">
        <w:t>p</w:t>
      </w:r>
      <w:r w:rsidR="00695E6D" w:rsidRPr="002A4292">
        <w:t xml:space="preserve">artnership </w:t>
      </w:r>
      <w:r w:rsidR="0050775D">
        <w:t>t</w:t>
      </w:r>
      <w:r w:rsidR="00695E6D" w:rsidRPr="002A4292">
        <w:t>alks</w:t>
      </w:r>
      <w:r w:rsidR="007D2062">
        <w:t xml:space="preserve"> held</w:t>
      </w:r>
      <w:r w:rsidR="00695E6D" w:rsidRPr="002A4292">
        <w:t xml:space="preserve"> in September 2012 </w:t>
      </w:r>
      <w:r w:rsidRPr="002A4292">
        <w:t>Aus</w:t>
      </w:r>
      <w:r w:rsidR="005E7D29">
        <w:t xml:space="preserve">tralia </w:t>
      </w:r>
      <w:r w:rsidRPr="002A4292">
        <w:t xml:space="preserve">urged </w:t>
      </w:r>
      <w:r w:rsidR="00695E6D" w:rsidRPr="002A4292">
        <w:t>the Government of K</w:t>
      </w:r>
      <w:r w:rsidR="00726654" w:rsidRPr="002A4292">
        <w:t xml:space="preserve">iribati </w:t>
      </w:r>
      <w:r w:rsidR="00695E6D" w:rsidRPr="002A4292">
        <w:t xml:space="preserve">to </w:t>
      </w:r>
      <w:r w:rsidR="00726654" w:rsidRPr="002A4292">
        <w:t>endorse its draft</w:t>
      </w:r>
      <w:r w:rsidR="00695E6D" w:rsidRPr="002A4292">
        <w:t xml:space="preserve"> climate change policy framework</w:t>
      </w:r>
      <w:r w:rsidR="00726654" w:rsidRPr="002A4292">
        <w:t>, which it did</w:t>
      </w:r>
      <w:r w:rsidR="00695E6D" w:rsidRPr="002A4292">
        <w:t xml:space="preserve"> in January 2013</w:t>
      </w:r>
      <w:r w:rsidR="0008688E">
        <w:t xml:space="preserve">. </w:t>
      </w:r>
      <w:r w:rsidR="00695E6D" w:rsidRPr="002A4292">
        <w:t>The</w:t>
      </w:r>
      <w:r w:rsidR="00E967BA">
        <w:t xml:space="preserve"> g</w:t>
      </w:r>
      <w:r w:rsidR="00695E6D" w:rsidRPr="002A4292">
        <w:t xml:space="preserve">overnment is also receiving support from the Secretariat of the Pacific Community, Secretariat of the Pacific Regional Environment Programme and United Nations Development Programme to finalise </w:t>
      </w:r>
      <w:r w:rsidR="007D2062">
        <w:t>the</w:t>
      </w:r>
      <w:r w:rsidR="007D2062" w:rsidRPr="002A4292">
        <w:t xml:space="preserve"> </w:t>
      </w:r>
      <w:r w:rsidR="00695E6D" w:rsidRPr="002A4292">
        <w:t>Joint National Action Plan on Climate Change and Disaster Risk Reduction</w:t>
      </w:r>
      <w:r w:rsidR="0008688E">
        <w:t xml:space="preserve">. </w:t>
      </w:r>
      <w:r w:rsidR="00695E6D" w:rsidRPr="002A4292">
        <w:t xml:space="preserve">This work will guide and coordinate climate change adaptation activities. </w:t>
      </w:r>
    </w:p>
    <w:p w:rsidR="00695E6D" w:rsidRPr="002A4292" w:rsidRDefault="00695E6D" w:rsidP="00BB79E6">
      <w:pPr>
        <w:pStyle w:val="Heading3"/>
      </w:pPr>
      <w:r w:rsidRPr="002A4292">
        <w:t>Health</w:t>
      </w:r>
    </w:p>
    <w:p w:rsidR="00695E6D" w:rsidRPr="002A4292" w:rsidRDefault="00695E6D" w:rsidP="00BB79E6">
      <w:pPr>
        <w:pStyle w:val="BodyText"/>
        <w:rPr>
          <w:szCs w:val="22"/>
        </w:rPr>
      </w:pPr>
      <w:r w:rsidRPr="00BB79E6">
        <w:rPr>
          <w:rFonts w:eastAsia="SimSun"/>
        </w:rPr>
        <w:t>In addition to the South Tarawa Sanitation Improvement Sector Program</w:t>
      </w:r>
      <w:r w:rsidR="00726654" w:rsidRPr="00BB79E6">
        <w:rPr>
          <w:rFonts w:eastAsia="SimSun"/>
        </w:rPr>
        <w:t>,</w:t>
      </w:r>
      <w:r w:rsidRPr="00BB79E6">
        <w:rPr>
          <w:rFonts w:eastAsia="SimSun"/>
        </w:rPr>
        <w:t xml:space="preserve"> which will save lives by improving access to better sanitation services,</w:t>
      </w:r>
      <w:r w:rsidR="00726654" w:rsidRPr="00BB79E6">
        <w:rPr>
          <w:rFonts w:eastAsia="SimSun"/>
        </w:rPr>
        <w:t xml:space="preserve"> Australia</w:t>
      </w:r>
      <w:r w:rsidRPr="00BB79E6">
        <w:rPr>
          <w:rFonts w:eastAsia="SimSun"/>
        </w:rPr>
        <w:t xml:space="preserve"> supports other programs to improve</w:t>
      </w:r>
      <w:r w:rsidRPr="002A4292">
        <w:rPr>
          <w:szCs w:val="22"/>
        </w:rPr>
        <w:t xml:space="preserve"> health in Kiribati</w:t>
      </w:r>
      <w:r w:rsidR="0008688E">
        <w:rPr>
          <w:szCs w:val="22"/>
        </w:rPr>
        <w:t xml:space="preserve">. </w:t>
      </w:r>
      <w:r w:rsidRPr="002A4292">
        <w:rPr>
          <w:szCs w:val="22"/>
        </w:rPr>
        <w:t>In 2012</w:t>
      </w:r>
      <w:r w:rsidR="0050775D">
        <w:rPr>
          <w:szCs w:val="22"/>
        </w:rPr>
        <w:t>–</w:t>
      </w:r>
      <w:r w:rsidRPr="002A4292">
        <w:rPr>
          <w:szCs w:val="22"/>
        </w:rPr>
        <w:t>13, progress</w:t>
      </w:r>
      <w:r w:rsidR="007D2062">
        <w:rPr>
          <w:szCs w:val="22"/>
        </w:rPr>
        <w:t xml:space="preserve"> in this area</w:t>
      </w:r>
      <w:r w:rsidRPr="002A4292">
        <w:rPr>
          <w:szCs w:val="22"/>
        </w:rPr>
        <w:t xml:space="preserve"> </w:t>
      </w:r>
      <w:r w:rsidR="00BD044B">
        <w:rPr>
          <w:szCs w:val="22"/>
        </w:rPr>
        <w:t>included</w:t>
      </w:r>
      <w:r w:rsidRPr="002A4292">
        <w:rPr>
          <w:szCs w:val="22"/>
        </w:rPr>
        <w:t xml:space="preserve">: </w:t>
      </w:r>
    </w:p>
    <w:p w:rsidR="00BD044B" w:rsidRDefault="00BD044B" w:rsidP="00BB79E6">
      <w:pPr>
        <w:pStyle w:val="ListBullet"/>
      </w:pPr>
      <w:r>
        <w:t>Drafting a</w:t>
      </w:r>
      <w:r w:rsidR="009253B2" w:rsidRPr="002A4292">
        <w:t xml:space="preserve">rchitectural plans </w:t>
      </w:r>
      <w:r>
        <w:t>to</w:t>
      </w:r>
      <w:r w:rsidR="00695E6D" w:rsidRPr="002A4292">
        <w:t xml:space="preserve"> refurbish facilities at the Kiribati School of Nursing</w:t>
      </w:r>
      <w:r w:rsidR="0008688E">
        <w:t xml:space="preserve">. </w:t>
      </w:r>
    </w:p>
    <w:p w:rsidR="00695E6D" w:rsidRPr="002A4292" w:rsidRDefault="000759B9" w:rsidP="00BB79E6">
      <w:pPr>
        <w:pStyle w:val="ListBullet"/>
      </w:pPr>
      <w:r>
        <w:t>Deciding to commence</w:t>
      </w:r>
      <w:r w:rsidR="00E36601">
        <w:t xml:space="preserve">, in early 2014, a detailed design to support the School of Nursing, to </w:t>
      </w:r>
      <w:r w:rsidR="00695E6D" w:rsidRPr="002A4292">
        <w:t>improve the quality of teaching and learning for nurses</w:t>
      </w:r>
      <w:r w:rsidR="00922036">
        <w:t xml:space="preserve">. This work </w:t>
      </w:r>
      <w:r w:rsidR="00695E6D" w:rsidRPr="002A4292">
        <w:t>stalled</w:t>
      </w:r>
      <w:r w:rsidR="00922036">
        <w:t xml:space="preserve"> in 2012 when the </w:t>
      </w:r>
      <w:r w:rsidR="00217EDF" w:rsidRPr="002A4292">
        <w:t>World Health Organi</w:t>
      </w:r>
      <w:r w:rsidR="00E36601">
        <w:t>z</w:t>
      </w:r>
      <w:r w:rsidR="00217EDF" w:rsidRPr="002A4292">
        <w:t>ation</w:t>
      </w:r>
      <w:r w:rsidR="00922036">
        <w:t xml:space="preserve"> withdre</w:t>
      </w:r>
      <w:r w:rsidR="00726654" w:rsidRPr="002A4292">
        <w:t xml:space="preserve">w from </w:t>
      </w:r>
      <w:r w:rsidR="00695E6D" w:rsidRPr="002A4292">
        <w:t>the program</w:t>
      </w:r>
      <w:r w:rsidR="0008688E">
        <w:t xml:space="preserve">. </w:t>
      </w:r>
    </w:p>
    <w:p w:rsidR="00695E6D" w:rsidRPr="002A4292" w:rsidRDefault="000759B9" w:rsidP="00BB79E6">
      <w:pPr>
        <w:pStyle w:val="ListBullet"/>
      </w:pPr>
      <w:r>
        <w:t xml:space="preserve">Commencing </w:t>
      </w:r>
      <w:r w:rsidR="00E36601">
        <w:t>t</w:t>
      </w:r>
      <w:r w:rsidR="00695E6D" w:rsidRPr="002A4292">
        <w:t xml:space="preserve">he third phase of AusAID funding </w:t>
      </w:r>
      <w:r w:rsidR="00E36601">
        <w:t>(</w:t>
      </w:r>
      <w:r w:rsidR="00695E6D" w:rsidRPr="002A4292">
        <w:t>October 2012</w:t>
      </w:r>
      <w:r w:rsidR="00E36601">
        <w:t>)</w:t>
      </w:r>
      <w:r w:rsidR="00695E6D" w:rsidRPr="002A4292">
        <w:t xml:space="preserve"> to support the Secretariat of the Pacific Community</w:t>
      </w:r>
      <w:r w:rsidR="00074267" w:rsidRPr="002A4292">
        <w:t>’s</w:t>
      </w:r>
      <w:r w:rsidR="00217EDF" w:rsidRPr="002A4292">
        <w:t xml:space="preserve"> work</w:t>
      </w:r>
      <w:r w:rsidR="00695E6D" w:rsidRPr="002A4292">
        <w:t xml:space="preserve"> i</w:t>
      </w:r>
      <w:r w:rsidR="00217EDF" w:rsidRPr="002A4292">
        <w:t>n eliminating tuberculosis</w:t>
      </w:r>
      <w:r w:rsidR="00695E6D" w:rsidRPr="002A4292">
        <w:t xml:space="preserve"> through early case detection, effective treatment programs and provision of equitab</w:t>
      </w:r>
      <w:r w:rsidR="00217EDF" w:rsidRPr="002A4292">
        <w:t>le and accessible tuberculosis</w:t>
      </w:r>
      <w:r w:rsidR="00695E6D" w:rsidRPr="002A4292">
        <w:t xml:space="preserve"> services to the community, especially the isolated and the poor</w:t>
      </w:r>
      <w:r w:rsidR="00A70C52">
        <w:t>.</w:t>
      </w:r>
      <w:r w:rsidR="00D23312">
        <w:t xml:space="preserve"> </w:t>
      </w:r>
    </w:p>
    <w:p w:rsidR="00695E6D" w:rsidRPr="002A4292" w:rsidRDefault="00695E6D" w:rsidP="00BB79E6">
      <w:pPr>
        <w:pStyle w:val="ListBullet"/>
      </w:pPr>
      <w:r w:rsidRPr="002A4292">
        <w:t>Constructi</w:t>
      </w:r>
      <w:r w:rsidR="00E36601">
        <w:t>ng</w:t>
      </w:r>
      <w:r w:rsidRPr="002A4292">
        <w:t xml:space="preserve"> the </w:t>
      </w:r>
      <w:r w:rsidR="00A71E63" w:rsidRPr="002A4292">
        <w:t>n</w:t>
      </w:r>
      <w:r w:rsidRPr="002A4292">
        <w:t xml:space="preserve">ew </w:t>
      </w:r>
      <w:r w:rsidR="00A71E63" w:rsidRPr="002A4292">
        <w:t>m</w:t>
      </w:r>
      <w:r w:rsidRPr="002A4292">
        <w:t xml:space="preserve">aternity </w:t>
      </w:r>
      <w:r w:rsidR="00A71E63" w:rsidRPr="002A4292">
        <w:t>f</w:t>
      </w:r>
      <w:r w:rsidRPr="002A4292">
        <w:t xml:space="preserve">acility at </w:t>
      </w:r>
      <w:proofErr w:type="spellStart"/>
      <w:r w:rsidRPr="002A4292">
        <w:t>Betio</w:t>
      </w:r>
      <w:proofErr w:type="spellEnd"/>
      <w:r w:rsidRPr="002A4292">
        <w:t xml:space="preserve"> Hospital</w:t>
      </w:r>
      <w:r w:rsidR="00E36601">
        <w:t>,</w:t>
      </w:r>
      <w:r w:rsidRPr="002A4292">
        <w:t xml:space="preserve"> as planned</w:t>
      </w:r>
      <w:r w:rsidR="00E36601">
        <w:t>. C</w:t>
      </w:r>
      <w:r w:rsidRPr="002A4292">
        <w:t xml:space="preserve">ompletion is expected by </w:t>
      </w:r>
      <w:r w:rsidR="006E7668" w:rsidRPr="002A4292">
        <w:t xml:space="preserve">October </w:t>
      </w:r>
      <w:r w:rsidRPr="002A4292">
        <w:t>2013</w:t>
      </w:r>
      <w:r w:rsidR="00E36601">
        <w:t xml:space="preserve"> and</w:t>
      </w:r>
      <w:r w:rsidRPr="002A4292">
        <w:t xml:space="preserve"> approximately 2500 births will be accommodated each year. </w:t>
      </w:r>
    </w:p>
    <w:p w:rsidR="00695E6D" w:rsidRPr="002A4292" w:rsidRDefault="00E36601" w:rsidP="00BB79E6">
      <w:pPr>
        <w:pStyle w:val="ListBullet"/>
      </w:pPr>
      <w:r>
        <w:t>Providing s</w:t>
      </w:r>
      <w:r w:rsidR="00695E6D" w:rsidRPr="002A4292">
        <w:t xml:space="preserve">mall grants to the Australian Sport Outreach Program and Rheumatic Heart Disease Program to help </w:t>
      </w:r>
      <w:r w:rsidR="00AB4770" w:rsidRPr="002A4292">
        <w:t xml:space="preserve">reduce and </w:t>
      </w:r>
      <w:r w:rsidR="00695E6D" w:rsidRPr="002A4292">
        <w:t>treat non</w:t>
      </w:r>
      <w:r>
        <w:t>-</w:t>
      </w:r>
      <w:r w:rsidR="00695E6D" w:rsidRPr="002A4292">
        <w:t>communicable diseases</w:t>
      </w:r>
      <w:r w:rsidR="0008688E">
        <w:t xml:space="preserve">. </w:t>
      </w:r>
    </w:p>
    <w:p w:rsidR="00695E6D" w:rsidRPr="002A4292" w:rsidRDefault="00E36601" w:rsidP="00BB79E6">
      <w:pPr>
        <w:pStyle w:val="ListBullet"/>
      </w:pPr>
      <w:r>
        <w:t>Holding a</w:t>
      </w:r>
      <w:r w:rsidR="00A71E63" w:rsidRPr="002A4292">
        <w:t xml:space="preserve"> joint Australia</w:t>
      </w:r>
      <w:r>
        <w:t xml:space="preserve"> – </w:t>
      </w:r>
      <w:r w:rsidR="00695E6D" w:rsidRPr="002A4292">
        <w:t xml:space="preserve">Cuba scoping mission in April 2012 </w:t>
      </w:r>
      <w:r w:rsidR="00A71E63" w:rsidRPr="002A4292">
        <w:t xml:space="preserve">to identify </w:t>
      </w:r>
      <w:r w:rsidR="00695E6D" w:rsidRPr="002A4292">
        <w:t>potential areas of partnership between Australia and Cuba, including support for re-integrati</w:t>
      </w:r>
      <w:r>
        <w:t>ng</w:t>
      </w:r>
      <w:r w:rsidR="00695E6D" w:rsidRPr="002A4292">
        <w:t xml:space="preserve"> </w:t>
      </w:r>
      <w:r w:rsidR="00263E83" w:rsidRPr="002A4292">
        <w:t>i-Kiribati</w:t>
      </w:r>
      <w:r w:rsidR="00695E6D" w:rsidRPr="002A4292">
        <w:t xml:space="preserve"> doctors trained in Cuba.</w:t>
      </w:r>
    </w:p>
    <w:p w:rsidR="00695E6D" w:rsidRPr="002A4292" w:rsidRDefault="00695E6D" w:rsidP="00BB79E6">
      <w:pPr>
        <w:pStyle w:val="BodyText"/>
      </w:pPr>
      <w:r w:rsidRPr="002A4292">
        <w:t>Despite some good achievements, the health sector faces significant challenges</w:t>
      </w:r>
      <w:r w:rsidR="00A71E63" w:rsidRPr="002A4292">
        <w:t>, including the need for d</w:t>
      </w:r>
      <w:r w:rsidRPr="002A4292">
        <w:t xml:space="preserve">evelopment partner </w:t>
      </w:r>
      <w:r w:rsidR="00A71E63" w:rsidRPr="002A4292">
        <w:t xml:space="preserve">support </w:t>
      </w:r>
      <w:r w:rsidRPr="002A4292">
        <w:t>to be better coordinated</w:t>
      </w:r>
      <w:r w:rsidR="0008688E">
        <w:t xml:space="preserve">. </w:t>
      </w:r>
      <w:r w:rsidR="0007683F">
        <w:t xml:space="preserve">DFAT </w:t>
      </w:r>
      <w:r w:rsidR="00A71E63" w:rsidRPr="002A4292">
        <w:t>is reviewing its</w:t>
      </w:r>
      <w:r w:rsidRPr="002A4292">
        <w:t xml:space="preserve"> support to the health sector. </w:t>
      </w:r>
    </w:p>
    <w:p w:rsidR="007F4BF9" w:rsidRPr="002A4292" w:rsidRDefault="007F4BF9" w:rsidP="00BB79E6">
      <w:pPr>
        <w:pStyle w:val="Heading3"/>
        <w:rPr>
          <w:rFonts w:eastAsia="SimSun"/>
        </w:rPr>
      </w:pPr>
      <w:r w:rsidRPr="002A4292">
        <w:rPr>
          <w:rFonts w:eastAsia="SimSun"/>
        </w:rPr>
        <w:t xml:space="preserve">Gender </w:t>
      </w:r>
      <w:r w:rsidR="00E36601">
        <w:rPr>
          <w:rFonts w:eastAsia="SimSun"/>
        </w:rPr>
        <w:t>e</w:t>
      </w:r>
      <w:r w:rsidRPr="002A4292">
        <w:rPr>
          <w:rFonts w:eastAsia="SimSun"/>
        </w:rPr>
        <w:t>quality</w:t>
      </w:r>
    </w:p>
    <w:p w:rsidR="0040054C" w:rsidRPr="00E36601" w:rsidRDefault="007F4BF9" w:rsidP="00BB79E6">
      <w:pPr>
        <w:pStyle w:val="BodyText"/>
      </w:pPr>
      <w:r w:rsidRPr="002A4292">
        <w:t>In 2012</w:t>
      </w:r>
      <w:r w:rsidR="0050775D">
        <w:t>–</w:t>
      </w:r>
      <w:r w:rsidRPr="002A4292">
        <w:t>13</w:t>
      </w:r>
      <w:r w:rsidR="00E36601">
        <w:t>,</w:t>
      </w:r>
      <w:r w:rsidRPr="002A4292">
        <w:t xml:space="preserve"> </w:t>
      </w:r>
      <w:r w:rsidR="001F1AA2">
        <w:t xml:space="preserve">the Australian </w:t>
      </w:r>
      <w:r w:rsidR="002736AB">
        <w:t>Government</w:t>
      </w:r>
      <w:r w:rsidR="001F1AA2">
        <w:t xml:space="preserve"> </w:t>
      </w:r>
      <w:r w:rsidRPr="002A4292">
        <w:t>continued to work with the Government of Kiribati and UN Women to implement a National Action Plan for Eliminating Sexual and Gender Based Violence</w:t>
      </w:r>
      <w:r w:rsidR="0008688E">
        <w:t xml:space="preserve">. </w:t>
      </w:r>
      <w:r w:rsidRPr="002A4292">
        <w:t xml:space="preserve">Australia </w:t>
      </w:r>
      <w:r w:rsidRPr="00E36601">
        <w:t>provided $570</w:t>
      </w:r>
      <w:r w:rsidR="00CD7870">
        <w:t>,</w:t>
      </w:r>
      <w:r w:rsidRPr="00E36601">
        <w:t>000 to</w:t>
      </w:r>
      <w:r w:rsidR="0040054C" w:rsidRPr="00E36601">
        <w:t xml:space="preserve"> a</w:t>
      </w:r>
      <w:r w:rsidRPr="00E36601">
        <w:t xml:space="preserve"> Preparatory Assis</w:t>
      </w:r>
      <w:r w:rsidR="00A71E63" w:rsidRPr="00E36601">
        <w:t>tance Project which will lead</w:t>
      </w:r>
      <w:r w:rsidRPr="00E36601">
        <w:t xml:space="preserve"> to a comprehensive five</w:t>
      </w:r>
      <w:r w:rsidR="00E36601">
        <w:t>-</w:t>
      </w:r>
      <w:r w:rsidRPr="00E36601">
        <w:t xml:space="preserve">year work program to implement the </w:t>
      </w:r>
      <w:r w:rsidR="00E36601">
        <w:t>p</w:t>
      </w:r>
      <w:r w:rsidRPr="00E36601">
        <w:t>lan and build capacity within</w:t>
      </w:r>
      <w:r w:rsidR="00A71E63" w:rsidRPr="00E36601">
        <w:t xml:space="preserve"> the</w:t>
      </w:r>
      <w:r w:rsidRPr="00E36601">
        <w:t xml:space="preserve"> </w:t>
      </w:r>
      <w:r w:rsidR="00E36601">
        <w:t>g</w:t>
      </w:r>
      <w:r w:rsidRPr="00E36601">
        <w:t xml:space="preserve">overnment and </w:t>
      </w:r>
      <w:r w:rsidR="009F3F74" w:rsidRPr="00E36601">
        <w:t>non</w:t>
      </w:r>
      <w:r w:rsidR="009F3F74" w:rsidRPr="00E36601">
        <w:noBreakHyphen/>
      </w:r>
      <w:r w:rsidRPr="00E36601">
        <w:t>government organisations</w:t>
      </w:r>
      <w:r w:rsidR="00A71E63" w:rsidRPr="00E36601">
        <w:t xml:space="preserve"> to implement it</w:t>
      </w:r>
      <w:r w:rsidR="0008688E" w:rsidRPr="00E36601">
        <w:t xml:space="preserve">. </w:t>
      </w:r>
      <w:r w:rsidR="0007683F">
        <w:t xml:space="preserve">DFAT </w:t>
      </w:r>
      <w:r w:rsidRPr="00E36601">
        <w:t>expect</w:t>
      </w:r>
      <w:r w:rsidR="00444F1F" w:rsidRPr="00E36601">
        <w:t>s</w:t>
      </w:r>
      <w:r w:rsidRPr="00E36601">
        <w:t xml:space="preserve"> the program </w:t>
      </w:r>
      <w:r w:rsidR="00E36601">
        <w:t>to</w:t>
      </w:r>
      <w:r w:rsidR="00E36601" w:rsidRPr="00E36601">
        <w:t xml:space="preserve"> </w:t>
      </w:r>
      <w:r w:rsidRPr="00E36601">
        <w:t>strengthen Kiribati</w:t>
      </w:r>
      <w:r w:rsidR="00444F1F" w:rsidRPr="00E36601">
        <w:t xml:space="preserve">’s </w:t>
      </w:r>
      <w:r w:rsidRPr="00E36601">
        <w:t>legal frameworks, social welfare support services, and institutional and community capacity to support survivors of violence</w:t>
      </w:r>
      <w:r w:rsidR="0008688E" w:rsidRPr="00E36601">
        <w:t xml:space="preserve">. </w:t>
      </w:r>
      <w:r w:rsidR="0040054C" w:rsidRPr="00E36601">
        <w:t xml:space="preserve">However, </w:t>
      </w:r>
      <w:r w:rsidR="00E36601">
        <w:t xml:space="preserve">the </w:t>
      </w:r>
      <w:r w:rsidR="00436B8C">
        <w:t xml:space="preserve">department </w:t>
      </w:r>
      <w:r w:rsidR="00E36601">
        <w:t>has</w:t>
      </w:r>
      <w:r w:rsidR="0040054C" w:rsidRPr="00E36601">
        <w:t xml:space="preserve"> been disappointed at the initial pace of implementation</w:t>
      </w:r>
      <w:r w:rsidR="00E36601">
        <w:t xml:space="preserve"> and has</w:t>
      </w:r>
      <w:r w:rsidR="0040054C" w:rsidRPr="00E36601">
        <w:t xml:space="preserve"> worked closely with UN Women to address </w:t>
      </w:r>
      <w:r w:rsidR="00A71E63" w:rsidRPr="00E36601">
        <w:t>delays</w:t>
      </w:r>
      <w:r w:rsidR="00E36601">
        <w:t>. P</w:t>
      </w:r>
      <w:r w:rsidR="0040054C" w:rsidRPr="00E36601">
        <w:t>rogress is now being made.</w:t>
      </w:r>
    </w:p>
    <w:p w:rsidR="00372D2A" w:rsidRPr="002A4292" w:rsidRDefault="007F4BF9" w:rsidP="00BB79E6">
      <w:pPr>
        <w:pStyle w:val="BodyText"/>
        <w:rPr>
          <w:rFonts w:eastAsia="SimSun"/>
        </w:rPr>
      </w:pPr>
      <w:r w:rsidRPr="00E36601">
        <w:rPr>
          <w:rFonts w:eastAsia="SimSun"/>
        </w:rPr>
        <w:t>At the 2012 Pacific Islands Forum, Pacific Leaders (including Kiribati President Tong) committed to</w:t>
      </w:r>
      <w:r w:rsidR="00372D2A" w:rsidRPr="00E36601">
        <w:rPr>
          <w:rFonts w:eastAsia="SimSun"/>
        </w:rPr>
        <w:t xml:space="preserve"> a Gender Equality Declaration</w:t>
      </w:r>
      <w:r w:rsidRPr="00E36601">
        <w:rPr>
          <w:rFonts w:eastAsia="SimSun"/>
        </w:rPr>
        <w:t xml:space="preserve"> that</w:t>
      </w:r>
      <w:r w:rsidR="00372D2A" w:rsidRPr="00E36601">
        <w:rPr>
          <w:rFonts w:eastAsia="SimSun"/>
        </w:rPr>
        <w:t xml:space="preserve"> set</w:t>
      </w:r>
      <w:r w:rsidRPr="00E36601">
        <w:rPr>
          <w:rFonts w:eastAsia="SimSun"/>
        </w:rPr>
        <w:t xml:space="preserve"> </w:t>
      </w:r>
      <w:r w:rsidR="00444F1F" w:rsidRPr="00E36601">
        <w:rPr>
          <w:rFonts w:eastAsia="SimSun"/>
        </w:rPr>
        <w:t xml:space="preserve">out </w:t>
      </w:r>
      <w:r w:rsidRPr="00E36601">
        <w:rPr>
          <w:rFonts w:eastAsia="SimSun"/>
        </w:rPr>
        <w:t xml:space="preserve">domestic policy actions to improve </w:t>
      </w:r>
      <w:r w:rsidRPr="00E36601">
        <w:rPr>
          <w:rFonts w:eastAsia="SimSun"/>
        </w:rPr>
        <w:lastRenderedPageBreak/>
        <w:t>gender equality</w:t>
      </w:r>
      <w:r w:rsidR="0008688E" w:rsidRPr="00E36601">
        <w:rPr>
          <w:rFonts w:eastAsia="SimSun"/>
        </w:rPr>
        <w:t xml:space="preserve">. </w:t>
      </w:r>
      <w:r w:rsidRPr="00E36601">
        <w:rPr>
          <w:rFonts w:eastAsia="SimSun"/>
        </w:rPr>
        <w:t>Australia also announced funding of $320 million over 10 years to improv</w:t>
      </w:r>
      <w:r w:rsidR="003F5118">
        <w:rPr>
          <w:rFonts w:eastAsia="SimSun"/>
        </w:rPr>
        <w:t>e</w:t>
      </w:r>
      <w:r w:rsidRPr="00E36601">
        <w:rPr>
          <w:rFonts w:eastAsia="SimSun"/>
        </w:rPr>
        <w:t xml:space="preserve"> gender equality in the Pa</w:t>
      </w:r>
      <w:r w:rsidRPr="002A4292">
        <w:rPr>
          <w:rFonts w:eastAsia="SimSun"/>
        </w:rPr>
        <w:t>cific</w:t>
      </w:r>
      <w:r w:rsidR="00372D2A" w:rsidRPr="002A4292">
        <w:rPr>
          <w:rFonts w:eastAsia="SimSun"/>
        </w:rPr>
        <w:t xml:space="preserve"> through its Pacific Women Shaping Pacific Development Initiative</w:t>
      </w:r>
      <w:r w:rsidR="0008688E">
        <w:rPr>
          <w:rFonts w:eastAsia="SimSun"/>
        </w:rPr>
        <w:t xml:space="preserve">. </w:t>
      </w:r>
      <w:r w:rsidR="00372D2A" w:rsidRPr="002A4292">
        <w:rPr>
          <w:rFonts w:eastAsia="SimSun"/>
        </w:rPr>
        <w:t xml:space="preserve">In 2013, </w:t>
      </w:r>
      <w:r w:rsidR="0007683F">
        <w:rPr>
          <w:rFonts w:eastAsia="SimSun"/>
        </w:rPr>
        <w:t xml:space="preserve">the Australian Government </w:t>
      </w:r>
      <w:r w:rsidR="00E36601">
        <w:rPr>
          <w:rFonts w:eastAsia="SimSun"/>
        </w:rPr>
        <w:t>started</w:t>
      </w:r>
      <w:r w:rsidR="00E36601" w:rsidRPr="002A4292">
        <w:rPr>
          <w:rFonts w:eastAsia="SimSun"/>
        </w:rPr>
        <w:t xml:space="preserve"> </w:t>
      </w:r>
      <w:r w:rsidR="00372D2A" w:rsidRPr="002A4292">
        <w:rPr>
          <w:rFonts w:eastAsia="SimSun"/>
        </w:rPr>
        <w:t>work with the Government of Kiribati on developing a country plan t</w:t>
      </w:r>
      <w:r w:rsidR="00E36601">
        <w:rPr>
          <w:rFonts w:eastAsia="SimSun"/>
        </w:rPr>
        <w:t>o</w:t>
      </w:r>
      <w:r w:rsidR="00372D2A" w:rsidRPr="002A4292">
        <w:rPr>
          <w:rFonts w:eastAsia="SimSun"/>
        </w:rPr>
        <w:t xml:space="preserve"> guide </w:t>
      </w:r>
      <w:r w:rsidR="005666B6">
        <w:rPr>
          <w:rFonts w:eastAsia="SimSun"/>
        </w:rPr>
        <w:t>Australia’s</w:t>
      </w:r>
      <w:r w:rsidR="00372D2A" w:rsidRPr="002A4292">
        <w:rPr>
          <w:rFonts w:eastAsia="SimSun"/>
        </w:rPr>
        <w:t xml:space="preserve"> inve</w:t>
      </w:r>
      <w:r w:rsidR="00444F1F" w:rsidRPr="002A4292">
        <w:rPr>
          <w:rFonts w:eastAsia="SimSun"/>
        </w:rPr>
        <w:t xml:space="preserve">stment under the </w:t>
      </w:r>
      <w:r w:rsidR="00444F1F" w:rsidRPr="00E36601">
        <w:rPr>
          <w:rFonts w:eastAsia="SimSun"/>
        </w:rPr>
        <w:t>initiative ($9 </w:t>
      </w:r>
      <w:r w:rsidR="00372D2A" w:rsidRPr="00E36601">
        <w:rPr>
          <w:rFonts w:eastAsia="SimSun"/>
        </w:rPr>
        <w:t>million in</w:t>
      </w:r>
      <w:r w:rsidR="00372D2A" w:rsidRPr="002A4292">
        <w:rPr>
          <w:rFonts w:eastAsia="SimSun"/>
        </w:rPr>
        <w:t xml:space="preserve"> Kiribati). The country plan is expected to be completed by August 2013.</w:t>
      </w:r>
    </w:p>
    <w:p w:rsidR="00695E6D" w:rsidRPr="002A4292" w:rsidRDefault="00695E6D" w:rsidP="00BB79E6">
      <w:pPr>
        <w:pStyle w:val="Heading3"/>
      </w:pPr>
      <w:r w:rsidRPr="002A4292">
        <w:t>Disability</w:t>
      </w:r>
    </w:p>
    <w:p w:rsidR="00695E6D" w:rsidRPr="002A4292" w:rsidRDefault="00695E6D" w:rsidP="00BB79E6">
      <w:pPr>
        <w:pStyle w:val="BodyText"/>
        <w:rPr>
          <w:rFonts w:eastAsia="SimSun"/>
        </w:rPr>
      </w:pPr>
      <w:r w:rsidRPr="002A4292">
        <w:rPr>
          <w:rFonts w:eastAsia="SimSun"/>
        </w:rPr>
        <w:t>Aus</w:t>
      </w:r>
      <w:r w:rsidR="000A2952">
        <w:rPr>
          <w:rFonts w:eastAsia="SimSun"/>
        </w:rPr>
        <w:t>tralia</w:t>
      </w:r>
      <w:r w:rsidRPr="002A4292">
        <w:rPr>
          <w:rFonts w:eastAsia="SimSun"/>
        </w:rPr>
        <w:t xml:space="preserve"> </w:t>
      </w:r>
      <w:r w:rsidR="008E644C">
        <w:rPr>
          <w:rFonts w:eastAsia="SimSun"/>
        </w:rPr>
        <w:t xml:space="preserve">has supported the </w:t>
      </w:r>
      <w:r w:rsidRPr="002A4292">
        <w:rPr>
          <w:rFonts w:eastAsia="SimSun"/>
        </w:rPr>
        <w:t>School and Centre fo</w:t>
      </w:r>
      <w:r w:rsidR="008E644C">
        <w:rPr>
          <w:rFonts w:eastAsia="SimSun"/>
        </w:rPr>
        <w:t>r Children with Special Needs since</w:t>
      </w:r>
      <w:r w:rsidRPr="002A4292">
        <w:rPr>
          <w:rFonts w:eastAsia="SimSun"/>
        </w:rPr>
        <w:t xml:space="preserve"> 2009. This is the only institution in Kiribati that provides for the needs of children </w:t>
      </w:r>
      <w:r w:rsidR="008E644C">
        <w:rPr>
          <w:rFonts w:eastAsia="SimSun"/>
        </w:rPr>
        <w:t xml:space="preserve">and young people </w:t>
      </w:r>
      <w:r w:rsidRPr="002A4292">
        <w:rPr>
          <w:rFonts w:eastAsia="SimSun"/>
        </w:rPr>
        <w:t>with disability and their families. Australian funding enabled the school to expand access to education from 101 children and young people in 2012 to 125 in 2013</w:t>
      </w:r>
      <w:r w:rsidR="0008688E">
        <w:rPr>
          <w:rFonts w:eastAsia="SimSun"/>
        </w:rPr>
        <w:t xml:space="preserve">. </w:t>
      </w:r>
    </w:p>
    <w:p w:rsidR="00695E6D" w:rsidRPr="002A4292" w:rsidRDefault="00444F1F" w:rsidP="00BB79E6">
      <w:pPr>
        <w:pStyle w:val="BodyText"/>
        <w:rPr>
          <w:rFonts w:eastAsia="SimSun"/>
        </w:rPr>
      </w:pPr>
      <w:r w:rsidRPr="002A4292">
        <w:rPr>
          <w:rFonts w:eastAsia="SimSun"/>
        </w:rPr>
        <w:t>Aus</w:t>
      </w:r>
      <w:r w:rsidR="000A2952">
        <w:rPr>
          <w:rFonts w:eastAsia="SimSun"/>
        </w:rPr>
        <w:t>tralia</w:t>
      </w:r>
      <w:r w:rsidR="00695E6D" w:rsidRPr="002A4292">
        <w:rPr>
          <w:rFonts w:eastAsia="SimSun"/>
        </w:rPr>
        <w:t xml:space="preserve">’s assistance to date has primarily supported operational costs to enable the school to offer essential services for </w:t>
      </w:r>
      <w:r w:rsidRPr="002A4292">
        <w:rPr>
          <w:rFonts w:eastAsia="SimSun"/>
        </w:rPr>
        <w:t>young people</w:t>
      </w:r>
      <w:r w:rsidR="00695E6D" w:rsidRPr="002A4292">
        <w:rPr>
          <w:rFonts w:eastAsia="SimSun"/>
        </w:rPr>
        <w:t xml:space="preserve"> with</w:t>
      </w:r>
      <w:r w:rsidR="00DC1EB7" w:rsidRPr="002A4292">
        <w:rPr>
          <w:rFonts w:eastAsia="SimSun"/>
        </w:rPr>
        <w:t xml:space="preserve"> disability</w:t>
      </w:r>
      <w:r w:rsidR="0008688E">
        <w:rPr>
          <w:rFonts w:eastAsia="SimSun"/>
        </w:rPr>
        <w:t xml:space="preserve">. </w:t>
      </w:r>
      <w:r w:rsidRPr="002A4292">
        <w:rPr>
          <w:rFonts w:eastAsia="SimSun"/>
        </w:rPr>
        <w:t>In 2012</w:t>
      </w:r>
      <w:r w:rsidR="003F5118">
        <w:rPr>
          <w:rFonts w:eastAsia="SimSun"/>
        </w:rPr>
        <w:t>,</w:t>
      </w:r>
      <w:r w:rsidR="00695E6D" w:rsidRPr="002A4292">
        <w:rPr>
          <w:rFonts w:eastAsia="SimSun"/>
        </w:rPr>
        <w:t xml:space="preserve"> </w:t>
      </w:r>
      <w:r w:rsidRPr="002A4292">
        <w:rPr>
          <w:rFonts w:eastAsia="SimSun"/>
        </w:rPr>
        <w:t>AusAID, through its partnership with CBM-</w:t>
      </w:r>
      <w:proofErr w:type="spellStart"/>
      <w:r w:rsidRPr="002A4292">
        <w:rPr>
          <w:rFonts w:eastAsia="SimSun"/>
        </w:rPr>
        <w:t>Nossal</w:t>
      </w:r>
      <w:proofErr w:type="spellEnd"/>
      <w:r w:rsidRPr="002A4292">
        <w:rPr>
          <w:rFonts w:eastAsia="SimSun"/>
        </w:rPr>
        <w:t xml:space="preserve">, </w:t>
      </w:r>
      <w:r w:rsidR="00695E6D" w:rsidRPr="002A4292">
        <w:rPr>
          <w:rFonts w:eastAsia="SimSun"/>
        </w:rPr>
        <w:t>assisted the school to develop its first four</w:t>
      </w:r>
      <w:r w:rsidR="00E36601">
        <w:rPr>
          <w:rFonts w:eastAsia="SimSun"/>
        </w:rPr>
        <w:t>-</w:t>
      </w:r>
      <w:r w:rsidR="00695E6D" w:rsidRPr="002A4292">
        <w:rPr>
          <w:rFonts w:eastAsia="SimSun"/>
        </w:rPr>
        <w:t>year strategic plan (2012</w:t>
      </w:r>
      <w:r w:rsidR="0050775D">
        <w:rPr>
          <w:rFonts w:eastAsia="SimSun"/>
        </w:rPr>
        <w:t>–</w:t>
      </w:r>
      <w:r w:rsidR="00695E6D" w:rsidRPr="002A4292">
        <w:rPr>
          <w:rFonts w:eastAsia="SimSun"/>
        </w:rPr>
        <w:t>15)</w:t>
      </w:r>
      <w:r w:rsidR="0008688E">
        <w:rPr>
          <w:rFonts w:eastAsia="SimSun"/>
        </w:rPr>
        <w:t xml:space="preserve">. </w:t>
      </w:r>
      <w:r w:rsidR="00695E6D" w:rsidRPr="002A4292">
        <w:rPr>
          <w:rFonts w:eastAsia="SimSun"/>
        </w:rPr>
        <w:t>This</w:t>
      </w:r>
      <w:r w:rsidR="003F5118">
        <w:rPr>
          <w:rFonts w:eastAsia="SimSun"/>
        </w:rPr>
        <w:t xml:space="preserve"> is</w:t>
      </w:r>
      <w:r w:rsidR="00695E6D" w:rsidRPr="002A4292">
        <w:rPr>
          <w:rFonts w:eastAsia="SimSun"/>
        </w:rPr>
        <w:t xml:space="preserve"> reduc</w:t>
      </w:r>
      <w:r w:rsidR="003F5118">
        <w:rPr>
          <w:rFonts w:eastAsia="SimSun"/>
        </w:rPr>
        <w:t>ing</w:t>
      </w:r>
      <w:r w:rsidR="00695E6D" w:rsidRPr="002A4292">
        <w:rPr>
          <w:rFonts w:eastAsia="SimSun"/>
        </w:rPr>
        <w:t xml:space="preserve"> the need for the </w:t>
      </w:r>
      <w:r w:rsidR="003F5118">
        <w:rPr>
          <w:rFonts w:eastAsia="SimSun"/>
        </w:rPr>
        <w:t>c</w:t>
      </w:r>
      <w:r w:rsidR="00695E6D" w:rsidRPr="002A4292">
        <w:rPr>
          <w:rFonts w:eastAsia="SimSun"/>
        </w:rPr>
        <w:t>entre to rely on ad hoc donor assistance and provid</w:t>
      </w:r>
      <w:r w:rsidR="003F5118">
        <w:rPr>
          <w:rFonts w:eastAsia="SimSun"/>
        </w:rPr>
        <w:t>ing</w:t>
      </w:r>
      <w:r w:rsidR="00695E6D" w:rsidRPr="002A4292">
        <w:rPr>
          <w:rFonts w:eastAsia="SimSun"/>
        </w:rPr>
        <w:t xml:space="preserve"> a comprehensive framework </w:t>
      </w:r>
      <w:r w:rsidR="00D50815">
        <w:rPr>
          <w:rFonts w:eastAsia="SimSun"/>
        </w:rPr>
        <w:t xml:space="preserve">against which </w:t>
      </w:r>
      <w:r w:rsidR="0007683F">
        <w:rPr>
          <w:rFonts w:eastAsia="SimSun"/>
        </w:rPr>
        <w:t>DFAT</w:t>
      </w:r>
      <w:r w:rsidR="00D50815">
        <w:rPr>
          <w:rFonts w:eastAsia="SimSun"/>
        </w:rPr>
        <w:t xml:space="preserve"> can</w:t>
      </w:r>
      <w:r w:rsidR="00695E6D" w:rsidRPr="002A4292">
        <w:rPr>
          <w:rFonts w:eastAsia="SimSun"/>
        </w:rPr>
        <w:t xml:space="preserve"> assess the impact of </w:t>
      </w:r>
      <w:r w:rsidR="000A2952">
        <w:rPr>
          <w:rFonts w:eastAsia="SimSun"/>
        </w:rPr>
        <w:t>Australia’s</w:t>
      </w:r>
      <w:r w:rsidR="00D50815" w:rsidRPr="002A4292">
        <w:rPr>
          <w:rFonts w:eastAsia="SimSun"/>
        </w:rPr>
        <w:t xml:space="preserve"> </w:t>
      </w:r>
      <w:r w:rsidR="00695E6D" w:rsidRPr="002A4292">
        <w:rPr>
          <w:rFonts w:eastAsia="SimSun"/>
        </w:rPr>
        <w:t>assistance.</w:t>
      </w:r>
    </w:p>
    <w:p w:rsidR="00695E6D" w:rsidRPr="002A4292" w:rsidRDefault="00695E6D" w:rsidP="00BB79E6">
      <w:pPr>
        <w:pStyle w:val="BodyText"/>
        <w:rPr>
          <w:rFonts w:eastAsia="SimSun"/>
          <w:szCs w:val="22"/>
        </w:rPr>
      </w:pPr>
      <w:r w:rsidRPr="002A4292">
        <w:rPr>
          <w:rFonts w:eastAsia="SimSun"/>
          <w:szCs w:val="22"/>
        </w:rPr>
        <w:t>Australia is also supporting disability</w:t>
      </w:r>
      <w:r w:rsidR="00D50815">
        <w:rPr>
          <w:rFonts w:eastAsia="SimSun"/>
          <w:szCs w:val="22"/>
        </w:rPr>
        <w:t>-</w:t>
      </w:r>
      <w:r w:rsidRPr="002A4292">
        <w:rPr>
          <w:rFonts w:eastAsia="SimSun"/>
          <w:szCs w:val="22"/>
        </w:rPr>
        <w:t>inclusive development efforts in Kiribati through regional partnerships with the Pacific Islands Forum Secretariat, Pacific Disability Forum, Disability Rights Fund, Secretariat of Pacific Communities and World Health Organi</w:t>
      </w:r>
      <w:r w:rsidR="00D50815">
        <w:rPr>
          <w:rFonts w:eastAsia="SimSun"/>
          <w:szCs w:val="22"/>
        </w:rPr>
        <w:t>z</w:t>
      </w:r>
      <w:r w:rsidRPr="002A4292">
        <w:rPr>
          <w:rFonts w:eastAsia="SimSun"/>
          <w:szCs w:val="22"/>
        </w:rPr>
        <w:t>ation.</w:t>
      </w:r>
    </w:p>
    <w:p w:rsidR="00695E6D" w:rsidRPr="002A4292" w:rsidRDefault="00695E6D" w:rsidP="00BB79E6">
      <w:pPr>
        <w:pStyle w:val="BodyText"/>
        <w:rPr>
          <w:szCs w:val="22"/>
        </w:rPr>
      </w:pPr>
      <w:r w:rsidRPr="002A4292">
        <w:rPr>
          <w:szCs w:val="22"/>
        </w:rPr>
        <w:t>In</w:t>
      </w:r>
      <w:r w:rsidR="002E58E7">
        <w:rPr>
          <w:szCs w:val="22"/>
        </w:rPr>
        <w:t xml:space="preserve"> April 2013, Kiribati was Australia</w:t>
      </w:r>
      <w:r w:rsidRPr="002A4292">
        <w:rPr>
          <w:szCs w:val="22"/>
        </w:rPr>
        <w:t xml:space="preserve">’s first Pacific </w:t>
      </w:r>
      <w:r w:rsidR="00444F1F" w:rsidRPr="002A4292">
        <w:rPr>
          <w:szCs w:val="22"/>
        </w:rPr>
        <w:t>bilateral program</w:t>
      </w:r>
      <w:r w:rsidRPr="002A4292">
        <w:rPr>
          <w:szCs w:val="22"/>
        </w:rPr>
        <w:t xml:space="preserve"> to undertake a s</w:t>
      </w:r>
      <w:r w:rsidR="00DC1EB7" w:rsidRPr="002A4292">
        <w:rPr>
          <w:szCs w:val="22"/>
        </w:rPr>
        <w:t>pecialised training program on disability</w:t>
      </w:r>
      <w:r w:rsidR="00D50815">
        <w:rPr>
          <w:szCs w:val="22"/>
        </w:rPr>
        <w:t>-</w:t>
      </w:r>
      <w:r w:rsidR="00DC1EB7" w:rsidRPr="002A4292">
        <w:rPr>
          <w:szCs w:val="22"/>
        </w:rPr>
        <w:t>inclusive d</w:t>
      </w:r>
      <w:r w:rsidRPr="002A4292">
        <w:rPr>
          <w:szCs w:val="22"/>
        </w:rPr>
        <w:t>evelopment</w:t>
      </w:r>
      <w:r w:rsidR="0008688E">
        <w:rPr>
          <w:szCs w:val="22"/>
        </w:rPr>
        <w:t xml:space="preserve">. </w:t>
      </w:r>
      <w:r w:rsidR="00574320">
        <w:rPr>
          <w:szCs w:val="22"/>
        </w:rPr>
        <w:t>77</w:t>
      </w:r>
      <w:r w:rsidRPr="002A4292">
        <w:rPr>
          <w:szCs w:val="22"/>
        </w:rPr>
        <w:t xml:space="preserve"> participants </w:t>
      </w:r>
      <w:r w:rsidR="00844546">
        <w:rPr>
          <w:szCs w:val="22"/>
        </w:rPr>
        <w:t>were trained</w:t>
      </w:r>
      <w:r w:rsidR="00844546" w:rsidRPr="002A4292">
        <w:rPr>
          <w:szCs w:val="22"/>
        </w:rPr>
        <w:t xml:space="preserve"> </w:t>
      </w:r>
      <w:r w:rsidRPr="002A4292">
        <w:rPr>
          <w:szCs w:val="22"/>
        </w:rPr>
        <w:t>over a series of five wo</w:t>
      </w:r>
      <w:r w:rsidR="00703DF4" w:rsidRPr="002A4292">
        <w:rPr>
          <w:szCs w:val="22"/>
        </w:rPr>
        <w:t>rkshops</w:t>
      </w:r>
      <w:r w:rsidR="00D50815">
        <w:rPr>
          <w:szCs w:val="22"/>
        </w:rPr>
        <w:t>, including</w:t>
      </w:r>
      <w:r w:rsidR="00703DF4" w:rsidRPr="002A4292">
        <w:rPr>
          <w:szCs w:val="22"/>
        </w:rPr>
        <w:t xml:space="preserve"> </w:t>
      </w:r>
      <w:r w:rsidRPr="002A4292">
        <w:rPr>
          <w:szCs w:val="22"/>
        </w:rPr>
        <w:t>Gove</w:t>
      </w:r>
      <w:r w:rsidR="00444F1F" w:rsidRPr="002A4292">
        <w:rPr>
          <w:szCs w:val="22"/>
        </w:rPr>
        <w:t>rnment of Kiribati officials,</w:t>
      </w:r>
      <w:r w:rsidRPr="002A4292">
        <w:rPr>
          <w:szCs w:val="22"/>
        </w:rPr>
        <w:t xml:space="preserve"> representatives from non</w:t>
      </w:r>
      <w:r w:rsidRPr="002A4292">
        <w:rPr>
          <w:szCs w:val="22"/>
        </w:rPr>
        <w:noBreakHyphen/>
        <w:t>government organisations</w:t>
      </w:r>
      <w:r w:rsidR="00444F1F" w:rsidRPr="002A4292">
        <w:rPr>
          <w:szCs w:val="22"/>
        </w:rPr>
        <w:t xml:space="preserve"> and Australian G</w:t>
      </w:r>
      <w:r w:rsidR="00BB79E6">
        <w:rPr>
          <w:szCs w:val="22"/>
        </w:rPr>
        <w:t>overnment officials based in Taraw</w:t>
      </w:r>
      <w:r w:rsidR="00444F1F" w:rsidRPr="002A4292">
        <w:rPr>
          <w:szCs w:val="22"/>
        </w:rPr>
        <w:t>a</w:t>
      </w:r>
      <w:r w:rsidR="0008688E">
        <w:rPr>
          <w:szCs w:val="22"/>
        </w:rPr>
        <w:t xml:space="preserve">. </w:t>
      </w:r>
      <w:r w:rsidRPr="002A4292">
        <w:rPr>
          <w:szCs w:val="22"/>
        </w:rPr>
        <w:t>Training provided participants with a basic ov</w:t>
      </w:r>
      <w:r w:rsidR="00DC1EB7" w:rsidRPr="002A4292">
        <w:rPr>
          <w:szCs w:val="22"/>
        </w:rPr>
        <w:t>erview of disability</w:t>
      </w:r>
      <w:r w:rsidR="00D50815">
        <w:rPr>
          <w:szCs w:val="22"/>
        </w:rPr>
        <w:t>-</w:t>
      </w:r>
      <w:r w:rsidR="00DC1EB7" w:rsidRPr="002A4292">
        <w:rPr>
          <w:szCs w:val="22"/>
        </w:rPr>
        <w:t>inclusive d</w:t>
      </w:r>
      <w:r w:rsidRPr="002A4292">
        <w:rPr>
          <w:szCs w:val="22"/>
        </w:rPr>
        <w:t>evelopment and assisted them to understand and identify the barriers people with disability experience</w:t>
      </w:r>
      <w:r w:rsidR="0008688E">
        <w:rPr>
          <w:szCs w:val="22"/>
        </w:rPr>
        <w:t xml:space="preserve">. </w:t>
      </w:r>
    </w:p>
    <w:p w:rsidR="00695E6D" w:rsidRPr="002A4292" w:rsidRDefault="00695E6D" w:rsidP="00BB79E6">
      <w:pPr>
        <w:pStyle w:val="Heading3"/>
      </w:pPr>
      <w:r w:rsidRPr="002A4292">
        <w:t xml:space="preserve">Volunteers </w:t>
      </w:r>
      <w:r w:rsidR="0050775D">
        <w:t>p</w:t>
      </w:r>
      <w:r w:rsidRPr="002A4292">
        <w:t>rogram</w:t>
      </w:r>
    </w:p>
    <w:p w:rsidR="00B068CB" w:rsidRPr="002A4292" w:rsidRDefault="00F23464" w:rsidP="00BB79E6">
      <w:pPr>
        <w:pStyle w:val="BodyText"/>
      </w:pPr>
      <w:r w:rsidRPr="002A4292">
        <w:t>In 2012</w:t>
      </w:r>
      <w:r w:rsidR="0050775D">
        <w:t>–</w:t>
      </w:r>
      <w:r w:rsidRPr="002A4292">
        <w:t>13, Australia supported 20 volunteers to contribute their skills and human resource capacity to the Government of Kiribati and other public and private organisations</w:t>
      </w:r>
      <w:r w:rsidR="0008688E">
        <w:t xml:space="preserve">. </w:t>
      </w:r>
      <w:r w:rsidR="00D50815">
        <w:t>An e</w:t>
      </w:r>
      <w:r w:rsidR="00B87CC0" w:rsidRPr="002A4292">
        <w:t>xample of the impact</w:t>
      </w:r>
      <w:r w:rsidRPr="002A4292">
        <w:t xml:space="preserve"> </w:t>
      </w:r>
      <w:r w:rsidR="00B87CC0" w:rsidRPr="002A4292">
        <w:t>volunteers are having includes</w:t>
      </w:r>
      <w:r w:rsidRPr="002A4292">
        <w:t xml:space="preserve"> a volunteer boat builder </w:t>
      </w:r>
      <w:r w:rsidR="00B87CC0" w:rsidRPr="002A4292">
        <w:t xml:space="preserve">who </w:t>
      </w:r>
      <w:r w:rsidRPr="002A4292">
        <w:t xml:space="preserve">worked with vocational students to build a boat now used </w:t>
      </w:r>
      <w:r w:rsidR="00D50815">
        <w:t>to</w:t>
      </w:r>
      <w:r w:rsidRPr="002A4292">
        <w:t xml:space="preserve"> earn income for young people in the village</w:t>
      </w:r>
      <w:r w:rsidR="0008688E">
        <w:t xml:space="preserve">. </w:t>
      </w:r>
      <w:r w:rsidR="00B87CC0" w:rsidRPr="002A4292">
        <w:t xml:space="preserve">All </w:t>
      </w:r>
      <w:r w:rsidRPr="002A4292">
        <w:t>vocational students</w:t>
      </w:r>
      <w:r w:rsidR="00B87CC0" w:rsidRPr="002A4292">
        <w:t xml:space="preserve"> involved have</w:t>
      </w:r>
      <w:r w:rsidRPr="002A4292">
        <w:t xml:space="preserve"> </w:t>
      </w:r>
      <w:r w:rsidR="00B87CC0" w:rsidRPr="002A4292">
        <w:t>since</w:t>
      </w:r>
      <w:r w:rsidRPr="002A4292">
        <w:t xml:space="preserve"> secured paid employment with the private sector</w:t>
      </w:r>
      <w:r w:rsidR="0008688E">
        <w:t xml:space="preserve">. </w:t>
      </w:r>
    </w:p>
    <w:p w:rsidR="00EE2A05" w:rsidRPr="002A4292" w:rsidRDefault="007965A0" w:rsidP="00BB79E6">
      <w:pPr>
        <w:pStyle w:val="BodyText"/>
      </w:pPr>
      <w:r w:rsidRPr="002A4292">
        <w:t>V</w:t>
      </w:r>
      <w:r w:rsidR="00AE5CCE" w:rsidRPr="002A4292">
        <w:t>olunteer</w:t>
      </w:r>
      <w:r w:rsidRPr="002A4292">
        <w:t xml:space="preserve">s </w:t>
      </w:r>
      <w:r w:rsidR="00EA52D4" w:rsidRPr="002A4292">
        <w:t xml:space="preserve">are </w:t>
      </w:r>
      <w:r w:rsidR="00B068CB" w:rsidRPr="002A4292">
        <w:t xml:space="preserve">also </w:t>
      </w:r>
      <w:r w:rsidR="00E27150" w:rsidRPr="002A4292">
        <w:t xml:space="preserve">making an impact in </w:t>
      </w:r>
      <w:r w:rsidR="0061786F" w:rsidRPr="002A4292">
        <w:t>addressing</w:t>
      </w:r>
      <w:r w:rsidR="00E27150" w:rsidRPr="002A4292">
        <w:t xml:space="preserve"> </w:t>
      </w:r>
      <w:r w:rsidR="00B068CB" w:rsidRPr="002A4292">
        <w:t>gender equality</w:t>
      </w:r>
      <w:r w:rsidR="0008688E">
        <w:t xml:space="preserve">. </w:t>
      </w:r>
      <w:r w:rsidR="00B068CB" w:rsidRPr="002A4292">
        <w:t>O</w:t>
      </w:r>
      <w:r w:rsidRPr="002A4292">
        <w:t xml:space="preserve">ne volunteer </w:t>
      </w:r>
      <w:r w:rsidR="00EA52D4" w:rsidRPr="002A4292">
        <w:t xml:space="preserve">is building capacity </w:t>
      </w:r>
      <w:r w:rsidRPr="002A4292">
        <w:t xml:space="preserve">in </w:t>
      </w:r>
      <w:r w:rsidR="00D50815">
        <w:t xml:space="preserve">the </w:t>
      </w:r>
      <w:r w:rsidR="00B068CB" w:rsidRPr="002A4292">
        <w:t>Kiribati’s</w:t>
      </w:r>
      <w:r w:rsidRPr="002A4292">
        <w:t xml:space="preserve"> Women’s Development Division</w:t>
      </w:r>
      <w:r w:rsidR="0008688E">
        <w:t xml:space="preserve">. </w:t>
      </w:r>
      <w:r w:rsidR="00EA52D4" w:rsidRPr="002A4292">
        <w:t xml:space="preserve">Another </w:t>
      </w:r>
      <w:r w:rsidR="00B068CB" w:rsidRPr="002A4292">
        <w:t xml:space="preserve">is </w:t>
      </w:r>
      <w:r w:rsidR="00AE5CCE" w:rsidRPr="002A4292">
        <w:t xml:space="preserve">working with </w:t>
      </w:r>
      <w:proofErr w:type="spellStart"/>
      <w:r w:rsidR="0061786F" w:rsidRPr="002A4292">
        <w:rPr>
          <w:bCs/>
        </w:rPr>
        <w:t>Aia</w:t>
      </w:r>
      <w:proofErr w:type="spellEnd"/>
      <w:r w:rsidR="0061786F" w:rsidRPr="002A4292">
        <w:rPr>
          <w:bCs/>
        </w:rPr>
        <w:t xml:space="preserve"> </w:t>
      </w:r>
      <w:proofErr w:type="spellStart"/>
      <w:r w:rsidR="0061786F" w:rsidRPr="002A4292">
        <w:rPr>
          <w:bCs/>
        </w:rPr>
        <w:t>Maea</w:t>
      </w:r>
      <w:proofErr w:type="spellEnd"/>
      <w:r w:rsidR="0061786F" w:rsidRPr="002A4292">
        <w:rPr>
          <w:bCs/>
        </w:rPr>
        <w:t xml:space="preserve"> </w:t>
      </w:r>
      <w:proofErr w:type="spellStart"/>
      <w:r w:rsidR="0061786F" w:rsidRPr="002A4292">
        <w:rPr>
          <w:bCs/>
        </w:rPr>
        <w:t>Ainen</w:t>
      </w:r>
      <w:proofErr w:type="spellEnd"/>
      <w:r w:rsidR="0061786F" w:rsidRPr="002A4292">
        <w:rPr>
          <w:bCs/>
        </w:rPr>
        <w:t xml:space="preserve"> Kiribati</w:t>
      </w:r>
      <w:r w:rsidR="00844546">
        <w:t xml:space="preserve"> </w:t>
      </w:r>
      <w:r w:rsidR="00AE5CCE" w:rsidRPr="002A4292">
        <w:t xml:space="preserve">(an umbrella body for women’s organisations in Kiribati) </w:t>
      </w:r>
      <w:r w:rsidR="00B068CB" w:rsidRPr="002A4292">
        <w:t xml:space="preserve">and </w:t>
      </w:r>
      <w:r w:rsidR="00AE5CCE" w:rsidRPr="002A4292">
        <w:t xml:space="preserve">has </w:t>
      </w:r>
      <w:r w:rsidR="00EE2A05" w:rsidRPr="002A4292">
        <w:t>analysed</w:t>
      </w:r>
      <w:r w:rsidR="00AE5CCE" w:rsidRPr="002A4292">
        <w:t xml:space="preserve"> the organisational capacity </w:t>
      </w:r>
      <w:r w:rsidR="0061786F" w:rsidRPr="002A4292">
        <w:t xml:space="preserve">of </w:t>
      </w:r>
      <w:r w:rsidR="00D50815">
        <w:t>most</w:t>
      </w:r>
      <w:r w:rsidR="0061786F" w:rsidRPr="002A4292">
        <w:t xml:space="preserve"> civil society</w:t>
      </w:r>
      <w:r w:rsidR="00AE5CCE" w:rsidRPr="002A4292">
        <w:t xml:space="preserve"> organisations in Kiribati </w:t>
      </w:r>
      <w:r w:rsidR="0061786F" w:rsidRPr="002A4292">
        <w:t xml:space="preserve">that advocate </w:t>
      </w:r>
      <w:r w:rsidR="00D50815">
        <w:t xml:space="preserve">to </w:t>
      </w:r>
      <w:r w:rsidR="00AE5CCE" w:rsidRPr="002A4292">
        <w:t>eliminat</w:t>
      </w:r>
      <w:r w:rsidR="00D50815">
        <w:t>e</w:t>
      </w:r>
      <w:r w:rsidR="00AE5CCE" w:rsidRPr="002A4292">
        <w:t xml:space="preserve"> sexual and gender based violence, empower women </w:t>
      </w:r>
      <w:r w:rsidR="00D50815">
        <w:t>and</w:t>
      </w:r>
      <w:r w:rsidR="00D50815" w:rsidRPr="002A4292">
        <w:t xml:space="preserve"> </w:t>
      </w:r>
      <w:r w:rsidR="00AE5CCE" w:rsidRPr="002A4292">
        <w:t>support victims and survivors</w:t>
      </w:r>
      <w:r w:rsidR="0008688E">
        <w:t xml:space="preserve">. </w:t>
      </w:r>
      <w:r w:rsidR="00EE2A05" w:rsidRPr="002A4292">
        <w:t>This analysis will inform</w:t>
      </w:r>
      <w:r w:rsidR="004628F9">
        <w:t xml:space="preserve"> </w:t>
      </w:r>
      <w:r w:rsidR="0007683F">
        <w:t>DFAT</w:t>
      </w:r>
      <w:r w:rsidR="0061786F" w:rsidRPr="002A4292">
        <w:t>’s</w:t>
      </w:r>
      <w:r w:rsidR="00EE2A05" w:rsidRPr="002A4292">
        <w:t xml:space="preserve"> country plan for Kiribati under the Pacific Women Shaping Pacific </w:t>
      </w:r>
      <w:r w:rsidR="0061786F" w:rsidRPr="002A4292">
        <w:t xml:space="preserve">Development </w:t>
      </w:r>
      <w:r w:rsidR="00EE2A05" w:rsidRPr="002A4292">
        <w:t>Initiative.</w:t>
      </w:r>
    </w:p>
    <w:p w:rsidR="00EE2A05" w:rsidRPr="002A4292" w:rsidRDefault="00EE2A05" w:rsidP="00BB79E6">
      <w:pPr>
        <w:pStyle w:val="Heading3"/>
      </w:pPr>
      <w:r w:rsidRPr="002A4292">
        <w:t xml:space="preserve">Visibility of the Australian </w:t>
      </w:r>
      <w:r w:rsidR="0050775D">
        <w:t>a</w:t>
      </w:r>
      <w:r w:rsidRPr="002A4292">
        <w:t xml:space="preserve">id </w:t>
      </w:r>
      <w:r w:rsidR="0050775D">
        <w:t>p</w:t>
      </w:r>
      <w:r w:rsidRPr="002A4292">
        <w:t xml:space="preserve">rogram </w:t>
      </w:r>
      <w:r w:rsidR="0061786F" w:rsidRPr="002A4292">
        <w:t>in</w:t>
      </w:r>
      <w:r w:rsidRPr="002A4292">
        <w:t xml:space="preserve"> Kiribati</w:t>
      </w:r>
    </w:p>
    <w:p w:rsidR="00EE2A05" w:rsidRPr="002A4292" w:rsidRDefault="00EE2A05" w:rsidP="00BB79E6">
      <w:pPr>
        <w:pStyle w:val="BodyText"/>
      </w:pPr>
      <w:r w:rsidRPr="002A4292">
        <w:t>In 2013</w:t>
      </w:r>
      <w:r w:rsidR="0050775D">
        <w:t>–</w:t>
      </w:r>
      <w:r w:rsidRPr="002A4292">
        <w:t>14, the Kiribati program will update its communication strategy for engaging with Kiribati stakeholders, development partners and an Australian audience</w:t>
      </w:r>
      <w:r w:rsidR="0008688E">
        <w:t xml:space="preserve">. </w:t>
      </w:r>
      <w:r w:rsidRPr="002A4292">
        <w:t xml:space="preserve">The strategy will look for </w:t>
      </w:r>
      <w:r w:rsidR="00A0620B">
        <w:t xml:space="preserve">new </w:t>
      </w:r>
      <w:r w:rsidRPr="002A4292">
        <w:t>opportunities to promote the aid program, including through project branding and media releases</w:t>
      </w:r>
      <w:r w:rsidR="0008688E">
        <w:t xml:space="preserve">. </w:t>
      </w:r>
    </w:p>
    <w:p w:rsidR="00695E6D" w:rsidRPr="002A4292" w:rsidRDefault="00695E6D" w:rsidP="00BB79E6">
      <w:pPr>
        <w:pStyle w:val="Heading1"/>
      </w:pPr>
      <w:r w:rsidRPr="002A4292">
        <w:lastRenderedPageBreak/>
        <w:t xml:space="preserve">Quality at </w:t>
      </w:r>
      <w:r w:rsidR="0050775D">
        <w:t>i</w:t>
      </w:r>
      <w:r w:rsidRPr="002A4292">
        <w:t>mplementation ratings</w:t>
      </w:r>
    </w:p>
    <w:p w:rsidR="00695E6D" w:rsidRPr="002A4292" w:rsidRDefault="00695E6D" w:rsidP="00BB79E6">
      <w:pPr>
        <w:pStyle w:val="BodyText"/>
      </w:pPr>
      <w:r w:rsidRPr="002A4292">
        <w:t xml:space="preserve">Quality at </w:t>
      </w:r>
      <w:r w:rsidR="00D50815">
        <w:t>i</w:t>
      </w:r>
      <w:r w:rsidRPr="002A4292">
        <w:t>mplementation ratings for all active Kiribati initiatives</w:t>
      </w:r>
      <w:r w:rsidR="00D50815">
        <w:t xml:space="preserve"> </w:t>
      </w:r>
      <w:r w:rsidR="00844546">
        <w:t xml:space="preserve">are </w:t>
      </w:r>
      <w:r w:rsidR="00D50815">
        <w:t>in Annex B</w:t>
      </w:r>
      <w:r w:rsidR="0008688E">
        <w:t xml:space="preserve">. </w:t>
      </w:r>
      <w:r w:rsidRPr="002A4292">
        <w:t>Trends in 2012 ratings were similar to 2011</w:t>
      </w:r>
      <w:r w:rsidR="0008688E">
        <w:t xml:space="preserve">. </w:t>
      </w:r>
      <w:r w:rsidRPr="002A4292">
        <w:t>The efficiency of the Kiribati</w:t>
      </w:r>
      <w:r w:rsidR="00903149">
        <w:t>-</w:t>
      </w:r>
      <w:r w:rsidRPr="002A4292">
        <w:t xml:space="preserve">Australia Nursing Initiative, Australia Awards Initiative and </w:t>
      </w:r>
      <w:r w:rsidR="00574320">
        <w:t>i</w:t>
      </w:r>
      <w:r w:rsidR="00574320" w:rsidRPr="002A4292">
        <w:t xml:space="preserve">nfrastructure </w:t>
      </w:r>
      <w:r w:rsidR="00574320">
        <w:t>outcome</w:t>
      </w:r>
      <w:r w:rsidR="00574320" w:rsidRPr="002A4292">
        <w:t xml:space="preserve"> </w:t>
      </w:r>
      <w:r w:rsidRPr="002A4292">
        <w:t>remain a concern</w:t>
      </w:r>
      <w:r w:rsidR="0008688E">
        <w:t xml:space="preserve">. </w:t>
      </w:r>
      <w:r w:rsidR="00D50815">
        <w:t xml:space="preserve">The efficiency of the </w:t>
      </w:r>
      <w:r w:rsidR="00574320">
        <w:t xml:space="preserve">growth </w:t>
      </w:r>
      <w:r w:rsidR="00D50815">
        <w:t xml:space="preserve">and </w:t>
      </w:r>
      <w:r w:rsidR="00EE4AB8">
        <w:t>e</w:t>
      </w:r>
      <w:r w:rsidR="00D50815">
        <w:t xml:space="preserve">conomic </w:t>
      </w:r>
      <w:r w:rsidR="00574320">
        <w:t>management outcome</w:t>
      </w:r>
      <w:r w:rsidR="00574320" w:rsidRPr="002A4292">
        <w:t xml:space="preserve"> </w:t>
      </w:r>
      <w:r w:rsidRPr="002A4292">
        <w:t>improve</w:t>
      </w:r>
      <w:r w:rsidR="00D50815">
        <w:t>d</w:t>
      </w:r>
      <w:r w:rsidRPr="002A4292">
        <w:rPr>
          <w:rStyle w:val="FootnoteReference"/>
          <w:sz w:val="14"/>
          <w:szCs w:val="22"/>
        </w:rPr>
        <w:footnoteReference w:id="42"/>
      </w:r>
      <w:r w:rsidR="00D50815">
        <w:t xml:space="preserve">, </w:t>
      </w:r>
      <w:r w:rsidRPr="002A4292">
        <w:t xml:space="preserve">reflecting the World Bank’s success in bringing development partners and the Government of Kiribati together in regular policy </w:t>
      </w:r>
      <w:r w:rsidR="00D50815">
        <w:t>discussion</w:t>
      </w:r>
      <w:r w:rsidRPr="002A4292">
        <w:t>.</w:t>
      </w:r>
    </w:p>
    <w:p w:rsidR="00F75D3E" w:rsidRPr="002A4292" w:rsidRDefault="00695E6D" w:rsidP="00BB79E6">
      <w:pPr>
        <w:pStyle w:val="BodyText"/>
      </w:pPr>
      <w:r w:rsidRPr="002A4292">
        <w:t>Monitoring and evaluati</w:t>
      </w:r>
      <w:r w:rsidR="00D50815">
        <w:t>ng</w:t>
      </w:r>
      <w:r w:rsidRPr="002A4292">
        <w:t xml:space="preserve"> programs continued to be poor in 2012, with all but the Basic Education Program rated as ‘less than adequate quality’</w:t>
      </w:r>
      <w:r w:rsidR="0008688E">
        <w:t>.</w:t>
      </w:r>
      <w:r w:rsidR="00265491">
        <w:t xml:space="preserve"> The p</w:t>
      </w:r>
      <w:r w:rsidRPr="002A4292">
        <w:t xml:space="preserve">erformance </w:t>
      </w:r>
      <w:r w:rsidR="00D50815">
        <w:t>a</w:t>
      </w:r>
      <w:r w:rsidRPr="002A4292">
        <w:t xml:space="preserve">ssessment </w:t>
      </w:r>
      <w:r w:rsidR="00D50815">
        <w:t>f</w:t>
      </w:r>
      <w:r w:rsidRPr="002A4292">
        <w:t xml:space="preserve">ramework for the TVET Sector Strengthening Program </w:t>
      </w:r>
      <w:r w:rsidR="00D50815">
        <w:t xml:space="preserve">was </w:t>
      </w:r>
      <w:r w:rsidRPr="002A4292">
        <w:t>revised, and no</w:t>
      </w:r>
      <w:r w:rsidR="003B476C" w:rsidRPr="002A4292">
        <w:t>w focuse</w:t>
      </w:r>
      <w:r w:rsidR="00D50815">
        <w:t>s</w:t>
      </w:r>
      <w:r w:rsidR="003B476C" w:rsidRPr="002A4292">
        <w:t xml:space="preserve"> on obtaining </w:t>
      </w:r>
      <w:r w:rsidRPr="002A4292">
        <w:t>information on outputs rather than inputs and activities</w:t>
      </w:r>
      <w:r w:rsidR="0008688E">
        <w:t xml:space="preserve">. </w:t>
      </w:r>
      <w:r w:rsidR="00DA1336">
        <w:t>T</w:t>
      </w:r>
      <w:r w:rsidRPr="002A4292">
        <w:t xml:space="preserve">he </w:t>
      </w:r>
      <w:r w:rsidR="00574320">
        <w:t>g</w:t>
      </w:r>
      <w:r w:rsidR="00574320" w:rsidRPr="002A4292">
        <w:t xml:space="preserve">rowth </w:t>
      </w:r>
      <w:r w:rsidRPr="002A4292">
        <w:t xml:space="preserve">and </w:t>
      </w:r>
      <w:r w:rsidR="00EE4AB8">
        <w:t>e</w:t>
      </w:r>
      <w:r w:rsidR="00EE4AB8" w:rsidRPr="002A4292">
        <w:t xml:space="preserve">conomic </w:t>
      </w:r>
      <w:r w:rsidR="00EE4AB8">
        <w:t>m</w:t>
      </w:r>
      <w:r w:rsidRPr="002A4292">
        <w:t xml:space="preserve">anagement </w:t>
      </w:r>
      <w:r w:rsidR="00EE4AB8">
        <w:t>o</w:t>
      </w:r>
      <w:r w:rsidRPr="002A4292">
        <w:t>utcome ha</w:t>
      </w:r>
      <w:r w:rsidR="00DA1336">
        <w:t>s</w:t>
      </w:r>
      <w:r w:rsidR="00DC1EB7" w:rsidRPr="002A4292">
        <w:t xml:space="preserve"> a</w:t>
      </w:r>
      <w:r w:rsidRPr="002A4292">
        <w:t xml:space="preserve"> monitoring framework</w:t>
      </w:r>
      <w:r w:rsidR="00DA1336">
        <w:t xml:space="preserve"> covering its individual activities</w:t>
      </w:r>
      <w:r w:rsidR="0008688E">
        <w:t xml:space="preserve">. </w:t>
      </w:r>
      <w:r w:rsidRPr="002A4292">
        <w:t>However the</w:t>
      </w:r>
      <w:r w:rsidR="00DC1EB7" w:rsidRPr="002A4292">
        <w:t xml:space="preserve"> sector as a whole has been poor</w:t>
      </w:r>
      <w:r w:rsidR="003B476C" w:rsidRPr="002A4292">
        <w:t>ly</w:t>
      </w:r>
      <w:r w:rsidR="00DC1EB7" w:rsidRPr="002A4292">
        <w:t xml:space="preserve"> monitored and evaluated</w:t>
      </w:r>
      <w:r w:rsidR="0008688E">
        <w:t xml:space="preserve">. </w:t>
      </w:r>
      <w:r w:rsidRPr="002A4292">
        <w:t xml:space="preserve">Regular policy </w:t>
      </w:r>
      <w:r w:rsidR="00DA1336">
        <w:t>discussion</w:t>
      </w:r>
      <w:r w:rsidR="00DA1336" w:rsidRPr="002A4292">
        <w:t xml:space="preserve"> </w:t>
      </w:r>
      <w:r w:rsidRPr="002A4292">
        <w:t>is expected to improve</w:t>
      </w:r>
      <w:r w:rsidR="0007683F">
        <w:t xml:space="preserve"> DFAT</w:t>
      </w:r>
      <w:r w:rsidR="005666B6">
        <w:t>’s</w:t>
      </w:r>
      <w:r w:rsidRPr="002A4292">
        <w:t xml:space="preserve"> ability to measure change and annual (instead of bi-annual) International Monetary Fund monitoring visits in 2013 </w:t>
      </w:r>
      <w:r w:rsidR="00265491">
        <w:t>are</w:t>
      </w:r>
      <w:r w:rsidR="00265491" w:rsidRPr="002A4292">
        <w:t xml:space="preserve"> </w:t>
      </w:r>
      <w:r w:rsidR="005666B6">
        <w:t xml:space="preserve">also </w:t>
      </w:r>
      <w:r w:rsidRPr="002A4292">
        <w:t>expected</w:t>
      </w:r>
      <w:r w:rsidR="00265491">
        <w:t xml:space="preserve"> to</w:t>
      </w:r>
      <w:r w:rsidRPr="002A4292">
        <w:t xml:space="preserve"> help</w:t>
      </w:r>
      <w:r w:rsidR="0008688E">
        <w:t xml:space="preserve">. </w:t>
      </w:r>
      <w:r w:rsidR="00DA1336">
        <w:t>I</w:t>
      </w:r>
      <w:r w:rsidRPr="002A4292">
        <w:t xml:space="preserve">t </w:t>
      </w:r>
      <w:r w:rsidR="0061786F" w:rsidRPr="002A4292">
        <w:t xml:space="preserve">is </w:t>
      </w:r>
      <w:r w:rsidRPr="002A4292">
        <w:t>not clear that information gathered from the</w:t>
      </w:r>
      <w:r w:rsidR="00DA1336">
        <w:t xml:space="preserve"> Asian Development Bank and World Bank</w:t>
      </w:r>
      <w:r w:rsidR="003B476C" w:rsidRPr="002A4292">
        <w:t xml:space="preserve"> monitoring missions has</w:t>
      </w:r>
      <w:r w:rsidRPr="002A4292">
        <w:t xml:space="preserve"> been used to improve effectiveness of infrastructure projects and </w:t>
      </w:r>
      <w:r w:rsidR="0007683F">
        <w:t>DFAT</w:t>
      </w:r>
      <w:r w:rsidR="004628F9">
        <w:t xml:space="preserve"> </w:t>
      </w:r>
      <w:r w:rsidR="0061786F" w:rsidRPr="002A4292">
        <w:t>has</w:t>
      </w:r>
      <w:r w:rsidRPr="002A4292">
        <w:t xml:space="preserve"> already allocated extra resources to monitor projects and ensure issues identified are addressed</w:t>
      </w:r>
      <w:r w:rsidR="0008688E">
        <w:t xml:space="preserve">. </w:t>
      </w:r>
      <w:r w:rsidR="0007683F">
        <w:t xml:space="preserve">DFAT </w:t>
      </w:r>
      <w:r w:rsidR="00F75D3E" w:rsidRPr="002A4292">
        <w:t>will examine options for improving monitoring and evaluation across the Kiribati program</w:t>
      </w:r>
      <w:r w:rsidR="00DA1336">
        <w:t>,</w:t>
      </w:r>
      <w:r w:rsidR="00F75D3E" w:rsidRPr="002A4292">
        <w:t xml:space="preserve"> including through the development of </w:t>
      </w:r>
      <w:r w:rsidR="00A064E8" w:rsidRPr="002A4292">
        <w:t xml:space="preserve">a </w:t>
      </w:r>
      <w:r w:rsidR="00DA1336">
        <w:t>p</w:t>
      </w:r>
      <w:r w:rsidR="00F75D3E" w:rsidRPr="002A4292">
        <w:t xml:space="preserve">erformance </w:t>
      </w:r>
      <w:r w:rsidR="00DA1336">
        <w:t>a</w:t>
      </w:r>
      <w:r w:rsidR="00F75D3E" w:rsidRPr="002A4292">
        <w:t xml:space="preserve">ssessment </w:t>
      </w:r>
      <w:r w:rsidR="00DA1336">
        <w:t>f</w:t>
      </w:r>
      <w:r w:rsidR="00F75D3E" w:rsidRPr="002A4292">
        <w:t xml:space="preserve">ramework and engaging more technical support </w:t>
      </w:r>
      <w:r w:rsidR="00DA1336">
        <w:t xml:space="preserve">through the </w:t>
      </w:r>
      <w:r w:rsidR="00F75D3E" w:rsidRPr="002A4292">
        <w:t xml:space="preserve">Quality, Performance </w:t>
      </w:r>
      <w:r w:rsidR="00DA1336">
        <w:t>and</w:t>
      </w:r>
      <w:r w:rsidR="00F75D3E" w:rsidRPr="002A4292">
        <w:t xml:space="preserve"> Results Branch</w:t>
      </w:r>
      <w:r w:rsidR="00A064E8" w:rsidRPr="002A4292">
        <w:t>.</w:t>
      </w:r>
    </w:p>
    <w:p w:rsidR="002A4292" w:rsidRDefault="003B476C" w:rsidP="00BB79E6">
      <w:pPr>
        <w:pStyle w:val="BodyText"/>
      </w:pPr>
      <w:r w:rsidRPr="002A4292">
        <w:t xml:space="preserve">Overall, the sustainability of </w:t>
      </w:r>
      <w:r w:rsidR="00A0620B">
        <w:t>Australia</w:t>
      </w:r>
      <w:r w:rsidR="001E7478" w:rsidRPr="002A4292">
        <w:t>’s</w:t>
      </w:r>
      <w:r w:rsidRPr="002A4292">
        <w:t xml:space="preserve"> investments is satisfactory, bearing in mind that Kiribati has very few options to generate the revenue required to sustain most investments</w:t>
      </w:r>
      <w:r w:rsidR="0008688E">
        <w:t xml:space="preserve">. </w:t>
      </w:r>
      <w:r w:rsidRPr="002A4292">
        <w:t>As discussed throughout th</w:t>
      </w:r>
      <w:r w:rsidR="00DA1336">
        <w:t>is</w:t>
      </w:r>
      <w:r w:rsidRPr="002A4292">
        <w:t xml:space="preserve"> </w:t>
      </w:r>
      <w:r w:rsidR="007B2970">
        <w:t>APR</w:t>
      </w:r>
      <w:r w:rsidR="00A0620B">
        <w:t>, all</w:t>
      </w:r>
      <w:r w:rsidRPr="002A4292">
        <w:t xml:space="preserve"> programs (with the exception of </w:t>
      </w:r>
      <w:r w:rsidR="00EE4AB8">
        <w:t>g</w:t>
      </w:r>
      <w:r w:rsidRPr="002A4292">
        <w:t xml:space="preserve">rowth and </w:t>
      </w:r>
      <w:r w:rsidR="00EE4AB8">
        <w:t>e</w:t>
      </w:r>
      <w:r w:rsidRPr="002A4292">
        <w:t xml:space="preserve">conomic </w:t>
      </w:r>
      <w:r w:rsidR="00EE4AB8">
        <w:t>m</w:t>
      </w:r>
      <w:r w:rsidRPr="002A4292">
        <w:t xml:space="preserve">anagement) focus on gender equality. </w:t>
      </w:r>
    </w:p>
    <w:p w:rsidR="00695E6D" w:rsidRPr="00BB79E6" w:rsidRDefault="00695E6D" w:rsidP="00BB79E6">
      <w:pPr>
        <w:pStyle w:val="Heading1"/>
      </w:pPr>
      <w:r w:rsidRPr="00BB79E6">
        <w:t xml:space="preserve">Management </w:t>
      </w:r>
      <w:r w:rsidR="0050775D" w:rsidRPr="00BB79E6">
        <w:t>c</w:t>
      </w:r>
      <w:r w:rsidRPr="00BB79E6">
        <w:t>onsequences</w:t>
      </w:r>
      <w:r w:rsidR="000C41EE" w:rsidRPr="00BB79E6">
        <w:tab/>
      </w:r>
    </w:p>
    <w:p w:rsidR="00695E6D" w:rsidRPr="002A4292" w:rsidRDefault="00695E6D" w:rsidP="00BB79E6">
      <w:pPr>
        <w:pStyle w:val="BodyText"/>
        <w:rPr>
          <w:i/>
        </w:rPr>
      </w:pPr>
      <w:r w:rsidRPr="002A4292">
        <w:t>Management consequences of the 2012</w:t>
      </w:r>
      <w:r w:rsidR="0050775D">
        <w:t>–</w:t>
      </w:r>
      <w:r w:rsidRPr="002A4292">
        <w:t xml:space="preserve">13 </w:t>
      </w:r>
      <w:r w:rsidR="007B2970">
        <w:t>APPR</w:t>
      </w:r>
      <w:r w:rsidRPr="002A4292">
        <w:t xml:space="preserve"> are:</w:t>
      </w:r>
    </w:p>
    <w:p w:rsidR="00695E6D" w:rsidRPr="002A4292" w:rsidRDefault="0007683F" w:rsidP="00BB79E6">
      <w:pPr>
        <w:pStyle w:val="ListBullet"/>
      </w:pPr>
      <w:r>
        <w:t xml:space="preserve">DFAT </w:t>
      </w:r>
      <w:r w:rsidR="00695E6D" w:rsidRPr="002A4292">
        <w:t xml:space="preserve">to </w:t>
      </w:r>
      <w:r w:rsidR="001E7478" w:rsidRPr="002A4292">
        <w:t>undertake analytical work on</w:t>
      </w:r>
      <w:r w:rsidR="00695E6D" w:rsidRPr="002A4292">
        <w:t>:</w:t>
      </w:r>
    </w:p>
    <w:p w:rsidR="006758F3" w:rsidRPr="002A4292" w:rsidRDefault="00695E6D" w:rsidP="00BB79E6">
      <w:pPr>
        <w:pStyle w:val="ListBullet2"/>
      </w:pPr>
      <w:r w:rsidRPr="002A4292">
        <w:t>drivers of economic growth and household incomes</w:t>
      </w:r>
    </w:p>
    <w:p w:rsidR="006758F3" w:rsidRPr="002A4292" w:rsidRDefault="006758F3" w:rsidP="00BB79E6">
      <w:pPr>
        <w:pStyle w:val="ListBullet2"/>
      </w:pPr>
      <w:r w:rsidRPr="002A4292">
        <w:t xml:space="preserve">opportunities for </w:t>
      </w:r>
      <w:r w:rsidR="00263E83" w:rsidRPr="002A4292">
        <w:t>i-Kiribati</w:t>
      </w:r>
      <w:r w:rsidRPr="002A4292">
        <w:t xml:space="preserve"> women and men in the domestic and international labour market and the likely benefits and costs of increased labour mobility</w:t>
      </w:r>
    </w:p>
    <w:p w:rsidR="00B10F80" w:rsidRPr="002A4292" w:rsidRDefault="00B10F80" w:rsidP="00BB79E6">
      <w:pPr>
        <w:pStyle w:val="ListBullet2"/>
      </w:pPr>
      <w:r w:rsidRPr="002A4292">
        <w:t>political economy of decision making on economic and state</w:t>
      </w:r>
      <w:r w:rsidR="00A70C52">
        <w:t>-</w:t>
      </w:r>
      <w:r w:rsidRPr="002A4292">
        <w:t>owned enterprise reform</w:t>
      </w:r>
    </w:p>
    <w:p w:rsidR="00695E6D" w:rsidRPr="002A4292" w:rsidRDefault="00695E6D" w:rsidP="00BB79E6">
      <w:pPr>
        <w:pStyle w:val="ListBullet2"/>
      </w:pPr>
      <w:r w:rsidRPr="002A4292">
        <w:t>demographic trends and the likely impacts</w:t>
      </w:r>
      <w:r w:rsidR="003B476C" w:rsidRPr="002A4292">
        <w:t xml:space="preserve"> of</w:t>
      </w:r>
      <w:r w:rsidRPr="002A4292">
        <w:t xml:space="preserve"> population growth, including impacts </w:t>
      </w:r>
      <w:r w:rsidR="003B476C" w:rsidRPr="002A4292">
        <w:t>on the cost of education</w:t>
      </w:r>
      <w:r w:rsidRPr="002A4292">
        <w:t xml:space="preserve"> and health delivery</w:t>
      </w:r>
    </w:p>
    <w:p w:rsidR="00F8199D" w:rsidRPr="002A4292" w:rsidRDefault="00F8199D" w:rsidP="00BB79E6">
      <w:pPr>
        <w:pStyle w:val="ListBullet2"/>
      </w:pPr>
      <w:r w:rsidRPr="002A4292">
        <w:t>health</w:t>
      </w:r>
      <w:r w:rsidR="00DA4EEC" w:rsidRPr="002A4292">
        <w:t xml:space="preserve"> services and the need for additional donor assistance</w:t>
      </w:r>
    </w:p>
    <w:p w:rsidR="00695E6D" w:rsidRPr="002A4292" w:rsidRDefault="00695E6D" w:rsidP="00BB79E6">
      <w:pPr>
        <w:pStyle w:val="ListBullet2"/>
      </w:pPr>
      <w:r w:rsidRPr="002A4292">
        <w:t xml:space="preserve">extent to which the overall country program </w:t>
      </w:r>
      <w:r w:rsidR="00DA1336">
        <w:t xml:space="preserve">has an </w:t>
      </w:r>
      <w:r w:rsidRPr="002A4292">
        <w:t>impact</w:t>
      </w:r>
      <w:r w:rsidR="00DA1336">
        <w:t xml:space="preserve"> on</w:t>
      </w:r>
      <w:r w:rsidRPr="002A4292">
        <w:t xml:space="preserve"> the poor</w:t>
      </w:r>
    </w:p>
    <w:p w:rsidR="00695E6D" w:rsidRPr="002A4292" w:rsidRDefault="00695E6D" w:rsidP="00BB79E6">
      <w:pPr>
        <w:pStyle w:val="ListBullet2"/>
      </w:pPr>
      <w:proofErr w:type="gramStart"/>
      <w:r w:rsidRPr="002A4292">
        <w:t>opportunities</w:t>
      </w:r>
      <w:proofErr w:type="gramEnd"/>
      <w:r w:rsidRPr="002A4292">
        <w:t xml:space="preserve"> to better engage community organisations, including by supporting Australian or international non-government organisations to establish long</w:t>
      </w:r>
      <w:r w:rsidR="00DA1336">
        <w:t>-</w:t>
      </w:r>
      <w:r w:rsidRPr="002A4292">
        <w:t>term programs in-country and develop local civil society organisation capacity</w:t>
      </w:r>
      <w:r w:rsidR="00A70C52">
        <w:t xml:space="preserve">. </w:t>
      </w:r>
    </w:p>
    <w:p w:rsidR="00695E6D" w:rsidRPr="002A4292" w:rsidRDefault="0007683F" w:rsidP="00BB79E6">
      <w:pPr>
        <w:pStyle w:val="ListBullet"/>
      </w:pPr>
      <w:r>
        <w:t xml:space="preserve">DFAT </w:t>
      </w:r>
      <w:r w:rsidR="00695E6D" w:rsidRPr="002A4292">
        <w:t>to</w:t>
      </w:r>
      <w:r w:rsidR="00DA4EEC" w:rsidRPr="002A4292">
        <w:t xml:space="preserve"> continue policy </w:t>
      </w:r>
      <w:r w:rsidR="00DA1336">
        <w:t>discussion</w:t>
      </w:r>
      <w:r w:rsidR="00DA1336" w:rsidRPr="002A4292">
        <w:t xml:space="preserve"> </w:t>
      </w:r>
      <w:r w:rsidR="00DA4EEC" w:rsidRPr="002A4292">
        <w:t>with the Government of Kiribati on all programs</w:t>
      </w:r>
      <w:r w:rsidR="00265491">
        <w:t xml:space="preserve"> and</w:t>
      </w:r>
      <w:r w:rsidR="00DA4EEC" w:rsidRPr="002A4292">
        <w:t xml:space="preserve"> specifically</w:t>
      </w:r>
      <w:r w:rsidR="00695E6D" w:rsidRPr="002A4292">
        <w:t xml:space="preserve"> discuss at the 201</w:t>
      </w:r>
      <w:r w:rsidR="007B746F" w:rsidRPr="002A4292">
        <w:t>3</w:t>
      </w:r>
      <w:r w:rsidR="00695E6D" w:rsidRPr="002A4292">
        <w:t xml:space="preserve"> </w:t>
      </w:r>
      <w:r w:rsidR="00FC4623">
        <w:t>p</w:t>
      </w:r>
      <w:r w:rsidR="00695E6D" w:rsidRPr="002A4292">
        <w:t xml:space="preserve">artnership </w:t>
      </w:r>
      <w:r w:rsidR="00FC4623">
        <w:t>t</w:t>
      </w:r>
      <w:r w:rsidR="00695E6D" w:rsidRPr="002A4292">
        <w:t>alks</w:t>
      </w:r>
      <w:r w:rsidR="001E7478" w:rsidRPr="002A4292">
        <w:t>:</w:t>
      </w:r>
    </w:p>
    <w:p w:rsidR="00695E6D" w:rsidRPr="002A4292" w:rsidRDefault="00060FD6" w:rsidP="00BB79E6">
      <w:pPr>
        <w:pStyle w:val="ListBullet2"/>
      </w:pPr>
      <w:r>
        <w:lastRenderedPageBreak/>
        <w:t xml:space="preserve">the </w:t>
      </w:r>
      <w:r w:rsidR="00265491">
        <w:t>g</w:t>
      </w:r>
      <w:r w:rsidR="00695E6D" w:rsidRPr="002A4292">
        <w:t>overnment</w:t>
      </w:r>
      <w:r w:rsidR="00DA1336">
        <w:t>’s</w:t>
      </w:r>
      <w:r w:rsidR="00695E6D" w:rsidRPr="002A4292">
        <w:t xml:space="preserve"> progress in taking leadership, ownership and coordination of reforms, particularly </w:t>
      </w:r>
      <w:r w:rsidR="005B7D58" w:rsidRPr="002A4292">
        <w:t>through</w:t>
      </w:r>
      <w:r w:rsidR="00695E6D" w:rsidRPr="002A4292">
        <w:t xml:space="preserve"> strengthening the National Infrastructure Development Steering Committee</w:t>
      </w:r>
    </w:p>
    <w:p w:rsidR="000C41EE" w:rsidRPr="002A4292" w:rsidRDefault="00060FD6" w:rsidP="00BB79E6">
      <w:pPr>
        <w:pStyle w:val="ListBullet2"/>
      </w:pPr>
      <w:proofErr w:type="gramStart"/>
      <w:r>
        <w:t>the</w:t>
      </w:r>
      <w:proofErr w:type="gramEnd"/>
      <w:r>
        <w:t xml:space="preserve"> </w:t>
      </w:r>
      <w:r w:rsidR="00695E6D" w:rsidRPr="002A4292">
        <w:t xml:space="preserve">design and coordination of </w:t>
      </w:r>
      <w:r w:rsidR="00647538" w:rsidRPr="002A4292">
        <w:t xml:space="preserve">possible future </w:t>
      </w:r>
      <w:r w:rsidR="00695E6D" w:rsidRPr="002A4292">
        <w:t>Australia</w:t>
      </w:r>
      <w:r w:rsidR="00647538" w:rsidRPr="002A4292">
        <w:t>n</w:t>
      </w:r>
      <w:r w:rsidR="00695E6D" w:rsidRPr="002A4292">
        <w:t xml:space="preserve"> </w:t>
      </w:r>
      <w:r w:rsidR="000C41EE" w:rsidRPr="002A4292">
        <w:t>assistance to the health sector</w:t>
      </w:r>
      <w:r w:rsidR="003846E6">
        <w:t>.</w:t>
      </w:r>
      <w:r w:rsidR="00695E6D" w:rsidRPr="002A4292">
        <w:t xml:space="preserve"> </w:t>
      </w:r>
    </w:p>
    <w:p w:rsidR="00586249" w:rsidRPr="002A4292" w:rsidRDefault="0007683F" w:rsidP="00BB79E6">
      <w:pPr>
        <w:pStyle w:val="ListBullet"/>
        <w:rPr>
          <w:szCs w:val="22"/>
        </w:rPr>
      </w:pPr>
      <w:r>
        <w:t xml:space="preserve">DFAT </w:t>
      </w:r>
      <w:r w:rsidR="00647538" w:rsidRPr="002A4292">
        <w:t>to</w:t>
      </w:r>
      <w:r w:rsidR="007F0AA9" w:rsidRPr="002A4292">
        <w:t>:</w:t>
      </w:r>
      <w:r w:rsidR="00647538" w:rsidRPr="002A4292">
        <w:t xml:space="preserve"> </w:t>
      </w:r>
    </w:p>
    <w:p w:rsidR="00DA4EEC" w:rsidRPr="002A4292" w:rsidRDefault="00DA1336" w:rsidP="00634B78">
      <w:pPr>
        <w:pStyle w:val="ListBullet2"/>
      </w:pPr>
      <w:r>
        <w:t>be more</w:t>
      </w:r>
      <w:r w:rsidR="00647538" w:rsidRPr="002A4292">
        <w:t xml:space="preserve"> involve</w:t>
      </w:r>
      <w:r>
        <w:t>d</w:t>
      </w:r>
      <w:r w:rsidR="00647538" w:rsidRPr="002A4292">
        <w:t xml:space="preserve"> in the selection of Australia Awards Scholarships</w:t>
      </w:r>
      <w:r w:rsidR="00586249" w:rsidRPr="002A4292">
        <w:t xml:space="preserve"> for the 2014 intak</w:t>
      </w:r>
      <w:r w:rsidR="00780F1C" w:rsidRPr="002A4292">
        <w:t>e</w:t>
      </w:r>
      <w:r w:rsidR="00586249" w:rsidRPr="002A4292">
        <w:t xml:space="preserve"> to comply w</w:t>
      </w:r>
      <w:r w:rsidR="003C0CE8" w:rsidRPr="002A4292">
        <w:t xml:space="preserve">ith minimum </w:t>
      </w:r>
      <w:r w:rsidR="0007683F">
        <w:t xml:space="preserve">DFAT </w:t>
      </w:r>
      <w:r w:rsidR="00780F1C" w:rsidRPr="002A4292">
        <w:t>standards</w:t>
      </w:r>
    </w:p>
    <w:p w:rsidR="00647538" w:rsidRPr="002A4292" w:rsidRDefault="00647538" w:rsidP="00634B78">
      <w:pPr>
        <w:pStyle w:val="ListBullet2"/>
      </w:pPr>
      <w:r w:rsidRPr="002A4292">
        <w:t xml:space="preserve">examine options for outsourcing the administrative aspects of the </w:t>
      </w:r>
      <w:r w:rsidR="003C0CE8" w:rsidRPr="002A4292">
        <w:t xml:space="preserve">Australia Awards Scholarships </w:t>
      </w:r>
      <w:r w:rsidRPr="002A4292">
        <w:t>selection process to a managing contra</w:t>
      </w:r>
      <w:r w:rsidR="004854F6">
        <w:t>ctor to reduce the burden on</w:t>
      </w:r>
      <w:r w:rsidR="004628F9">
        <w:t xml:space="preserve"> </w:t>
      </w:r>
      <w:r w:rsidR="00436B8C">
        <w:t>DFAT</w:t>
      </w:r>
      <w:r w:rsidR="004854F6">
        <w:t xml:space="preserve">’s Tarawa </w:t>
      </w:r>
      <w:r w:rsidR="004854F6" w:rsidRPr="002A4292">
        <w:t>Post</w:t>
      </w:r>
    </w:p>
    <w:p w:rsidR="00DA4EEC" w:rsidRPr="002A4292" w:rsidRDefault="00DA4EEC" w:rsidP="00634B78">
      <w:pPr>
        <w:pStyle w:val="ListBullet2"/>
      </w:pPr>
      <w:proofErr w:type="gramStart"/>
      <w:r w:rsidRPr="002A4292">
        <w:t>investigate</w:t>
      </w:r>
      <w:proofErr w:type="gramEnd"/>
      <w:r w:rsidRPr="002A4292">
        <w:t xml:space="preserve"> the high non-completion rates for </w:t>
      </w:r>
      <w:r w:rsidR="00263E83" w:rsidRPr="002A4292">
        <w:t>i-Kiribati</w:t>
      </w:r>
      <w:r w:rsidRPr="002A4292">
        <w:t xml:space="preserve"> Australia Awards students</w:t>
      </w:r>
      <w:r w:rsidR="00440BA8" w:rsidRPr="002A4292">
        <w:t>.</w:t>
      </w:r>
    </w:p>
    <w:p w:rsidR="00695E6D" w:rsidRPr="002A4292" w:rsidRDefault="00436B8C" w:rsidP="00BB79E6">
      <w:pPr>
        <w:pStyle w:val="ListBullet"/>
      </w:pPr>
      <w:r>
        <w:t xml:space="preserve">DFAT </w:t>
      </w:r>
      <w:r w:rsidR="00695E6D" w:rsidRPr="002A4292">
        <w:t>to use the findings of the independent review of the Kiribati</w:t>
      </w:r>
      <w:r w:rsidR="00903149">
        <w:t>-</w:t>
      </w:r>
      <w:r w:rsidR="00695E6D" w:rsidRPr="002A4292">
        <w:t>Australia Nursing Initiative to inform a decision about how to</w:t>
      </w:r>
      <w:r w:rsidR="004412D7" w:rsidRPr="002A4292">
        <w:t xml:space="preserve"> reshape support </w:t>
      </w:r>
      <w:r w:rsidR="001E7478" w:rsidRPr="002A4292">
        <w:t>to</w:t>
      </w:r>
      <w:r w:rsidR="004412D7" w:rsidRPr="002A4292">
        <w:t xml:space="preserve"> this sector</w:t>
      </w:r>
      <w:r w:rsidR="00695E6D" w:rsidRPr="002A4292">
        <w:t xml:space="preserve">. </w:t>
      </w:r>
    </w:p>
    <w:p w:rsidR="00F8199D" w:rsidRPr="002A4292" w:rsidRDefault="00436B8C" w:rsidP="00BB79E6">
      <w:pPr>
        <w:pStyle w:val="ListBullet"/>
      </w:pPr>
      <w:r>
        <w:t xml:space="preserve">DFAT </w:t>
      </w:r>
      <w:r w:rsidR="00702F88" w:rsidRPr="002A4292">
        <w:t>to</w:t>
      </w:r>
      <w:r w:rsidR="00C61639" w:rsidRPr="002A4292">
        <w:t xml:space="preserve"> en</w:t>
      </w:r>
      <w:r w:rsidR="001E7478" w:rsidRPr="002A4292">
        <w:t>courage</w:t>
      </w:r>
      <w:r w:rsidR="00702F88" w:rsidRPr="002A4292">
        <w:t xml:space="preserve"> the multilateral development banks to</w:t>
      </w:r>
      <w:r w:rsidR="00F8199D" w:rsidRPr="002A4292">
        <w:t>:</w:t>
      </w:r>
    </w:p>
    <w:p w:rsidR="00F8199D" w:rsidRPr="002A4292" w:rsidRDefault="00C61639" w:rsidP="00BB79E6">
      <w:pPr>
        <w:pStyle w:val="ListBullet2"/>
      </w:pPr>
      <w:r w:rsidRPr="002A4292">
        <w:t>maintain the disproportionate levels of program oversight required to ensure</w:t>
      </w:r>
      <w:r w:rsidR="001E7478" w:rsidRPr="002A4292">
        <w:t xml:space="preserve"> the</w:t>
      </w:r>
      <w:r w:rsidRPr="002A4292">
        <w:t xml:space="preserve"> G</w:t>
      </w:r>
      <w:r w:rsidR="00B56558" w:rsidRPr="002A4292">
        <w:t xml:space="preserve">overnment of </w:t>
      </w:r>
      <w:r w:rsidRPr="002A4292">
        <w:t>K</w:t>
      </w:r>
      <w:r w:rsidR="00B56558" w:rsidRPr="002A4292">
        <w:t>iribati</w:t>
      </w:r>
      <w:r w:rsidRPr="002A4292">
        <w:t xml:space="preserve"> has adequate support </w:t>
      </w:r>
      <w:r w:rsidR="001E7478" w:rsidRPr="002A4292">
        <w:t>for</w:t>
      </w:r>
      <w:r w:rsidRPr="002A4292">
        <w:t xml:space="preserve"> implementation activities and donor coordination</w:t>
      </w:r>
    </w:p>
    <w:p w:rsidR="00440BA8" w:rsidRPr="002A4292" w:rsidRDefault="00440BA8" w:rsidP="00BB79E6">
      <w:pPr>
        <w:pStyle w:val="ListBullet2"/>
      </w:pPr>
      <w:proofErr w:type="gramStart"/>
      <w:r w:rsidRPr="002A4292">
        <w:t>engage</w:t>
      </w:r>
      <w:proofErr w:type="gramEnd"/>
      <w:r w:rsidRPr="002A4292">
        <w:t xml:space="preserve"> a new in-country representative for the joint Development Corporation Office in Kiribati as a matter of priority</w:t>
      </w:r>
      <w:r w:rsidR="0008688E">
        <w:t xml:space="preserve">. </w:t>
      </w:r>
    </w:p>
    <w:p w:rsidR="00440BA8" w:rsidRDefault="00436B8C" w:rsidP="00BB79E6">
      <w:pPr>
        <w:pStyle w:val="ListBullet"/>
      </w:pPr>
      <w:r>
        <w:t xml:space="preserve">DFAT </w:t>
      </w:r>
      <w:r w:rsidR="00440BA8" w:rsidRPr="002A4292">
        <w:t xml:space="preserve">to examine options for improving monitoring and evaluation across the Kiribati program including through the development of a </w:t>
      </w:r>
      <w:r w:rsidR="00DA1336">
        <w:t>p</w:t>
      </w:r>
      <w:r w:rsidR="00440BA8" w:rsidRPr="002A4292">
        <w:t xml:space="preserve">erformance </w:t>
      </w:r>
      <w:r w:rsidR="00DA1336">
        <w:t>a</w:t>
      </w:r>
      <w:r w:rsidR="00440BA8" w:rsidRPr="002A4292">
        <w:t xml:space="preserve">ssessment </w:t>
      </w:r>
      <w:r w:rsidR="00DA1336">
        <w:t>f</w:t>
      </w:r>
      <w:r w:rsidR="00440BA8" w:rsidRPr="002A4292">
        <w:t xml:space="preserve">ramework and engaging more technical support </w:t>
      </w:r>
      <w:r w:rsidR="00DA1336">
        <w:t xml:space="preserve">through the </w:t>
      </w:r>
      <w:r w:rsidR="00440BA8" w:rsidRPr="002A4292">
        <w:t xml:space="preserve">Quality, Performance </w:t>
      </w:r>
      <w:r w:rsidR="00DA1336">
        <w:t>and</w:t>
      </w:r>
      <w:r w:rsidR="00440BA8" w:rsidRPr="002A4292">
        <w:t xml:space="preserve"> Results Branch</w:t>
      </w:r>
      <w:r w:rsidR="008E7F99" w:rsidRPr="002A4292">
        <w:t>.</w:t>
      </w:r>
    </w:p>
    <w:p w:rsidR="00091898" w:rsidRDefault="00091898" w:rsidP="00BB79E6">
      <w:pPr>
        <w:pStyle w:val="BodyText"/>
      </w:pPr>
      <w:r w:rsidRPr="00BB79E6">
        <w:t xml:space="preserve">Table </w:t>
      </w:r>
      <w:r w:rsidR="00AF2F21" w:rsidRPr="00BB79E6">
        <w:t>6</w:t>
      </w:r>
      <w:r w:rsidRPr="00BB79E6">
        <w:t xml:space="preserve"> lists the most significant risks associated with the program and the management actions</w:t>
      </w:r>
      <w:r>
        <w:t xml:space="preserve"> to be taken in response.</w:t>
      </w:r>
    </w:p>
    <w:p w:rsidR="00695E6D" w:rsidRDefault="00695E6D" w:rsidP="00BB79E6">
      <w:pPr>
        <w:pStyle w:val="Caption"/>
      </w:pPr>
      <w:r>
        <w:t xml:space="preserve">Table </w:t>
      </w:r>
      <w:r w:rsidR="00AF2F21">
        <w:t>6</w:t>
      </w:r>
      <w:r>
        <w:t xml:space="preserve"> Risks associated with the program and management actions</w:t>
      </w:r>
    </w:p>
    <w:tbl>
      <w:tblPr>
        <w:tblStyle w:val="APPR"/>
        <w:tblW w:w="5000" w:type="pct"/>
        <w:tblBorders>
          <w:top w:val="none" w:sz="0" w:space="0" w:color="auto"/>
          <w:bottom w:val="none" w:sz="0" w:space="0" w:color="auto"/>
        </w:tblBorders>
        <w:tblLook w:val="0600" w:firstRow="0" w:lastRow="0" w:firstColumn="0" w:lastColumn="0" w:noHBand="1" w:noVBand="1"/>
      </w:tblPr>
      <w:tblGrid>
        <w:gridCol w:w="3793"/>
        <w:gridCol w:w="4813"/>
      </w:tblGrid>
      <w:tr w:rsidR="00695E6D" w:rsidRPr="00180B19" w:rsidTr="008E06F4">
        <w:trPr>
          <w:cantSplit/>
        </w:trPr>
        <w:tc>
          <w:tcPr>
            <w:tcW w:w="2182" w:type="pct"/>
            <w:tcBorders>
              <w:top w:val="single" w:sz="12" w:space="0" w:color="000000" w:themeColor="text1"/>
            </w:tcBorders>
            <w:hideMark/>
          </w:tcPr>
          <w:p w:rsidR="00695E6D" w:rsidRPr="004C4A3E" w:rsidRDefault="00695E6D" w:rsidP="00780F1C">
            <w:pPr>
              <w:pStyle w:val="TableTextColumnHeading"/>
            </w:pPr>
            <w:r w:rsidRPr="004C4A3E">
              <w:t>Most significant risks</w:t>
            </w:r>
          </w:p>
        </w:tc>
        <w:tc>
          <w:tcPr>
            <w:tcW w:w="2774" w:type="pct"/>
            <w:tcBorders>
              <w:top w:val="single" w:sz="12" w:space="0" w:color="000000" w:themeColor="text1"/>
            </w:tcBorders>
          </w:tcPr>
          <w:p w:rsidR="00695E6D" w:rsidRPr="004C4A3E" w:rsidRDefault="00695E6D" w:rsidP="00DA1336">
            <w:pPr>
              <w:pStyle w:val="TableTextColumnHeading"/>
            </w:pPr>
            <w:r w:rsidRPr="004C4A3E">
              <w:t xml:space="preserve">Management </w:t>
            </w:r>
            <w:r w:rsidR="003846E6">
              <w:t>r</w:t>
            </w:r>
            <w:r w:rsidRPr="004C4A3E">
              <w:t>esponse</w:t>
            </w:r>
            <w:r w:rsidR="00DA1336">
              <w:t>—</w:t>
            </w:r>
            <w:r w:rsidRPr="004C4A3E">
              <w:t xml:space="preserve">What? Who? How? When? </w:t>
            </w:r>
          </w:p>
        </w:tc>
      </w:tr>
      <w:tr w:rsidR="00695E6D" w:rsidRPr="00180B19" w:rsidTr="00BB79E6">
        <w:trPr>
          <w:cantSplit/>
          <w:tblHeader w:val="0"/>
        </w:trPr>
        <w:tc>
          <w:tcPr>
            <w:tcW w:w="2182" w:type="pct"/>
            <w:hideMark/>
          </w:tcPr>
          <w:p w:rsidR="00695E6D" w:rsidRPr="00AF2F21" w:rsidRDefault="00695E6D" w:rsidP="00BB79E6">
            <w:pPr>
              <w:pStyle w:val="TableTextEntries"/>
            </w:pPr>
            <w:r w:rsidRPr="00AF2F21">
              <w:t>Government of Kiribati will lack the capacity to lead, own and coordinate reform</w:t>
            </w:r>
          </w:p>
        </w:tc>
        <w:tc>
          <w:tcPr>
            <w:tcW w:w="2774" w:type="pct"/>
          </w:tcPr>
          <w:p w:rsidR="00695E6D" w:rsidRDefault="00436B8C" w:rsidP="00BB79E6">
            <w:pPr>
              <w:pStyle w:val="TableTextEntries"/>
            </w:pPr>
            <w:r>
              <w:t xml:space="preserve">DFAT </w:t>
            </w:r>
            <w:r w:rsidR="00695E6D">
              <w:t>Counsellor</w:t>
            </w:r>
            <w:r w:rsidR="00091898">
              <w:t xml:space="preserve"> in</w:t>
            </w:r>
            <w:r w:rsidR="00695E6D">
              <w:t xml:space="preserve"> Tarawa and Minister Counsellor </w:t>
            </w:r>
            <w:r w:rsidR="00091898">
              <w:t xml:space="preserve">in </w:t>
            </w:r>
            <w:r w:rsidR="00695E6D">
              <w:t>Suva to use 2013</w:t>
            </w:r>
            <w:r w:rsidR="00265491">
              <w:t>–</w:t>
            </w:r>
            <w:r w:rsidR="00695E6D">
              <w:t xml:space="preserve">14 </w:t>
            </w:r>
            <w:r w:rsidR="00091898">
              <w:t xml:space="preserve">discussion </w:t>
            </w:r>
            <w:r w:rsidR="00695E6D">
              <w:t xml:space="preserve">opportunities to </w:t>
            </w:r>
            <w:r w:rsidR="00091898">
              <w:t xml:space="preserve">explore </w:t>
            </w:r>
            <w:r w:rsidR="00695E6D">
              <w:t xml:space="preserve">specific ways for the </w:t>
            </w:r>
            <w:r w:rsidR="00091898">
              <w:t>g</w:t>
            </w:r>
            <w:r w:rsidR="00695E6D">
              <w:t>overnment to improve leadership, ownership and coordination of reforms</w:t>
            </w:r>
            <w:r w:rsidR="0008688E">
              <w:t xml:space="preserve">. </w:t>
            </w:r>
          </w:p>
          <w:p w:rsidR="00695E6D" w:rsidRPr="004C4A3E" w:rsidRDefault="00695E6D" w:rsidP="00BB79E6">
            <w:pPr>
              <w:pStyle w:val="TableTextEntries"/>
            </w:pPr>
            <w:r>
              <w:t>At program level, Counsellor to monitor effectiveness of steering committees to oversee program performance and the</w:t>
            </w:r>
            <w:r w:rsidR="00E967BA">
              <w:t xml:space="preserve"> g</w:t>
            </w:r>
            <w:r>
              <w:t>overnment’s capacity to make informed decisions about the reform agenda</w:t>
            </w:r>
            <w:r w:rsidR="00A70C52">
              <w:t xml:space="preserve">. </w:t>
            </w:r>
          </w:p>
        </w:tc>
      </w:tr>
      <w:tr w:rsidR="00695E6D" w:rsidRPr="00180B19" w:rsidTr="00BB79E6">
        <w:trPr>
          <w:cantSplit/>
          <w:tblHeader w:val="0"/>
        </w:trPr>
        <w:tc>
          <w:tcPr>
            <w:tcW w:w="2182" w:type="pct"/>
          </w:tcPr>
          <w:p w:rsidR="00695E6D" w:rsidRPr="00AF2F21" w:rsidRDefault="00AF2F21" w:rsidP="00BB79E6">
            <w:pPr>
              <w:pStyle w:val="TableTextEntries"/>
            </w:pPr>
            <w:r>
              <w:t>Development partners, particularly the multilateral development banks, will have u</w:t>
            </w:r>
            <w:r w:rsidR="00695E6D" w:rsidRPr="00AF2F21">
              <w:t>nrealistic expectations of the Government of Kiribati’s implementation capacity</w:t>
            </w:r>
            <w:r>
              <w:t xml:space="preserve"> and this will </w:t>
            </w:r>
            <w:r w:rsidR="00695E6D" w:rsidRPr="00AF2F21">
              <w:t>affect the achievement of results</w:t>
            </w:r>
          </w:p>
        </w:tc>
        <w:tc>
          <w:tcPr>
            <w:tcW w:w="2774" w:type="pct"/>
          </w:tcPr>
          <w:p w:rsidR="00695E6D" w:rsidRPr="004C4A3E" w:rsidRDefault="00436B8C" w:rsidP="00BB79E6">
            <w:pPr>
              <w:pStyle w:val="TableTextEntries"/>
            </w:pPr>
            <w:r>
              <w:t xml:space="preserve">DFAT </w:t>
            </w:r>
            <w:r w:rsidR="00695E6D">
              <w:t xml:space="preserve">Director </w:t>
            </w:r>
            <w:r w:rsidR="00C9461F">
              <w:t>Microstates</w:t>
            </w:r>
            <w:r w:rsidR="00103AF7">
              <w:t xml:space="preserve"> in Canberra</w:t>
            </w:r>
            <w:r w:rsidR="00695E6D">
              <w:t xml:space="preserve">, Counsellor </w:t>
            </w:r>
            <w:r w:rsidR="00091898">
              <w:t xml:space="preserve">in </w:t>
            </w:r>
            <w:r w:rsidR="00695E6D">
              <w:t xml:space="preserve">Tarawa and Minister Counsellor </w:t>
            </w:r>
            <w:r w:rsidR="00091898">
              <w:t xml:space="preserve">in </w:t>
            </w:r>
            <w:r w:rsidR="00695E6D">
              <w:t>Suva to use 2013</w:t>
            </w:r>
            <w:r w:rsidR="00265491">
              <w:t>–</w:t>
            </w:r>
            <w:r w:rsidR="00695E6D">
              <w:t xml:space="preserve">14 </w:t>
            </w:r>
            <w:r w:rsidR="00091898">
              <w:t xml:space="preserve">discussion </w:t>
            </w:r>
            <w:r w:rsidR="00695E6D">
              <w:t>opportunities with development partners at program, country and regional level</w:t>
            </w:r>
            <w:r w:rsidR="00091898">
              <w:t>s</w:t>
            </w:r>
            <w:r w:rsidR="00695E6D">
              <w:t xml:space="preserve"> to promote the need to </w:t>
            </w:r>
            <w:r w:rsidR="00695E6D" w:rsidRPr="003C6FDC">
              <w:t>understand</w:t>
            </w:r>
            <w:r w:rsidR="00091898">
              <w:t>,</w:t>
            </w:r>
            <w:r w:rsidR="00695E6D" w:rsidRPr="003C6FDC">
              <w:t xml:space="preserve"> and t</w:t>
            </w:r>
            <w:r w:rsidR="00695E6D">
              <w:t>ailor</w:t>
            </w:r>
            <w:r w:rsidR="00695E6D" w:rsidRPr="003C6FDC">
              <w:t xml:space="preserve"> activities to take into account</w:t>
            </w:r>
            <w:r w:rsidR="00091898">
              <w:t>,</w:t>
            </w:r>
            <w:r w:rsidR="00695E6D" w:rsidRPr="003C6FDC">
              <w:t xml:space="preserve"> Government of Kiribati</w:t>
            </w:r>
            <w:r w:rsidR="00AF2F21">
              <w:t xml:space="preserve"> capacity</w:t>
            </w:r>
            <w:r w:rsidR="00695E6D">
              <w:t>.</w:t>
            </w:r>
          </w:p>
        </w:tc>
      </w:tr>
      <w:tr w:rsidR="00695E6D" w:rsidRPr="00180B19" w:rsidTr="00BB79E6">
        <w:trPr>
          <w:cantSplit/>
          <w:tblHeader w:val="0"/>
        </w:trPr>
        <w:tc>
          <w:tcPr>
            <w:tcW w:w="2182" w:type="pct"/>
          </w:tcPr>
          <w:p w:rsidR="00695E6D" w:rsidRPr="00C14419" w:rsidRDefault="00695E6D" w:rsidP="00BB79E6">
            <w:pPr>
              <w:pStyle w:val="TableTextEntries"/>
            </w:pPr>
            <w:r>
              <w:t>P</w:t>
            </w:r>
            <w:r w:rsidRPr="00C14419">
              <w:t>olitical commitment for reforms, particularly unpopular economic reforms</w:t>
            </w:r>
            <w:r>
              <w:t>, will not be maintained</w:t>
            </w:r>
          </w:p>
        </w:tc>
        <w:tc>
          <w:tcPr>
            <w:tcW w:w="2774" w:type="pct"/>
          </w:tcPr>
          <w:p w:rsidR="00695E6D" w:rsidRPr="004C4A3E" w:rsidRDefault="00436B8C" w:rsidP="00BB79E6">
            <w:pPr>
              <w:pStyle w:val="TableTextEntries"/>
            </w:pPr>
            <w:r>
              <w:t xml:space="preserve">DFAT </w:t>
            </w:r>
            <w:r w:rsidR="00695E6D">
              <w:t xml:space="preserve">Counsellor </w:t>
            </w:r>
            <w:r w:rsidR="00091898">
              <w:t xml:space="preserve">in Tarawa </w:t>
            </w:r>
            <w:r w:rsidR="00695E6D">
              <w:t>and Minister Counsellor</w:t>
            </w:r>
            <w:r w:rsidR="00091898">
              <w:t xml:space="preserve"> in Suva</w:t>
            </w:r>
            <w:r w:rsidR="00695E6D">
              <w:t xml:space="preserve"> to use 2013</w:t>
            </w:r>
            <w:r w:rsidR="00265491">
              <w:t>–</w:t>
            </w:r>
            <w:r w:rsidR="00695E6D">
              <w:t xml:space="preserve">14 </w:t>
            </w:r>
            <w:r w:rsidR="00091898">
              <w:t xml:space="preserve">discussion </w:t>
            </w:r>
            <w:r w:rsidR="00695E6D">
              <w:t>opportunities to urge the Government of Kiribati to maintain momentum</w:t>
            </w:r>
            <w:r w:rsidR="0008688E">
              <w:t xml:space="preserve">. </w:t>
            </w:r>
            <w:r w:rsidR="004412D7">
              <w:t>If reform targets are not me</w:t>
            </w:r>
            <w:r w:rsidR="00695E6D">
              <w:t xml:space="preserve">t, incentive funding </w:t>
            </w:r>
            <w:r w:rsidR="005D6190">
              <w:t>will n</w:t>
            </w:r>
            <w:r w:rsidR="00695E6D">
              <w:t>ot to be paid.</w:t>
            </w:r>
          </w:p>
        </w:tc>
      </w:tr>
      <w:tr w:rsidR="004E20D3" w:rsidRPr="00180B19" w:rsidTr="00BB79E6">
        <w:trPr>
          <w:cantSplit/>
          <w:tblHeader w:val="0"/>
        </w:trPr>
        <w:tc>
          <w:tcPr>
            <w:tcW w:w="2182" w:type="pct"/>
          </w:tcPr>
          <w:p w:rsidR="004E20D3" w:rsidRDefault="00AF2F21" w:rsidP="00BB79E6">
            <w:pPr>
              <w:pStyle w:val="TableTextEntries"/>
            </w:pPr>
            <w:r>
              <w:t>P</w:t>
            </w:r>
            <w:r w:rsidR="004E20D3" w:rsidRPr="0070236D">
              <w:t>rovision of budget support will result in poor transparency, accountability and misuse</w:t>
            </w:r>
            <w:r w:rsidR="0008688E">
              <w:t xml:space="preserve"> </w:t>
            </w:r>
          </w:p>
        </w:tc>
        <w:tc>
          <w:tcPr>
            <w:tcW w:w="2774" w:type="pct"/>
          </w:tcPr>
          <w:p w:rsidR="004E20D3" w:rsidRPr="0070236D" w:rsidRDefault="0070236D" w:rsidP="00436B8C">
            <w:pPr>
              <w:pStyle w:val="TableTextEntries"/>
            </w:pPr>
            <w:r w:rsidRPr="0070236D">
              <w:t xml:space="preserve">Kiribati </w:t>
            </w:r>
            <w:r w:rsidR="00AF2F21">
              <w:t>p</w:t>
            </w:r>
            <w:r w:rsidRPr="0070236D">
              <w:t xml:space="preserve">rogram to only provide </w:t>
            </w:r>
            <w:r w:rsidR="004E20D3" w:rsidRPr="0070236D">
              <w:t xml:space="preserve">budget </w:t>
            </w:r>
            <w:r w:rsidRPr="0070236D">
              <w:t xml:space="preserve">support where there are strong incentives to do so and adopt </w:t>
            </w:r>
            <w:r>
              <w:t>sound</w:t>
            </w:r>
            <w:r w:rsidRPr="0070236D">
              <w:t xml:space="preserve"> risk mitigation me</w:t>
            </w:r>
            <w:r w:rsidR="005D6190">
              <w:t>asures as informed by</w:t>
            </w:r>
            <w:r w:rsidR="004628F9">
              <w:t xml:space="preserve"> </w:t>
            </w:r>
            <w:r w:rsidR="00436B8C">
              <w:t>DFAT</w:t>
            </w:r>
            <w:r w:rsidR="005D6190">
              <w:t>’s assessment of n</w:t>
            </w:r>
            <w:r w:rsidRPr="0070236D">
              <w:t xml:space="preserve">ational </w:t>
            </w:r>
            <w:r w:rsidR="005D6190">
              <w:t>s</w:t>
            </w:r>
            <w:r w:rsidRPr="0070236D">
              <w:t>ystems</w:t>
            </w:r>
            <w:r>
              <w:t xml:space="preserve"> and other development partner approaches</w:t>
            </w:r>
            <w:r w:rsidR="0008688E">
              <w:t xml:space="preserve">. </w:t>
            </w:r>
          </w:p>
        </w:tc>
      </w:tr>
      <w:tr w:rsidR="00695E6D" w:rsidRPr="00180B19" w:rsidTr="00BB79E6">
        <w:trPr>
          <w:cantSplit/>
          <w:tblHeader w:val="0"/>
        </w:trPr>
        <w:tc>
          <w:tcPr>
            <w:tcW w:w="2182" w:type="pct"/>
          </w:tcPr>
          <w:p w:rsidR="00695E6D" w:rsidRPr="00C14419" w:rsidRDefault="00695E6D" w:rsidP="00BB79E6">
            <w:pPr>
              <w:pStyle w:val="TableTextEntries"/>
            </w:pPr>
            <w:r w:rsidRPr="00C14419">
              <w:lastRenderedPageBreak/>
              <w:t>Limited staff resources at Post will impact on achievement of results</w:t>
            </w:r>
          </w:p>
        </w:tc>
        <w:tc>
          <w:tcPr>
            <w:tcW w:w="2774" w:type="pct"/>
          </w:tcPr>
          <w:p w:rsidR="00695E6D" w:rsidRPr="007D51F4" w:rsidRDefault="00436B8C" w:rsidP="00436B8C">
            <w:pPr>
              <w:pStyle w:val="TableTextEntries"/>
            </w:pPr>
            <w:r>
              <w:t xml:space="preserve">DFAT </w:t>
            </w:r>
            <w:r w:rsidR="00C9461F">
              <w:t>Director Microstates</w:t>
            </w:r>
            <w:r w:rsidR="00695E6D" w:rsidRPr="007D51F4">
              <w:t xml:space="preserve"> </w:t>
            </w:r>
            <w:r w:rsidR="005D6190">
              <w:t xml:space="preserve">in Canberra </w:t>
            </w:r>
            <w:r w:rsidR="00695E6D" w:rsidRPr="007D51F4">
              <w:t xml:space="preserve">and </w:t>
            </w:r>
            <w:r w:rsidR="00695E6D">
              <w:t>Counsellor</w:t>
            </w:r>
            <w:r w:rsidR="00695E6D" w:rsidRPr="007D51F4">
              <w:t xml:space="preserve"> </w:t>
            </w:r>
            <w:r w:rsidR="00091898">
              <w:t xml:space="preserve">in </w:t>
            </w:r>
            <w:r w:rsidR="00695E6D" w:rsidRPr="007D51F4">
              <w:t>Tarawa to explore options in 2013</w:t>
            </w:r>
            <w:r w:rsidR="00265491">
              <w:t>–</w:t>
            </w:r>
            <w:r w:rsidR="00695E6D" w:rsidRPr="007D51F4">
              <w:t xml:space="preserve">14 </w:t>
            </w:r>
            <w:r w:rsidR="00695E6D">
              <w:t xml:space="preserve">to improve </w:t>
            </w:r>
            <w:r w:rsidR="00695E6D" w:rsidRPr="007D51F4">
              <w:t xml:space="preserve">staff resourcing at </w:t>
            </w:r>
            <w:r>
              <w:t xml:space="preserve">DFAT </w:t>
            </w:r>
            <w:r w:rsidR="004854F6" w:rsidRPr="004854F6">
              <w:t>Tarawa Post</w:t>
            </w:r>
            <w:r w:rsidR="00695E6D" w:rsidRPr="007D51F4">
              <w:t xml:space="preserve">, including </w:t>
            </w:r>
            <w:r w:rsidR="00091898">
              <w:t>creating</w:t>
            </w:r>
            <w:r w:rsidR="00695E6D" w:rsidRPr="007D51F4">
              <w:t xml:space="preserve"> new positions, </w:t>
            </w:r>
            <w:r w:rsidR="00091898">
              <w:t>providing</w:t>
            </w:r>
            <w:r w:rsidR="00695E6D" w:rsidRPr="007D51F4">
              <w:t xml:space="preserve"> more incentives for postings to Kiribati to attract high</w:t>
            </w:r>
            <w:r w:rsidR="00AF2F21">
              <w:t>-</w:t>
            </w:r>
            <w:r w:rsidR="00695E6D" w:rsidRPr="007D51F4">
              <w:t xml:space="preserve">quality staff, and </w:t>
            </w:r>
            <w:r w:rsidR="00091898">
              <w:t xml:space="preserve">improving </w:t>
            </w:r>
            <w:r w:rsidR="00695E6D" w:rsidRPr="007D51F4">
              <w:t>system</w:t>
            </w:r>
            <w:r w:rsidR="00091898">
              <w:t>s</w:t>
            </w:r>
            <w:r w:rsidR="00695E6D" w:rsidRPr="007D51F4">
              <w:t xml:space="preserve"> to enhance efficiency.</w:t>
            </w:r>
          </w:p>
        </w:tc>
      </w:tr>
      <w:tr w:rsidR="00695E6D" w:rsidRPr="00180B19" w:rsidTr="00BB79E6">
        <w:trPr>
          <w:cantSplit/>
          <w:tblHeader w:val="0"/>
        </w:trPr>
        <w:tc>
          <w:tcPr>
            <w:tcW w:w="2182" w:type="pct"/>
            <w:tcBorders>
              <w:bottom w:val="single" w:sz="12" w:space="0" w:color="000000" w:themeColor="text1"/>
            </w:tcBorders>
          </w:tcPr>
          <w:p w:rsidR="00695E6D" w:rsidRPr="00C14419" w:rsidRDefault="00695E6D" w:rsidP="00BB79E6">
            <w:pPr>
              <w:pStyle w:val="TableTextEntries"/>
            </w:pPr>
            <w:r>
              <w:t>C</w:t>
            </w:r>
            <w:r w:rsidRPr="00C14419">
              <w:t xml:space="preserve">ompeting priorities will impact </w:t>
            </w:r>
            <w:r>
              <w:t>on the</w:t>
            </w:r>
            <w:r w:rsidRPr="00C14419">
              <w:t xml:space="preserve"> quality</w:t>
            </w:r>
            <w:r>
              <w:t xml:space="preserve"> and</w:t>
            </w:r>
            <w:r w:rsidRPr="00C14419">
              <w:t xml:space="preserve"> </w:t>
            </w:r>
            <w:r>
              <w:t xml:space="preserve">timeliness </w:t>
            </w:r>
            <w:r w:rsidRPr="00C14419">
              <w:t xml:space="preserve">of the Kiribati </w:t>
            </w:r>
            <w:r w:rsidR="00AF2F21">
              <w:t>c</w:t>
            </w:r>
            <w:r w:rsidRPr="00C14419">
              <w:t xml:space="preserve">ountry </w:t>
            </w:r>
            <w:r w:rsidR="00AF2F21">
              <w:t>s</w:t>
            </w:r>
            <w:r w:rsidRPr="00C14419">
              <w:t xml:space="preserve">ituational </w:t>
            </w:r>
            <w:r w:rsidR="00AF2F21">
              <w:t>a</w:t>
            </w:r>
            <w:r w:rsidRPr="00C14419">
              <w:t>nalysis</w:t>
            </w:r>
          </w:p>
        </w:tc>
        <w:tc>
          <w:tcPr>
            <w:tcW w:w="2774" w:type="pct"/>
            <w:tcBorders>
              <w:bottom w:val="single" w:sz="12" w:space="0" w:color="000000" w:themeColor="text1"/>
            </w:tcBorders>
          </w:tcPr>
          <w:p w:rsidR="00695E6D" w:rsidRPr="007D51F4" w:rsidRDefault="00436B8C" w:rsidP="00BB79E6">
            <w:pPr>
              <w:pStyle w:val="TableTextEntries"/>
            </w:pPr>
            <w:r>
              <w:t xml:space="preserve">DFAT </w:t>
            </w:r>
            <w:r w:rsidR="00C9461F">
              <w:t>Director Microstates</w:t>
            </w:r>
            <w:r w:rsidR="00695E6D" w:rsidRPr="007D51F4">
              <w:t xml:space="preserve"> </w:t>
            </w:r>
            <w:r w:rsidR="005D6190">
              <w:t xml:space="preserve">in Canberra </w:t>
            </w:r>
            <w:r w:rsidR="00695E6D" w:rsidRPr="007D51F4">
              <w:t>to manage competing priorities and res</w:t>
            </w:r>
            <w:r w:rsidR="00BA6CBD">
              <w:t>ources in 2013</w:t>
            </w:r>
            <w:r w:rsidR="00265491">
              <w:t>–</w:t>
            </w:r>
            <w:r w:rsidR="00BA6CBD">
              <w:t xml:space="preserve">14, including </w:t>
            </w:r>
            <w:r w:rsidR="00695E6D" w:rsidRPr="007D51F4">
              <w:t xml:space="preserve">options </w:t>
            </w:r>
            <w:r w:rsidR="00091898">
              <w:t xml:space="preserve">for </w:t>
            </w:r>
            <w:r w:rsidR="00BA6CBD">
              <w:t>dedicating resources to complet</w:t>
            </w:r>
            <w:r w:rsidR="00AF2F21">
              <w:t>e the country situational</w:t>
            </w:r>
            <w:r w:rsidR="00695E6D">
              <w:t xml:space="preserve"> analysis</w:t>
            </w:r>
            <w:r w:rsidR="00091898">
              <w:t>,</w:t>
            </w:r>
            <w:r w:rsidR="00A71EBB">
              <w:t xml:space="preserve"> such as taking staff offline</w:t>
            </w:r>
            <w:r w:rsidR="00091898">
              <w:t xml:space="preserve"> from other duties</w:t>
            </w:r>
            <w:r w:rsidR="00695E6D" w:rsidRPr="007D51F4">
              <w:t>.</w:t>
            </w:r>
          </w:p>
        </w:tc>
      </w:tr>
    </w:tbl>
    <w:p w:rsidR="00695E6D" w:rsidRDefault="00695E6D" w:rsidP="00695E6D">
      <w:pPr>
        <w:pStyle w:val="BodyText"/>
        <w:sectPr w:rsidR="00695E6D" w:rsidSect="003B3233">
          <w:headerReference w:type="default" r:id="rId10"/>
          <w:footerReference w:type="default" r:id="rId11"/>
          <w:headerReference w:type="first" r:id="rId12"/>
          <w:footerReference w:type="first" r:id="rId13"/>
          <w:pgSz w:w="11906" w:h="16838" w:code="9"/>
          <w:pgMar w:top="2268" w:right="1701" w:bottom="907" w:left="1871" w:header="709" w:footer="454" w:gutter="0"/>
          <w:cols w:space="708"/>
          <w:titlePg/>
          <w:docGrid w:linePitch="360"/>
        </w:sectPr>
      </w:pPr>
    </w:p>
    <w:p w:rsidR="00695E6D" w:rsidRPr="00F45B76" w:rsidRDefault="00695E6D" w:rsidP="00F45B76">
      <w:pPr>
        <w:pStyle w:val="Heading1"/>
      </w:pPr>
      <w:r w:rsidRPr="00F45B76">
        <w:lastRenderedPageBreak/>
        <w:t xml:space="preserve">Annex A </w:t>
      </w:r>
    </w:p>
    <w:p w:rsidR="00695E6D" w:rsidRPr="00F45B76" w:rsidRDefault="00695E6D" w:rsidP="00F45B76">
      <w:pPr>
        <w:pStyle w:val="Heading2"/>
      </w:pPr>
      <w:r w:rsidRPr="00F45B76">
        <w:t>Progress in addressing 2011 management consequences</w:t>
      </w:r>
    </w:p>
    <w:tbl>
      <w:tblPr>
        <w:tblStyle w:val="APPR"/>
        <w:tblW w:w="5000" w:type="pct"/>
        <w:tblLayout w:type="fixed"/>
        <w:tblLook w:val="0000" w:firstRow="0" w:lastRow="0" w:firstColumn="0" w:lastColumn="0" w:noHBand="0" w:noVBand="0"/>
      </w:tblPr>
      <w:tblGrid>
        <w:gridCol w:w="6282"/>
        <w:gridCol w:w="829"/>
        <w:gridCol w:w="6824"/>
      </w:tblGrid>
      <w:tr w:rsidR="00695E6D" w:rsidRPr="00180B19" w:rsidTr="00F45B76">
        <w:trPr>
          <w:cantSplit/>
          <w:tblHeader w:val="0"/>
        </w:trPr>
        <w:tc>
          <w:tcPr>
            <w:tcW w:w="6473" w:type="dxa"/>
          </w:tcPr>
          <w:p w:rsidR="00695E6D" w:rsidRPr="00180B19" w:rsidRDefault="00695E6D" w:rsidP="00932B26">
            <w:pPr>
              <w:pStyle w:val="TableTextColumnHeading"/>
              <w:tabs>
                <w:tab w:val="left" w:pos="1185"/>
              </w:tabs>
            </w:pPr>
            <w:r w:rsidRPr="00FE4491">
              <w:t>Management consequences identified in 2011 APPR</w:t>
            </w:r>
            <w:r w:rsidR="00932B26" w:rsidRPr="00932B26">
              <w:rPr>
                <w:rStyle w:val="FootnoteReference"/>
                <w:sz w:val="12"/>
              </w:rPr>
              <w:footnoteReference w:id="43"/>
            </w:r>
            <w:r>
              <w:tab/>
            </w:r>
          </w:p>
        </w:tc>
        <w:tc>
          <w:tcPr>
            <w:tcW w:w="823" w:type="dxa"/>
          </w:tcPr>
          <w:p w:rsidR="00695E6D" w:rsidRPr="00180B19" w:rsidRDefault="00695E6D" w:rsidP="00F45B76">
            <w:pPr>
              <w:pStyle w:val="TableTextColumnHeading"/>
            </w:pPr>
            <w:r w:rsidRPr="00FE4491">
              <w:t>Rating</w:t>
            </w:r>
          </w:p>
        </w:tc>
        <w:tc>
          <w:tcPr>
            <w:tcW w:w="7037" w:type="dxa"/>
          </w:tcPr>
          <w:p w:rsidR="00695E6D" w:rsidRPr="00180B19" w:rsidRDefault="00695E6D" w:rsidP="00F45B76">
            <w:pPr>
              <w:pStyle w:val="TableTextColumnHeading"/>
            </w:pPr>
            <w:r w:rsidRPr="00FE4491">
              <w:t>Progress made in 2012</w:t>
            </w:r>
            <w:r w:rsidR="00091898">
              <w:t>–</w:t>
            </w:r>
            <w:r w:rsidRPr="00FE4491">
              <w:t>13</w:t>
            </w:r>
          </w:p>
        </w:tc>
      </w:tr>
      <w:tr w:rsidR="00695E6D" w:rsidRPr="006C3C0D" w:rsidTr="00F45B76">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rsidR="00695E6D" w:rsidRPr="006C3C0D" w:rsidRDefault="00695E6D" w:rsidP="00B96133">
            <w:pPr>
              <w:pStyle w:val="TableTextEntries"/>
            </w:pPr>
            <w:r w:rsidRPr="006C3C0D">
              <w:t>AusAID to discuss with the Government of Kiribati in 2012 partnership talks:</w:t>
            </w:r>
          </w:p>
          <w:p w:rsidR="00695E6D" w:rsidRPr="006C3C0D" w:rsidRDefault="00695E6D" w:rsidP="00B96133">
            <w:pPr>
              <w:pStyle w:val="TableListBullet"/>
            </w:pPr>
            <w:r w:rsidRPr="006C3C0D">
              <w:t>making infrastructure a separate priority outcome under the Partnership for Development considering the increased funding in this sector</w:t>
            </w:r>
          </w:p>
          <w:p w:rsidR="00695E6D" w:rsidRPr="006C3C0D" w:rsidRDefault="00695E6D" w:rsidP="00B96133">
            <w:pPr>
              <w:pStyle w:val="TableListBullet"/>
            </w:pPr>
            <w:r w:rsidRPr="006C3C0D">
              <w:t>updating the partnership schedules for outcomes one</w:t>
            </w:r>
            <w:r w:rsidR="00091898">
              <w:t>, two and</w:t>
            </w:r>
            <w:r w:rsidRPr="006C3C0D">
              <w:t xml:space="preserve"> three to make them more relevant to AusAID</w:t>
            </w:r>
            <w:r w:rsidR="00091898">
              <w:t xml:space="preserve"> – </w:t>
            </w:r>
            <w:r w:rsidRPr="006C3C0D">
              <w:t>Kiribati programs and priorities</w:t>
            </w:r>
          </w:p>
          <w:p w:rsidR="00695E6D" w:rsidRPr="006C3C0D" w:rsidRDefault="00695E6D" w:rsidP="00B96133">
            <w:pPr>
              <w:pStyle w:val="TableListBullet"/>
            </w:pPr>
            <w:r w:rsidRPr="006C3C0D">
              <w:t>issues surrounding the health sector</w:t>
            </w:r>
          </w:p>
          <w:p w:rsidR="00695E6D" w:rsidRPr="006C3C0D" w:rsidRDefault="00695E6D" w:rsidP="00B96133">
            <w:pPr>
              <w:pStyle w:val="TableListBullet"/>
            </w:pPr>
            <w:r w:rsidRPr="006C3C0D">
              <w:t>ensuring government ownership, leadership and engagement with programs</w:t>
            </w:r>
          </w:p>
          <w:p w:rsidR="00695E6D" w:rsidRPr="006C3C0D" w:rsidRDefault="00695E6D" w:rsidP="00436B8C">
            <w:pPr>
              <w:pStyle w:val="TableListBullet"/>
            </w:pPr>
            <w:r w:rsidRPr="006C3C0D">
              <w:t>Kiribati coordination of the infrastructure program and where AusAID can add value.</w:t>
            </w:r>
          </w:p>
        </w:tc>
        <w:tc>
          <w:tcPr>
            <w:tcW w:w="823" w:type="dxa"/>
            <w:shd w:val="clear" w:color="auto" w:fill="92D050"/>
          </w:tcPr>
          <w:p w:rsidR="00695E6D" w:rsidRPr="00F45B76" w:rsidRDefault="00695E6D" w:rsidP="00F45B76">
            <w:pPr>
              <w:pStyle w:val="TableTextEntries"/>
            </w:pPr>
            <w:r w:rsidRPr="00F45B76">
              <w:t>Green</w:t>
            </w:r>
          </w:p>
        </w:tc>
        <w:tc>
          <w:tcPr>
            <w:tcW w:w="7037" w:type="dxa"/>
          </w:tcPr>
          <w:p w:rsidR="00695E6D" w:rsidRPr="00B96133" w:rsidRDefault="00695E6D" w:rsidP="00B96133">
            <w:pPr>
              <w:pStyle w:val="TableTextEntries"/>
              <w:rPr>
                <w:rFonts w:eastAsia="SimSun"/>
              </w:rPr>
            </w:pPr>
            <w:r w:rsidRPr="00B96133">
              <w:rPr>
                <w:rFonts w:eastAsia="SimSun"/>
              </w:rPr>
              <w:t xml:space="preserve">The </w:t>
            </w:r>
            <w:r w:rsidR="007D2062" w:rsidRPr="00B96133">
              <w:rPr>
                <w:rFonts w:eastAsia="SimSun"/>
              </w:rPr>
              <w:t>p</w:t>
            </w:r>
            <w:r w:rsidRPr="00B96133">
              <w:rPr>
                <w:rFonts w:eastAsia="SimSun"/>
              </w:rPr>
              <w:t xml:space="preserve">artnership </w:t>
            </w:r>
            <w:r w:rsidR="007D2062" w:rsidRPr="00B96133">
              <w:rPr>
                <w:rFonts w:eastAsia="SimSun"/>
              </w:rPr>
              <w:t>t</w:t>
            </w:r>
            <w:r w:rsidRPr="00B96133">
              <w:rPr>
                <w:rFonts w:eastAsia="SimSun"/>
              </w:rPr>
              <w:t>alks were held in September 2012 in Tarawa. The partnership:</w:t>
            </w:r>
          </w:p>
          <w:p w:rsidR="00695E6D" w:rsidRPr="006C3C0D" w:rsidRDefault="00695E6D" w:rsidP="00B96133">
            <w:pPr>
              <w:pStyle w:val="TableListBullet"/>
            </w:pPr>
            <w:r w:rsidRPr="006C3C0D">
              <w:t>agreed to make infrastructure the fourth priority outcome under the Partnership for Development</w:t>
            </w:r>
          </w:p>
          <w:p w:rsidR="00695E6D" w:rsidRPr="006C3C0D" w:rsidRDefault="00695E6D" w:rsidP="00B96133">
            <w:pPr>
              <w:pStyle w:val="TableListBullet"/>
            </w:pPr>
            <w:r w:rsidRPr="006C3C0D">
              <w:t>updated the partnership schedules for outcomes one</w:t>
            </w:r>
            <w:r w:rsidR="00091898">
              <w:t>, two and</w:t>
            </w:r>
            <w:r w:rsidRPr="006C3C0D">
              <w:t xml:space="preserve"> three to make them more relevant to programs and priorities</w:t>
            </w:r>
          </w:p>
          <w:p w:rsidR="00695E6D" w:rsidRPr="006C3C0D" w:rsidRDefault="00695E6D" w:rsidP="00B96133">
            <w:pPr>
              <w:pStyle w:val="TableListBullet"/>
            </w:pPr>
            <w:r w:rsidRPr="006C3C0D">
              <w:rPr>
                <w:rFonts w:eastAsia="Calibri"/>
                <w:lang w:val="en-GB"/>
              </w:rPr>
              <w:t>agreed that on</w:t>
            </w:r>
            <w:r w:rsidR="00091898">
              <w:rPr>
                <w:rFonts w:eastAsia="Calibri"/>
                <w:lang w:val="en-GB"/>
              </w:rPr>
              <w:t>c</w:t>
            </w:r>
            <w:r w:rsidRPr="006C3C0D">
              <w:rPr>
                <w:rFonts w:eastAsia="Calibri"/>
                <w:lang w:val="en-GB"/>
              </w:rPr>
              <w:t>e the Kiribati National Health Strategic Plan 2012</w:t>
            </w:r>
            <w:r w:rsidR="006A6096">
              <w:rPr>
                <w:rFonts w:eastAsia="Calibri"/>
                <w:lang w:val="en-GB"/>
              </w:rPr>
              <w:t>–</w:t>
            </w:r>
            <w:r w:rsidRPr="006C3C0D">
              <w:rPr>
                <w:rFonts w:eastAsia="Calibri"/>
                <w:lang w:val="en-GB"/>
              </w:rPr>
              <w:t xml:space="preserve">15 was completed, </w:t>
            </w:r>
            <w:r w:rsidR="005E7D29">
              <w:rPr>
                <w:rFonts w:eastAsia="Calibri"/>
                <w:lang w:val="en-GB"/>
              </w:rPr>
              <w:t>Australia</w:t>
            </w:r>
            <w:r w:rsidRPr="006C3C0D">
              <w:rPr>
                <w:rFonts w:eastAsia="Calibri"/>
                <w:lang w:val="en-GB"/>
              </w:rPr>
              <w:t xml:space="preserve"> would consider options for further engagement in the health sector </w:t>
            </w:r>
          </w:p>
          <w:p w:rsidR="00695E6D" w:rsidRPr="006C3C0D" w:rsidRDefault="00695E6D" w:rsidP="00B96133">
            <w:pPr>
              <w:pStyle w:val="TableListBullet"/>
            </w:pPr>
            <w:r w:rsidRPr="006C3C0D">
              <w:t xml:space="preserve">agreed to focus efforts on strengthening </w:t>
            </w:r>
            <w:r w:rsidR="00091898">
              <w:t>g</w:t>
            </w:r>
            <w:r w:rsidRPr="006C3C0D">
              <w:t xml:space="preserve">overnment leadership of aid program management and coordination, including by preparing an aid coordination policy and improving the operations of the National Economic Planning Office </w:t>
            </w:r>
          </w:p>
          <w:p w:rsidR="00695E6D" w:rsidRPr="006C3C0D" w:rsidRDefault="00695E6D" w:rsidP="00B96133">
            <w:pPr>
              <w:pStyle w:val="TableListBullet"/>
            </w:pPr>
            <w:proofErr w:type="gramStart"/>
            <w:r w:rsidRPr="006C3C0D">
              <w:t>discussed</w:t>
            </w:r>
            <w:proofErr w:type="gramEnd"/>
            <w:r w:rsidRPr="006C3C0D">
              <w:t xml:space="preserve"> the need for</w:t>
            </w:r>
            <w:r w:rsidR="006A6096">
              <w:t xml:space="preserve"> the</w:t>
            </w:r>
            <w:r w:rsidRPr="006C3C0D">
              <w:t xml:space="preserve"> </w:t>
            </w:r>
            <w:r w:rsidR="00091898">
              <w:t>g</w:t>
            </w:r>
            <w:r w:rsidRPr="006C3C0D">
              <w:t>overnment to take greater leadership of the National Infrastructure Development Committee</w:t>
            </w:r>
            <w:r w:rsidR="00286669">
              <w:t xml:space="preserve"> </w:t>
            </w:r>
            <w:r w:rsidR="00C8513D">
              <w:t>and</w:t>
            </w:r>
            <w:r w:rsidR="006A6096">
              <w:t xml:space="preserve"> for the</w:t>
            </w:r>
            <w:r w:rsidR="00C8513D">
              <w:t xml:space="preserve"> World Bank</w:t>
            </w:r>
            <w:r w:rsidR="006A6096">
              <w:t xml:space="preserve"> to</w:t>
            </w:r>
            <w:r w:rsidR="00C8513D">
              <w:t xml:space="preserve"> suppor</w:t>
            </w:r>
            <w:r w:rsidR="006A6096">
              <w:t>t</w:t>
            </w:r>
            <w:r w:rsidR="00C8513D">
              <w:t xml:space="preserve"> the establishment of a Public Works Infrastructure Unit</w:t>
            </w:r>
            <w:r w:rsidRPr="006C3C0D">
              <w:t xml:space="preserve">. </w:t>
            </w:r>
          </w:p>
        </w:tc>
      </w:tr>
      <w:tr w:rsidR="00695E6D" w:rsidRPr="006C3C0D" w:rsidTr="00F45B76">
        <w:trPr>
          <w:cantSplit/>
          <w:tblHeader w:val="0"/>
        </w:trPr>
        <w:tc>
          <w:tcPr>
            <w:tcW w:w="6473" w:type="dxa"/>
          </w:tcPr>
          <w:p w:rsidR="00695E6D" w:rsidRPr="006C3C0D" w:rsidRDefault="00695E6D" w:rsidP="00F45B76">
            <w:pPr>
              <w:pStyle w:val="TableTextEntries"/>
            </w:pPr>
            <w:r w:rsidRPr="006C3C0D">
              <w:t>AusAID will revise its country situational analysis to include analysis on absorptive capacity, priority areas for engagement and resource constraints. This will inform the development of a new Partnership for Development for endorsement at the 2014 partnership talks. It will also examine the current sectors of focus and if these are the right areas.</w:t>
            </w:r>
          </w:p>
        </w:tc>
        <w:tc>
          <w:tcPr>
            <w:tcW w:w="823" w:type="dxa"/>
            <w:shd w:val="clear" w:color="auto" w:fill="F79646" w:themeFill="accent6"/>
          </w:tcPr>
          <w:p w:rsidR="00695E6D" w:rsidRPr="00F45B76" w:rsidRDefault="00936A66" w:rsidP="00F45B76">
            <w:pPr>
              <w:pStyle w:val="TableTextEntries"/>
            </w:pPr>
            <w:r w:rsidRPr="00F45B76">
              <w:t>Amber</w:t>
            </w:r>
            <w:r w:rsidR="00695E6D" w:rsidRPr="00F45B76">
              <w:t xml:space="preserve"> </w:t>
            </w:r>
            <w:r w:rsidR="00695E6D" w:rsidRPr="00F45B76">
              <w:fldChar w:fldCharType="begin"/>
            </w:r>
            <w:r w:rsidR="00695E6D" w:rsidRPr="00F45B76">
              <w:instrText xml:space="preserve"> AUTOTEXTLIST  \s "Rating bullet"\t "Right click to choose a rating" \* MERGEFORMAT </w:instrText>
            </w:r>
            <w:r w:rsidR="00695E6D" w:rsidRPr="00F45B76">
              <w:fldChar w:fldCharType="end"/>
            </w:r>
          </w:p>
        </w:tc>
        <w:tc>
          <w:tcPr>
            <w:tcW w:w="7037" w:type="dxa"/>
          </w:tcPr>
          <w:p w:rsidR="00695E6D" w:rsidRPr="00F45B76" w:rsidRDefault="00695E6D" w:rsidP="00F45B76">
            <w:pPr>
              <w:pStyle w:val="TableTextEntries"/>
            </w:pPr>
            <w:r w:rsidRPr="00F45B76">
              <w:rPr>
                <w:rFonts w:eastAsia="SimSun"/>
              </w:rPr>
              <w:t>AusAID undertook preparation work for drafting a new country situation analysis in 2012</w:t>
            </w:r>
            <w:r w:rsidR="006A6096" w:rsidRPr="00F45B76">
              <w:rPr>
                <w:rFonts w:eastAsia="SimSun"/>
              </w:rPr>
              <w:t>–</w:t>
            </w:r>
            <w:r w:rsidRPr="00F45B76">
              <w:rPr>
                <w:rFonts w:eastAsia="SimSun"/>
              </w:rPr>
              <w:t xml:space="preserve">13, including </w:t>
            </w:r>
            <w:r w:rsidR="004412D7" w:rsidRPr="00F45B76">
              <w:rPr>
                <w:rFonts w:eastAsia="SimSun"/>
              </w:rPr>
              <w:t>by</w:t>
            </w:r>
            <w:r w:rsidRPr="00F45B76">
              <w:rPr>
                <w:rFonts w:eastAsia="SimSun"/>
              </w:rPr>
              <w:t xml:space="preserve"> commissioning a poverty assessment of Kiribati. The development of a new Partnership for Development </w:t>
            </w:r>
            <w:r w:rsidR="00936A66" w:rsidRPr="00F45B76">
              <w:rPr>
                <w:rFonts w:eastAsia="SimSun"/>
              </w:rPr>
              <w:t>is partially off</w:t>
            </w:r>
            <w:r w:rsidR="007D2062" w:rsidRPr="00F45B76">
              <w:rPr>
                <w:rFonts w:eastAsia="SimSun"/>
              </w:rPr>
              <w:t xml:space="preserve"> </w:t>
            </w:r>
            <w:r w:rsidR="00936A66" w:rsidRPr="00F45B76">
              <w:rPr>
                <w:rFonts w:eastAsia="SimSun"/>
              </w:rPr>
              <w:t>track, as it is unlikely to be endorsed until the 2015 partnership talks</w:t>
            </w:r>
            <w:r w:rsidRPr="00F45B76">
              <w:rPr>
                <w:rFonts w:eastAsia="SimSun"/>
              </w:rPr>
              <w:t>.</w:t>
            </w:r>
          </w:p>
        </w:tc>
      </w:tr>
      <w:tr w:rsidR="00695E6D" w:rsidRPr="006C3C0D" w:rsidTr="00F45B76">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rsidR="00695E6D" w:rsidRPr="006C3C0D" w:rsidRDefault="00695E6D" w:rsidP="00F45B76">
            <w:pPr>
              <w:pStyle w:val="TableTextEntries"/>
            </w:pPr>
            <w:r w:rsidRPr="006C3C0D">
              <w:t>AusAID to review the Kiribati</w:t>
            </w:r>
            <w:r w:rsidR="00903149">
              <w:t>-</w:t>
            </w:r>
            <w:r w:rsidRPr="006C3C0D">
              <w:t>Australia Nursing Initiative</w:t>
            </w:r>
            <w:r w:rsidR="00091898">
              <w:t>,</w:t>
            </w:r>
            <w:r w:rsidRPr="006C3C0D">
              <w:t xml:space="preserve"> including its cost-effectiveness. </w:t>
            </w:r>
          </w:p>
        </w:tc>
        <w:tc>
          <w:tcPr>
            <w:tcW w:w="823" w:type="dxa"/>
            <w:shd w:val="clear" w:color="auto" w:fill="92D050"/>
          </w:tcPr>
          <w:p w:rsidR="00695E6D" w:rsidRPr="00F45B76" w:rsidRDefault="00695E6D" w:rsidP="00F45B76">
            <w:pPr>
              <w:pStyle w:val="TableTextEntries"/>
            </w:pPr>
            <w:r w:rsidRPr="00F45B76">
              <w:t>Green</w:t>
            </w:r>
          </w:p>
        </w:tc>
        <w:tc>
          <w:tcPr>
            <w:tcW w:w="7037" w:type="dxa"/>
          </w:tcPr>
          <w:p w:rsidR="00695E6D" w:rsidRPr="00F45B76" w:rsidRDefault="00695E6D" w:rsidP="00F45B76">
            <w:pPr>
              <w:pStyle w:val="TableTextEntries"/>
            </w:pPr>
            <w:r w:rsidRPr="00F45B76">
              <w:rPr>
                <w:rFonts w:eastAsia="SimSun"/>
              </w:rPr>
              <w:t>An independent review of the Kiribati</w:t>
            </w:r>
            <w:r w:rsidR="00903149" w:rsidRPr="00F45B76">
              <w:rPr>
                <w:rFonts w:eastAsia="SimSun"/>
              </w:rPr>
              <w:t>-</w:t>
            </w:r>
            <w:r w:rsidRPr="00F45B76">
              <w:rPr>
                <w:rFonts w:eastAsia="SimSun"/>
              </w:rPr>
              <w:t xml:space="preserve">Australia Nursing Initiative was completed in </w:t>
            </w:r>
            <w:r w:rsidR="00936A66" w:rsidRPr="00F45B76">
              <w:rPr>
                <w:rFonts w:eastAsia="SimSun"/>
              </w:rPr>
              <w:t xml:space="preserve">May </w:t>
            </w:r>
            <w:r w:rsidRPr="00F45B76">
              <w:rPr>
                <w:rFonts w:eastAsia="SimSun"/>
              </w:rPr>
              <w:t xml:space="preserve">2013, and the findings and recommendations </w:t>
            </w:r>
            <w:r w:rsidR="00936A66" w:rsidRPr="00F45B76">
              <w:rPr>
                <w:rFonts w:eastAsia="SimSun"/>
              </w:rPr>
              <w:t>will be</w:t>
            </w:r>
            <w:r w:rsidRPr="00F45B76">
              <w:rPr>
                <w:rFonts w:eastAsia="SimSun"/>
              </w:rPr>
              <w:t xml:space="preserve"> used to inform a management decision on how to reshape the program.</w:t>
            </w:r>
          </w:p>
        </w:tc>
      </w:tr>
    </w:tbl>
    <w:p w:rsidR="00695E6D" w:rsidRPr="00FE4491" w:rsidRDefault="00695E6D" w:rsidP="00695E6D">
      <w:pPr>
        <w:pStyle w:val="Note"/>
      </w:pPr>
      <w:r w:rsidRPr="00FE4491">
        <w:t xml:space="preserve">Note: </w:t>
      </w:r>
    </w:p>
    <w:p w:rsidR="00695E6D" w:rsidRPr="00FE4491" w:rsidRDefault="00695E6D" w:rsidP="00695E6D">
      <w:pPr>
        <w:pStyle w:val="Note"/>
      </w:pPr>
      <w:r w:rsidRPr="00FE4491">
        <w:rPr>
          <w:color w:val="92D050"/>
        </w:rPr>
        <w:sym w:font="Webdings" w:char="F067"/>
      </w:r>
      <w:r w:rsidRPr="00FE4491">
        <w:t> </w:t>
      </w:r>
      <w:r w:rsidRPr="00FE4491">
        <w:t xml:space="preserve"> </w:t>
      </w:r>
      <w:proofErr w:type="gramStart"/>
      <w:r>
        <w:t>Green.</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rsidR="00695E6D" w:rsidRDefault="00695E6D" w:rsidP="00695E6D">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rsidR="00695E6D" w:rsidRDefault="00695E6D" w:rsidP="00695E6D">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w:t>
      </w:r>
      <w:bookmarkStart w:id="2" w:name="_GoBack"/>
      <w:bookmarkEnd w:id="2"/>
      <w:r w:rsidRPr="00502435">
        <w:t>he objective may be required.</w:t>
      </w:r>
    </w:p>
    <w:p w:rsidR="00695E6D" w:rsidRDefault="00695E6D" w:rsidP="00695E6D">
      <w:pPr>
        <w:sectPr w:rsidR="00695E6D" w:rsidSect="003B3233">
          <w:headerReference w:type="default" r:id="rId14"/>
          <w:footerReference w:type="default" r:id="rId15"/>
          <w:headerReference w:type="first" r:id="rId16"/>
          <w:pgSz w:w="16838" w:h="11906" w:orient="landscape" w:code="9"/>
          <w:pgMar w:top="1871" w:right="2268" w:bottom="1134" w:left="907" w:header="709" w:footer="454" w:gutter="0"/>
          <w:cols w:space="708"/>
          <w:docGrid w:linePitch="360"/>
        </w:sectPr>
      </w:pPr>
    </w:p>
    <w:p w:rsidR="00695E6D" w:rsidRPr="00B96133" w:rsidRDefault="00695E6D" w:rsidP="00B96133">
      <w:pPr>
        <w:pStyle w:val="Heading1"/>
      </w:pPr>
      <w:r w:rsidRPr="00B96133">
        <w:lastRenderedPageBreak/>
        <w:t xml:space="preserve">Annex B </w:t>
      </w:r>
    </w:p>
    <w:p w:rsidR="00695E6D" w:rsidRPr="00B96133" w:rsidRDefault="00695E6D" w:rsidP="00B96133">
      <w:pPr>
        <w:pStyle w:val="Heading2"/>
      </w:pPr>
      <w:r w:rsidRPr="00B96133">
        <w:t xml:space="preserve">Quality at </w:t>
      </w:r>
      <w:r w:rsidR="003846E6" w:rsidRPr="00B96133">
        <w:t>i</w:t>
      </w:r>
      <w:r w:rsidRPr="00B96133">
        <w:t>mplementation ratings</w:t>
      </w:r>
    </w:p>
    <w:tbl>
      <w:tblPr>
        <w:tblStyle w:val="APPR"/>
        <w:tblW w:w="5000" w:type="pct"/>
        <w:tblLayout w:type="fixed"/>
        <w:tblLook w:val="0000" w:firstRow="0" w:lastRow="0" w:firstColumn="0" w:lastColumn="0" w:noHBand="0" w:noVBand="0"/>
      </w:tblPr>
      <w:tblGrid>
        <w:gridCol w:w="3392"/>
        <w:gridCol w:w="2951"/>
        <w:gridCol w:w="865"/>
        <w:gridCol w:w="28"/>
        <w:gridCol w:w="865"/>
        <w:gridCol w:w="865"/>
        <w:gridCol w:w="865"/>
        <w:gridCol w:w="865"/>
        <w:gridCol w:w="865"/>
        <w:gridCol w:w="866"/>
        <w:gridCol w:w="1508"/>
      </w:tblGrid>
      <w:tr w:rsidR="00B96133" w:rsidRPr="009D53C4" w:rsidTr="00B96133">
        <w:trPr>
          <w:trHeight w:val="1588"/>
          <w:tblHeader w:val="0"/>
        </w:trPr>
        <w:tc>
          <w:tcPr>
            <w:tcW w:w="800" w:type="pct"/>
          </w:tcPr>
          <w:p w:rsidR="00695E6D" w:rsidRPr="00FE4491" w:rsidRDefault="00695E6D" w:rsidP="006E3F4D">
            <w:pPr>
              <w:pStyle w:val="TableTextColumnHeading"/>
            </w:pPr>
            <w:r w:rsidRPr="00FE4491">
              <w:rPr>
                <w:noProof/>
                <w:lang w:eastAsia="en-AU"/>
              </w:rPr>
              <w:drawing>
                <wp:anchor distT="0" distB="0" distL="114300" distR="114300" simplePos="0" relativeHeight="251667456" behindDoc="0" locked="0" layoutInCell="1" allowOverlap="1" wp14:anchorId="76F33A72" wp14:editId="6C161C26">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698" w:type="pct"/>
            <w:textDirection w:val="btLr"/>
          </w:tcPr>
          <w:p w:rsidR="00695E6D" w:rsidRPr="00FE4491" w:rsidRDefault="00695E6D" w:rsidP="006E3F4D">
            <w:pPr>
              <w:pStyle w:val="TableTextColumnHeading"/>
            </w:pPr>
            <w:r w:rsidRPr="00FE4491">
              <w:t>Approved budget and duration</w:t>
            </w:r>
          </w:p>
        </w:tc>
        <w:tc>
          <w:tcPr>
            <w:tcW w:w="200" w:type="pct"/>
            <w:gridSpan w:val="2"/>
            <w:textDirection w:val="btLr"/>
          </w:tcPr>
          <w:p w:rsidR="00695E6D" w:rsidRPr="00FE4491" w:rsidRDefault="00695E6D" w:rsidP="006E3F4D">
            <w:pPr>
              <w:pStyle w:val="TableTextColumnHeading"/>
            </w:pPr>
            <w:proofErr w:type="spellStart"/>
            <w:r w:rsidRPr="00FE4491">
              <w:t>QaI</w:t>
            </w:r>
            <w:proofErr w:type="spellEnd"/>
            <w:r w:rsidRPr="00FE4491">
              <w:t xml:space="preserve"> year</w:t>
            </w:r>
          </w:p>
        </w:tc>
        <w:tc>
          <w:tcPr>
            <w:tcW w:w="200" w:type="pct"/>
            <w:textDirection w:val="btLr"/>
          </w:tcPr>
          <w:p w:rsidR="00695E6D" w:rsidRPr="00FE4491" w:rsidRDefault="00695E6D" w:rsidP="006E3F4D">
            <w:pPr>
              <w:pStyle w:val="TableTextColumnHeading"/>
            </w:pPr>
            <w:r w:rsidRPr="00FE4491">
              <w:t>Relevance</w:t>
            </w:r>
          </w:p>
        </w:tc>
        <w:tc>
          <w:tcPr>
            <w:tcW w:w="200" w:type="pct"/>
            <w:textDirection w:val="btLr"/>
          </w:tcPr>
          <w:p w:rsidR="00695E6D" w:rsidRPr="00FE4491" w:rsidRDefault="00695E6D" w:rsidP="006E3F4D">
            <w:pPr>
              <w:pStyle w:val="TableTextColumnHeading"/>
            </w:pPr>
            <w:r w:rsidRPr="00FE4491">
              <w:t>Effectiveness</w:t>
            </w:r>
          </w:p>
        </w:tc>
        <w:tc>
          <w:tcPr>
            <w:tcW w:w="200" w:type="pct"/>
            <w:textDirection w:val="btLr"/>
          </w:tcPr>
          <w:p w:rsidR="00695E6D" w:rsidRPr="00FE4491" w:rsidRDefault="00695E6D" w:rsidP="006E3F4D">
            <w:pPr>
              <w:pStyle w:val="TableTextColumnHeading"/>
            </w:pPr>
            <w:r w:rsidRPr="00FE4491">
              <w:t>Efficiency</w:t>
            </w:r>
          </w:p>
        </w:tc>
        <w:tc>
          <w:tcPr>
            <w:tcW w:w="200" w:type="pct"/>
            <w:textDirection w:val="btLr"/>
          </w:tcPr>
          <w:p w:rsidR="00695E6D" w:rsidRPr="00FE4491" w:rsidRDefault="00695E6D" w:rsidP="003846E6">
            <w:pPr>
              <w:pStyle w:val="TableTextColumnHeading"/>
            </w:pPr>
            <w:r w:rsidRPr="00FE4491">
              <w:t xml:space="preserve">Monitoring and </w:t>
            </w:r>
            <w:r w:rsidR="003846E6">
              <w:t>e</w:t>
            </w:r>
            <w:r w:rsidRPr="00FE4491">
              <w:t>valuation</w:t>
            </w:r>
          </w:p>
        </w:tc>
        <w:tc>
          <w:tcPr>
            <w:tcW w:w="200" w:type="pct"/>
            <w:textDirection w:val="btLr"/>
          </w:tcPr>
          <w:p w:rsidR="00695E6D" w:rsidRPr="00FE4491" w:rsidRDefault="00695E6D" w:rsidP="006E3F4D">
            <w:pPr>
              <w:pStyle w:val="TableTextColumnHeading"/>
            </w:pPr>
            <w:r w:rsidRPr="00FE4491">
              <w:t>Sustainability</w:t>
            </w:r>
          </w:p>
        </w:tc>
        <w:tc>
          <w:tcPr>
            <w:tcW w:w="200" w:type="pct"/>
            <w:textDirection w:val="btLr"/>
          </w:tcPr>
          <w:p w:rsidR="00695E6D" w:rsidRPr="00FE4491" w:rsidRDefault="00695E6D" w:rsidP="006E3F4D">
            <w:pPr>
              <w:pStyle w:val="TableTextColumnHeading"/>
            </w:pPr>
            <w:r w:rsidRPr="00FE4491">
              <w:t>Gender equality</w:t>
            </w:r>
          </w:p>
        </w:tc>
        <w:tc>
          <w:tcPr>
            <w:tcW w:w="350" w:type="pct"/>
            <w:textDirection w:val="btLr"/>
          </w:tcPr>
          <w:p w:rsidR="00695E6D" w:rsidRPr="00FE4491" w:rsidRDefault="00695E6D" w:rsidP="006E3F4D">
            <w:pPr>
              <w:pStyle w:val="TableTextColumnHeading"/>
            </w:pPr>
            <w:r w:rsidRPr="00FE4491">
              <w:t xml:space="preserve">Risk </w:t>
            </w:r>
            <w:r w:rsidR="003846E6">
              <w:t>m</w:t>
            </w:r>
            <w:r w:rsidRPr="00FE4491">
              <w:t>anagement</w:t>
            </w:r>
          </w:p>
        </w:tc>
      </w:tr>
      <w:tr w:rsidR="00B96133" w:rsidRPr="009D53C4" w:rsidTr="00B96133">
        <w:trPr>
          <w:cnfStyle w:val="000000010000" w:firstRow="0" w:lastRow="0" w:firstColumn="0" w:lastColumn="0" w:oddVBand="0" w:evenVBand="0" w:oddHBand="0" w:evenHBand="1" w:firstRowFirstColumn="0" w:firstRowLastColumn="0" w:lastRowFirstColumn="0" w:lastRowLastColumn="0"/>
          <w:tblHeader w:val="0"/>
        </w:trPr>
        <w:tc>
          <w:tcPr>
            <w:tcW w:w="800" w:type="pct"/>
            <w:vMerge w:val="restart"/>
          </w:tcPr>
          <w:p w:rsidR="00695E6D" w:rsidRPr="00FE4491" w:rsidRDefault="00695E6D" w:rsidP="00B96133">
            <w:pPr>
              <w:pStyle w:val="TableTextEntries"/>
            </w:pPr>
            <w:r>
              <w:t>Outcome 1:</w:t>
            </w:r>
            <w:r w:rsidR="00B96133">
              <w:t xml:space="preserve"> </w:t>
            </w:r>
            <w:r>
              <w:t xml:space="preserve">Basic </w:t>
            </w:r>
            <w:r w:rsidR="00091898">
              <w:t>e</w:t>
            </w:r>
            <w:r>
              <w:t>ducation</w:t>
            </w:r>
          </w:p>
        </w:tc>
        <w:tc>
          <w:tcPr>
            <w:tcW w:w="698" w:type="pct"/>
            <w:vMerge w:val="restart"/>
          </w:tcPr>
          <w:p w:rsidR="00695E6D" w:rsidRPr="00091898" w:rsidRDefault="00695E6D" w:rsidP="006E3F4D">
            <w:pPr>
              <w:pStyle w:val="TableTextEntries"/>
            </w:pPr>
            <w:r w:rsidRPr="00091898">
              <w:t>$43</w:t>
            </w:r>
            <w:r w:rsidR="003846E6" w:rsidRPr="00091898">
              <w:t xml:space="preserve"> </w:t>
            </w:r>
            <w:r w:rsidRPr="00091898">
              <w:t>220</w:t>
            </w:r>
            <w:r w:rsidR="003846E6" w:rsidRPr="00091898">
              <w:t xml:space="preserve"> </w:t>
            </w:r>
            <w:r w:rsidRPr="00091898">
              <w:t>855</w:t>
            </w:r>
          </w:p>
          <w:p w:rsidR="00695E6D" w:rsidRPr="00C915EE" w:rsidRDefault="00C915EE" w:rsidP="00C915EE">
            <w:pPr>
              <w:pStyle w:val="TableTextEntries"/>
            </w:pPr>
            <w:r>
              <w:t>1 July 2009</w:t>
            </w:r>
            <w:r w:rsidR="00695E6D" w:rsidRPr="00C915EE">
              <w:t>–31</w:t>
            </w:r>
            <w:r>
              <w:t xml:space="preserve"> December 2015</w:t>
            </w:r>
          </w:p>
        </w:tc>
        <w:tc>
          <w:tcPr>
            <w:tcW w:w="200" w:type="pct"/>
          </w:tcPr>
          <w:p w:rsidR="00695E6D" w:rsidRPr="00FE4491" w:rsidRDefault="00695E6D" w:rsidP="006E3F4D">
            <w:pPr>
              <w:pStyle w:val="TableTextEntries"/>
            </w:pPr>
            <w:r w:rsidRPr="00FE4491">
              <w:t>2012</w:t>
            </w:r>
          </w:p>
        </w:tc>
        <w:tc>
          <w:tcPr>
            <w:tcW w:w="200" w:type="pct"/>
            <w:gridSpan w:val="2"/>
            <w:shd w:val="clear" w:color="auto" w:fill="92D050"/>
            <w:noWrap/>
          </w:tcPr>
          <w:p w:rsidR="00695E6D" w:rsidRPr="00FE4491" w:rsidRDefault="00695E6D" w:rsidP="006E3F4D">
            <w:pPr>
              <w:pStyle w:val="TableTextEntries"/>
              <w:jc w:val="center"/>
            </w:pPr>
            <w:r>
              <w:t>6</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FFFF00"/>
            <w:noWrap/>
          </w:tcPr>
          <w:p w:rsidR="00695E6D" w:rsidRPr="00FE4491" w:rsidRDefault="00695E6D" w:rsidP="006E3F4D">
            <w:pPr>
              <w:pStyle w:val="TableTextEntries"/>
              <w:jc w:val="center"/>
            </w:pPr>
            <w:r w:rsidRPr="00FE4491">
              <w:t>4</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92D050"/>
            <w:noWrap/>
          </w:tcPr>
          <w:p w:rsidR="00695E6D" w:rsidRPr="00FE4491" w:rsidRDefault="00695E6D" w:rsidP="006E3F4D">
            <w:pPr>
              <w:pStyle w:val="TableTextEntries"/>
              <w:jc w:val="center"/>
            </w:pPr>
            <w:r>
              <w:t>5</w:t>
            </w:r>
          </w:p>
        </w:tc>
        <w:tc>
          <w:tcPr>
            <w:tcW w:w="350" w:type="pct"/>
            <w:shd w:val="clear" w:color="auto" w:fill="92D050"/>
            <w:noWrap/>
          </w:tcPr>
          <w:p w:rsidR="00695E6D" w:rsidRPr="00FE4491" w:rsidRDefault="00695E6D" w:rsidP="006E3F4D">
            <w:pPr>
              <w:pStyle w:val="TableTextEntries"/>
              <w:jc w:val="center"/>
            </w:pPr>
            <w:r>
              <w:t>Mature</w:t>
            </w:r>
          </w:p>
        </w:tc>
      </w:tr>
      <w:tr w:rsidR="00B96133" w:rsidRPr="009D53C4" w:rsidTr="00B96133">
        <w:trPr>
          <w:tblHeader w:val="0"/>
        </w:trPr>
        <w:tc>
          <w:tcPr>
            <w:tcW w:w="800" w:type="pct"/>
            <w:vMerge/>
          </w:tcPr>
          <w:p w:rsidR="00695E6D" w:rsidRPr="00FE4491" w:rsidRDefault="00695E6D" w:rsidP="006E3F4D">
            <w:pPr>
              <w:pStyle w:val="TableTextEntries"/>
            </w:pPr>
          </w:p>
        </w:tc>
        <w:tc>
          <w:tcPr>
            <w:tcW w:w="698" w:type="pct"/>
            <w:vMerge/>
          </w:tcPr>
          <w:p w:rsidR="00695E6D" w:rsidRPr="00091898" w:rsidRDefault="00695E6D" w:rsidP="006E3F4D">
            <w:pPr>
              <w:pStyle w:val="TableTextEntries"/>
            </w:pPr>
          </w:p>
        </w:tc>
        <w:tc>
          <w:tcPr>
            <w:tcW w:w="200" w:type="pct"/>
          </w:tcPr>
          <w:p w:rsidR="00695E6D" w:rsidRPr="00FE4491" w:rsidRDefault="00695E6D" w:rsidP="006E3F4D">
            <w:pPr>
              <w:pStyle w:val="TableTextEntries"/>
            </w:pPr>
            <w:r w:rsidRPr="00FE4491">
              <w:t>2011</w:t>
            </w:r>
          </w:p>
        </w:tc>
        <w:tc>
          <w:tcPr>
            <w:tcW w:w="200" w:type="pct"/>
            <w:gridSpan w:val="2"/>
            <w:shd w:val="clear" w:color="auto" w:fill="92D050"/>
            <w:noWrap/>
          </w:tcPr>
          <w:p w:rsidR="00695E6D" w:rsidRPr="00FE4491" w:rsidRDefault="00695E6D" w:rsidP="006E3F4D">
            <w:pPr>
              <w:pStyle w:val="TableTextEntries"/>
              <w:jc w:val="center"/>
            </w:pPr>
            <w:r>
              <w:t>5</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F79646" w:themeFill="accent6"/>
            <w:noWrap/>
          </w:tcPr>
          <w:p w:rsidR="00695E6D" w:rsidRPr="00FE4491" w:rsidRDefault="00695E6D" w:rsidP="006E3F4D">
            <w:pPr>
              <w:pStyle w:val="TableTextEntries"/>
              <w:jc w:val="center"/>
            </w:pPr>
            <w:r>
              <w:t>3</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92D050"/>
            <w:noWrap/>
          </w:tcPr>
          <w:p w:rsidR="00695E6D" w:rsidRPr="00FE4491" w:rsidRDefault="00695E6D" w:rsidP="006E3F4D">
            <w:pPr>
              <w:pStyle w:val="TableTextEntries"/>
              <w:jc w:val="center"/>
            </w:pPr>
            <w:r>
              <w:t>5</w:t>
            </w:r>
          </w:p>
        </w:tc>
        <w:tc>
          <w:tcPr>
            <w:tcW w:w="350" w:type="pct"/>
            <w:shd w:val="clear" w:color="auto" w:fill="92D050"/>
            <w:noWrap/>
          </w:tcPr>
          <w:p w:rsidR="00695E6D" w:rsidRPr="00FE4491" w:rsidRDefault="00695E6D" w:rsidP="006E3F4D">
            <w:pPr>
              <w:pStyle w:val="TableTextEntries"/>
              <w:jc w:val="center"/>
            </w:pPr>
            <w:r>
              <w:t>Mature</w:t>
            </w:r>
          </w:p>
        </w:tc>
      </w:tr>
      <w:tr w:rsidR="00B96133" w:rsidRPr="009D53C4" w:rsidTr="00B96133">
        <w:trPr>
          <w:cnfStyle w:val="000000010000" w:firstRow="0" w:lastRow="0" w:firstColumn="0" w:lastColumn="0" w:oddVBand="0" w:evenVBand="0" w:oddHBand="0" w:evenHBand="1" w:firstRowFirstColumn="0" w:firstRowLastColumn="0" w:lastRowFirstColumn="0" w:lastRowLastColumn="0"/>
          <w:tblHeader w:val="0"/>
        </w:trPr>
        <w:tc>
          <w:tcPr>
            <w:tcW w:w="800" w:type="pct"/>
            <w:vMerge w:val="restart"/>
          </w:tcPr>
          <w:p w:rsidR="00695E6D" w:rsidRPr="00FE4491" w:rsidRDefault="00695E6D" w:rsidP="00B96133">
            <w:pPr>
              <w:pStyle w:val="TableTextEntries"/>
            </w:pPr>
            <w:r>
              <w:t>Outcome 2:</w:t>
            </w:r>
            <w:r w:rsidR="00B96133">
              <w:t xml:space="preserve"> </w:t>
            </w:r>
            <w:r w:rsidRPr="00CB1923">
              <w:t xml:space="preserve">Workforce </w:t>
            </w:r>
            <w:r w:rsidR="00091898">
              <w:t>s</w:t>
            </w:r>
            <w:r w:rsidRPr="00CB1923">
              <w:t xml:space="preserve">kills </w:t>
            </w:r>
            <w:r w:rsidR="00091898">
              <w:t>d</w:t>
            </w:r>
            <w:r w:rsidRPr="00CB1923">
              <w:t>evelopment</w:t>
            </w:r>
          </w:p>
        </w:tc>
        <w:tc>
          <w:tcPr>
            <w:tcW w:w="698" w:type="pct"/>
            <w:vMerge w:val="restart"/>
          </w:tcPr>
          <w:p w:rsidR="00695E6D" w:rsidRPr="00091898" w:rsidRDefault="00695E6D" w:rsidP="006E3F4D">
            <w:pPr>
              <w:pStyle w:val="TableTextEntries"/>
            </w:pPr>
            <w:r w:rsidRPr="00091898">
              <w:t>$26</w:t>
            </w:r>
            <w:r w:rsidR="003846E6" w:rsidRPr="00091898">
              <w:t xml:space="preserve"> </w:t>
            </w:r>
            <w:r w:rsidRPr="00091898">
              <w:t>755</w:t>
            </w:r>
            <w:r w:rsidR="003846E6" w:rsidRPr="00091898">
              <w:t xml:space="preserve"> </w:t>
            </w:r>
            <w:r w:rsidRPr="00091898">
              <w:t>460</w:t>
            </w:r>
          </w:p>
          <w:p w:rsidR="00695E6D" w:rsidRPr="00C915EE" w:rsidRDefault="00695E6D" w:rsidP="00C915EE">
            <w:pPr>
              <w:pStyle w:val="TableTextEntries"/>
            </w:pPr>
            <w:r w:rsidRPr="00C915EE">
              <w:t>15</w:t>
            </w:r>
            <w:r w:rsidR="00C915EE">
              <w:t xml:space="preserve"> February 2010</w:t>
            </w:r>
            <w:r w:rsidRPr="00C915EE">
              <w:t>–30</w:t>
            </w:r>
            <w:r w:rsidR="00C915EE">
              <w:t xml:space="preserve"> June</w:t>
            </w:r>
            <w:r w:rsidR="00C5078F">
              <w:t xml:space="preserve"> </w:t>
            </w:r>
            <w:r w:rsidR="00C915EE">
              <w:t>20</w:t>
            </w:r>
            <w:r w:rsidRPr="00C915EE">
              <w:t>16</w:t>
            </w:r>
          </w:p>
        </w:tc>
        <w:tc>
          <w:tcPr>
            <w:tcW w:w="200" w:type="pct"/>
          </w:tcPr>
          <w:p w:rsidR="00695E6D" w:rsidRPr="00FE4491" w:rsidRDefault="00695E6D" w:rsidP="006E3F4D">
            <w:pPr>
              <w:pStyle w:val="TableTextEntries"/>
            </w:pPr>
            <w:r w:rsidRPr="00FE4491">
              <w:t>2012</w:t>
            </w:r>
          </w:p>
        </w:tc>
        <w:tc>
          <w:tcPr>
            <w:tcW w:w="200" w:type="pct"/>
            <w:gridSpan w:val="2"/>
            <w:shd w:val="clear" w:color="auto" w:fill="92D050"/>
            <w:noWrap/>
          </w:tcPr>
          <w:p w:rsidR="00695E6D" w:rsidRPr="00FE4491" w:rsidRDefault="00695E6D" w:rsidP="006E3F4D">
            <w:pPr>
              <w:pStyle w:val="TableTextEntries"/>
              <w:jc w:val="center"/>
            </w:pPr>
            <w:r>
              <w:t>5</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F79646" w:themeFill="accent6"/>
            <w:noWrap/>
          </w:tcPr>
          <w:p w:rsidR="00695E6D" w:rsidRPr="00FE4491" w:rsidRDefault="00695E6D" w:rsidP="006E3F4D">
            <w:pPr>
              <w:pStyle w:val="TableTextEntries"/>
              <w:jc w:val="center"/>
            </w:pPr>
            <w:r>
              <w:t>3</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FFFF00"/>
            <w:noWrap/>
          </w:tcPr>
          <w:p w:rsidR="00695E6D" w:rsidRPr="00FE4491" w:rsidRDefault="00695E6D" w:rsidP="006E3F4D">
            <w:pPr>
              <w:pStyle w:val="TableTextEntries"/>
              <w:jc w:val="center"/>
            </w:pPr>
            <w:r>
              <w:t>4</w:t>
            </w:r>
          </w:p>
        </w:tc>
        <w:tc>
          <w:tcPr>
            <w:tcW w:w="350" w:type="pct"/>
            <w:shd w:val="clear" w:color="auto" w:fill="92D050"/>
            <w:noWrap/>
          </w:tcPr>
          <w:p w:rsidR="00695E6D" w:rsidRPr="00FE4491" w:rsidRDefault="00695E6D" w:rsidP="006E3F4D">
            <w:pPr>
              <w:pStyle w:val="TableTextEntries"/>
              <w:jc w:val="center"/>
            </w:pPr>
            <w:r>
              <w:t>Mature</w:t>
            </w:r>
          </w:p>
        </w:tc>
      </w:tr>
      <w:tr w:rsidR="00B96133" w:rsidRPr="009D53C4" w:rsidTr="00B96133">
        <w:trPr>
          <w:tblHeader w:val="0"/>
        </w:trPr>
        <w:tc>
          <w:tcPr>
            <w:tcW w:w="800" w:type="pct"/>
            <w:vMerge/>
          </w:tcPr>
          <w:p w:rsidR="00695E6D" w:rsidRPr="00FE4491" w:rsidRDefault="00695E6D" w:rsidP="006E3F4D">
            <w:pPr>
              <w:pStyle w:val="TableTextEntries"/>
            </w:pPr>
          </w:p>
        </w:tc>
        <w:tc>
          <w:tcPr>
            <w:tcW w:w="698" w:type="pct"/>
            <w:vMerge/>
          </w:tcPr>
          <w:p w:rsidR="00695E6D" w:rsidRPr="00091898" w:rsidRDefault="00695E6D" w:rsidP="006E3F4D">
            <w:pPr>
              <w:pStyle w:val="TableTextEntries"/>
            </w:pPr>
          </w:p>
        </w:tc>
        <w:tc>
          <w:tcPr>
            <w:tcW w:w="200" w:type="pct"/>
          </w:tcPr>
          <w:p w:rsidR="00695E6D" w:rsidRPr="00FE4491" w:rsidRDefault="00695E6D" w:rsidP="006E3F4D">
            <w:pPr>
              <w:pStyle w:val="TableTextEntries"/>
            </w:pPr>
            <w:r w:rsidRPr="00FE4491">
              <w:t>2011</w:t>
            </w:r>
          </w:p>
        </w:tc>
        <w:tc>
          <w:tcPr>
            <w:tcW w:w="200" w:type="pct"/>
            <w:gridSpan w:val="2"/>
            <w:shd w:val="clear" w:color="auto" w:fill="92D050"/>
            <w:noWrap/>
          </w:tcPr>
          <w:p w:rsidR="00695E6D" w:rsidRPr="00FE4491" w:rsidRDefault="00695E6D" w:rsidP="006E3F4D">
            <w:pPr>
              <w:pStyle w:val="TableTextEntries"/>
              <w:jc w:val="center"/>
            </w:pPr>
            <w:r>
              <w:t>5</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92D050"/>
            <w:noWrap/>
          </w:tcPr>
          <w:p w:rsidR="00695E6D" w:rsidRPr="00FE4491" w:rsidRDefault="00695E6D" w:rsidP="006E3F4D">
            <w:pPr>
              <w:pStyle w:val="TableTextEntries"/>
              <w:jc w:val="center"/>
            </w:pPr>
            <w:r>
              <w:t>6</w:t>
            </w:r>
          </w:p>
        </w:tc>
        <w:tc>
          <w:tcPr>
            <w:tcW w:w="200" w:type="pct"/>
            <w:shd w:val="clear" w:color="auto" w:fill="F79646" w:themeFill="accent6"/>
            <w:noWrap/>
          </w:tcPr>
          <w:p w:rsidR="00695E6D" w:rsidRPr="00FE4491" w:rsidRDefault="00695E6D" w:rsidP="006E3F4D">
            <w:pPr>
              <w:pStyle w:val="TableTextEntries"/>
              <w:jc w:val="center"/>
            </w:pPr>
            <w:r>
              <w:t>3</w:t>
            </w:r>
          </w:p>
        </w:tc>
        <w:tc>
          <w:tcPr>
            <w:tcW w:w="200" w:type="pct"/>
            <w:shd w:val="clear" w:color="auto" w:fill="FFFF00"/>
            <w:noWrap/>
          </w:tcPr>
          <w:p w:rsidR="00695E6D" w:rsidRPr="00FE4491" w:rsidRDefault="00695E6D" w:rsidP="006E3F4D">
            <w:pPr>
              <w:pStyle w:val="TableTextEntries"/>
              <w:jc w:val="center"/>
            </w:pPr>
            <w:r>
              <w:t>4</w:t>
            </w:r>
          </w:p>
        </w:tc>
        <w:tc>
          <w:tcPr>
            <w:tcW w:w="200" w:type="pct"/>
            <w:shd w:val="clear" w:color="auto" w:fill="F79646" w:themeFill="accent6"/>
            <w:noWrap/>
          </w:tcPr>
          <w:p w:rsidR="00695E6D" w:rsidRPr="00FE4491" w:rsidRDefault="00695E6D" w:rsidP="006E3F4D">
            <w:pPr>
              <w:pStyle w:val="TableTextEntries"/>
              <w:jc w:val="center"/>
            </w:pPr>
            <w:r>
              <w:t>3</w:t>
            </w:r>
          </w:p>
        </w:tc>
        <w:tc>
          <w:tcPr>
            <w:tcW w:w="350" w:type="pct"/>
            <w:shd w:val="clear" w:color="auto" w:fill="92D050"/>
            <w:noWrap/>
          </w:tcPr>
          <w:p w:rsidR="00695E6D" w:rsidRPr="00FE4491" w:rsidRDefault="00695E6D" w:rsidP="006E3F4D">
            <w:pPr>
              <w:pStyle w:val="TableTextEntries"/>
              <w:jc w:val="center"/>
            </w:pPr>
            <w:r>
              <w:t>Mature</w:t>
            </w:r>
          </w:p>
        </w:tc>
      </w:tr>
      <w:tr w:rsidR="00B96133" w:rsidRPr="009D53C4" w:rsidTr="00B96133">
        <w:trPr>
          <w:cnfStyle w:val="000000010000" w:firstRow="0" w:lastRow="0" w:firstColumn="0" w:lastColumn="0" w:oddVBand="0" w:evenVBand="0" w:oddHBand="0" w:evenHBand="1" w:firstRowFirstColumn="0" w:firstRowLastColumn="0" w:lastRowFirstColumn="0" w:lastRowLastColumn="0"/>
          <w:tblHeader w:val="0"/>
        </w:trPr>
        <w:tc>
          <w:tcPr>
            <w:tcW w:w="800" w:type="pct"/>
            <w:vMerge w:val="restart"/>
          </w:tcPr>
          <w:p w:rsidR="00695E6D" w:rsidRPr="00FE4491" w:rsidRDefault="00695E6D" w:rsidP="00B96133">
            <w:pPr>
              <w:pStyle w:val="TableTextEntries"/>
            </w:pPr>
            <w:r>
              <w:t>Outcome 2:</w:t>
            </w:r>
            <w:r w:rsidR="00B96133">
              <w:t xml:space="preserve"> </w:t>
            </w:r>
            <w:r>
              <w:t>Kiribati</w:t>
            </w:r>
            <w:r w:rsidR="006A6096">
              <w:t>-</w:t>
            </w:r>
            <w:r>
              <w:t xml:space="preserve"> Australia Nurs</w:t>
            </w:r>
            <w:r w:rsidR="006A6096">
              <w:t>ing</w:t>
            </w:r>
            <w:r>
              <w:t xml:space="preserve"> Initiative</w:t>
            </w:r>
          </w:p>
        </w:tc>
        <w:tc>
          <w:tcPr>
            <w:tcW w:w="698" w:type="pct"/>
            <w:vMerge w:val="restart"/>
          </w:tcPr>
          <w:p w:rsidR="00695E6D" w:rsidRPr="00091898" w:rsidRDefault="00695E6D" w:rsidP="006E3F4D">
            <w:pPr>
              <w:pStyle w:val="TableTextEntries"/>
            </w:pPr>
            <w:r w:rsidRPr="00091898">
              <w:t>$20</w:t>
            </w:r>
            <w:r w:rsidR="003846E6" w:rsidRPr="00091898">
              <w:t xml:space="preserve"> </w:t>
            </w:r>
            <w:r w:rsidRPr="00091898">
              <w:t>651</w:t>
            </w:r>
            <w:r w:rsidR="003846E6" w:rsidRPr="00091898">
              <w:t xml:space="preserve"> </w:t>
            </w:r>
            <w:r w:rsidRPr="00091898">
              <w:t>293</w:t>
            </w:r>
          </w:p>
          <w:p w:rsidR="00695E6D" w:rsidRPr="00C915EE" w:rsidRDefault="00695E6D" w:rsidP="00C915EE">
            <w:pPr>
              <w:pStyle w:val="TableTextEntries"/>
            </w:pPr>
            <w:r w:rsidRPr="00C915EE">
              <w:t>21</w:t>
            </w:r>
            <w:r w:rsidR="00C915EE">
              <w:t xml:space="preserve"> March 20</w:t>
            </w:r>
            <w:r w:rsidRPr="00C915EE">
              <w:t>06–30</w:t>
            </w:r>
            <w:r w:rsidR="00C915EE">
              <w:t xml:space="preserve"> June 2016</w:t>
            </w:r>
          </w:p>
        </w:tc>
        <w:tc>
          <w:tcPr>
            <w:tcW w:w="200" w:type="pct"/>
          </w:tcPr>
          <w:p w:rsidR="00695E6D" w:rsidRPr="00FE4491" w:rsidRDefault="00695E6D" w:rsidP="006E3F4D">
            <w:pPr>
              <w:pStyle w:val="TableTextEntries"/>
            </w:pPr>
            <w:r>
              <w:t>2012</w:t>
            </w:r>
          </w:p>
        </w:tc>
        <w:tc>
          <w:tcPr>
            <w:tcW w:w="200" w:type="pct"/>
            <w:gridSpan w:val="2"/>
            <w:shd w:val="clear" w:color="auto" w:fill="92D050"/>
            <w:noWrap/>
          </w:tcPr>
          <w:p w:rsidR="00695E6D" w:rsidRDefault="00695E6D" w:rsidP="006E3F4D">
            <w:pPr>
              <w:pStyle w:val="TableTextEntries"/>
              <w:jc w:val="center"/>
            </w:pPr>
            <w:r>
              <w:t>5</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F0000"/>
            <w:noWrap/>
          </w:tcPr>
          <w:p w:rsidR="00695E6D" w:rsidRDefault="00695E6D" w:rsidP="006E3F4D">
            <w:pPr>
              <w:pStyle w:val="TableTextEntries"/>
              <w:jc w:val="center"/>
            </w:pPr>
            <w:r>
              <w:t>2</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FFF00"/>
            <w:noWrap/>
          </w:tcPr>
          <w:p w:rsidR="00695E6D" w:rsidRDefault="00695E6D" w:rsidP="006E3F4D">
            <w:pPr>
              <w:pStyle w:val="TableTextEntries"/>
              <w:jc w:val="center"/>
            </w:pPr>
            <w:r>
              <w:t>4</w:t>
            </w:r>
          </w:p>
        </w:tc>
        <w:tc>
          <w:tcPr>
            <w:tcW w:w="350" w:type="pct"/>
            <w:shd w:val="clear" w:color="auto" w:fill="F79646" w:themeFill="accent6"/>
            <w:noWrap/>
          </w:tcPr>
          <w:p w:rsidR="00695E6D" w:rsidRDefault="00695E6D" w:rsidP="006E3F4D">
            <w:pPr>
              <w:pStyle w:val="TableTextEntries"/>
              <w:jc w:val="center"/>
            </w:pPr>
            <w:r>
              <w:t>Intermediate</w:t>
            </w:r>
          </w:p>
        </w:tc>
      </w:tr>
      <w:tr w:rsidR="00B96133" w:rsidRPr="009D53C4" w:rsidTr="00B96133">
        <w:trPr>
          <w:tblHeader w:val="0"/>
        </w:trPr>
        <w:tc>
          <w:tcPr>
            <w:tcW w:w="800" w:type="pct"/>
            <w:vMerge/>
          </w:tcPr>
          <w:p w:rsidR="00695E6D" w:rsidRPr="00FE4491" w:rsidRDefault="00695E6D" w:rsidP="006E3F4D">
            <w:pPr>
              <w:pStyle w:val="TableTextEntries"/>
            </w:pPr>
          </w:p>
        </w:tc>
        <w:tc>
          <w:tcPr>
            <w:tcW w:w="698" w:type="pct"/>
            <w:vMerge/>
          </w:tcPr>
          <w:p w:rsidR="00695E6D" w:rsidRPr="00091898" w:rsidRDefault="00695E6D" w:rsidP="006E3F4D">
            <w:pPr>
              <w:pStyle w:val="TableTextEntries"/>
            </w:pPr>
          </w:p>
        </w:tc>
        <w:tc>
          <w:tcPr>
            <w:tcW w:w="200" w:type="pct"/>
          </w:tcPr>
          <w:p w:rsidR="00695E6D" w:rsidRPr="00FE4491" w:rsidRDefault="00695E6D" w:rsidP="006E3F4D">
            <w:pPr>
              <w:pStyle w:val="TableTextEntries"/>
            </w:pPr>
            <w:r>
              <w:t>2011</w:t>
            </w:r>
          </w:p>
        </w:tc>
        <w:tc>
          <w:tcPr>
            <w:tcW w:w="200" w:type="pct"/>
            <w:gridSpan w:val="2"/>
            <w:shd w:val="clear" w:color="auto" w:fill="92D050"/>
            <w:noWrap/>
          </w:tcPr>
          <w:p w:rsidR="00695E6D" w:rsidRDefault="00695E6D" w:rsidP="006E3F4D">
            <w:pPr>
              <w:pStyle w:val="TableTextEntries"/>
              <w:jc w:val="center"/>
            </w:pPr>
            <w:r>
              <w:t>5</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F0000"/>
            <w:noWrap/>
          </w:tcPr>
          <w:p w:rsidR="00695E6D" w:rsidRDefault="00695E6D" w:rsidP="006E3F4D">
            <w:pPr>
              <w:pStyle w:val="TableTextEntries"/>
              <w:jc w:val="center"/>
            </w:pPr>
            <w:r>
              <w:t>2</w:t>
            </w:r>
          </w:p>
        </w:tc>
        <w:tc>
          <w:tcPr>
            <w:tcW w:w="200" w:type="pct"/>
            <w:shd w:val="clear" w:color="auto" w:fill="FF0000"/>
            <w:noWrap/>
          </w:tcPr>
          <w:p w:rsidR="00695E6D" w:rsidRDefault="00695E6D" w:rsidP="006E3F4D">
            <w:pPr>
              <w:pStyle w:val="TableTextEntries"/>
              <w:jc w:val="center"/>
            </w:pPr>
            <w:r>
              <w:t>2</w:t>
            </w:r>
          </w:p>
        </w:tc>
        <w:tc>
          <w:tcPr>
            <w:tcW w:w="200" w:type="pct"/>
            <w:shd w:val="clear" w:color="auto" w:fill="FF0000"/>
            <w:noWrap/>
          </w:tcPr>
          <w:p w:rsidR="00695E6D" w:rsidRDefault="00695E6D" w:rsidP="006E3F4D">
            <w:pPr>
              <w:pStyle w:val="TableTextEntries"/>
              <w:jc w:val="center"/>
            </w:pPr>
            <w:r>
              <w:t>2</w:t>
            </w:r>
          </w:p>
        </w:tc>
        <w:tc>
          <w:tcPr>
            <w:tcW w:w="200" w:type="pct"/>
            <w:shd w:val="clear" w:color="auto" w:fill="92D050"/>
            <w:noWrap/>
          </w:tcPr>
          <w:p w:rsidR="00695E6D" w:rsidRDefault="00695E6D" w:rsidP="006E3F4D">
            <w:pPr>
              <w:pStyle w:val="TableTextEntries"/>
              <w:jc w:val="center"/>
            </w:pPr>
            <w:r>
              <w:t>5</w:t>
            </w:r>
          </w:p>
        </w:tc>
        <w:tc>
          <w:tcPr>
            <w:tcW w:w="350" w:type="pct"/>
            <w:shd w:val="clear" w:color="auto" w:fill="F79646" w:themeFill="accent6"/>
            <w:noWrap/>
          </w:tcPr>
          <w:p w:rsidR="00695E6D" w:rsidRDefault="00695E6D" w:rsidP="006E3F4D">
            <w:pPr>
              <w:pStyle w:val="TableTextEntries"/>
              <w:jc w:val="center"/>
            </w:pPr>
            <w:r>
              <w:t>Intermediate</w:t>
            </w:r>
          </w:p>
        </w:tc>
      </w:tr>
      <w:tr w:rsidR="00B96133" w:rsidRPr="009D53C4" w:rsidTr="00B96133">
        <w:trPr>
          <w:cnfStyle w:val="000000010000" w:firstRow="0" w:lastRow="0" w:firstColumn="0" w:lastColumn="0" w:oddVBand="0" w:evenVBand="0" w:oddHBand="0" w:evenHBand="1" w:firstRowFirstColumn="0" w:firstRowLastColumn="0" w:lastRowFirstColumn="0" w:lastRowLastColumn="0"/>
          <w:tblHeader w:val="0"/>
        </w:trPr>
        <w:tc>
          <w:tcPr>
            <w:tcW w:w="800" w:type="pct"/>
            <w:vMerge w:val="restart"/>
          </w:tcPr>
          <w:p w:rsidR="00695E6D" w:rsidRPr="00FE4491" w:rsidRDefault="00695E6D" w:rsidP="00B96133">
            <w:pPr>
              <w:pStyle w:val="TableTextEntries"/>
            </w:pPr>
            <w:r>
              <w:t>Outcome 2:</w:t>
            </w:r>
            <w:r w:rsidR="00B96133">
              <w:t xml:space="preserve"> </w:t>
            </w:r>
            <w:r>
              <w:t>Australia Awards</w:t>
            </w:r>
          </w:p>
        </w:tc>
        <w:tc>
          <w:tcPr>
            <w:tcW w:w="698" w:type="pct"/>
            <w:vMerge w:val="restart"/>
          </w:tcPr>
          <w:p w:rsidR="00695E6D" w:rsidRPr="00091898" w:rsidRDefault="00695E6D" w:rsidP="006E3F4D">
            <w:pPr>
              <w:pStyle w:val="TableTextEntries"/>
            </w:pPr>
            <w:r w:rsidRPr="00091898">
              <w:t>$2</w:t>
            </w:r>
            <w:r w:rsidR="003846E6" w:rsidRPr="00091898">
              <w:t xml:space="preserve"> </w:t>
            </w:r>
            <w:r w:rsidRPr="00091898">
              <w:t>875</w:t>
            </w:r>
            <w:r w:rsidR="003846E6" w:rsidRPr="00091898">
              <w:t xml:space="preserve"> </w:t>
            </w:r>
            <w:r w:rsidRPr="00091898">
              <w:t>576</w:t>
            </w:r>
          </w:p>
          <w:p w:rsidR="00695E6D" w:rsidRPr="00C915EE" w:rsidRDefault="00695E6D" w:rsidP="00C915EE">
            <w:pPr>
              <w:pStyle w:val="TableTextEntries"/>
            </w:pPr>
            <w:r w:rsidRPr="00C915EE">
              <w:t>1</w:t>
            </w:r>
            <w:r w:rsidR="00C915EE">
              <w:t xml:space="preserve"> March 2010</w:t>
            </w:r>
            <w:r w:rsidRPr="00C915EE">
              <w:t>–30</w:t>
            </w:r>
            <w:r w:rsidR="00C915EE">
              <w:t xml:space="preserve"> June 2017</w:t>
            </w:r>
          </w:p>
        </w:tc>
        <w:tc>
          <w:tcPr>
            <w:tcW w:w="200" w:type="pct"/>
          </w:tcPr>
          <w:p w:rsidR="00695E6D" w:rsidRPr="00FE4491" w:rsidRDefault="00695E6D" w:rsidP="006E3F4D">
            <w:pPr>
              <w:pStyle w:val="TableTextEntries"/>
            </w:pPr>
            <w:r>
              <w:t>2012</w:t>
            </w:r>
          </w:p>
        </w:tc>
        <w:tc>
          <w:tcPr>
            <w:tcW w:w="200" w:type="pct"/>
            <w:gridSpan w:val="2"/>
            <w:shd w:val="clear" w:color="auto" w:fill="92D050"/>
            <w:noWrap/>
          </w:tcPr>
          <w:p w:rsidR="00695E6D" w:rsidRDefault="00695E6D" w:rsidP="006E3F4D">
            <w:pPr>
              <w:pStyle w:val="TableTextEntries"/>
              <w:jc w:val="center"/>
            </w:pPr>
            <w:r>
              <w:t>5</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F0000"/>
            <w:noWrap/>
          </w:tcPr>
          <w:p w:rsidR="00695E6D" w:rsidRDefault="00695E6D" w:rsidP="006E3F4D">
            <w:pPr>
              <w:pStyle w:val="TableTextEntries"/>
              <w:jc w:val="center"/>
            </w:pPr>
            <w:r>
              <w:t>2</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FFF00"/>
            <w:noWrap/>
          </w:tcPr>
          <w:p w:rsidR="00695E6D" w:rsidRDefault="00695E6D" w:rsidP="006E3F4D">
            <w:pPr>
              <w:pStyle w:val="TableTextEntries"/>
              <w:jc w:val="center"/>
            </w:pPr>
            <w:r>
              <w:t>4</w:t>
            </w:r>
          </w:p>
        </w:tc>
        <w:tc>
          <w:tcPr>
            <w:tcW w:w="200" w:type="pct"/>
            <w:shd w:val="clear" w:color="auto" w:fill="FFFF00"/>
            <w:noWrap/>
          </w:tcPr>
          <w:p w:rsidR="00695E6D" w:rsidRDefault="00695E6D" w:rsidP="006E3F4D">
            <w:pPr>
              <w:pStyle w:val="TableTextEntries"/>
              <w:jc w:val="center"/>
            </w:pPr>
            <w:r>
              <w:t>4</w:t>
            </w:r>
          </w:p>
        </w:tc>
        <w:tc>
          <w:tcPr>
            <w:tcW w:w="350" w:type="pct"/>
            <w:shd w:val="clear" w:color="auto" w:fill="92D050"/>
            <w:noWrap/>
          </w:tcPr>
          <w:p w:rsidR="00695E6D" w:rsidRDefault="00695E6D" w:rsidP="006E3F4D">
            <w:pPr>
              <w:pStyle w:val="TableTextEntries"/>
              <w:jc w:val="center"/>
            </w:pPr>
            <w:r>
              <w:t>Mature</w:t>
            </w:r>
          </w:p>
        </w:tc>
      </w:tr>
      <w:tr w:rsidR="00B96133" w:rsidRPr="009D53C4" w:rsidTr="00B96133">
        <w:trPr>
          <w:tblHeader w:val="0"/>
        </w:trPr>
        <w:tc>
          <w:tcPr>
            <w:tcW w:w="800" w:type="pct"/>
            <w:vMerge/>
          </w:tcPr>
          <w:p w:rsidR="00695E6D" w:rsidRDefault="00695E6D" w:rsidP="006E3F4D">
            <w:pPr>
              <w:pStyle w:val="TableTextEntries"/>
            </w:pPr>
          </w:p>
        </w:tc>
        <w:tc>
          <w:tcPr>
            <w:tcW w:w="698" w:type="pct"/>
            <w:vMerge/>
          </w:tcPr>
          <w:p w:rsidR="00695E6D" w:rsidRPr="00091898" w:rsidRDefault="00695E6D" w:rsidP="006E3F4D">
            <w:pPr>
              <w:pStyle w:val="TableTextEntries"/>
            </w:pPr>
          </w:p>
        </w:tc>
        <w:tc>
          <w:tcPr>
            <w:tcW w:w="200" w:type="pct"/>
          </w:tcPr>
          <w:p w:rsidR="00695E6D" w:rsidRPr="00FE4491" w:rsidRDefault="00695E6D" w:rsidP="006E3F4D">
            <w:pPr>
              <w:pStyle w:val="TableTextEntries"/>
            </w:pPr>
            <w:r>
              <w:t>2011</w:t>
            </w:r>
          </w:p>
        </w:tc>
        <w:tc>
          <w:tcPr>
            <w:tcW w:w="200" w:type="pct"/>
            <w:gridSpan w:val="2"/>
            <w:shd w:val="clear" w:color="auto" w:fill="92D050"/>
            <w:noWrap/>
          </w:tcPr>
          <w:p w:rsidR="00695E6D" w:rsidRDefault="00695E6D" w:rsidP="006E3F4D">
            <w:pPr>
              <w:pStyle w:val="TableTextEntries"/>
              <w:jc w:val="center"/>
            </w:pPr>
            <w:r>
              <w:t>5</w:t>
            </w:r>
          </w:p>
        </w:tc>
        <w:tc>
          <w:tcPr>
            <w:tcW w:w="200" w:type="pct"/>
            <w:shd w:val="clear" w:color="auto" w:fill="FFFF00"/>
            <w:noWrap/>
          </w:tcPr>
          <w:p w:rsidR="00695E6D" w:rsidRDefault="00695E6D" w:rsidP="006E3F4D">
            <w:pPr>
              <w:pStyle w:val="TableTextEntries"/>
              <w:jc w:val="center"/>
            </w:pPr>
            <w:r>
              <w:t>4</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FFF00"/>
            <w:noWrap/>
          </w:tcPr>
          <w:p w:rsidR="00695E6D" w:rsidRDefault="00695E6D" w:rsidP="006E3F4D">
            <w:pPr>
              <w:pStyle w:val="TableTextEntries"/>
              <w:jc w:val="center"/>
            </w:pPr>
            <w:r>
              <w:t>4</w:t>
            </w:r>
          </w:p>
        </w:tc>
        <w:tc>
          <w:tcPr>
            <w:tcW w:w="200" w:type="pct"/>
            <w:shd w:val="clear" w:color="auto" w:fill="FFFF00"/>
            <w:noWrap/>
          </w:tcPr>
          <w:p w:rsidR="00695E6D" w:rsidRDefault="00695E6D" w:rsidP="006E3F4D">
            <w:pPr>
              <w:pStyle w:val="TableTextEntries"/>
              <w:jc w:val="center"/>
            </w:pPr>
            <w:r>
              <w:t>4</w:t>
            </w:r>
          </w:p>
        </w:tc>
        <w:tc>
          <w:tcPr>
            <w:tcW w:w="350" w:type="pct"/>
            <w:shd w:val="clear" w:color="auto" w:fill="92D050"/>
            <w:noWrap/>
          </w:tcPr>
          <w:p w:rsidR="00695E6D" w:rsidRDefault="00695E6D" w:rsidP="006E3F4D">
            <w:pPr>
              <w:pStyle w:val="TableTextEntries"/>
              <w:jc w:val="center"/>
            </w:pPr>
            <w:r>
              <w:t>Mature</w:t>
            </w:r>
          </w:p>
        </w:tc>
      </w:tr>
      <w:tr w:rsidR="00B96133" w:rsidRPr="009D53C4" w:rsidTr="00B96133">
        <w:trPr>
          <w:cnfStyle w:val="000000010000" w:firstRow="0" w:lastRow="0" w:firstColumn="0" w:lastColumn="0" w:oddVBand="0" w:evenVBand="0" w:oddHBand="0" w:evenHBand="1" w:firstRowFirstColumn="0" w:firstRowLastColumn="0" w:lastRowFirstColumn="0" w:lastRowLastColumn="0"/>
          <w:tblHeader w:val="0"/>
        </w:trPr>
        <w:tc>
          <w:tcPr>
            <w:tcW w:w="800" w:type="pct"/>
            <w:vMerge w:val="restart"/>
          </w:tcPr>
          <w:p w:rsidR="00695E6D" w:rsidRDefault="00695E6D" w:rsidP="00B96133">
            <w:pPr>
              <w:pStyle w:val="TableTextEntries"/>
            </w:pPr>
            <w:r>
              <w:t>Outcome 3:</w:t>
            </w:r>
            <w:r w:rsidR="00B96133">
              <w:t xml:space="preserve"> </w:t>
            </w:r>
            <w:r>
              <w:t xml:space="preserve">Growth </w:t>
            </w:r>
            <w:r w:rsidR="00091898">
              <w:t xml:space="preserve">and </w:t>
            </w:r>
            <w:r w:rsidR="00EE4AB8">
              <w:t>e</w:t>
            </w:r>
            <w:r w:rsidRPr="007E3860">
              <w:t xml:space="preserve">conomic </w:t>
            </w:r>
            <w:r w:rsidR="00EE4AB8">
              <w:t>m</w:t>
            </w:r>
            <w:r w:rsidRPr="007E3860">
              <w:t>anagement</w:t>
            </w:r>
          </w:p>
        </w:tc>
        <w:tc>
          <w:tcPr>
            <w:tcW w:w="698" w:type="pct"/>
            <w:vMerge w:val="restart"/>
          </w:tcPr>
          <w:p w:rsidR="00695E6D" w:rsidRPr="00091898" w:rsidRDefault="00695E6D" w:rsidP="006E3F4D">
            <w:pPr>
              <w:pStyle w:val="TableTextEntries"/>
            </w:pPr>
            <w:r w:rsidRPr="00091898">
              <w:t>$13</w:t>
            </w:r>
            <w:r w:rsidR="003846E6" w:rsidRPr="00091898">
              <w:t xml:space="preserve"> </w:t>
            </w:r>
            <w:r w:rsidRPr="00091898">
              <w:t>188</w:t>
            </w:r>
            <w:r w:rsidR="003846E6" w:rsidRPr="00091898">
              <w:t xml:space="preserve"> </w:t>
            </w:r>
            <w:r w:rsidRPr="00091898">
              <w:t>647</w:t>
            </w:r>
          </w:p>
          <w:p w:rsidR="00695E6D" w:rsidRPr="00C915EE" w:rsidRDefault="00695E6D" w:rsidP="00C915EE">
            <w:pPr>
              <w:pStyle w:val="TableTextEntries"/>
            </w:pPr>
            <w:r w:rsidRPr="00C915EE">
              <w:t>28</w:t>
            </w:r>
            <w:r w:rsidR="00C915EE">
              <w:t xml:space="preserve"> May 2010</w:t>
            </w:r>
            <w:r w:rsidRPr="00C915EE">
              <w:t>–30</w:t>
            </w:r>
            <w:r w:rsidR="00C915EE">
              <w:t xml:space="preserve"> June 2020</w:t>
            </w:r>
          </w:p>
        </w:tc>
        <w:tc>
          <w:tcPr>
            <w:tcW w:w="200" w:type="pct"/>
          </w:tcPr>
          <w:p w:rsidR="00695E6D" w:rsidRPr="00FE4491" w:rsidRDefault="00695E6D" w:rsidP="006E3F4D">
            <w:pPr>
              <w:pStyle w:val="TableTextEntries"/>
            </w:pPr>
            <w:r>
              <w:t>2012</w:t>
            </w:r>
          </w:p>
        </w:tc>
        <w:tc>
          <w:tcPr>
            <w:tcW w:w="200" w:type="pct"/>
            <w:gridSpan w:val="2"/>
            <w:shd w:val="clear" w:color="auto" w:fill="92D050"/>
            <w:noWrap/>
          </w:tcPr>
          <w:p w:rsidR="00695E6D" w:rsidRDefault="00695E6D" w:rsidP="006E3F4D">
            <w:pPr>
              <w:pStyle w:val="TableTextEntries"/>
              <w:jc w:val="center"/>
            </w:pPr>
            <w:r>
              <w:t>6</w:t>
            </w:r>
          </w:p>
        </w:tc>
        <w:tc>
          <w:tcPr>
            <w:tcW w:w="200" w:type="pct"/>
            <w:shd w:val="clear" w:color="auto" w:fill="FFFF00"/>
            <w:noWrap/>
          </w:tcPr>
          <w:p w:rsidR="00695E6D" w:rsidRDefault="00695E6D" w:rsidP="006E3F4D">
            <w:pPr>
              <w:pStyle w:val="TableTextEntries"/>
              <w:jc w:val="center"/>
            </w:pPr>
            <w:r>
              <w:t>4</w:t>
            </w:r>
          </w:p>
        </w:tc>
        <w:tc>
          <w:tcPr>
            <w:tcW w:w="200" w:type="pct"/>
            <w:shd w:val="clear" w:color="auto" w:fill="FFFF00"/>
            <w:noWrap/>
          </w:tcPr>
          <w:p w:rsidR="00695E6D" w:rsidRDefault="00695E6D" w:rsidP="006E3F4D">
            <w:pPr>
              <w:pStyle w:val="TableTextEntries"/>
              <w:jc w:val="center"/>
            </w:pPr>
            <w:r>
              <w:t>4</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FFF00"/>
            <w:noWrap/>
          </w:tcPr>
          <w:p w:rsidR="00695E6D" w:rsidRDefault="00695E6D" w:rsidP="006E3F4D">
            <w:pPr>
              <w:pStyle w:val="TableTextEntries"/>
              <w:jc w:val="center"/>
            </w:pPr>
            <w:r>
              <w:t>4</w:t>
            </w:r>
          </w:p>
        </w:tc>
        <w:tc>
          <w:tcPr>
            <w:tcW w:w="200" w:type="pct"/>
            <w:shd w:val="clear" w:color="auto" w:fill="F79646" w:themeFill="accent6"/>
            <w:noWrap/>
          </w:tcPr>
          <w:p w:rsidR="00695E6D" w:rsidRDefault="00695E6D" w:rsidP="006E3F4D">
            <w:pPr>
              <w:pStyle w:val="TableTextEntries"/>
              <w:jc w:val="center"/>
            </w:pPr>
            <w:r>
              <w:t>3</w:t>
            </w:r>
          </w:p>
        </w:tc>
        <w:tc>
          <w:tcPr>
            <w:tcW w:w="350" w:type="pct"/>
            <w:shd w:val="clear" w:color="auto" w:fill="F79646" w:themeFill="accent6"/>
            <w:noWrap/>
          </w:tcPr>
          <w:p w:rsidR="00695E6D" w:rsidRDefault="00695E6D" w:rsidP="006E3F4D">
            <w:pPr>
              <w:pStyle w:val="TableTextEntries"/>
              <w:jc w:val="center"/>
            </w:pPr>
            <w:r>
              <w:t>Intermediate</w:t>
            </w:r>
          </w:p>
        </w:tc>
      </w:tr>
      <w:tr w:rsidR="00B96133" w:rsidRPr="009D53C4" w:rsidTr="00B96133">
        <w:trPr>
          <w:tblHeader w:val="0"/>
        </w:trPr>
        <w:tc>
          <w:tcPr>
            <w:tcW w:w="800" w:type="pct"/>
            <w:vMerge/>
          </w:tcPr>
          <w:p w:rsidR="00695E6D" w:rsidRPr="00FE4491" w:rsidRDefault="00695E6D" w:rsidP="006E3F4D">
            <w:pPr>
              <w:pStyle w:val="TableTextEntries"/>
            </w:pPr>
          </w:p>
        </w:tc>
        <w:tc>
          <w:tcPr>
            <w:tcW w:w="698" w:type="pct"/>
            <w:vMerge/>
          </w:tcPr>
          <w:p w:rsidR="00695E6D" w:rsidRPr="00091898" w:rsidRDefault="00695E6D" w:rsidP="006E3F4D">
            <w:pPr>
              <w:pStyle w:val="TableTextEntries"/>
            </w:pPr>
          </w:p>
        </w:tc>
        <w:tc>
          <w:tcPr>
            <w:tcW w:w="200" w:type="pct"/>
          </w:tcPr>
          <w:p w:rsidR="00695E6D" w:rsidRPr="00FE4491" w:rsidRDefault="00695E6D" w:rsidP="006E3F4D">
            <w:pPr>
              <w:pStyle w:val="TableTextEntries"/>
            </w:pPr>
            <w:r>
              <w:t>2011</w:t>
            </w:r>
          </w:p>
        </w:tc>
        <w:tc>
          <w:tcPr>
            <w:tcW w:w="200" w:type="pct"/>
            <w:gridSpan w:val="2"/>
            <w:shd w:val="clear" w:color="auto" w:fill="92D050"/>
            <w:noWrap/>
          </w:tcPr>
          <w:p w:rsidR="00695E6D" w:rsidRDefault="00695E6D" w:rsidP="006E3F4D">
            <w:pPr>
              <w:pStyle w:val="TableTextEntries"/>
              <w:jc w:val="center"/>
            </w:pPr>
            <w:r>
              <w:t>6</w:t>
            </w:r>
          </w:p>
        </w:tc>
        <w:tc>
          <w:tcPr>
            <w:tcW w:w="200" w:type="pct"/>
            <w:shd w:val="clear" w:color="auto" w:fill="FFFF00"/>
            <w:noWrap/>
          </w:tcPr>
          <w:p w:rsidR="00695E6D" w:rsidRDefault="00695E6D" w:rsidP="006E3F4D">
            <w:pPr>
              <w:pStyle w:val="TableTextEntries"/>
              <w:jc w:val="center"/>
            </w:pPr>
            <w:r>
              <w:t>4</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92D050"/>
            <w:noWrap/>
          </w:tcPr>
          <w:p w:rsidR="00695E6D" w:rsidRDefault="00695E6D" w:rsidP="006E3F4D">
            <w:pPr>
              <w:pStyle w:val="TableTextEntries"/>
              <w:jc w:val="center"/>
            </w:pPr>
            <w:r>
              <w:t>5</w:t>
            </w:r>
          </w:p>
        </w:tc>
        <w:tc>
          <w:tcPr>
            <w:tcW w:w="200" w:type="pct"/>
            <w:shd w:val="clear" w:color="auto" w:fill="FFFF00"/>
            <w:noWrap/>
          </w:tcPr>
          <w:p w:rsidR="00695E6D" w:rsidRDefault="00695E6D" w:rsidP="006E3F4D">
            <w:pPr>
              <w:pStyle w:val="TableTextEntries"/>
              <w:jc w:val="center"/>
            </w:pPr>
            <w:r>
              <w:t>4</w:t>
            </w:r>
          </w:p>
        </w:tc>
        <w:tc>
          <w:tcPr>
            <w:tcW w:w="350" w:type="pct"/>
            <w:shd w:val="clear" w:color="auto" w:fill="F79646" w:themeFill="accent6"/>
            <w:noWrap/>
          </w:tcPr>
          <w:p w:rsidR="00695E6D" w:rsidRDefault="00695E6D" w:rsidP="006E3F4D">
            <w:pPr>
              <w:pStyle w:val="TableTextEntries"/>
              <w:jc w:val="center"/>
            </w:pPr>
            <w:r>
              <w:t>Intermediate</w:t>
            </w:r>
          </w:p>
        </w:tc>
      </w:tr>
      <w:tr w:rsidR="00B96133" w:rsidRPr="009D53C4" w:rsidTr="00B96133">
        <w:trPr>
          <w:cnfStyle w:val="000000010000" w:firstRow="0" w:lastRow="0" w:firstColumn="0" w:lastColumn="0" w:oddVBand="0" w:evenVBand="0" w:oddHBand="0" w:evenHBand="1" w:firstRowFirstColumn="0" w:firstRowLastColumn="0" w:lastRowFirstColumn="0" w:lastRowLastColumn="0"/>
          <w:tblHeader w:val="0"/>
        </w:trPr>
        <w:tc>
          <w:tcPr>
            <w:tcW w:w="800" w:type="pct"/>
            <w:vMerge w:val="restart"/>
          </w:tcPr>
          <w:p w:rsidR="00695E6D" w:rsidRPr="00FE4491" w:rsidRDefault="00695E6D" w:rsidP="00B96133">
            <w:pPr>
              <w:pStyle w:val="TableTextEntries"/>
            </w:pPr>
            <w:r>
              <w:t>Outcome 4:</w:t>
            </w:r>
            <w:r w:rsidR="00B96133">
              <w:t xml:space="preserve"> </w:t>
            </w:r>
            <w:r>
              <w:t>Infrastructure</w:t>
            </w:r>
          </w:p>
        </w:tc>
        <w:tc>
          <w:tcPr>
            <w:tcW w:w="698" w:type="pct"/>
            <w:vMerge w:val="restart"/>
          </w:tcPr>
          <w:p w:rsidR="00695E6D" w:rsidRPr="00091898" w:rsidRDefault="00695E6D" w:rsidP="006E3F4D">
            <w:pPr>
              <w:pStyle w:val="TableTextEntries"/>
            </w:pPr>
            <w:r w:rsidRPr="00091898">
              <w:t>$34</w:t>
            </w:r>
            <w:r w:rsidR="003846E6" w:rsidRPr="00091898">
              <w:t xml:space="preserve"> </w:t>
            </w:r>
            <w:r w:rsidRPr="00091898">
              <w:t>375</w:t>
            </w:r>
            <w:r w:rsidR="003846E6" w:rsidRPr="00091898">
              <w:t xml:space="preserve"> </w:t>
            </w:r>
            <w:r w:rsidRPr="00091898">
              <w:t>000</w:t>
            </w:r>
          </w:p>
          <w:p w:rsidR="00695E6D" w:rsidRPr="00C915EE" w:rsidRDefault="00695E6D" w:rsidP="00C915EE">
            <w:pPr>
              <w:pStyle w:val="TableTextEntries"/>
            </w:pPr>
            <w:r w:rsidRPr="00C915EE">
              <w:t>1</w:t>
            </w:r>
            <w:r w:rsidR="00C915EE">
              <w:t xml:space="preserve"> June 20</w:t>
            </w:r>
            <w:r w:rsidRPr="00C915EE">
              <w:t>11–30</w:t>
            </w:r>
            <w:r w:rsidR="00C915EE">
              <w:t xml:space="preserve"> June 20</w:t>
            </w:r>
            <w:r w:rsidRPr="00C915EE">
              <w:t>16</w:t>
            </w:r>
          </w:p>
        </w:tc>
        <w:tc>
          <w:tcPr>
            <w:tcW w:w="200" w:type="pct"/>
          </w:tcPr>
          <w:p w:rsidR="00695E6D" w:rsidRPr="00FE4491" w:rsidRDefault="00695E6D" w:rsidP="006E3F4D">
            <w:pPr>
              <w:pStyle w:val="TableTextEntries"/>
            </w:pPr>
            <w:r>
              <w:t>2012</w:t>
            </w:r>
          </w:p>
        </w:tc>
        <w:tc>
          <w:tcPr>
            <w:tcW w:w="200" w:type="pct"/>
            <w:gridSpan w:val="2"/>
            <w:shd w:val="clear" w:color="auto" w:fill="92D050"/>
            <w:noWrap/>
          </w:tcPr>
          <w:p w:rsidR="00695E6D" w:rsidRDefault="00695E6D" w:rsidP="006E3F4D">
            <w:pPr>
              <w:pStyle w:val="TableTextEntries"/>
              <w:jc w:val="center"/>
            </w:pPr>
            <w:r>
              <w:t>5</w:t>
            </w:r>
          </w:p>
        </w:tc>
        <w:tc>
          <w:tcPr>
            <w:tcW w:w="200" w:type="pct"/>
            <w:shd w:val="clear" w:color="auto" w:fill="92D050"/>
            <w:noWrap/>
          </w:tcPr>
          <w:p w:rsidR="00695E6D" w:rsidRDefault="00695E6D" w:rsidP="006E3F4D">
            <w:pPr>
              <w:pStyle w:val="TableTextEntries"/>
              <w:jc w:val="center"/>
            </w:pPr>
            <w:r>
              <w:t>5</w:t>
            </w:r>
          </w:p>
        </w:tc>
        <w:tc>
          <w:tcPr>
            <w:tcW w:w="200" w:type="pct"/>
            <w:shd w:val="clear" w:color="auto" w:fill="FF0000"/>
            <w:noWrap/>
          </w:tcPr>
          <w:p w:rsidR="00695E6D" w:rsidRDefault="00695E6D" w:rsidP="006E3F4D">
            <w:pPr>
              <w:pStyle w:val="TableTextEntries"/>
              <w:jc w:val="center"/>
            </w:pPr>
            <w:r>
              <w:t>2</w:t>
            </w:r>
          </w:p>
        </w:tc>
        <w:tc>
          <w:tcPr>
            <w:tcW w:w="200" w:type="pct"/>
            <w:shd w:val="clear" w:color="auto" w:fill="F79646" w:themeFill="accent6"/>
            <w:noWrap/>
          </w:tcPr>
          <w:p w:rsidR="00695E6D" w:rsidRDefault="00695E6D" w:rsidP="006E3F4D">
            <w:pPr>
              <w:pStyle w:val="TableTextEntries"/>
              <w:jc w:val="center"/>
            </w:pPr>
            <w:r>
              <w:t>3</w:t>
            </w:r>
          </w:p>
        </w:tc>
        <w:tc>
          <w:tcPr>
            <w:tcW w:w="200" w:type="pct"/>
            <w:shd w:val="clear" w:color="auto" w:fill="FFFF00"/>
            <w:noWrap/>
          </w:tcPr>
          <w:p w:rsidR="00695E6D" w:rsidRDefault="00695E6D" w:rsidP="006E3F4D">
            <w:pPr>
              <w:pStyle w:val="TableTextEntries"/>
              <w:jc w:val="center"/>
            </w:pPr>
            <w:r>
              <w:t>4</w:t>
            </w:r>
          </w:p>
        </w:tc>
        <w:tc>
          <w:tcPr>
            <w:tcW w:w="200" w:type="pct"/>
            <w:shd w:val="clear" w:color="auto" w:fill="FFFF00"/>
            <w:noWrap/>
          </w:tcPr>
          <w:p w:rsidR="00695E6D" w:rsidRDefault="00695E6D" w:rsidP="006E3F4D">
            <w:pPr>
              <w:pStyle w:val="TableTextEntries"/>
              <w:jc w:val="center"/>
            </w:pPr>
            <w:r>
              <w:t>4</w:t>
            </w:r>
          </w:p>
        </w:tc>
        <w:tc>
          <w:tcPr>
            <w:tcW w:w="350" w:type="pct"/>
            <w:shd w:val="clear" w:color="auto" w:fill="F79646" w:themeFill="accent6"/>
            <w:noWrap/>
          </w:tcPr>
          <w:p w:rsidR="00695E6D" w:rsidRDefault="00695E6D" w:rsidP="006E3F4D">
            <w:pPr>
              <w:pStyle w:val="TableTextEntries"/>
              <w:jc w:val="center"/>
            </w:pPr>
            <w:r>
              <w:t>Intermediate</w:t>
            </w:r>
          </w:p>
        </w:tc>
      </w:tr>
      <w:tr w:rsidR="00B96133" w:rsidRPr="009D53C4" w:rsidTr="00B96133">
        <w:trPr>
          <w:tblHeader w:val="0"/>
        </w:trPr>
        <w:tc>
          <w:tcPr>
            <w:tcW w:w="800" w:type="pct"/>
            <w:vMerge/>
          </w:tcPr>
          <w:p w:rsidR="00695E6D" w:rsidRPr="00FE4491" w:rsidRDefault="00695E6D" w:rsidP="006E3F4D">
            <w:pPr>
              <w:pStyle w:val="TableTextEntries"/>
            </w:pPr>
          </w:p>
        </w:tc>
        <w:tc>
          <w:tcPr>
            <w:tcW w:w="698" w:type="pct"/>
            <w:vMerge/>
          </w:tcPr>
          <w:p w:rsidR="00695E6D" w:rsidRPr="00FE4491" w:rsidRDefault="00695E6D" w:rsidP="006E3F4D">
            <w:pPr>
              <w:pStyle w:val="TableTextEntries"/>
            </w:pPr>
          </w:p>
        </w:tc>
        <w:tc>
          <w:tcPr>
            <w:tcW w:w="200" w:type="pct"/>
          </w:tcPr>
          <w:p w:rsidR="00695E6D" w:rsidRPr="00FE4491" w:rsidRDefault="00695E6D" w:rsidP="006E3F4D">
            <w:pPr>
              <w:pStyle w:val="TableTextEntries"/>
            </w:pPr>
            <w:r>
              <w:t>2011</w:t>
            </w:r>
          </w:p>
        </w:tc>
        <w:tc>
          <w:tcPr>
            <w:tcW w:w="200" w:type="pct"/>
            <w:gridSpan w:val="2"/>
            <w:noWrap/>
          </w:tcPr>
          <w:p w:rsidR="00695E6D" w:rsidRDefault="00695E6D" w:rsidP="006E3F4D">
            <w:pPr>
              <w:pStyle w:val="TableTextEntries"/>
              <w:jc w:val="center"/>
            </w:pPr>
            <w:r>
              <w:t>N</w:t>
            </w:r>
            <w:r w:rsidR="00AF2F21">
              <w:t>/</w:t>
            </w:r>
            <w:r>
              <w:t>A</w:t>
            </w:r>
          </w:p>
        </w:tc>
        <w:tc>
          <w:tcPr>
            <w:tcW w:w="200" w:type="pct"/>
            <w:noWrap/>
          </w:tcPr>
          <w:p w:rsidR="00695E6D" w:rsidRDefault="00695E6D" w:rsidP="006E3F4D">
            <w:pPr>
              <w:pStyle w:val="TableTextEntries"/>
              <w:jc w:val="center"/>
            </w:pPr>
            <w:r>
              <w:t>N</w:t>
            </w:r>
            <w:r w:rsidR="00AF2F21">
              <w:t>/</w:t>
            </w:r>
            <w:r>
              <w:t>A</w:t>
            </w:r>
          </w:p>
        </w:tc>
        <w:tc>
          <w:tcPr>
            <w:tcW w:w="200" w:type="pct"/>
            <w:noWrap/>
          </w:tcPr>
          <w:p w:rsidR="00695E6D" w:rsidRDefault="00695E6D" w:rsidP="006E3F4D">
            <w:pPr>
              <w:pStyle w:val="TableTextEntries"/>
              <w:jc w:val="center"/>
            </w:pPr>
            <w:r>
              <w:t>N</w:t>
            </w:r>
            <w:r w:rsidR="00AF2F21">
              <w:t>/</w:t>
            </w:r>
            <w:r>
              <w:t>A</w:t>
            </w:r>
          </w:p>
        </w:tc>
        <w:tc>
          <w:tcPr>
            <w:tcW w:w="200" w:type="pct"/>
            <w:noWrap/>
          </w:tcPr>
          <w:p w:rsidR="00695E6D" w:rsidRDefault="00695E6D" w:rsidP="006E3F4D">
            <w:pPr>
              <w:pStyle w:val="TableTextEntries"/>
              <w:jc w:val="center"/>
            </w:pPr>
            <w:r>
              <w:t>N</w:t>
            </w:r>
            <w:r w:rsidR="00AF2F21">
              <w:t>/</w:t>
            </w:r>
            <w:r>
              <w:t>A</w:t>
            </w:r>
          </w:p>
        </w:tc>
        <w:tc>
          <w:tcPr>
            <w:tcW w:w="200" w:type="pct"/>
            <w:noWrap/>
          </w:tcPr>
          <w:p w:rsidR="00695E6D" w:rsidRDefault="00695E6D" w:rsidP="006E3F4D">
            <w:pPr>
              <w:pStyle w:val="TableTextEntries"/>
              <w:jc w:val="center"/>
            </w:pPr>
            <w:r>
              <w:t>N</w:t>
            </w:r>
            <w:r w:rsidR="00AF2F21">
              <w:t>/</w:t>
            </w:r>
            <w:r>
              <w:t>A</w:t>
            </w:r>
          </w:p>
        </w:tc>
        <w:tc>
          <w:tcPr>
            <w:tcW w:w="200" w:type="pct"/>
            <w:noWrap/>
          </w:tcPr>
          <w:p w:rsidR="00695E6D" w:rsidRDefault="00695E6D" w:rsidP="006E3F4D">
            <w:pPr>
              <w:pStyle w:val="TableTextEntries"/>
              <w:jc w:val="center"/>
            </w:pPr>
            <w:r>
              <w:t>N</w:t>
            </w:r>
            <w:r w:rsidR="00AF2F21">
              <w:t>/</w:t>
            </w:r>
            <w:r>
              <w:t>A</w:t>
            </w:r>
          </w:p>
        </w:tc>
        <w:tc>
          <w:tcPr>
            <w:tcW w:w="350" w:type="pct"/>
            <w:shd w:val="clear" w:color="auto" w:fill="auto"/>
            <w:noWrap/>
          </w:tcPr>
          <w:p w:rsidR="00695E6D" w:rsidRDefault="00695E6D" w:rsidP="006E3F4D">
            <w:pPr>
              <w:pStyle w:val="TableTextEntries"/>
              <w:jc w:val="center"/>
            </w:pPr>
            <w:r>
              <w:t>N</w:t>
            </w:r>
            <w:r w:rsidR="00AF2F21">
              <w:t>/</w:t>
            </w:r>
            <w:r>
              <w:t>A</w:t>
            </w:r>
          </w:p>
        </w:tc>
      </w:tr>
    </w:tbl>
    <w:p w:rsidR="00695E6D" w:rsidRDefault="00695E6D" w:rsidP="00B96133">
      <w:pPr>
        <w:pStyle w:val="Note"/>
      </w:pPr>
      <w:r>
        <w:lastRenderedPageBreak/>
        <w:t>Definitions of rating scale:</w:t>
      </w:r>
      <w:r>
        <w:tab/>
      </w:r>
    </w:p>
    <w:p w:rsidR="00695E6D" w:rsidRDefault="00695E6D" w:rsidP="00B96133">
      <w:pPr>
        <w:pStyle w:val="Note"/>
      </w:pPr>
      <w:r>
        <w:t>Satisfactory (4, 5 and 6)</w:t>
      </w:r>
    </w:p>
    <w:p w:rsidR="00695E6D" w:rsidRDefault="00695E6D" w:rsidP="00B96133">
      <w:pPr>
        <w:pStyle w:val="Note"/>
      </w:pPr>
      <w:r w:rsidRPr="00FE4491">
        <w:rPr>
          <w:color w:val="92D050"/>
        </w:rPr>
        <w:sym w:font="Webdings" w:char="F067"/>
      </w:r>
      <w:r>
        <w:t xml:space="preserve"> = 6 = Very high quality</w:t>
      </w:r>
    </w:p>
    <w:p w:rsidR="00695E6D" w:rsidRDefault="00695E6D" w:rsidP="00B96133">
      <w:pPr>
        <w:pStyle w:val="Note"/>
      </w:pPr>
      <w:r w:rsidRPr="00FE4491">
        <w:rPr>
          <w:color w:val="92D050"/>
        </w:rPr>
        <w:sym w:font="Webdings" w:char="F067"/>
      </w:r>
      <w:r>
        <w:t xml:space="preserve"> = 5 = Good quality</w:t>
      </w:r>
    </w:p>
    <w:p w:rsidR="00695E6D" w:rsidRDefault="00695E6D" w:rsidP="00B96133">
      <w:pPr>
        <w:pStyle w:val="Note"/>
      </w:pPr>
      <w:r w:rsidRPr="000774FD">
        <w:rPr>
          <w:color w:val="FFFF00"/>
        </w:rPr>
        <w:sym w:font="Webdings" w:char="F067"/>
      </w:r>
      <w:r>
        <w:t xml:space="preserve"> = 4 = Adequate quality, needs some work</w:t>
      </w:r>
    </w:p>
    <w:p w:rsidR="00695E6D" w:rsidRDefault="00695E6D" w:rsidP="00B96133">
      <w:pPr>
        <w:pStyle w:val="Note"/>
      </w:pPr>
      <w:r>
        <w:t>Less than satisfactory (1, 2 and 3)</w:t>
      </w:r>
    </w:p>
    <w:p w:rsidR="00695E6D" w:rsidRDefault="00695E6D" w:rsidP="00B96133">
      <w:pPr>
        <w:pStyle w:val="Note"/>
      </w:pPr>
      <w:r w:rsidRPr="00FD710F">
        <w:rPr>
          <w:color w:val="F79646"/>
        </w:rPr>
        <w:sym w:font="Webdings" w:char="F067"/>
      </w:r>
      <w:r>
        <w:t xml:space="preserve"> = 3 = Less than adequate quality; needs significant work</w:t>
      </w:r>
    </w:p>
    <w:p w:rsidR="00695E6D" w:rsidRDefault="00695E6D" w:rsidP="00B96133">
      <w:pPr>
        <w:pStyle w:val="Note"/>
      </w:pPr>
      <w:r w:rsidRPr="000774FD">
        <w:rPr>
          <w:color w:val="FF0000"/>
        </w:rPr>
        <w:sym w:font="Webdings" w:char="F067"/>
      </w:r>
      <w:r>
        <w:t xml:space="preserve"> = 2 = Poor quality; needs major work to improve</w:t>
      </w:r>
    </w:p>
    <w:p w:rsidR="00695E6D" w:rsidRDefault="00695E6D" w:rsidP="00B96133">
      <w:pPr>
        <w:pStyle w:val="Note"/>
      </w:pPr>
      <w:r w:rsidRPr="000774FD">
        <w:rPr>
          <w:color w:val="FF0000"/>
        </w:rPr>
        <w:sym w:font="Webdings" w:char="F067"/>
      </w:r>
      <w:r>
        <w:t xml:space="preserve"> = 1 = Very poor quality; needs major overhaul</w:t>
      </w:r>
    </w:p>
    <w:p w:rsidR="00695E6D" w:rsidRDefault="00695E6D" w:rsidP="00B96133">
      <w:pPr>
        <w:pStyle w:val="Note"/>
      </w:pPr>
      <w:r>
        <w:t>Risk Management scale:</w:t>
      </w:r>
    </w:p>
    <w:p w:rsidR="00695E6D" w:rsidRDefault="00695E6D" w:rsidP="00B96133">
      <w:pPr>
        <w:pStyle w:val="Note"/>
      </w:pPr>
      <w:r w:rsidRPr="00FE4491">
        <w:rPr>
          <w:color w:val="92D050"/>
        </w:rPr>
        <w:sym w:font="Webdings" w:char="F067"/>
      </w:r>
      <w:r w:rsidR="00D23312">
        <w:t xml:space="preserve"> </w:t>
      </w:r>
      <w:r>
        <w:t xml:space="preserve">Mature (M). Indicates the initiative manager conducts risk discussions on at least a monthly basis with all stakeholders and updates the risk registry quarterly. </w:t>
      </w:r>
    </w:p>
    <w:p w:rsidR="00695E6D" w:rsidRDefault="00695E6D" w:rsidP="00B96133">
      <w:pPr>
        <w:pStyle w:val="Note"/>
      </w:pPr>
      <w:r w:rsidRPr="00FD710F">
        <w:rPr>
          <w:color w:val="F79646"/>
        </w:rPr>
        <w:sym w:font="Webdings" w:char="F067"/>
      </w:r>
      <w:r w:rsidR="00D23312">
        <w:t xml:space="preserve"> </w:t>
      </w:r>
      <w:r>
        <w:t xml:space="preserve">Intermediate (I). Indicates the initiative manager conducts ad-hoc risk discussion and updates the risk register occasionally. </w:t>
      </w:r>
    </w:p>
    <w:p w:rsidR="00695E6D" w:rsidRDefault="00695E6D" w:rsidP="00B96133">
      <w:pPr>
        <w:pStyle w:val="Note"/>
        <w:sectPr w:rsidR="00695E6D" w:rsidSect="003B3233">
          <w:headerReference w:type="default" r:id="rId17"/>
          <w:footerReference w:type="default" r:id="rId18"/>
          <w:headerReference w:type="first" r:id="rId19"/>
          <w:footerReference w:type="first" r:id="rId20"/>
          <w:pgSz w:w="16838" w:h="11906" w:orient="landscape" w:code="9"/>
          <w:pgMar w:top="1871" w:right="2268" w:bottom="1134" w:left="907" w:header="709" w:footer="454" w:gutter="0"/>
          <w:cols w:space="708"/>
          <w:docGrid w:linePitch="360"/>
        </w:sectPr>
      </w:pPr>
      <w:r w:rsidRPr="000774FD">
        <w:rPr>
          <w:color w:val="FF0000"/>
        </w:rPr>
        <w:sym w:font="Webdings" w:char="F067"/>
      </w:r>
      <w:r w:rsidR="00D23312">
        <w:t xml:space="preserve"> </w:t>
      </w:r>
      <w:proofErr w:type="gramStart"/>
      <w:r>
        <w:t>Basic (B).</w:t>
      </w:r>
      <w:proofErr w:type="gramEnd"/>
      <w:r>
        <w:t xml:space="preserve"> Indicates there are limited or few risk discussions and the risk register has not been updated in the past 12 months.</w:t>
      </w:r>
    </w:p>
    <w:p w:rsidR="00695E6D" w:rsidRPr="00071B95" w:rsidRDefault="00695E6D" w:rsidP="00695E6D">
      <w:pPr>
        <w:pStyle w:val="Heading1"/>
      </w:pPr>
      <w:r w:rsidRPr="00071B95">
        <w:lastRenderedPageBreak/>
        <w:t>Annex C</w:t>
      </w:r>
    </w:p>
    <w:p w:rsidR="00695E6D" w:rsidRPr="00B96133" w:rsidRDefault="00695E6D" w:rsidP="00B96133">
      <w:pPr>
        <w:pStyle w:val="Heading2"/>
      </w:pPr>
      <w:r w:rsidRPr="00B96133">
        <w:t xml:space="preserve">Evaluation and </w:t>
      </w:r>
      <w:r w:rsidR="003846E6" w:rsidRPr="00B96133">
        <w:t>r</w:t>
      </w:r>
      <w:r w:rsidRPr="00B96133">
        <w:t xml:space="preserve">eview </w:t>
      </w:r>
      <w:r w:rsidR="003846E6" w:rsidRPr="00B96133">
        <w:t>p</w:t>
      </w:r>
      <w:r w:rsidRPr="00B96133">
        <w:t xml:space="preserve">ipeline </w:t>
      </w:r>
      <w:r w:rsidR="003846E6" w:rsidRPr="00B96133">
        <w:t>p</w:t>
      </w:r>
      <w:r w:rsidRPr="00B96133">
        <w:t>lanning</w:t>
      </w:r>
    </w:p>
    <w:p w:rsidR="00695E6D" w:rsidRPr="00AC6B63" w:rsidRDefault="00695E6D" w:rsidP="00AC6B63">
      <w:pPr>
        <w:pStyle w:val="Caption"/>
      </w:pPr>
      <w:r w:rsidRPr="00AC6B63">
        <w:t xml:space="preserve">List of </w:t>
      </w:r>
      <w:r w:rsidR="003846E6" w:rsidRPr="00AC6B63">
        <w:t>e</w:t>
      </w:r>
      <w:r w:rsidRPr="00AC6B63">
        <w:t>valuations completed</w:t>
      </w:r>
      <w:r w:rsidRPr="00AC6B63">
        <w:footnoteReference w:id="44"/>
      </w:r>
      <w:r w:rsidRPr="00AC6B63">
        <w:t xml:space="preserve"> in the reporting period </w:t>
      </w:r>
    </w:p>
    <w:tbl>
      <w:tblPr>
        <w:tblStyle w:val="APPR"/>
        <w:tblW w:w="5000" w:type="pct"/>
        <w:tblLook w:val="04A0" w:firstRow="1" w:lastRow="0" w:firstColumn="1" w:lastColumn="0" w:noHBand="0" w:noVBand="1"/>
      </w:tblPr>
      <w:tblGrid>
        <w:gridCol w:w="1128"/>
        <w:gridCol w:w="1176"/>
        <w:gridCol w:w="1399"/>
        <w:gridCol w:w="1224"/>
        <w:gridCol w:w="1220"/>
        <w:gridCol w:w="1353"/>
        <w:gridCol w:w="1107"/>
      </w:tblGrid>
      <w:tr w:rsidR="00695E6D" w:rsidRPr="00071B95" w:rsidTr="00AC6B63">
        <w:trPr>
          <w:cnfStyle w:val="100000000000" w:firstRow="1" w:lastRow="0" w:firstColumn="0" w:lastColumn="0" w:oddVBand="0" w:evenVBand="0" w:oddHBand="0" w:evenHBand="0" w:firstRowFirstColumn="0" w:firstRowLastColumn="0" w:lastRowFirstColumn="0" w:lastRowLastColumn="0"/>
        </w:trPr>
        <w:tc>
          <w:tcPr>
            <w:tcW w:w="1902" w:type="dxa"/>
          </w:tcPr>
          <w:p w:rsidR="00695E6D" w:rsidRPr="00AC6B63" w:rsidRDefault="00695E6D" w:rsidP="00AC6B63">
            <w:pPr>
              <w:pStyle w:val="TableTextColumnHeading"/>
              <w:rPr>
                <w:b/>
              </w:rPr>
            </w:pPr>
            <w:r w:rsidRPr="00AC6B63">
              <w:rPr>
                <w:b/>
              </w:rPr>
              <w:t xml:space="preserve">Name of </w:t>
            </w:r>
            <w:r w:rsidR="006A077C" w:rsidRPr="00AC6B63">
              <w:rPr>
                <w:b/>
              </w:rPr>
              <w:t>i</w:t>
            </w:r>
            <w:r w:rsidRPr="00AC6B63">
              <w:rPr>
                <w:b/>
              </w:rPr>
              <w:t>nitiative</w:t>
            </w:r>
          </w:p>
        </w:tc>
        <w:tc>
          <w:tcPr>
            <w:tcW w:w="1933" w:type="dxa"/>
          </w:tcPr>
          <w:p w:rsidR="00695E6D" w:rsidRPr="00AC6B63" w:rsidRDefault="00695E6D" w:rsidP="00AC6B63">
            <w:pPr>
              <w:pStyle w:val="TableTextColumnHeading"/>
              <w:rPr>
                <w:b/>
              </w:rPr>
            </w:pPr>
            <w:proofErr w:type="spellStart"/>
            <w:r w:rsidRPr="00AC6B63">
              <w:rPr>
                <w:b/>
              </w:rPr>
              <w:t>Aid</w:t>
            </w:r>
            <w:r w:rsidR="00C915EE" w:rsidRPr="00AC6B63">
              <w:rPr>
                <w:b/>
              </w:rPr>
              <w:t>W</w:t>
            </w:r>
            <w:r w:rsidRPr="00AC6B63">
              <w:rPr>
                <w:b/>
              </w:rPr>
              <w:t>orks</w:t>
            </w:r>
            <w:proofErr w:type="spellEnd"/>
            <w:r w:rsidRPr="00AC6B63">
              <w:rPr>
                <w:b/>
              </w:rPr>
              <w:t xml:space="preserve"> number</w:t>
            </w:r>
          </w:p>
        </w:tc>
        <w:tc>
          <w:tcPr>
            <w:tcW w:w="2031" w:type="dxa"/>
          </w:tcPr>
          <w:p w:rsidR="00695E6D" w:rsidRPr="00AC6B63" w:rsidRDefault="00695E6D" w:rsidP="00AC6B63">
            <w:pPr>
              <w:pStyle w:val="TableTextColumnHeading"/>
              <w:rPr>
                <w:b/>
              </w:rPr>
            </w:pPr>
            <w:r w:rsidRPr="00AC6B63">
              <w:rPr>
                <w:b/>
              </w:rPr>
              <w:t>Type of evaluation</w:t>
            </w:r>
            <w:r w:rsidRPr="00AC6B63">
              <w:rPr>
                <w:b/>
              </w:rPr>
              <w:footnoteReference w:id="45"/>
            </w:r>
          </w:p>
        </w:tc>
        <w:tc>
          <w:tcPr>
            <w:tcW w:w="1939" w:type="dxa"/>
          </w:tcPr>
          <w:p w:rsidR="00695E6D" w:rsidRPr="00AC6B63" w:rsidRDefault="00695E6D" w:rsidP="00AC6B63">
            <w:pPr>
              <w:pStyle w:val="TableTextColumnHeading"/>
              <w:rPr>
                <w:b/>
              </w:rPr>
            </w:pPr>
            <w:r w:rsidRPr="00AC6B63">
              <w:rPr>
                <w:b/>
              </w:rPr>
              <w:t xml:space="preserve">Date </w:t>
            </w:r>
            <w:r w:rsidR="006A077C" w:rsidRPr="00AC6B63">
              <w:rPr>
                <w:b/>
              </w:rPr>
              <w:t>e</w:t>
            </w:r>
            <w:r w:rsidRPr="00AC6B63">
              <w:rPr>
                <w:b/>
              </w:rPr>
              <w:t>valuation report received</w:t>
            </w:r>
          </w:p>
        </w:tc>
        <w:tc>
          <w:tcPr>
            <w:tcW w:w="1921" w:type="dxa"/>
          </w:tcPr>
          <w:p w:rsidR="00695E6D" w:rsidRPr="00AC6B63" w:rsidRDefault="00695E6D" w:rsidP="00AC6B63">
            <w:pPr>
              <w:pStyle w:val="TableTextColumnHeading"/>
              <w:rPr>
                <w:b/>
              </w:rPr>
            </w:pPr>
            <w:r w:rsidRPr="00AC6B63">
              <w:rPr>
                <w:b/>
              </w:rPr>
              <w:t xml:space="preserve">Date </w:t>
            </w:r>
            <w:r w:rsidR="006A077C" w:rsidRPr="00AC6B63">
              <w:rPr>
                <w:b/>
              </w:rPr>
              <w:t>e</w:t>
            </w:r>
            <w:r w:rsidRPr="00AC6B63">
              <w:rPr>
                <w:b/>
              </w:rPr>
              <w:t xml:space="preserve">valuation report </w:t>
            </w:r>
            <w:r w:rsidR="006A077C" w:rsidRPr="00AC6B63">
              <w:rPr>
                <w:b/>
              </w:rPr>
              <w:t>u</w:t>
            </w:r>
            <w:r w:rsidRPr="00AC6B63">
              <w:rPr>
                <w:b/>
              </w:rPr>
              <w:t xml:space="preserve">ploaded into </w:t>
            </w:r>
            <w:proofErr w:type="spellStart"/>
            <w:r w:rsidRPr="00AC6B63">
              <w:rPr>
                <w:b/>
              </w:rPr>
              <w:t>Aid</w:t>
            </w:r>
            <w:r w:rsidR="00C915EE" w:rsidRPr="00AC6B63">
              <w:rPr>
                <w:b/>
              </w:rPr>
              <w:t>W</w:t>
            </w:r>
            <w:r w:rsidRPr="00AC6B63">
              <w:rPr>
                <w:b/>
              </w:rPr>
              <w:t>orks</w:t>
            </w:r>
            <w:proofErr w:type="spellEnd"/>
          </w:p>
        </w:tc>
        <w:tc>
          <w:tcPr>
            <w:tcW w:w="1743" w:type="dxa"/>
          </w:tcPr>
          <w:p w:rsidR="00695E6D" w:rsidRPr="00AC6B63" w:rsidRDefault="00695E6D" w:rsidP="00AC6B63">
            <w:pPr>
              <w:pStyle w:val="TableTextColumnHeading"/>
              <w:rPr>
                <w:b/>
              </w:rPr>
            </w:pPr>
            <w:r w:rsidRPr="00AC6B63">
              <w:rPr>
                <w:b/>
              </w:rPr>
              <w:t xml:space="preserve">Date </w:t>
            </w:r>
            <w:r w:rsidR="006A077C" w:rsidRPr="00AC6B63">
              <w:rPr>
                <w:b/>
              </w:rPr>
              <w:t>m</w:t>
            </w:r>
            <w:r w:rsidRPr="00AC6B63">
              <w:rPr>
                <w:b/>
              </w:rPr>
              <w:t xml:space="preserve">anagement response uploaded into </w:t>
            </w:r>
            <w:proofErr w:type="spellStart"/>
            <w:r w:rsidRPr="00AC6B63">
              <w:rPr>
                <w:b/>
              </w:rPr>
              <w:t>Aid</w:t>
            </w:r>
            <w:r w:rsidR="00C915EE" w:rsidRPr="00AC6B63">
              <w:rPr>
                <w:b/>
              </w:rPr>
              <w:t>W</w:t>
            </w:r>
            <w:r w:rsidRPr="00AC6B63">
              <w:rPr>
                <w:b/>
              </w:rPr>
              <w:t>orks</w:t>
            </w:r>
            <w:proofErr w:type="spellEnd"/>
          </w:p>
        </w:tc>
        <w:tc>
          <w:tcPr>
            <w:tcW w:w="1503" w:type="dxa"/>
          </w:tcPr>
          <w:p w:rsidR="00695E6D" w:rsidRPr="00AC6B63" w:rsidRDefault="00695E6D" w:rsidP="00AC6B63">
            <w:pPr>
              <w:pStyle w:val="TableTextColumnHeading"/>
              <w:rPr>
                <w:b/>
              </w:rPr>
            </w:pPr>
            <w:r w:rsidRPr="00AC6B63">
              <w:rPr>
                <w:b/>
              </w:rPr>
              <w:t>Published on website</w:t>
            </w:r>
          </w:p>
        </w:tc>
      </w:tr>
      <w:tr w:rsidR="00695E6D" w:rsidRPr="00071B95" w:rsidTr="00AC6B63">
        <w:trPr>
          <w:cnfStyle w:val="100000000000" w:firstRow="1" w:lastRow="0" w:firstColumn="0" w:lastColumn="0" w:oddVBand="0" w:evenVBand="0" w:oddHBand="0" w:evenHBand="0" w:firstRowFirstColumn="0" w:firstRowLastColumn="0" w:lastRowFirstColumn="0" w:lastRowLastColumn="0"/>
        </w:trPr>
        <w:tc>
          <w:tcPr>
            <w:tcW w:w="1902" w:type="dxa"/>
          </w:tcPr>
          <w:p w:rsidR="00695E6D" w:rsidRPr="00AC6B63" w:rsidRDefault="0024059A" w:rsidP="00AC6B63">
            <w:pPr>
              <w:pStyle w:val="TableTextEntries"/>
              <w:rPr>
                <w:b w:val="0"/>
              </w:rPr>
            </w:pPr>
            <w:r w:rsidRPr="00AC6B63">
              <w:rPr>
                <w:b w:val="0"/>
              </w:rPr>
              <w:t>Kiribati-Australia Nursing Initiative</w:t>
            </w:r>
          </w:p>
        </w:tc>
        <w:tc>
          <w:tcPr>
            <w:tcW w:w="1933" w:type="dxa"/>
          </w:tcPr>
          <w:p w:rsidR="00695E6D" w:rsidRPr="00AC6B63" w:rsidRDefault="00695E6D" w:rsidP="00AC6B63">
            <w:pPr>
              <w:pStyle w:val="TableTextEntries"/>
              <w:rPr>
                <w:b w:val="0"/>
              </w:rPr>
            </w:pPr>
            <w:r w:rsidRPr="00AC6B63">
              <w:rPr>
                <w:b w:val="0"/>
              </w:rPr>
              <w:t>ING466</w:t>
            </w:r>
          </w:p>
        </w:tc>
        <w:tc>
          <w:tcPr>
            <w:tcW w:w="2031" w:type="dxa"/>
          </w:tcPr>
          <w:p w:rsidR="00695E6D" w:rsidRPr="00AC6B63" w:rsidRDefault="00695E6D" w:rsidP="00AC6B63">
            <w:pPr>
              <w:pStyle w:val="TableTextEntries"/>
              <w:rPr>
                <w:b w:val="0"/>
              </w:rPr>
            </w:pPr>
            <w:r w:rsidRPr="00AC6B63">
              <w:rPr>
                <w:b w:val="0"/>
              </w:rPr>
              <w:t>Independent completion report</w:t>
            </w:r>
          </w:p>
        </w:tc>
        <w:tc>
          <w:tcPr>
            <w:tcW w:w="1939" w:type="dxa"/>
          </w:tcPr>
          <w:p w:rsidR="00695E6D" w:rsidRPr="00AC6B63" w:rsidRDefault="0024059A" w:rsidP="00AC6B63">
            <w:pPr>
              <w:pStyle w:val="TableTextEntries"/>
              <w:rPr>
                <w:b w:val="0"/>
              </w:rPr>
            </w:pPr>
            <w:r w:rsidRPr="00AC6B63">
              <w:rPr>
                <w:b w:val="0"/>
              </w:rPr>
              <w:t>May</w:t>
            </w:r>
            <w:r w:rsidR="00695E6D" w:rsidRPr="00AC6B63">
              <w:rPr>
                <w:b w:val="0"/>
              </w:rPr>
              <w:t xml:space="preserve"> 2013</w:t>
            </w:r>
          </w:p>
        </w:tc>
        <w:tc>
          <w:tcPr>
            <w:tcW w:w="1921" w:type="dxa"/>
          </w:tcPr>
          <w:p w:rsidR="00695E6D" w:rsidRPr="00AC6B63" w:rsidRDefault="00695E6D" w:rsidP="00AC6B63">
            <w:pPr>
              <w:pStyle w:val="TableTextEntries"/>
              <w:rPr>
                <w:b w:val="0"/>
              </w:rPr>
            </w:pPr>
            <w:r w:rsidRPr="00AC6B63">
              <w:rPr>
                <w:b w:val="0"/>
              </w:rPr>
              <w:t>No</w:t>
            </w:r>
          </w:p>
        </w:tc>
        <w:tc>
          <w:tcPr>
            <w:tcW w:w="1743" w:type="dxa"/>
          </w:tcPr>
          <w:p w:rsidR="00695E6D" w:rsidRPr="00AC6B63" w:rsidRDefault="00695E6D" w:rsidP="00AC6B63">
            <w:pPr>
              <w:pStyle w:val="TableTextEntries"/>
              <w:rPr>
                <w:b w:val="0"/>
              </w:rPr>
            </w:pPr>
            <w:r w:rsidRPr="00AC6B63">
              <w:rPr>
                <w:b w:val="0"/>
              </w:rPr>
              <w:t>No</w:t>
            </w:r>
          </w:p>
        </w:tc>
        <w:tc>
          <w:tcPr>
            <w:tcW w:w="1503" w:type="dxa"/>
          </w:tcPr>
          <w:p w:rsidR="00695E6D" w:rsidRPr="00AC6B63" w:rsidRDefault="00695E6D" w:rsidP="00AC6B63">
            <w:pPr>
              <w:pStyle w:val="TableTextEntries"/>
              <w:rPr>
                <w:b w:val="0"/>
              </w:rPr>
            </w:pPr>
            <w:r w:rsidRPr="00AC6B63">
              <w:rPr>
                <w:b w:val="0"/>
              </w:rPr>
              <w:t>No</w:t>
            </w:r>
          </w:p>
        </w:tc>
      </w:tr>
      <w:tr w:rsidR="00695E6D" w:rsidRPr="00071B95" w:rsidTr="00AC6B63">
        <w:trPr>
          <w:cnfStyle w:val="100000000000" w:firstRow="1" w:lastRow="0" w:firstColumn="0" w:lastColumn="0" w:oddVBand="0" w:evenVBand="0" w:oddHBand="0" w:evenHBand="0" w:firstRowFirstColumn="0" w:firstRowLastColumn="0" w:lastRowFirstColumn="0" w:lastRowLastColumn="0"/>
        </w:trPr>
        <w:tc>
          <w:tcPr>
            <w:tcW w:w="1902" w:type="dxa"/>
          </w:tcPr>
          <w:p w:rsidR="00695E6D" w:rsidRPr="00AC6B63" w:rsidRDefault="00695E6D" w:rsidP="00AC6B63">
            <w:pPr>
              <w:pStyle w:val="TableTextEntries"/>
              <w:rPr>
                <w:b w:val="0"/>
              </w:rPr>
            </w:pPr>
            <w:r w:rsidRPr="00AC6B63">
              <w:rPr>
                <w:b w:val="0"/>
              </w:rPr>
              <w:t>TVET Sector Support Program</w:t>
            </w:r>
          </w:p>
        </w:tc>
        <w:tc>
          <w:tcPr>
            <w:tcW w:w="1933" w:type="dxa"/>
          </w:tcPr>
          <w:p w:rsidR="00695E6D" w:rsidRPr="00AC6B63" w:rsidRDefault="00695E6D" w:rsidP="00AC6B63">
            <w:pPr>
              <w:pStyle w:val="TableTextEntries"/>
              <w:rPr>
                <w:b w:val="0"/>
              </w:rPr>
            </w:pPr>
            <w:r w:rsidRPr="00AC6B63">
              <w:rPr>
                <w:b w:val="0"/>
              </w:rPr>
              <w:t>INJ197</w:t>
            </w:r>
          </w:p>
        </w:tc>
        <w:tc>
          <w:tcPr>
            <w:tcW w:w="2031" w:type="dxa"/>
          </w:tcPr>
          <w:p w:rsidR="00695E6D" w:rsidRPr="00AC6B63" w:rsidRDefault="00695E6D" w:rsidP="00AC6B63">
            <w:pPr>
              <w:pStyle w:val="TableTextEntries"/>
              <w:rPr>
                <w:b w:val="0"/>
              </w:rPr>
            </w:pPr>
            <w:r w:rsidRPr="00AC6B63">
              <w:rPr>
                <w:b w:val="0"/>
              </w:rPr>
              <w:t>Annual progress assessment</w:t>
            </w:r>
          </w:p>
        </w:tc>
        <w:tc>
          <w:tcPr>
            <w:tcW w:w="1939" w:type="dxa"/>
          </w:tcPr>
          <w:p w:rsidR="00695E6D" w:rsidRPr="00AC6B63" w:rsidRDefault="00695E6D" w:rsidP="00AC6B63">
            <w:pPr>
              <w:pStyle w:val="TableTextEntries"/>
              <w:rPr>
                <w:b w:val="0"/>
              </w:rPr>
            </w:pPr>
            <w:r w:rsidRPr="00AC6B63">
              <w:rPr>
                <w:b w:val="0"/>
              </w:rPr>
              <w:t>April 2012</w:t>
            </w:r>
          </w:p>
        </w:tc>
        <w:tc>
          <w:tcPr>
            <w:tcW w:w="1921" w:type="dxa"/>
          </w:tcPr>
          <w:p w:rsidR="00695E6D" w:rsidRPr="00AC6B63" w:rsidRDefault="00695E6D" w:rsidP="00AC6B63">
            <w:pPr>
              <w:pStyle w:val="TableTextEntries"/>
              <w:rPr>
                <w:b w:val="0"/>
              </w:rPr>
            </w:pPr>
            <w:r w:rsidRPr="00AC6B63">
              <w:rPr>
                <w:b w:val="0"/>
              </w:rPr>
              <w:t>March 2013</w:t>
            </w:r>
          </w:p>
        </w:tc>
        <w:tc>
          <w:tcPr>
            <w:tcW w:w="1743" w:type="dxa"/>
          </w:tcPr>
          <w:p w:rsidR="00695E6D" w:rsidRPr="00AC6B63" w:rsidRDefault="00695E6D" w:rsidP="00AC6B63">
            <w:pPr>
              <w:pStyle w:val="TableTextEntries"/>
              <w:rPr>
                <w:b w:val="0"/>
              </w:rPr>
            </w:pPr>
            <w:r w:rsidRPr="00AC6B63">
              <w:rPr>
                <w:b w:val="0"/>
              </w:rPr>
              <w:t>March 2013</w:t>
            </w:r>
          </w:p>
        </w:tc>
        <w:tc>
          <w:tcPr>
            <w:tcW w:w="1503" w:type="dxa"/>
          </w:tcPr>
          <w:p w:rsidR="00695E6D" w:rsidRPr="00AC6B63" w:rsidRDefault="00695E6D" w:rsidP="00AC6B63">
            <w:pPr>
              <w:pStyle w:val="TableTextEntries"/>
              <w:rPr>
                <w:b w:val="0"/>
              </w:rPr>
            </w:pPr>
            <w:r w:rsidRPr="00AC6B63">
              <w:rPr>
                <w:b w:val="0"/>
              </w:rPr>
              <w:t>Yes</w:t>
            </w:r>
          </w:p>
        </w:tc>
      </w:tr>
      <w:tr w:rsidR="00695E6D" w:rsidRPr="00071B95" w:rsidTr="00AC6B63">
        <w:trPr>
          <w:cnfStyle w:val="100000000000" w:firstRow="1" w:lastRow="0" w:firstColumn="0" w:lastColumn="0" w:oddVBand="0" w:evenVBand="0" w:oddHBand="0" w:evenHBand="0" w:firstRowFirstColumn="0" w:firstRowLastColumn="0" w:lastRowFirstColumn="0" w:lastRowLastColumn="0"/>
        </w:trPr>
        <w:tc>
          <w:tcPr>
            <w:tcW w:w="1902" w:type="dxa"/>
          </w:tcPr>
          <w:p w:rsidR="00695E6D" w:rsidRPr="00AC6B63" w:rsidRDefault="00695E6D" w:rsidP="00AC6B63">
            <w:pPr>
              <w:pStyle w:val="TableTextEntries"/>
              <w:rPr>
                <w:b w:val="0"/>
              </w:rPr>
            </w:pPr>
            <w:r w:rsidRPr="00AC6B63">
              <w:rPr>
                <w:b w:val="0"/>
              </w:rPr>
              <w:t>Kiribati Climate Change</w:t>
            </w:r>
          </w:p>
        </w:tc>
        <w:tc>
          <w:tcPr>
            <w:tcW w:w="1933" w:type="dxa"/>
          </w:tcPr>
          <w:p w:rsidR="00695E6D" w:rsidRPr="00AC6B63" w:rsidRDefault="00695E6D" w:rsidP="00AC6B63">
            <w:pPr>
              <w:pStyle w:val="TableTextEntries"/>
              <w:rPr>
                <w:b w:val="0"/>
              </w:rPr>
            </w:pPr>
            <w:r w:rsidRPr="00AC6B63">
              <w:rPr>
                <w:b w:val="0"/>
              </w:rPr>
              <w:t>INJ569</w:t>
            </w:r>
          </w:p>
        </w:tc>
        <w:tc>
          <w:tcPr>
            <w:tcW w:w="2031" w:type="dxa"/>
          </w:tcPr>
          <w:p w:rsidR="00695E6D" w:rsidRPr="00AC6B63" w:rsidRDefault="00695E6D" w:rsidP="00AC6B63">
            <w:pPr>
              <w:pStyle w:val="TableTextEntries"/>
              <w:rPr>
                <w:b w:val="0"/>
              </w:rPr>
            </w:pPr>
            <w:r w:rsidRPr="00AC6B63">
              <w:rPr>
                <w:b w:val="0"/>
              </w:rPr>
              <w:t>Partner-led re-occurring assessment</w:t>
            </w:r>
          </w:p>
        </w:tc>
        <w:tc>
          <w:tcPr>
            <w:tcW w:w="1939" w:type="dxa"/>
          </w:tcPr>
          <w:p w:rsidR="00695E6D" w:rsidRPr="00AC6B63" w:rsidRDefault="00695E6D" w:rsidP="00AC6B63">
            <w:pPr>
              <w:pStyle w:val="TableTextEntries"/>
              <w:rPr>
                <w:b w:val="0"/>
              </w:rPr>
            </w:pPr>
            <w:r w:rsidRPr="00AC6B63">
              <w:rPr>
                <w:b w:val="0"/>
              </w:rPr>
              <w:t>November 2012</w:t>
            </w:r>
          </w:p>
        </w:tc>
        <w:tc>
          <w:tcPr>
            <w:tcW w:w="1921" w:type="dxa"/>
          </w:tcPr>
          <w:p w:rsidR="00695E6D" w:rsidRPr="00AC6B63" w:rsidRDefault="00695E6D" w:rsidP="00AC6B63">
            <w:pPr>
              <w:pStyle w:val="TableTextEntries"/>
              <w:rPr>
                <w:b w:val="0"/>
              </w:rPr>
            </w:pPr>
            <w:r w:rsidRPr="00AC6B63">
              <w:rPr>
                <w:b w:val="0"/>
              </w:rPr>
              <w:t>November 2012</w:t>
            </w:r>
          </w:p>
        </w:tc>
        <w:tc>
          <w:tcPr>
            <w:tcW w:w="1743" w:type="dxa"/>
          </w:tcPr>
          <w:p w:rsidR="00695E6D" w:rsidRPr="00AC6B63" w:rsidRDefault="00695E6D" w:rsidP="00AC6B63">
            <w:pPr>
              <w:pStyle w:val="TableTextEntries"/>
              <w:rPr>
                <w:b w:val="0"/>
              </w:rPr>
            </w:pPr>
            <w:r w:rsidRPr="00AC6B63">
              <w:rPr>
                <w:b w:val="0"/>
              </w:rPr>
              <w:t>November 2012 (as part of evaluation)</w:t>
            </w:r>
          </w:p>
        </w:tc>
        <w:tc>
          <w:tcPr>
            <w:tcW w:w="1503" w:type="dxa"/>
          </w:tcPr>
          <w:p w:rsidR="00695E6D" w:rsidRPr="00AC6B63" w:rsidRDefault="00695E6D" w:rsidP="00AC6B63">
            <w:pPr>
              <w:pStyle w:val="TableTextEntries"/>
              <w:rPr>
                <w:b w:val="0"/>
              </w:rPr>
            </w:pPr>
            <w:r w:rsidRPr="00AC6B63">
              <w:rPr>
                <w:b w:val="0"/>
              </w:rPr>
              <w:t>Yes</w:t>
            </w:r>
          </w:p>
        </w:tc>
      </w:tr>
    </w:tbl>
    <w:p w:rsidR="00695E6D" w:rsidRPr="00071B95" w:rsidRDefault="00695E6D" w:rsidP="00AC6B63">
      <w:pPr>
        <w:pStyle w:val="BodyText"/>
      </w:pPr>
    </w:p>
    <w:p w:rsidR="00695E6D" w:rsidRPr="00071B95" w:rsidRDefault="00695E6D" w:rsidP="00AC6B63">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1757"/>
        <w:gridCol w:w="1592"/>
        <w:gridCol w:w="1770"/>
        <w:gridCol w:w="1758"/>
        <w:gridCol w:w="1730"/>
      </w:tblGrid>
      <w:tr w:rsidR="00695E6D" w:rsidRPr="00AC6B63" w:rsidTr="00AC6B63">
        <w:tc>
          <w:tcPr>
            <w:tcW w:w="1704" w:type="dxa"/>
          </w:tcPr>
          <w:p w:rsidR="00695E6D" w:rsidRPr="00AC6B63" w:rsidRDefault="00695E6D" w:rsidP="00AC6B63">
            <w:pPr>
              <w:pStyle w:val="TableTextColumnHeading"/>
            </w:pPr>
            <w:r w:rsidRPr="00AC6B63">
              <w:t xml:space="preserve">Name of </w:t>
            </w:r>
            <w:r w:rsidR="006A077C" w:rsidRPr="00AC6B63">
              <w:t>i</w:t>
            </w:r>
            <w:r w:rsidRPr="00AC6B63">
              <w:t>nitiative</w:t>
            </w:r>
          </w:p>
        </w:tc>
        <w:tc>
          <w:tcPr>
            <w:tcW w:w="1553" w:type="dxa"/>
          </w:tcPr>
          <w:p w:rsidR="00695E6D" w:rsidRPr="00AC6B63" w:rsidRDefault="00695E6D" w:rsidP="00AC6B63">
            <w:pPr>
              <w:pStyle w:val="TableTextColumnHeading"/>
            </w:pPr>
            <w:proofErr w:type="spellStart"/>
            <w:r w:rsidRPr="00AC6B63">
              <w:t>Aid</w:t>
            </w:r>
            <w:r w:rsidR="00C915EE" w:rsidRPr="00AC6B63">
              <w:t>W</w:t>
            </w:r>
            <w:r w:rsidRPr="00AC6B63">
              <w:t>orks</w:t>
            </w:r>
            <w:proofErr w:type="spellEnd"/>
            <w:r w:rsidRPr="00AC6B63">
              <w:t xml:space="preserve"> number</w:t>
            </w:r>
          </w:p>
        </w:tc>
        <w:tc>
          <w:tcPr>
            <w:tcW w:w="1730" w:type="dxa"/>
          </w:tcPr>
          <w:p w:rsidR="00695E6D" w:rsidRPr="00AC6B63" w:rsidRDefault="00695E6D" w:rsidP="00AC6B63">
            <w:pPr>
              <w:pStyle w:val="TableTextColumnHeading"/>
            </w:pPr>
            <w:r w:rsidRPr="00AC6B63">
              <w:t>Type of evaluation</w:t>
            </w:r>
          </w:p>
        </w:tc>
        <w:tc>
          <w:tcPr>
            <w:tcW w:w="1718" w:type="dxa"/>
          </w:tcPr>
          <w:p w:rsidR="00695E6D" w:rsidRPr="00AC6B63" w:rsidRDefault="00695E6D" w:rsidP="00AC6B63">
            <w:pPr>
              <w:pStyle w:val="TableTextColumnHeading"/>
            </w:pPr>
            <w:r w:rsidRPr="00AC6B63">
              <w:t>Purpose of evaluation</w:t>
            </w:r>
            <w:r w:rsidRPr="00AC6B63">
              <w:footnoteReference w:id="46"/>
            </w:r>
          </w:p>
        </w:tc>
        <w:tc>
          <w:tcPr>
            <w:tcW w:w="1677" w:type="dxa"/>
          </w:tcPr>
          <w:p w:rsidR="00695E6D" w:rsidRPr="00AC6B63" w:rsidRDefault="00695E6D" w:rsidP="00AC6B63">
            <w:pPr>
              <w:pStyle w:val="TableTextColumnHeading"/>
            </w:pPr>
            <w:r w:rsidRPr="00AC6B63">
              <w:t>Expected completion date</w:t>
            </w:r>
          </w:p>
        </w:tc>
      </w:tr>
      <w:tr w:rsidR="00695E6D" w:rsidRPr="00AC6B63" w:rsidTr="00AC6B63">
        <w:tc>
          <w:tcPr>
            <w:tcW w:w="1704" w:type="dxa"/>
          </w:tcPr>
          <w:p w:rsidR="00695E6D" w:rsidRPr="00AC6B63" w:rsidRDefault="00695E6D" w:rsidP="00AC6B63">
            <w:pPr>
              <w:pStyle w:val="TableTextEntries"/>
            </w:pPr>
            <w:r w:rsidRPr="00AC6B63">
              <w:t>Kiribati Health</w:t>
            </w:r>
          </w:p>
        </w:tc>
        <w:tc>
          <w:tcPr>
            <w:tcW w:w="1553" w:type="dxa"/>
          </w:tcPr>
          <w:p w:rsidR="00695E6D" w:rsidRPr="00AC6B63" w:rsidRDefault="00695E6D" w:rsidP="00AC6B63">
            <w:pPr>
              <w:pStyle w:val="TableTextEntries"/>
            </w:pPr>
            <w:r w:rsidRPr="00AC6B63">
              <w:t>INI894</w:t>
            </w:r>
          </w:p>
        </w:tc>
        <w:tc>
          <w:tcPr>
            <w:tcW w:w="1730" w:type="dxa"/>
          </w:tcPr>
          <w:p w:rsidR="00695E6D" w:rsidRPr="00AC6B63" w:rsidRDefault="00695E6D" w:rsidP="00AC6B63">
            <w:pPr>
              <w:pStyle w:val="TableTextEntries"/>
            </w:pPr>
            <w:r w:rsidRPr="00AC6B63">
              <w:t>Independent completion report</w:t>
            </w:r>
          </w:p>
        </w:tc>
        <w:tc>
          <w:tcPr>
            <w:tcW w:w="1718" w:type="dxa"/>
          </w:tcPr>
          <w:p w:rsidR="00695E6D" w:rsidRPr="00AC6B63" w:rsidRDefault="00695E6D" w:rsidP="00AC6B63">
            <w:pPr>
              <w:pStyle w:val="TableTextEntries"/>
            </w:pPr>
            <w:r w:rsidRPr="00AC6B63">
              <w:t>Verify outcomes and inform future phase</w:t>
            </w:r>
          </w:p>
        </w:tc>
        <w:tc>
          <w:tcPr>
            <w:tcW w:w="1677" w:type="dxa"/>
          </w:tcPr>
          <w:p w:rsidR="00695E6D" w:rsidRPr="00AC6B63" w:rsidRDefault="00841C20" w:rsidP="00AC6B63">
            <w:pPr>
              <w:pStyle w:val="TableTextEntries"/>
            </w:pPr>
            <w:r w:rsidRPr="00AC6B63">
              <w:t>T</w:t>
            </w:r>
            <w:r w:rsidR="00C915EE" w:rsidRPr="00AC6B63">
              <w:t>o be confirmed</w:t>
            </w:r>
          </w:p>
        </w:tc>
      </w:tr>
      <w:tr w:rsidR="00695E6D" w:rsidRPr="00AC6B63" w:rsidTr="00AC6B63">
        <w:tc>
          <w:tcPr>
            <w:tcW w:w="1704" w:type="dxa"/>
          </w:tcPr>
          <w:p w:rsidR="00695E6D" w:rsidRPr="00AC6B63" w:rsidRDefault="00695E6D" w:rsidP="00AC6B63">
            <w:pPr>
              <w:pStyle w:val="TableTextEntries"/>
            </w:pPr>
            <w:r w:rsidRPr="00AC6B63">
              <w:t xml:space="preserve">Growth and </w:t>
            </w:r>
            <w:r w:rsidR="006A6096" w:rsidRPr="00AC6B63">
              <w:t>e</w:t>
            </w:r>
            <w:r w:rsidRPr="00AC6B63">
              <w:t xml:space="preserve">conomic </w:t>
            </w:r>
            <w:r w:rsidR="006A6096" w:rsidRPr="00AC6B63">
              <w:t>m</w:t>
            </w:r>
            <w:r w:rsidRPr="00AC6B63">
              <w:t>anagement</w:t>
            </w:r>
          </w:p>
        </w:tc>
        <w:tc>
          <w:tcPr>
            <w:tcW w:w="1553" w:type="dxa"/>
          </w:tcPr>
          <w:p w:rsidR="00695E6D" w:rsidRPr="00AC6B63" w:rsidRDefault="00695E6D" w:rsidP="00AC6B63">
            <w:pPr>
              <w:pStyle w:val="TableTextEntries"/>
            </w:pPr>
            <w:r w:rsidRPr="00AC6B63">
              <w:t>INJ383</w:t>
            </w:r>
          </w:p>
        </w:tc>
        <w:tc>
          <w:tcPr>
            <w:tcW w:w="1730" w:type="dxa"/>
          </w:tcPr>
          <w:p w:rsidR="00695E6D" w:rsidRPr="00AC6B63" w:rsidRDefault="00695E6D" w:rsidP="00AC6B63">
            <w:pPr>
              <w:pStyle w:val="TableTextEntries"/>
            </w:pPr>
            <w:r w:rsidRPr="00AC6B63">
              <w:t>Independent completion report</w:t>
            </w:r>
          </w:p>
        </w:tc>
        <w:tc>
          <w:tcPr>
            <w:tcW w:w="1718" w:type="dxa"/>
          </w:tcPr>
          <w:p w:rsidR="00695E6D" w:rsidRPr="00AC6B63" w:rsidRDefault="00695E6D" w:rsidP="00AC6B63">
            <w:pPr>
              <w:pStyle w:val="TableTextEntries"/>
            </w:pPr>
            <w:r w:rsidRPr="00AC6B63">
              <w:t>Verify outcomes and inform future phase</w:t>
            </w:r>
          </w:p>
        </w:tc>
        <w:tc>
          <w:tcPr>
            <w:tcW w:w="1677" w:type="dxa"/>
          </w:tcPr>
          <w:p w:rsidR="00695E6D" w:rsidRPr="00AC6B63" w:rsidRDefault="00841C20" w:rsidP="00AC6B63">
            <w:pPr>
              <w:pStyle w:val="TableTextEntries"/>
            </w:pPr>
            <w:r w:rsidRPr="00AC6B63">
              <w:t>T</w:t>
            </w:r>
            <w:r w:rsidR="00C915EE" w:rsidRPr="00AC6B63">
              <w:t>o be confirmed</w:t>
            </w:r>
          </w:p>
        </w:tc>
      </w:tr>
      <w:tr w:rsidR="00841C20" w:rsidRPr="00AC6B63" w:rsidTr="00AC6B63">
        <w:tc>
          <w:tcPr>
            <w:tcW w:w="1704" w:type="dxa"/>
          </w:tcPr>
          <w:p w:rsidR="00841C20" w:rsidRPr="00AC6B63" w:rsidRDefault="00841C20" w:rsidP="00AC6B63">
            <w:pPr>
              <w:pStyle w:val="TableTextEntries"/>
            </w:pPr>
            <w:r w:rsidRPr="00AC6B63">
              <w:t>TVET Sector Support Program</w:t>
            </w:r>
          </w:p>
        </w:tc>
        <w:tc>
          <w:tcPr>
            <w:tcW w:w="1553" w:type="dxa"/>
          </w:tcPr>
          <w:p w:rsidR="00841C20" w:rsidRPr="00AC6B63" w:rsidRDefault="00841C20" w:rsidP="00AC6B63">
            <w:pPr>
              <w:pStyle w:val="TableTextEntries"/>
            </w:pPr>
            <w:r w:rsidRPr="00AC6B63">
              <w:t>INJ197</w:t>
            </w:r>
          </w:p>
        </w:tc>
        <w:tc>
          <w:tcPr>
            <w:tcW w:w="1730" w:type="dxa"/>
          </w:tcPr>
          <w:p w:rsidR="00841C20" w:rsidRPr="00AC6B63" w:rsidRDefault="00841C20" w:rsidP="00AC6B63">
            <w:pPr>
              <w:pStyle w:val="TableTextEntries"/>
              <w:rPr>
                <w:rFonts w:eastAsia="SimSun"/>
              </w:rPr>
            </w:pPr>
            <w:r w:rsidRPr="00AC6B63">
              <w:t>Annual progress assessment</w:t>
            </w:r>
          </w:p>
        </w:tc>
        <w:tc>
          <w:tcPr>
            <w:tcW w:w="1718" w:type="dxa"/>
          </w:tcPr>
          <w:p w:rsidR="00841C20" w:rsidRPr="00AC6B63" w:rsidRDefault="00841C20" w:rsidP="00AC6B63">
            <w:pPr>
              <w:pStyle w:val="TableTextEntries"/>
            </w:pPr>
            <w:r w:rsidRPr="00AC6B63">
              <w:t>Verify outcomes</w:t>
            </w:r>
          </w:p>
        </w:tc>
        <w:tc>
          <w:tcPr>
            <w:tcW w:w="1677" w:type="dxa"/>
          </w:tcPr>
          <w:p w:rsidR="00841C20" w:rsidRPr="00AC6B63" w:rsidRDefault="00841C20" w:rsidP="00AC6B63">
            <w:pPr>
              <w:pStyle w:val="TableTextEntries"/>
            </w:pPr>
            <w:r w:rsidRPr="00AC6B63">
              <w:t>June 2013</w:t>
            </w:r>
          </w:p>
        </w:tc>
      </w:tr>
      <w:tr w:rsidR="003654F0" w:rsidRPr="00AC6B63" w:rsidTr="00AC6B63">
        <w:tc>
          <w:tcPr>
            <w:tcW w:w="1704" w:type="dxa"/>
          </w:tcPr>
          <w:p w:rsidR="003654F0" w:rsidRPr="00AC6B63" w:rsidRDefault="003654F0" w:rsidP="00AC6B63">
            <w:pPr>
              <w:pStyle w:val="TableTextEntries"/>
            </w:pPr>
            <w:r w:rsidRPr="00AC6B63">
              <w:t>Kiribati Education Improvement Program</w:t>
            </w:r>
          </w:p>
        </w:tc>
        <w:tc>
          <w:tcPr>
            <w:tcW w:w="1553" w:type="dxa"/>
          </w:tcPr>
          <w:p w:rsidR="003654F0" w:rsidRPr="00AC6B63" w:rsidRDefault="003654F0" w:rsidP="00AC6B63">
            <w:pPr>
              <w:pStyle w:val="TableTextEntries"/>
            </w:pPr>
            <w:r w:rsidRPr="00AC6B63">
              <w:t>INI620</w:t>
            </w:r>
          </w:p>
        </w:tc>
        <w:tc>
          <w:tcPr>
            <w:tcW w:w="1730" w:type="dxa"/>
          </w:tcPr>
          <w:p w:rsidR="003654F0" w:rsidRPr="00AC6B63" w:rsidRDefault="003654F0" w:rsidP="00AC6B63">
            <w:pPr>
              <w:pStyle w:val="TableTextEntries"/>
            </w:pPr>
            <w:r w:rsidRPr="00AC6B63">
              <w:t>Annual progress assessment</w:t>
            </w:r>
          </w:p>
        </w:tc>
        <w:tc>
          <w:tcPr>
            <w:tcW w:w="1718" w:type="dxa"/>
          </w:tcPr>
          <w:p w:rsidR="003654F0" w:rsidRPr="00AC6B63" w:rsidRDefault="003654F0" w:rsidP="00AC6B63">
            <w:pPr>
              <w:pStyle w:val="TableTextEntries"/>
            </w:pPr>
            <w:r w:rsidRPr="00AC6B63">
              <w:t>Verify outcomes</w:t>
            </w:r>
          </w:p>
        </w:tc>
        <w:tc>
          <w:tcPr>
            <w:tcW w:w="1677" w:type="dxa"/>
          </w:tcPr>
          <w:p w:rsidR="003654F0" w:rsidRPr="00AC6B63" w:rsidRDefault="00397C38" w:rsidP="00AC6B63">
            <w:pPr>
              <w:pStyle w:val="TableTextEntries"/>
            </w:pPr>
            <w:r w:rsidRPr="00AC6B63">
              <w:t>August</w:t>
            </w:r>
            <w:r w:rsidR="003654F0" w:rsidRPr="00AC6B63">
              <w:t xml:space="preserve"> 2013</w:t>
            </w:r>
          </w:p>
        </w:tc>
      </w:tr>
    </w:tbl>
    <w:p w:rsidR="00F77E6A" w:rsidRPr="00071B95" w:rsidRDefault="00F77E6A" w:rsidP="00397C38">
      <w:pPr>
        <w:pStyle w:val="Heading1"/>
        <w:rPr>
          <w:b/>
        </w:rPr>
      </w:pPr>
    </w:p>
    <w:sectPr w:rsidR="00F77E6A" w:rsidRPr="00071B95" w:rsidSect="003B3233">
      <w:headerReference w:type="default" r:id="rId21"/>
      <w:footerReference w:type="default" r:id="rId22"/>
      <w:headerReference w:type="first" r:id="rId23"/>
      <w:footerReference w:type="first" r:id="rId24"/>
      <w:pgSz w:w="11907" w:h="16840" w:code="9"/>
      <w:pgMar w:top="2268" w:right="1701" w:bottom="907" w:left="187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A2" w:rsidRDefault="001F1AA2" w:rsidP="0050529F">
      <w:r>
        <w:separator/>
      </w:r>
    </w:p>
    <w:p w:rsidR="001F1AA2" w:rsidRDefault="001F1AA2"/>
    <w:p w:rsidR="001F1AA2" w:rsidRDefault="001F1AA2"/>
  </w:endnote>
  <w:endnote w:type="continuationSeparator" w:id="0">
    <w:p w:rsidR="001F1AA2" w:rsidRDefault="001F1AA2" w:rsidP="0050529F">
      <w:r>
        <w:continuationSeparator/>
      </w:r>
    </w:p>
    <w:p w:rsidR="001F1AA2" w:rsidRDefault="001F1AA2"/>
    <w:p w:rsidR="001F1AA2" w:rsidRDefault="001F1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Pr="003B3233" w:rsidRDefault="001F1AA2" w:rsidP="003B3233">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932B26">
      <w:rPr>
        <w:rFonts w:ascii="Franklin Gothic Medium" w:eastAsia="Times New Roman" w:hAnsi="Franklin Gothic Medium"/>
        <w:noProof/>
        <w:sz w:val="14"/>
        <w:szCs w:val="14"/>
      </w:rPr>
      <w:t>Aid Program Performance Report 2012−13 Kiribati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932B26">
      <w:rPr>
        <w:rFonts w:ascii="Franklin Gothic Medium" w:eastAsia="Times New Roman" w:hAnsi="Franklin Gothic Medium"/>
        <w:noProof/>
        <w:sz w:val="14"/>
        <w:szCs w:val="14"/>
      </w:rPr>
      <w:t>25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3776" behindDoc="1" locked="0" layoutInCell="1" allowOverlap="1" wp14:anchorId="18BC7815" wp14:editId="11576DA9">
              <wp:simplePos x="0" y="0"/>
              <wp:positionH relativeFrom="column">
                <wp:posOffset>0</wp:posOffset>
              </wp:positionH>
              <wp:positionV relativeFrom="paragraph">
                <wp:posOffset>8498840</wp:posOffset>
              </wp:positionV>
              <wp:extent cx="7379970" cy="2181860"/>
              <wp:effectExtent l="0" t="2540" r="1905" b="0"/>
              <wp:wrapNone/>
              <wp:docPr id="2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7jFx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G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wXuM&#10;XG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2752" behindDoc="1" locked="0" layoutInCell="1" allowOverlap="1" wp14:anchorId="6216B06D" wp14:editId="1B7B431B">
              <wp:simplePos x="0" y="0"/>
              <wp:positionH relativeFrom="column">
                <wp:posOffset>0</wp:posOffset>
              </wp:positionH>
              <wp:positionV relativeFrom="paragraph">
                <wp:posOffset>8498840</wp:posOffset>
              </wp:positionV>
              <wp:extent cx="7379970" cy="2181860"/>
              <wp:effectExtent l="0" t="2540" r="1905" b="0"/>
              <wp:wrapNone/>
              <wp:docPr id="1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xgndj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V0ZI4g5i9CdQw3IvGMoAGWWWALC1/+HaQZwrtDjYxcMa9WyHMKUG&#10;2KMTQw+017YCvU/6g/FIrH5U5JNFUq1aUMsWxqi+ZZiCG5k/n9xc8IKFq2jX/6EomIMPTgW2z43p&#10;vEKghp5DCF8uIWTPDhFYnI1nZTkDswnsjbIiK6YhyAmuzte1se53pjrkJ3VkwNugHh8frfPm4Op8&#10;xL+2E1xvuRCIaggnaDbKfeSuDcHxC+dDp/AAq58n8RD4tSKHjkk3ZLJhAnu8tuXawjMV63YMAmMe&#10;aMAEJA3xsQk5a51hjrT+8QasO62D7ZcNmJ9t96eE9KNU3pfBy2GFhSoZXMcVcISpP+mJhgz+p8xG&#10;eboclfF2WszifJtPYkBcxGlWLstpmpf5evvVY8jyquWUMvnIJTtXU5Z/B+SHRXCq66EOQj2h3mdl&#10;OhkQWyU49cZ746zZ71bCoCOGus4Xs81yGTIJdq6PddxBdxG8q6Mi9Z+h3n3ybSQNHB3mYpgnt/aH&#10;RAAItywW20k6y8dFPJtNxnE+3qTxstiu4sUqm07BjNVyk92y2AS+9v/jCIacg+UFdQDvnlraI8p9&#10;Jo8mOXgIAqSgn3p/ERZ7aMzEmR8n7g3IIvXfoRiEbvGAdzxJ06FOL9wDm8vzA6lXy65Anpx/ZQlJ&#10;eU6xUPa+0oeOsVP0BaoeqitUGfynwKRV5kuEeujPdWQ/H7BhERIPEjpHmeU5uOeuBXMt7K4FLAmo&#10;qiMHQMJ05UCC+wdt+L6Fl7LgtlQL6DYND33Ad6LBKrDfC9CDgyenXueb/LUcTr3+q82/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YMYJ3&#10;YwMAAB0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Pr="003B3233" w:rsidRDefault="001F1AA2" w:rsidP="003B3233">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932B26">
      <w:rPr>
        <w:rFonts w:ascii="Franklin Gothic Medium" w:eastAsia="Times New Roman" w:hAnsi="Franklin Gothic Medium"/>
        <w:noProof/>
        <w:sz w:val="14"/>
        <w:szCs w:val="14"/>
      </w:rPr>
      <w:t>Aid Program Performance Report 2012−13 Kiribati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932B26">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8896" behindDoc="1" locked="0" layoutInCell="1" allowOverlap="1" wp14:anchorId="5E5D0ECD" wp14:editId="330DC2D6">
              <wp:simplePos x="0" y="0"/>
              <wp:positionH relativeFrom="column">
                <wp:posOffset>0</wp:posOffset>
              </wp:positionH>
              <wp:positionV relativeFrom="paragraph">
                <wp:posOffset>8498840</wp:posOffset>
              </wp:positionV>
              <wp:extent cx="7379970" cy="2181860"/>
              <wp:effectExtent l="0" t="2540" r="1905" b="0"/>
              <wp:wrapNone/>
              <wp:docPr id="3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BmnF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q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uQGa&#10;cW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7872" behindDoc="1" locked="0" layoutInCell="1" allowOverlap="1" wp14:anchorId="31F868F4" wp14:editId="21DF30FC">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Pr="003B3233" w:rsidRDefault="001F1AA2" w:rsidP="003B3233">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932B26">
      <w:rPr>
        <w:rFonts w:ascii="Franklin Gothic Medium" w:eastAsia="Times New Roman" w:hAnsi="Franklin Gothic Medium"/>
        <w:noProof/>
        <w:sz w:val="14"/>
        <w:szCs w:val="14"/>
      </w:rPr>
      <w:t>Aid Program Performance Report 2012−13 Kiribati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932B26">
      <w:rPr>
        <w:rFonts w:ascii="Franklin Gothic Medium" w:eastAsia="Times New Roman" w:hAnsi="Franklin Gothic Medium"/>
        <w:noProof/>
        <w:sz w:val="14"/>
        <w:szCs w:val="14"/>
      </w:rPr>
      <w:t>27</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0704" behindDoc="1" locked="0" layoutInCell="1" allowOverlap="1" wp14:anchorId="1EF6BCA9" wp14:editId="7AB05E68">
              <wp:simplePos x="0" y="0"/>
              <wp:positionH relativeFrom="column">
                <wp:posOffset>0</wp:posOffset>
              </wp:positionH>
              <wp:positionV relativeFrom="paragraph">
                <wp:posOffset>8498840</wp:posOffset>
              </wp:positionV>
              <wp:extent cx="7379970" cy="2181860"/>
              <wp:effectExtent l="0" t="2540" r="1905" b="0"/>
              <wp:wrapNone/>
              <wp:docPr id="15"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PMEN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zTBSpIcY/QzUiDpIjiqMGHcUeG3CjzAewlyj5dEtHzdo4HtEGLOA&#10;Hp0QBp6DcTWofTafbCDizJOmvzuk9LoDrXxprR46Thh4kYfz6c2FIDi4ivbDj5qBNeTodUT72to+&#10;KARo6DVG8O0SQf7qEYXFxXRRVQsINIW9SV7m5TzGOCX1+bqxzv/AdY/CpMEWnI3qycuT88EcUp+P&#10;hNf2UpidkBIxA9EEzVb734TvYmzCwvnQKTrA6p9zeIz7RtNjz5UfE9lySQJe1wnj4Jma93sOcbGP&#10;LGICkpaG0MSUdd5yT7vweAvWndbB9ssGzM+2h1NShVHp4Mvo5bjCY5GMrpMaOMI0nAxEYwL/WeWT&#10;IltNqmQ3LxdJsStmCSAukyyvVtU8K6pis/srYMiLuhOMcfUkFD8XU158BeSbNXAq67EMYjmhARKk&#10;ymYjYqelYMH4YJyzh/1aWvRCoKyL5WK7WsVMgp3rY73w0Fyk6BtcZuEzlntIvq1ikaMnQo7z9Nb+&#10;mAgA4ZbFcjfLFsW0TBaL2TQpptssWZW7dbJc5/M5mLFebfNbFtvI1/13HNGQc7CCoI/g3XPHBsRE&#10;yOTJrAAPQYAUDNPgLyLyAH2ZevvtxL0BWWbhOxaDNB0Z8U5nWTbW6YV7ZHN5fiT1btkVyJPz7ywh&#10;Kc8pFss+VPrYMfaavUHVQ3XFKoO/FJh02n7GaID23GD3x5FYjpF8VNA5qrwowD1/LdhrYX8tEEVB&#10;VYM9AInTtQcJ7h+NFYcOXsqj20ovodu0IvaB0IlGq8D+IEALjp6cel3o8ddyPPX+p/bw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6TzBD&#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9680" behindDoc="1" locked="0" layoutInCell="1" allowOverlap="1" wp14:anchorId="5B22B2C4" wp14:editId="5D30F420">
              <wp:simplePos x="0" y="0"/>
              <wp:positionH relativeFrom="column">
                <wp:posOffset>0</wp:posOffset>
              </wp:positionH>
              <wp:positionV relativeFrom="paragraph">
                <wp:posOffset>8498840</wp:posOffset>
              </wp:positionV>
              <wp:extent cx="7379970" cy="2181860"/>
              <wp:effectExtent l="0" t="2540" r="1905" b="0"/>
              <wp:wrapNone/>
              <wp:docPr id="2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AlpR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a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ACW&#10;l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Default="001F1AA2" w:rsidP="003B3233">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932B26">
      <w:rPr>
        <w:rFonts w:ascii="Franklin Gothic Medium" w:eastAsia="Times New Roman" w:hAnsi="Franklin Gothic Medium"/>
        <w:noProof/>
        <w:sz w:val="14"/>
        <w:szCs w:val="14"/>
      </w:rPr>
      <w:t>Aid Program Performance Report 2012−13 Kiribati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932B26">
      <w:rPr>
        <w:rFonts w:ascii="Franklin Gothic Medium" w:eastAsia="Times New Roman" w:hAnsi="Franklin Gothic Medium"/>
        <w:noProof/>
        <w:sz w:val="14"/>
        <w:szCs w:val="14"/>
      </w:rPr>
      <w:t>29</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7632" behindDoc="1" locked="0" layoutInCell="1" allowOverlap="1" wp14:anchorId="306417F0" wp14:editId="0AF730D3">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6608" behindDoc="1" locked="0" layoutInCell="1" allowOverlap="1" wp14:anchorId="4818D1F0" wp14:editId="7B3AC25E">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Pr="004C4A3E" w:rsidRDefault="001F1AA2"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94080" behindDoc="1" locked="1" layoutInCell="1" allowOverlap="1" wp14:anchorId="183F9CB7" wp14:editId="5B6BE907">
              <wp:simplePos x="0" y="0"/>
              <wp:positionH relativeFrom="page">
                <wp:posOffset>0</wp:posOffset>
              </wp:positionH>
              <wp:positionV relativeFrom="page">
                <wp:posOffset>8533130</wp:posOffset>
              </wp:positionV>
              <wp:extent cx="7380000" cy="2181600"/>
              <wp:effectExtent l="0" t="0" r="0" b="9525"/>
              <wp:wrapNone/>
              <wp:docPr id="29" name="Rectangle 29"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alt="Description: AusAID web address graphic" style="position:absolute;margin-left:0;margin-top:671.9pt;width:581.1pt;height:171.8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vM+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WEJGkhR5+ANSKPgiE3R5mpgLD1yazvt6hnB0Qo1UA3&#10;GmhzHPadWYKrx+6jdiyY7kFVnw2SqmzAE1trrfqGEQrIE7d/8uqAMwwcRYf+vaKAgJys8nQ+17p1&#10;DoEo9Oyz9nLOGnu2qILJbJZj+EWogrVpkicLMNwdZDke77SxvzHVIjdYRRoC9O7J04OxYeu4xd12&#10;ELzbcyEQ7SCD4Fkr+xe3jc+Hmxg3DRkBev5dtyHXW1WdWiZtEK9mglioHNPwzsA1S9YeGORC39ME&#10;4oHCscAG8M9YkBfEDIjd9S56L7Bv03yNcTHdxOUcl3GKs128LtIszvAuS3GaJ2VS/u0gJ+nyZBhk&#10;hohtx0e1J+kb9D8U6VB3Qade74E4AOK5HqEB7Y4/h9HoymkJ9sHYamarxg1roHaYh83nheGgI97t&#10;EtJ9pXJ2uCnMMF/VIW+ehjeEFMk0xZtpEe8XeRan+3QeFxnOY5wUm2KB0yLd7kdCGk4pkw9csp/n&#10;A/Wg7gLPgz6MEpyOwRh9PJRCoycCfShdZ7vNZpDoq20tt9ANBW9Xkdf00J9c5ewk9TxawkUYT1xC&#10;L/jHJDjWLuJY7+c4S2d5nGXzWZzOdjje5PsyXpfJYgEwys0uec3FzvNrfp4OD2RMljPUCaJ7bGiP&#10;DuKkPxEQ+ixPXOVS7spyOk+DAfXkhr6oiTjCw1JZ/eMqfEVsjt0/VLboGhLons0xDk3HKdLnwXN1&#10;hhOYuyC9InYg48ItiPQs9LFthfZ3UPQFWhi0Ct8y4E2EQaP01wj18L5AGX85Ec0iJO4ltMEiSVP3&#10;IF0b+to4XBtEVuBqFdkIhWFpwYLzp07zYwM3JT5sqdbQOmvum5rDF1ABfmfAG+IjGRq3e6Subb/r&#10;8irffQ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nlS8z6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Kiribati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28</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3056" behindDoc="1" locked="0" layoutInCell="1" allowOverlap="1" wp14:anchorId="55D7957F" wp14:editId="4A8F0ED0">
              <wp:simplePos x="0" y="0"/>
              <wp:positionH relativeFrom="column">
                <wp:posOffset>0</wp:posOffset>
              </wp:positionH>
              <wp:positionV relativeFrom="paragraph">
                <wp:posOffset>8498840</wp:posOffset>
              </wp:positionV>
              <wp:extent cx="7379970" cy="2181860"/>
              <wp:effectExtent l="0" t="2540" r="1905" b="0"/>
              <wp:wrapNone/>
              <wp:docPr id="30" name="Rectangle 3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alt="Description: AusAID web address graphic" style="position:absolute;margin-left:0;margin-top:669.2pt;width:581.1pt;height:17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HOiOr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Aj2SdJCjT8AakQfBkJujzNRA2OpoVvcbNLA9IpRqoBud&#10;aHMcDr1ZgKvH/qN2LJj+QdWfDZKqasETW2mthpYRCshTtz95dcAZBo6i/fBeUUBAjlZ5Op8b3TmH&#10;QBR69ll7OWeNPVtUw2Q+zcsyB6Q1rE3SIi3mPq8JWYzHe23sb0x1yA2WkYYAvXvy9GCsg0MW4xZ3&#10;217wfseFQLSHDIJnrexf3LY+H25i3HTKCNDz77oNud6o+tgxaYN4NRPEQuWYlvcGrlmwbs8gF/qe&#10;phAPFI4FNoB/xoK8IGZA7K530XuBfZsUK4zLyTquZriKM5xv41WZ5XGOt3mGsyKt0upvBznNFkfD&#10;IDNEbHo+qj3N3qD/oUhPdRd06vUeiAMgnsARGnDp+HMYja6dlmAfjK1mtm7dsAFqT/Ow+bxwOuiI&#10;d7uEdF+pnB1uCjPMV3XIm6fhDSFlOsnwelLGu3mRx9kum8WgjyLGabku5zgrs81uJKTllDL5wCX7&#10;eT7QAOou8SzowyjB6RiM0Yd9JTR6ItCHslW+Xa99GUD419s6bqEbCt4towK7X+hPrnK2knoeLeEi&#10;jBOX0Av+MQmOtYs4VrsZzrNpEef5bBpn0y2O18WuildVOp8DjGq9TV9zsfX8mp+nwwMZk+UMdYTo&#10;Hls6oL046k8EhD4tUggSUe7KcjLLggH15IYufkTEAR6W2uofV+ErYgvs/qGyRd+SQPd0hnFoOk6R&#10;Pg+eqzOcwNwF6RWxJzIu3IJIz0If21Zof3tFX6CFQavwLQPeRBi0Sn+N0ADvC5TxlyPRLELiXkIb&#10;LNMsg/DstaGvjf21QWQNrpaRBUL8sLJgwfljr/mhhZtSH7ZUK2idDfdNzeELqAC/M+AN8ZGcGrd7&#10;pK5tv+vyKt99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DYBzojqwMAAN0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2032" behindDoc="1" locked="0" layoutInCell="1" allowOverlap="1" wp14:anchorId="6D382E0E" wp14:editId="1F4BCFE4">
              <wp:simplePos x="0" y="0"/>
              <wp:positionH relativeFrom="column">
                <wp:posOffset>0</wp:posOffset>
              </wp:positionH>
              <wp:positionV relativeFrom="paragraph">
                <wp:posOffset>8498840</wp:posOffset>
              </wp:positionV>
              <wp:extent cx="7379970" cy="2181860"/>
              <wp:effectExtent l="0" t="2540" r="1905" b="0"/>
              <wp:wrapNone/>
              <wp:docPr id="31" name="Rectangle 3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alt="Description: AusAID web address graphic" style="position:absolute;margin-left:0;margin-top:669.2pt;width:581.1pt;height:17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10e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h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f6zXR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Pr="003B3233" w:rsidRDefault="001F1AA2" w:rsidP="003B3233">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932B26">
      <w:rPr>
        <w:rFonts w:ascii="Franklin Gothic Medium" w:eastAsia="Times New Roman" w:hAnsi="Franklin Gothic Medium"/>
        <w:noProof/>
        <w:sz w:val="14"/>
        <w:szCs w:val="14"/>
      </w:rPr>
      <w:t>Aid Program Performance Report 2012−13 Kiribati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932B26">
      <w:rPr>
        <w:rFonts w:ascii="Franklin Gothic Medium" w:eastAsia="Times New Roman" w:hAnsi="Franklin Gothic Medium"/>
        <w:noProof/>
        <w:sz w:val="14"/>
        <w:szCs w:val="14"/>
      </w:rPr>
      <w:t>30</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4560" behindDoc="1" locked="0" layoutInCell="1" allowOverlap="1" wp14:anchorId="78B71258" wp14:editId="2247BE5F">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3536" behindDoc="1" locked="0" layoutInCell="1" allowOverlap="1" wp14:anchorId="355EF47D" wp14:editId="16D63F2C">
              <wp:simplePos x="0" y="0"/>
              <wp:positionH relativeFrom="column">
                <wp:posOffset>0</wp:posOffset>
              </wp:positionH>
              <wp:positionV relativeFrom="paragraph">
                <wp:posOffset>8498840</wp:posOffset>
              </wp:positionV>
              <wp:extent cx="7379970" cy="2181860"/>
              <wp:effectExtent l="0" t="2540" r="1905" b="0"/>
              <wp:wrapNone/>
              <wp:docPr id="3"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KCtt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jigrb&#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Pr="004C4A3E" w:rsidRDefault="001F1AA2"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80768" behindDoc="1" locked="1" layoutInCell="1" allowOverlap="1" wp14:anchorId="7172C018" wp14:editId="5A4043DD">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Description: AusAID web address graphic" style="position:absolute;margin-left:0;margin-top:671.9pt;width:581.1pt;height:171.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Kiribati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30</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9744" behindDoc="1" locked="0" layoutInCell="1" allowOverlap="1" wp14:anchorId="6E786BBF" wp14:editId="1CCA5EE6">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AusAID web address graphic" style="position:absolute;margin-left:0;margin-top:669.2pt;width:581.1pt;height:17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8720" behindDoc="1" locked="0" layoutInCell="1" allowOverlap="1" wp14:anchorId="1AA74F3C" wp14:editId="1F9774AF">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AusAID web address graphic" style="position:absolute;margin-left:0;margin-top:669.2pt;width:581.1pt;height:17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A2" w:rsidRDefault="001F1AA2" w:rsidP="0050529F">
      <w:r>
        <w:separator/>
      </w:r>
    </w:p>
    <w:p w:rsidR="001F1AA2" w:rsidRDefault="001F1AA2"/>
    <w:p w:rsidR="001F1AA2" w:rsidRDefault="001F1AA2"/>
  </w:footnote>
  <w:footnote w:type="continuationSeparator" w:id="0">
    <w:p w:rsidR="001F1AA2" w:rsidRDefault="001F1AA2" w:rsidP="0050529F">
      <w:r>
        <w:continuationSeparator/>
      </w:r>
    </w:p>
    <w:p w:rsidR="001F1AA2" w:rsidRDefault="001F1AA2"/>
    <w:p w:rsidR="001F1AA2" w:rsidRDefault="001F1AA2"/>
  </w:footnote>
  <w:footnote w:id="1">
    <w:p w:rsidR="001F1AA2" w:rsidRPr="00A30EB6" w:rsidRDefault="001F1AA2" w:rsidP="0026198E">
      <w:pPr>
        <w:pStyle w:val="FootnoteText"/>
        <w:rPr>
          <w:szCs w:val="16"/>
        </w:rPr>
      </w:pPr>
      <w:r w:rsidRPr="00B43CFF">
        <w:rPr>
          <w:rStyle w:val="FootnoteReference"/>
          <w:szCs w:val="16"/>
        </w:rPr>
        <w:footnoteRef/>
      </w:r>
      <w:r>
        <w:rPr>
          <w:szCs w:val="16"/>
        </w:rPr>
        <w:t xml:space="preserve"> </w:t>
      </w:r>
      <w:proofErr w:type="gramStart"/>
      <w:r w:rsidRPr="00B86A12">
        <w:t>Ministry of Finance and Economic Development with World Bank technical assistance, Kiribati Public Expenditure Analysis, 2013.</w:t>
      </w:r>
      <w:proofErr w:type="gramEnd"/>
    </w:p>
  </w:footnote>
  <w:footnote w:id="2">
    <w:p w:rsidR="001F1AA2" w:rsidRPr="00AD69F8" w:rsidRDefault="001F1AA2" w:rsidP="00B86A12">
      <w:pPr>
        <w:pStyle w:val="FootnoteText"/>
        <w:rPr>
          <w:sz w:val="22"/>
          <w:szCs w:val="22"/>
        </w:rPr>
      </w:pPr>
      <w:r w:rsidRPr="00A30EB6">
        <w:rPr>
          <w:rStyle w:val="FootnoteReference"/>
          <w:szCs w:val="16"/>
        </w:rPr>
        <w:footnoteRef/>
      </w:r>
      <w:r w:rsidRPr="00A30EB6">
        <w:t xml:space="preserve"> </w:t>
      </w:r>
      <w:proofErr w:type="gramStart"/>
      <w:r w:rsidRPr="00A30EB6">
        <w:t xml:space="preserve">Compared to </w:t>
      </w:r>
      <w:r>
        <w:t>3 per cent in 2011 and 2</w:t>
      </w:r>
      <w:r w:rsidRPr="00A30EB6">
        <w:t xml:space="preserve"> per cent in 2010</w:t>
      </w:r>
      <w:r>
        <w:t>.</w:t>
      </w:r>
      <w:proofErr w:type="gramEnd"/>
    </w:p>
  </w:footnote>
  <w:footnote w:id="3">
    <w:p w:rsidR="001F1AA2" w:rsidRPr="00C0671C" w:rsidRDefault="001F1AA2" w:rsidP="0026198E">
      <w:pPr>
        <w:autoSpaceDE w:val="0"/>
        <w:autoSpaceDN w:val="0"/>
        <w:adjustRightInd w:val="0"/>
        <w:rPr>
          <w:i/>
          <w:sz w:val="16"/>
          <w:szCs w:val="16"/>
        </w:rPr>
      </w:pPr>
      <w:r w:rsidRPr="00AD69F8">
        <w:rPr>
          <w:rStyle w:val="FootnoteReference"/>
          <w:rFonts w:eastAsia="Times New Roman"/>
          <w:szCs w:val="16"/>
        </w:rPr>
        <w:footnoteRef/>
      </w:r>
      <w:r w:rsidRPr="00AD69F8">
        <w:rPr>
          <w:rStyle w:val="FootnoteReference"/>
          <w:rFonts w:eastAsia="Times New Roman"/>
          <w:szCs w:val="16"/>
        </w:rPr>
        <w:t xml:space="preserve"> </w:t>
      </w:r>
      <w:r w:rsidRPr="006D6134">
        <w:rPr>
          <w:i/>
          <w:sz w:val="16"/>
          <w:szCs w:val="16"/>
        </w:rPr>
        <w:t xml:space="preserve">Asian Development Bank Economic </w:t>
      </w:r>
      <w:r w:rsidRPr="000D3D95">
        <w:rPr>
          <w:i/>
          <w:sz w:val="16"/>
          <w:szCs w:val="16"/>
        </w:rPr>
        <w:t>Outloo</w:t>
      </w:r>
      <w:r w:rsidRPr="00C0671C">
        <w:rPr>
          <w:i/>
          <w:sz w:val="16"/>
          <w:szCs w:val="16"/>
        </w:rPr>
        <w:t>k 2013.</w:t>
      </w:r>
    </w:p>
  </w:footnote>
  <w:footnote w:id="4">
    <w:p w:rsidR="001F1AA2" w:rsidRDefault="001F1AA2" w:rsidP="0026198E">
      <w:pPr>
        <w:pStyle w:val="FootnoteText"/>
      </w:pPr>
      <w:r>
        <w:rPr>
          <w:rStyle w:val="FootnoteReference"/>
        </w:rPr>
        <w:footnoteRef/>
      </w:r>
      <w:r>
        <w:t xml:space="preserve"> </w:t>
      </w:r>
      <w:proofErr w:type="gramStart"/>
      <w:r w:rsidRPr="00B86A12">
        <w:rPr>
          <w:rFonts w:eastAsia="SimSun"/>
        </w:rPr>
        <w:t>Government of Kiribati Financial Management Information System.</w:t>
      </w:r>
      <w:proofErr w:type="gramEnd"/>
      <w:r w:rsidRPr="00B86A12">
        <w:rPr>
          <w:rFonts w:eastAsia="SimSun"/>
        </w:rPr>
        <w:t xml:space="preserve"> Note this differs from the reported figure in the Government of Kiribati’s 2013 Budget ($70.8 million) which did not include all fishing revenues. All currency amounts in this report are expressed in Australian dollars unless otherwise indicated.</w:t>
      </w:r>
    </w:p>
  </w:footnote>
  <w:footnote w:id="5">
    <w:p w:rsidR="001F1AA2" w:rsidRDefault="001F1AA2" w:rsidP="0026198E">
      <w:pPr>
        <w:pStyle w:val="FootnoteText"/>
      </w:pPr>
      <w:r w:rsidRPr="00A30EB6">
        <w:rPr>
          <w:rStyle w:val="FootnoteReference"/>
          <w:szCs w:val="16"/>
        </w:rPr>
        <w:footnoteRef/>
      </w:r>
      <w:r w:rsidRPr="00A30EB6">
        <w:rPr>
          <w:szCs w:val="16"/>
        </w:rPr>
        <w:t xml:space="preserve"> Pacific</w:t>
      </w:r>
      <w:r>
        <w:rPr>
          <w:szCs w:val="16"/>
        </w:rPr>
        <w:t xml:space="preserve"> Islands Forum Secretariat, </w:t>
      </w:r>
      <w:r w:rsidRPr="00616FCE">
        <w:rPr>
          <w:i/>
          <w:szCs w:val="16"/>
        </w:rPr>
        <w:t>Pacific Regional M</w:t>
      </w:r>
      <w:r w:rsidRPr="0080726A">
        <w:rPr>
          <w:i/>
          <w:szCs w:val="16"/>
        </w:rPr>
        <w:t>illennium Development Goal (M</w:t>
      </w:r>
      <w:r w:rsidRPr="00616FCE">
        <w:rPr>
          <w:i/>
          <w:szCs w:val="16"/>
        </w:rPr>
        <w:t>DG</w:t>
      </w:r>
      <w:r w:rsidRPr="0080726A">
        <w:rPr>
          <w:i/>
          <w:szCs w:val="16"/>
        </w:rPr>
        <w:t xml:space="preserve">) </w:t>
      </w:r>
      <w:r w:rsidRPr="00616FCE">
        <w:rPr>
          <w:i/>
          <w:szCs w:val="16"/>
        </w:rPr>
        <w:t>Tracking Report</w:t>
      </w:r>
      <w:r>
        <w:rPr>
          <w:szCs w:val="16"/>
        </w:rPr>
        <w:t xml:space="preserve">, 2012. </w:t>
      </w:r>
    </w:p>
  </w:footnote>
  <w:footnote w:id="6">
    <w:p w:rsidR="001F1AA2" w:rsidRDefault="001F1AA2" w:rsidP="0026198E">
      <w:pPr>
        <w:pStyle w:val="FootnoteText"/>
      </w:pPr>
      <w:r>
        <w:rPr>
          <w:rStyle w:val="FootnoteReference"/>
        </w:rPr>
        <w:footnoteRef/>
      </w:r>
      <w:r>
        <w:t xml:space="preserve"> </w:t>
      </w:r>
      <w:proofErr w:type="gramStart"/>
      <w:r w:rsidRPr="00C80003">
        <w:rPr>
          <w:szCs w:val="16"/>
        </w:rPr>
        <w:t xml:space="preserve">2010 </w:t>
      </w:r>
      <w:r>
        <w:rPr>
          <w:szCs w:val="16"/>
        </w:rPr>
        <w:t xml:space="preserve">Kiribati </w:t>
      </w:r>
      <w:r w:rsidRPr="00C80003">
        <w:rPr>
          <w:szCs w:val="16"/>
        </w:rPr>
        <w:t>Census</w:t>
      </w:r>
      <w:r>
        <w:rPr>
          <w:szCs w:val="16"/>
        </w:rPr>
        <w:t>.</w:t>
      </w:r>
      <w:proofErr w:type="gramEnd"/>
    </w:p>
  </w:footnote>
  <w:footnote w:id="7">
    <w:p w:rsidR="001F1AA2" w:rsidRDefault="001F1AA2" w:rsidP="0026198E">
      <w:pPr>
        <w:pStyle w:val="FootnoteText"/>
      </w:pPr>
      <w:r>
        <w:rPr>
          <w:rStyle w:val="FootnoteReference"/>
        </w:rPr>
        <w:footnoteRef/>
      </w:r>
      <w:r>
        <w:t xml:space="preserve"> </w:t>
      </w:r>
      <w:r>
        <w:rPr>
          <w:szCs w:val="16"/>
        </w:rPr>
        <w:t>Ibid.</w:t>
      </w:r>
    </w:p>
  </w:footnote>
  <w:footnote w:id="8">
    <w:p w:rsidR="001F1AA2" w:rsidRDefault="001F1AA2" w:rsidP="0026198E">
      <w:pPr>
        <w:pStyle w:val="FootnoteText"/>
      </w:pPr>
      <w:r>
        <w:rPr>
          <w:rStyle w:val="FootnoteReference"/>
        </w:rPr>
        <w:footnoteRef/>
      </w:r>
      <w:r>
        <w:t xml:space="preserve"> </w:t>
      </w:r>
      <w:r w:rsidRPr="00A30EB6">
        <w:rPr>
          <w:szCs w:val="16"/>
        </w:rPr>
        <w:t>Pacific</w:t>
      </w:r>
      <w:r>
        <w:rPr>
          <w:szCs w:val="16"/>
        </w:rPr>
        <w:t xml:space="preserve"> Islands Forum Secretariat, </w:t>
      </w:r>
      <w:r w:rsidRPr="00616FCE">
        <w:rPr>
          <w:i/>
          <w:szCs w:val="16"/>
        </w:rPr>
        <w:t>Pacific Regional MDG Tracking Report</w:t>
      </w:r>
      <w:r>
        <w:rPr>
          <w:szCs w:val="16"/>
        </w:rPr>
        <w:t>, 2012</w:t>
      </w:r>
      <w:r w:rsidRPr="00A30EB6">
        <w:rPr>
          <w:szCs w:val="16"/>
        </w:rPr>
        <w:t>.</w:t>
      </w:r>
    </w:p>
  </w:footnote>
  <w:footnote w:id="9">
    <w:p w:rsidR="001F1AA2" w:rsidRDefault="001F1AA2" w:rsidP="0026198E">
      <w:pPr>
        <w:pStyle w:val="FootnoteText"/>
      </w:pPr>
      <w:r>
        <w:rPr>
          <w:rStyle w:val="FootnoteReference"/>
        </w:rPr>
        <w:footnoteRef/>
      </w:r>
      <w:r>
        <w:t xml:space="preserve"> </w:t>
      </w:r>
      <w:r w:rsidRPr="0080726A">
        <w:rPr>
          <w:i/>
          <w:szCs w:val="16"/>
        </w:rPr>
        <w:t>Asian Development Bank Economic Outlook 2013</w:t>
      </w:r>
      <w:r w:rsidRPr="00A30EB6">
        <w:rPr>
          <w:szCs w:val="16"/>
        </w:rPr>
        <w:t>.</w:t>
      </w:r>
      <w:r>
        <w:rPr>
          <w:szCs w:val="16"/>
        </w:rPr>
        <w:t xml:space="preserve"> </w:t>
      </w:r>
    </w:p>
  </w:footnote>
  <w:footnote w:id="10">
    <w:p w:rsidR="001F1AA2" w:rsidRPr="00782801" w:rsidRDefault="001F1AA2" w:rsidP="0026198E">
      <w:pPr>
        <w:autoSpaceDE w:val="0"/>
        <w:autoSpaceDN w:val="0"/>
        <w:adjustRightInd w:val="0"/>
        <w:rPr>
          <w:sz w:val="16"/>
          <w:szCs w:val="16"/>
        </w:rPr>
      </w:pPr>
      <w:r w:rsidRPr="00B43CFF">
        <w:rPr>
          <w:rStyle w:val="FootnoteReference"/>
          <w:szCs w:val="16"/>
        </w:rPr>
        <w:footnoteRef/>
      </w:r>
      <w:r w:rsidRPr="00B43CFF">
        <w:rPr>
          <w:sz w:val="16"/>
          <w:szCs w:val="16"/>
        </w:rPr>
        <w:t xml:space="preserve"> In 2012, consumer prices in Kiribati </w:t>
      </w:r>
      <w:r>
        <w:rPr>
          <w:sz w:val="16"/>
          <w:szCs w:val="16"/>
        </w:rPr>
        <w:t>were</w:t>
      </w:r>
      <w:r w:rsidRPr="00B43CFF">
        <w:rPr>
          <w:sz w:val="16"/>
          <w:szCs w:val="16"/>
        </w:rPr>
        <w:t xml:space="preserve"> estimated to have fallen by 1.8 per cent, the second year of deflation in the past three years</w:t>
      </w:r>
      <w:r>
        <w:rPr>
          <w:sz w:val="16"/>
          <w:szCs w:val="16"/>
        </w:rPr>
        <w:t xml:space="preserve">. </w:t>
      </w:r>
      <w:r w:rsidRPr="0024059A">
        <w:rPr>
          <w:i/>
          <w:sz w:val="16"/>
          <w:szCs w:val="16"/>
        </w:rPr>
        <w:t>Asian Development Bank Economic Outlook 2013</w:t>
      </w:r>
      <w:r w:rsidRPr="00B43CFF">
        <w:rPr>
          <w:sz w:val="16"/>
          <w:szCs w:val="16"/>
        </w:rPr>
        <w:t>.</w:t>
      </w:r>
    </w:p>
  </w:footnote>
  <w:footnote w:id="11">
    <w:p w:rsidR="001F1AA2" w:rsidRDefault="001F1AA2" w:rsidP="0026198E">
      <w:pPr>
        <w:pStyle w:val="FootnoteText"/>
      </w:pPr>
      <w:r>
        <w:rPr>
          <w:rStyle w:val="FootnoteReference"/>
        </w:rPr>
        <w:footnoteRef/>
      </w:r>
      <w:r>
        <w:t xml:space="preserve"> </w:t>
      </w:r>
      <w:r>
        <w:rPr>
          <w:szCs w:val="16"/>
        </w:rPr>
        <w:t>Ibid.</w:t>
      </w:r>
    </w:p>
  </w:footnote>
  <w:footnote w:id="12">
    <w:p w:rsidR="001F1AA2" w:rsidRPr="00674576" w:rsidRDefault="001F1AA2" w:rsidP="0026198E">
      <w:pPr>
        <w:rPr>
          <w:sz w:val="16"/>
          <w:szCs w:val="16"/>
        </w:rPr>
      </w:pPr>
      <w:r w:rsidRPr="00782801">
        <w:rPr>
          <w:rStyle w:val="FootnoteReference"/>
          <w:rFonts w:eastAsia="Times New Roman"/>
          <w:szCs w:val="16"/>
        </w:rPr>
        <w:footnoteRef/>
      </w:r>
      <w:r w:rsidRPr="00782801">
        <w:rPr>
          <w:rStyle w:val="FootnoteReference"/>
          <w:rFonts w:eastAsia="Times New Roman"/>
          <w:szCs w:val="16"/>
        </w:rPr>
        <w:t xml:space="preserve"> </w:t>
      </w:r>
      <w:r>
        <w:rPr>
          <w:rFonts w:eastAsia="Times New Roman"/>
          <w:sz w:val="16"/>
          <w:szCs w:val="16"/>
        </w:rPr>
        <w:t>The International Monetary Fund has reported</w:t>
      </w:r>
      <w:r w:rsidRPr="00482C2D">
        <w:rPr>
          <w:rFonts w:eastAsia="Times New Roman"/>
          <w:sz w:val="16"/>
          <w:szCs w:val="16"/>
        </w:rPr>
        <w:t xml:space="preserve"> t</w:t>
      </w:r>
      <w:r>
        <w:rPr>
          <w:rFonts w:eastAsia="Times New Roman"/>
          <w:sz w:val="16"/>
          <w:szCs w:val="16"/>
        </w:rPr>
        <w:t xml:space="preserve">hat this is an appropriate drawdown of the </w:t>
      </w:r>
      <w:r w:rsidRPr="0080726A">
        <w:rPr>
          <w:rFonts w:eastAsia="Times New Roman"/>
          <w:sz w:val="16"/>
          <w:szCs w:val="16"/>
        </w:rPr>
        <w:t>Revenue Equalisation Reserve Fund</w:t>
      </w:r>
      <w:r>
        <w:rPr>
          <w:rFonts w:eastAsia="Times New Roman"/>
          <w:sz w:val="16"/>
          <w:szCs w:val="16"/>
        </w:rPr>
        <w:t xml:space="preserve">. </w:t>
      </w:r>
      <w:r w:rsidRPr="00616FCE">
        <w:rPr>
          <w:rFonts w:eastAsia="Times New Roman"/>
          <w:i/>
          <w:sz w:val="16"/>
          <w:szCs w:val="16"/>
        </w:rPr>
        <w:t>International Monetary Fund Country Report No. 11/113</w:t>
      </w:r>
      <w:r>
        <w:rPr>
          <w:rFonts w:eastAsia="Times New Roman"/>
          <w:sz w:val="16"/>
          <w:szCs w:val="16"/>
        </w:rPr>
        <w:t>;</w:t>
      </w:r>
      <w:r w:rsidRPr="00E04644">
        <w:rPr>
          <w:rFonts w:eastAsia="Times New Roman"/>
          <w:sz w:val="16"/>
          <w:szCs w:val="16"/>
        </w:rPr>
        <w:t xml:space="preserve"> </w:t>
      </w:r>
      <w:r w:rsidRPr="00616FCE">
        <w:rPr>
          <w:rFonts w:eastAsia="Times New Roman"/>
          <w:i/>
          <w:sz w:val="16"/>
          <w:szCs w:val="16"/>
        </w:rPr>
        <w:t>Kiribati: </w:t>
      </w:r>
      <w:r>
        <w:rPr>
          <w:rFonts w:eastAsia="Times New Roman"/>
          <w:i/>
          <w:sz w:val="16"/>
          <w:szCs w:val="16"/>
        </w:rPr>
        <w:t xml:space="preserve">2011 </w:t>
      </w:r>
      <w:r w:rsidRPr="00616FCE">
        <w:rPr>
          <w:rFonts w:eastAsia="Times New Roman"/>
          <w:i/>
          <w:sz w:val="16"/>
          <w:szCs w:val="16"/>
        </w:rPr>
        <w:t>Staff Report for the 2011 Article IV Consultation</w:t>
      </w:r>
      <w:r w:rsidRPr="00482C2D">
        <w:rPr>
          <w:rFonts w:eastAsia="Times New Roman"/>
          <w:sz w:val="16"/>
          <w:szCs w:val="16"/>
        </w:rPr>
        <w:t>.</w:t>
      </w:r>
      <w:r>
        <w:rPr>
          <w:rFonts w:eastAsia="Times New Roman"/>
          <w:sz w:val="16"/>
          <w:szCs w:val="16"/>
        </w:rPr>
        <w:t xml:space="preserve"> </w:t>
      </w:r>
    </w:p>
  </w:footnote>
  <w:footnote w:id="13">
    <w:p w:rsidR="001F1AA2" w:rsidRPr="00AD69F8" w:rsidRDefault="001F1AA2" w:rsidP="0026198E">
      <w:pPr>
        <w:pStyle w:val="FootnoteText"/>
        <w:rPr>
          <w:szCs w:val="16"/>
        </w:rPr>
      </w:pPr>
      <w:r w:rsidRPr="005B6B7E">
        <w:rPr>
          <w:rStyle w:val="FootnoteReference"/>
          <w:szCs w:val="16"/>
        </w:rPr>
        <w:footnoteRef/>
      </w:r>
      <w:r w:rsidRPr="005B6B7E">
        <w:rPr>
          <w:szCs w:val="16"/>
        </w:rPr>
        <w:t xml:space="preserve"> </w:t>
      </w:r>
      <w:r w:rsidRPr="00A30EB6">
        <w:rPr>
          <w:szCs w:val="16"/>
        </w:rPr>
        <w:t>Pacific</w:t>
      </w:r>
      <w:r>
        <w:rPr>
          <w:szCs w:val="16"/>
        </w:rPr>
        <w:t xml:space="preserve"> Islands Forum Secretariat,</w:t>
      </w:r>
      <w:r w:rsidRPr="00A30EB6">
        <w:rPr>
          <w:szCs w:val="16"/>
        </w:rPr>
        <w:t xml:space="preserve"> </w:t>
      </w:r>
      <w:r w:rsidRPr="00616FCE">
        <w:rPr>
          <w:i/>
          <w:szCs w:val="16"/>
        </w:rPr>
        <w:t>Pacific Regional MDG Tracking Report</w:t>
      </w:r>
      <w:r>
        <w:rPr>
          <w:szCs w:val="16"/>
        </w:rPr>
        <w:t xml:space="preserve">, </w:t>
      </w:r>
      <w:r w:rsidRPr="00A30EB6">
        <w:rPr>
          <w:szCs w:val="16"/>
        </w:rPr>
        <w:t>2012</w:t>
      </w:r>
      <w:r>
        <w:rPr>
          <w:szCs w:val="16"/>
        </w:rPr>
        <w:t>.</w:t>
      </w:r>
    </w:p>
  </w:footnote>
  <w:footnote w:id="14">
    <w:p w:rsidR="001F1AA2" w:rsidRPr="00751E70" w:rsidRDefault="001F1AA2" w:rsidP="0026198E">
      <w:pPr>
        <w:pStyle w:val="FootnoteText"/>
        <w:rPr>
          <w:szCs w:val="16"/>
        </w:rPr>
      </w:pPr>
      <w:r>
        <w:rPr>
          <w:rStyle w:val="FootnoteReference"/>
        </w:rPr>
        <w:footnoteRef/>
      </w:r>
      <w:r>
        <w:t xml:space="preserve"> </w:t>
      </w:r>
      <w:r>
        <w:rPr>
          <w:szCs w:val="16"/>
        </w:rPr>
        <w:t>Ibid.</w:t>
      </w:r>
    </w:p>
  </w:footnote>
  <w:footnote w:id="15">
    <w:p w:rsidR="001F1AA2" w:rsidRDefault="001F1AA2" w:rsidP="0026198E">
      <w:pPr>
        <w:pStyle w:val="FootnoteText"/>
      </w:pPr>
      <w:r w:rsidRPr="00751E70">
        <w:rPr>
          <w:rStyle w:val="FootnoteReference"/>
          <w:szCs w:val="16"/>
        </w:rPr>
        <w:footnoteRef/>
      </w:r>
      <w:r w:rsidRPr="00751E70">
        <w:rPr>
          <w:szCs w:val="16"/>
        </w:rPr>
        <w:t xml:space="preserve"> </w:t>
      </w:r>
      <w:proofErr w:type="gramStart"/>
      <w:r w:rsidRPr="00751E70">
        <w:rPr>
          <w:szCs w:val="16"/>
        </w:rPr>
        <w:t xml:space="preserve">Government of </w:t>
      </w:r>
      <w:r w:rsidRPr="00E04644">
        <w:rPr>
          <w:szCs w:val="16"/>
        </w:rPr>
        <w:t xml:space="preserve">Kiribati, </w:t>
      </w:r>
      <w:r w:rsidRPr="00616FCE">
        <w:rPr>
          <w:i/>
          <w:szCs w:val="16"/>
        </w:rPr>
        <w:t>South Tarawa Island Report</w:t>
      </w:r>
      <w:r>
        <w:rPr>
          <w:i/>
          <w:szCs w:val="16"/>
        </w:rPr>
        <w:t>,</w:t>
      </w:r>
      <w:r w:rsidRPr="00616FCE">
        <w:rPr>
          <w:i/>
          <w:szCs w:val="16"/>
        </w:rPr>
        <w:t xml:space="preserve"> </w:t>
      </w:r>
      <w:r w:rsidRPr="004555C9">
        <w:rPr>
          <w:szCs w:val="16"/>
        </w:rPr>
        <w:t>2012.</w:t>
      </w:r>
      <w:proofErr w:type="gramEnd"/>
    </w:p>
  </w:footnote>
  <w:footnote w:id="16">
    <w:p w:rsidR="001F1AA2" w:rsidRDefault="001F1AA2" w:rsidP="0026198E">
      <w:pPr>
        <w:pStyle w:val="FootnoteText"/>
      </w:pPr>
      <w:r>
        <w:rPr>
          <w:rStyle w:val="FootnoteReference"/>
        </w:rPr>
        <w:footnoteRef/>
      </w:r>
      <w:r>
        <w:t xml:space="preserve"> </w:t>
      </w:r>
      <w:r>
        <w:rPr>
          <w:szCs w:val="16"/>
        </w:rPr>
        <w:t>Ibid.</w:t>
      </w:r>
    </w:p>
  </w:footnote>
  <w:footnote w:id="17">
    <w:p w:rsidR="001F1AA2" w:rsidRPr="00AD69F8" w:rsidRDefault="001F1AA2" w:rsidP="0026198E">
      <w:pPr>
        <w:pStyle w:val="FootnoteText"/>
        <w:rPr>
          <w:szCs w:val="16"/>
        </w:rPr>
      </w:pPr>
      <w:r w:rsidRPr="00AD69F8">
        <w:rPr>
          <w:rStyle w:val="FootnoteReference"/>
          <w:szCs w:val="16"/>
        </w:rPr>
        <w:footnoteRef/>
      </w:r>
      <w:r w:rsidRPr="00AD69F8">
        <w:rPr>
          <w:szCs w:val="16"/>
        </w:rPr>
        <w:t xml:space="preserve"> </w:t>
      </w:r>
      <w:proofErr w:type="gramStart"/>
      <w:r>
        <w:rPr>
          <w:szCs w:val="16"/>
        </w:rPr>
        <w:t xml:space="preserve">Government of Kiribati, </w:t>
      </w:r>
      <w:r w:rsidRPr="00616FCE">
        <w:rPr>
          <w:i/>
          <w:szCs w:val="16"/>
        </w:rPr>
        <w:t xml:space="preserve">South Tarawa Sanitation Improvement Sector Project Report </w:t>
      </w:r>
      <w:r w:rsidRPr="004555C9">
        <w:rPr>
          <w:szCs w:val="16"/>
        </w:rPr>
        <w:t>2012.</w:t>
      </w:r>
      <w:proofErr w:type="gramEnd"/>
      <w:r>
        <w:rPr>
          <w:szCs w:val="16"/>
        </w:rPr>
        <w:t xml:space="preserve"> </w:t>
      </w:r>
    </w:p>
  </w:footnote>
  <w:footnote w:id="18">
    <w:p w:rsidR="001F1AA2" w:rsidRPr="00AD69F8" w:rsidRDefault="001F1AA2" w:rsidP="0026198E">
      <w:pPr>
        <w:pStyle w:val="FootnoteText"/>
        <w:rPr>
          <w:szCs w:val="16"/>
        </w:rPr>
      </w:pPr>
      <w:r w:rsidRPr="00AD69F8">
        <w:rPr>
          <w:rStyle w:val="FootnoteReference"/>
          <w:szCs w:val="16"/>
        </w:rPr>
        <w:footnoteRef/>
      </w:r>
      <w:r w:rsidRPr="00AD69F8">
        <w:rPr>
          <w:szCs w:val="16"/>
        </w:rPr>
        <w:t xml:space="preserve"> </w:t>
      </w:r>
      <w:r>
        <w:rPr>
          <w:szCs w:val="16"/>
        </w:rPr>
        <w:t>Ibid.</w:t>
      </w:r>
    </w:p>
  </w:footnote>
  <w:footnote w:id="19">
    <w:p w:rsidR="001F1AA2" w:rsidRPr="00AD69F8" w:rsidRDefault="001F1AA2" w:rsidP="0026198E">
      <w:pPr>
        <w:pStyle w:val="FootnoteText"/>
        <w:rPr>
          <w:szCs w:val="16"/>
        </w:rPr>
      </w:pPr>
      <w:r w:rsidRPr="00AD69F8">
        <w:rPr>
          <w:rStyle w:val="FootnoteReference"/>
          <w:szCs w:val="16"/>
        </w:rPr>
        <w:footnoteRef/>
      </w:r>
      <w:r w:rsidRPr="00AD69F8">
        <w:rPr>
          <w:szCs w:val="16"/>
        </w:rPr>
        <w:t xml:space="preserve"> </w:t>
      </w:r>
      <w:r w:rsidRPr="00AD69F8">
        <w:rPr>
          <w:rFonts w:eastAsia="SimSun"/>
          <w:szCs w:val="16"/>
        </w:rPr>
        <w:t>World Health Organi</w:t>
      </w:r>
      <w:r>
        <w:rPr>
          <w:rFonts w:eastAsia="SimSun"/>
          <w:szCs w:val="16"/>
        </w:rPr>
        <w:t>z</w:t>
      </w:r>
      <w:r w:rsidRPr="00AD69F8">
        <w:rPr>
          <w:rFonts w:eastAsia="SimSun"/>
          <w:szCs w:val="16"/>
        </w:rPr>
        <w:t xml:space="preserve">ation, </w:t>
      </w:r>
      <w:r w:rsidRPr="00616FCE">
        <w:rPr>
          <w:rFonts w:eastAsia="SimSun"/>
          <w:i/>
          <w:szCs w:val="16"/>
        </w:rPr>
        <w:t>Global Health Observatory Data Repository, Child health: Under-five mortality by country, Kiribati, 2011</w:t>
      </w:r>
      <w:r w:rsidRPr="00AD69F8">
        <w:rPr>
          <w:szCs w:val="16"/>
        </w:rPr>
        <w:t>.</w:t>
      </w:r>
    </w:p>
  </w:footnote>
  <w:footnote w:id="20">
    <w:p w:rsidR="001F1AA2" w:rsidRPr="00AD69F8" w:rsidRDefault="001F1AA2" w:rsidP="0026198E">
      <w:pPr>
        <w:pStyle w:val="FootnoteText"/>
        <w:rPr>
          <w:szCs w:val="16"/>
        </w:rPr>
      </w:pPr>
      <w:r w:rsidRPr="00AD69F8">
        <w:rPr>
          <w:rStyle w:val="FootnoteReference"/>
          <w:szCs w:val="16"/>
        </w:rPr>
        <w:footnoteRef/>
      </w:r>
      <w:r w:rsidRPr="00AD69F8">
        <w:rPr>
          <w:szCs w:val="16"/>
        </w:rPr>
        <w:t xml:space="preserve"> </w:t>
      </w:r>
      <w:proofErr w:type="gramStart"/>
      <w:r>
        <w:rPr>
          <w:szCs w:val="16"/>
        </w:rPr>
        <w:t xml:space="preserve">Government of </w:t>
      </w:r>
      <w:r w:rsidRPr="004555C9">
        <w:rPr>
          <w:szCs w:val="16"/>
        </w:rPr>
        <w:t xml:space="preserve">Kiribati, </w:t>
      </w:r>
      <w:r w:rsidRPr="00E83D31">
        <w:rPr>
          <w:i/>
          <w:szCs w:val="16"/>
        </w:rPr>
        <w:t>South Tarawa Sanitation Improvement Sector Project Report</w:t>
      </w:r>
      <w:r w:rsidRPr="004555C9">
        <w:rPr>
          <w:szCs w:val="16"/>
        </w:rPr>
        <w:t xml:space="preserve"> 2012.</w:t>
      </w:r>
      <w:proofErr w:type="gramEnd"/>
    </w:p>
  </w:footnote>
  <w:footnote w:id="21">
    <w:p w:rsidR="001F1AA2" w:rsidRDefault="001F1AA2" w:rsidP="0026198E">
      <w:pPr>
        <w:pStyle w:val="CommentText"/>
        <w:spacing w:after="0"/>
      </w:pPr>
      <w:r>
        <w:rPr>
          <w:rStyle w:val="FootnoteReference"/>
        </w:rPr>
        <w:footnoteRef/>
      </w:r>
      <w:r>
        <w:t xml:space="preserve"> </w:t>
      </w:r>
      <w:proofErr w:type="gramStart"/>
      <w:r w:rsidRPr="00E04644">
        <w:rPr>
          <w:rFonts w:ascii="Times New Roman" w:eastAsia="SimSun" w:hAnsi="Times New Roman"/>
          <w:sz w:val="16"/>
          <w:szCs w:val="16"/>
        </w:rPr>
        <w:t>Secre</w:t>
      </w:r>
      <w:r w:rsidRPr="005D6190">
        <w:rPr>
          <w:rFonts w:ascii="Times New Roman" w:eastAsia="SimSun" w:hAnsi="Times New Roman"/>
          <w:sz w:val="16"/>
          <w:szCs w:val="16"/>
        </w:rPr>
        <w:t>tariat of the Pacific Community</w:t>
      </w:r>
      <w:r>
        <w:t xml:space="preserve">, </w:t>
      </w:r>
      <w:r w:rsidRPr="0024059A">
        <w:rPr>
          <w:rFonts w:ascii="Times New Roman" w:hAnsi="Times New Roman"/>
          <w:i/>
          <w:sz w:val="16"/>
          <w:szCs w:val="16"/>
        </w:rPr>
        <w:t>Kiribati Family Health and Support Study—A study on violence against women and children</w:t>
      </w:r>
      <w:r w:rsidRPr="002B0DF4">
        <w:rPr>
          <w:rFonts w:ascii="Times New Roman" w:hAnsi="Times New Roman"/>
          <w:sz w:val="16"/>
          <w:szCs w:val="16"/>
        </w:rPr>
        <w:t>, 2010</w:t>
      </w:r>
      <w:r>
        <w:rPr>
          <w:rFonts w:ascii="Times New Roman" w:hAnsi="Times New Roman"/>
          <w:sz w:val="16"/>
          <w:szCs w:val="16"/>
        </w:rPr>
        <w:t>.</w:t>
      </w:r>
      <w:proofErr w:type="gramEnd"/>
    </w:p>
  </w:footnote>
  <w:footnote w:id="22">
    <w:p w:rsidR="001F1AA2" w:rsidRPr="001806CE" w:rsidRDefault="001F1AA2" w:rsidP="0026198E">
      <w:pPr>
        <w:rPr>
          <w:rFonts w:ascii="Cambria" w:eastAsiaTheme="minorHAnsi" w:hAnsi="Cambria" w:cs="Cambria"/>
        </w:rPr>
      </w:pPr>
      <w:r>
        <w:rPr>
          <w:rStyle w:val="FootnoteReference"/>
        </w:rPr>
        <w:footnoteRef/>
      </w:r>
      <w:r w:rsidRPr="001806CE">
        <w:rPr>
          <w:sz w:val="16"/>
          <w:szCs w:val="16"/>
        </w:rPr>
        <w:t xml:space="preserve"> H</w:t>
      </w:r>
      <w:r>
        <w:rPr>
          <w:sz w:val="16"/>
          <w:szCs w:val="16"/>
        </w:rPr>
        <w:t>.</w:t>
      </w:r>
      <w:r w:rsidRPr="001806CE">
        <w:rPr>
          <w:sz w:val="16"/>
          <w:szCs w:val="16"/>
        </w:rPr>
        <w:t xml:space="preserve"> </w:t>
      </w:r>
      <w:proofErr w:type="spellStart"/>
      <w:r w:rsidRPr="001806CE">
        <w:rPr>
          <w:sz w:val="16"/>
          <w:szCs w:val="16"/>
        </w:rPr>
        <w:t>Palmqvist</w:t>
      </w:r>
      <w:proofErr w:type="spellEnd"/>
      <w:r w:rsidRPr="001806CE">
        <w:rPr>
          <w:sz w:val="16"/>
          <w:szCs w:val="16"/>
        </w:rPr>
        <w:t xml:space="preserve">, </w:t>
      </w:r>
      <w:r w:rsidRPr="0024059A">
        <w:rPr>
          <w:i/>
          <w:sz w:val="16"/>
          <w:szCs w:val="16"/>
        </w:rPr>
        <w:t>Eliminating Sexual and Gender Based Violence Organisational Capacity Assessment</w:t>
      </w:r>
      <w:r>
        <w:rPr>
          <w:sz w:val="16"/>
          <w:szCs w:val="16"/>
        </w:rPr>
        <w:t>, 2013.</w:t>
      </w:r>
    </w:p>
  </w:footnote>
  <w:footnote w:id="23">
    <w:p w:rsidR="001F1AA2" w:rsidRPr="00751E70" w:rsidRDefault="001F1AA2" w:rsidP="0026198E">
      <w:pPr>
        <w:pStyle w:val="FootnoteText"/>
        <w:rPr>
          <w:szCs w:val="16"/>
        </w:rPr>
      </w:pPr>
      <w:r w:rsidRPr="00AD69F8">
        <w:rPr>
          <w:rStyle w:val="FootnoteReference"/>
          <w:szCs w:val="16"/>
        </w:rPr>
        <w:footnoteRef/>
      </w:r>
      <w:r w:rsidRPr="00AD69F8">
        <w:rPr>
          <w:szCs w:val="16"/>
        </w:rPr>
        <w:t xml:space="preserve"> AusAID, </w:t>
      </w:r>
      <w:r w:rsidRPr="00E83D31">
        <w:rPr>
          <w:i/>
          <w:szCs w:val="16"/>
        </w:rPr>
        <w:t>Education Cost of Service Delivery Analysis</w:t>
      </w:r>
      <w:r w:rsidRPr="00751E70">
        <w:rPr>
          <w:szCs w:val="16"/>
        </w:rPr>
        <w:t>, 2013.</w:t>
      </w:r>
    </w:p>
  </w:footnote>
  <w:footnote w:id="24">
    <w:p w:rsidR="001F1AA2" w:rsidRDefault="001F1AA2" w:rsidP="0026198E">
      <w:pPr>
        <w:pStyle w:val="FootnoteText"/>
      </w:pPr>
      <w:r>
        <w:rPr>
          <w:rStyle w:val="FootnoteReference"/>
        </w:rPr>
        <w:footnoteRef/>
      </w:r>
      <w:r>
        <w:t xml:space="preserve"> </w:t>
      </w:r>
      <w:proofErr w:type="gramStart"/>
      <w:r w:rsidRPr="004E41FD">
        <w:rPr>
          <w:szCs w:val="16"/>
        </w:rPr>
        <w:t xml:space="preserve">Ministry of Finance and Economic Development with World Bank </w:t>
      </w:r>
      <w:r>
        <w:rPr>
          <w:szCs w:val="16"/>
        </w:rPr>
        <w:t>t</w:t>
      </w:r>
      <w:r w:rsidRPr="004E41FD">
        <w:rPr>
          <w:szCs w:val="16"/>
        </w:rPr>
        <w:t xml:space="preserve">echnical </w:t>
      </w:r>
      <w:r>
        <w:rPr>
          <w:szCs w:val="16"/>
        </w:rPr>
        <w:t>a</w:t>
      </w:r>
      <w:r w:rsidRPr="004E41FD">
        <w:rPr>
          <w:szCs w:val="16"/>
        </w:rPr>
        <w:t xml:space="preserve">ssistance, </w:t>
      </w:r>
      <w:r w:rsidRPr="00E83D31">
        <w:rPr>
          <w:i/>
          <w:szCs w:val="16"/>
        </w:rPr>
        <w:t>Kiribati Public Expenditure Analysis</w:t>
      </w:r>
      <w:r w:rsidRPr="004E41FD">
        <w:rPr>
          <w:szCs w:val="16"/>
        </w:rPr>
        <w:t>, 2013.</w:t>
      </w:r>
      <w:proofErr w:type="gramEnd"/>
    </w:p>
  </w:footnote>
  <w:footnote w:id="25">
    <w:p w:rsidR="001F1AA2" w:rsidRPr="003F5349" w:rsidRDefault="001F1AA2" w:rsidP="0026198E">
      <w:pPr>
        <w:pStyle w:val="FootnoteText"/>
        <w:rPr>
          <w:szCs w:val="16"/>
        </w:rPr>
      </w:pPr>
      <w:r w:rsidRPr="003F5349">
        <w:rPr>
          <w:rStyle w:val="FootnoteReference"/>
          <w:szCs w:val="16"/>
        </w:rPr>
        <w:footnoteRef/>
      </w:r>
      <w:r w:rsidRPr="003F5349">
        <w:rPr>
          <w:szCs w:val="16"/>
        </w:rPr>
        <w:t xml:space="preserve"> 6</w:t>
      </w:r>
      <w:r>
        <w:rPr>
          <w:szCs w:val="16"/>
        </w:rPr>
        <w:t>,</w:t>
      </w:r>
      <w:r w:rsidRPr="003F5349">
        <w:rPr>
          <w:szCs w:val="16"/>
        </w:rPr>
        <w:t xml:space="preserve">934 children under </w:t>
      </w:r>
      <w:r>
        <w:rPr>
          <w:szCs w:val="16"/>
        </w:rPr>
        <w:t>5</w:t>
      </w:r>
      <w:r w:rsidRPr="003F5349">
        <w:rPr>
          <w:szCs w:val="16"/>
        </w:rPr>
        <w:t xml:space="preserve"> years of age </w:t>
      </w:r>
      <w:r>
        <w:rPr>
          <w:szCs w:val="16"/>
        </w:rPr>
        <w:t xml:space="preserve">live </w:t>
      </w:r>
      <w:r w:rsidRPr="003F5349">
        <w:rPr>
          <w:szCs w:val="16"/>
        </w:rPr>
        <w:t>on South Tarawa, representing almost 14 per cent of the population</w:t>
      </w:r>
      <w:r>
        <w:rPr>
          <w:szCs w:val="16"/>
        </w:rPr>
        <w:t xml:space="preserve">. </w:t>
      </w:r>
      <w:proofErr w:type="gramStart"/>
      <w:r w:rsidRPr="003F5349">
        <w:rPr>
          <w:szCs w:val="16"/>
        </w:rPr>
        <w:t>Government of Kiribati,</w:t>
      </w:r>
      <w:r w:rsidRPr="004555C9">
        <w:rPr>
          <w:i/>
          <w:szCs w:val="16"/>
        </w:rPr>
        <w:t xml:space="preserve"> South Tarawa Island Report</w:t>
      </w:r>
      <w:r w:rsidRPr="003F5349">
        <w:rPr>
          <w:szCs w:val="16"/>
        </w:rPr>
        <w:t>, 2012.</w:t>
      </w:r>
      <w:proofErr w:type="gramEnd"/>
    </w:p>
  </w:footnote>
  <w:footnote w:id="26">
    <w:p w:rsidR="001F1AA2" w:rsidRPr="003F5349" w:rsidRDefault="001F1AA2" w:rsidP="0026198E">
      <w:pPr>
        <w:pStyle w:val="FootnoteText"/>
        <w:rPr>
          <w:szCs w:val="16"/>
        </w:rPr>
      </w:pPr>
      <w:r w:rsidRPr="003F5349">
        <w:rPr>
          <w:rStyle w:val="FootnoteReference"/>
          <w:szCs w:val="16"/>
        </w:rPr>
        <w:footnoteRef/>
      </w:r>
      <w:r w:rsidRPr="003F5349">
        <w:rPr>
          <w:szCs w:val="16"/>
        </w:rPr>
        <w:t xml:space="preserve"> </w:t>
      </w:r>
      <w:proofErr w:type="gramStart"/>
      <w:r>
        <w:rPr>
          <w:szCs w:val="16"/>
        </w:rPr>
        <w:t xml:space="preserve">Government of Kiribati, </w:t>
      </w:r>
      <w:r w:rsidRPr="00616FCE">
        <w:rPr>
          <w:i/>
          <w:szCs w:val="16"/>
        </w:rPr>
        <w:t xml:space="preserve">Kiribati Education Management Information System Digest </w:t>
      </w:r>
      <w:r w:rsidRPr="004555C9">
        <w:rPr>
          <w:szCs w:val="16"/>
        </w:rPr>
        <w:t>2012.</w:t>
      </w:r>
      <w:proofErr w:type="gramEnd"/>
    </w:p>
  </w:footnote>
  <w:footnote w:id="27">
    <w:p w:rsidR="001F1AA2" w:rsidRPr="004555C9" w:rsidRDefault="001F1AA2" w:rsidP="0026198E">
      <w:pPr>
        <w:pStyle w:val="FootnoteText"/>
        <w:rPr>
          <w:szCs w:val="16"/>
        </w:rPr>
      </w:pPr>
      <w:r w:rsidRPr="003F5349">
        <w:rPr>
          <w:rStyle w:val="FootnoteReference"/>
          <w:szCs w:val="16"/>
        </w:rPr>
        <w:footnoteRef/>
      </w:r>
      <w:r w:rsidRPr="003F5349">
        <w:rPr>
          <w:szCs w:val="16"/>
        </w:rPr>
        <w:t xml:space="preserve"> </w:t>
      </w:r>
      <w:proofErr w:type="gramStart"/>
      <w:r w:rsidRPr="003F5349">
        <w:rPr>
          <w:szCs w:val="16"/>
        </w:rPr>
        <w:t xml:space="preserve">Government of Kiribati, </w:t>
      </w:r>
      <w:r w:rsidRPr="00616FCE">
        <w:rPr>
          <w:i/>
          <w:szCs w:val="16"/>
        </w:rPr>
        <w:t>South Tarawa Island Report</w:t>
      </w:r>
      <w:r>
        <w:rPr>
          <w:i/>
          <w:szCs w:val="16"/>
        </w:rPr>
        <w:t>,</w:t>
      </w:r>
      <w:r w:rsidRPr="00616FCE">
        <w:rPr>
          <w:i/>
          <w:szCs w:val="16"/>
        </w:rPr>
        <w:t xml:space="preserve"> </w:t>
      </w:r>
      <w:r w:rsidRPr="004555C9">
        <w:rPr>
          <w:szCs w:val="16"/>
        </w:rPr>
        <w:t>2012.</w:t>
      </w:r>
      <w:proofErr w:type="gramEnd"/>
    </w:p>
  </w:footnote>
  <w:footnote w:id="28">
    <w:p w:rsidR="001F1AA2" w:rsidRDefault="001F1AA2" w:rsidP="0026198E">
      <w:pPr>
        <w:pStyle w:val="FootnoteText"/>
      </w:pPr>
      <w:r w:rsidRPr="003F5349">
        <w:rPr>
          <w:rStyle w:val="FootnoteReference"/>
          <w:szCs w:val="16"/>
        </w:rPr>
        <w:footnoteRef/>
      </w:r>
      <w:r w:rsidRPr="003F5349">
        <w:rPr>
          <w:szCs w:val="16"/>
        </w:rPr>
        <w:t xml:space="preserve"> At present, data on international employment outcomes for Kiribati graduates is limited. Australian support to the Ministry of Labour </w:t>
      </w:r>
      <w:r w:rsidRPr="00751E70">
        <w:rPr>
          <w:szCs w:val="16"/>
        </w:rPr>
        <w:t>and Human Resource Development is assisting the Ministry collect this data</w:t>
      </w:r>
      <w:r>
        <w:rPr>
          <w:szCs w:val="16"/>
        </w:rPr>
        <w:t xml:space="preserve">. </w:t>
      </w:r>
    </w:p>
  </w:footnote>
  <w:footnote w:id="29">
    <w:p w:rsidR="001F1AA2" w:rsidRPr="002D0971" w:rsidRDefault="001F1AA2" w:rsidP="0026198E">
      <w:pPr>
        <w:pStyle w:val="CommentText"/>
        <w:rPr>
          <w:rFonts w:ascii="Times New Roman" w:hAnsi="Times New Roman"/>
          <w:sz w:val="16"/>
          <w:szCs w:val="16"/>
        </w:rPr>
      </w:pPr>
      <w:r w:rsidRPr="00362AFD">
        <w:rPr>
          <w:rStyle w:val="FootnoteReference"/>
          <w:szCs w:val="16"/>
        </w:rPr>
        <w:footnoteRef/>
      </w:r>
      <w:r w:rsidRPr="00362AFD">
        <w:rPr>
          <w:rFonts w:ascii="Times New Roman" w:hAnsi="Times New Roman"/>
          <w:sz w:val="16"/>
          <w:szCs w:val="16"/>
        </w:rPr>
        <w:t xml:space="preserve"> </w:t>
      </w:r>
      <w:proofErr w:type="gramStart"/>
      <w:r w:rsidRPr="00362AFD">
        <w:rPr>
          <w:rFonts w:ascii="Times New Roman" w:hAnsi="Times New Roman"/>
          <w:sz w:val="16"/>
          <w:szCs w:val="16"/>
        </w:rPr>
        <w:t>Go</w:t>
      </w:r>
      <w:r>
        <w:rPr>
          <w:rFonts w:ascii="Times New Roman" w:hAnsi="Times New Roman"/>
          <w:sz w:val="16"/>
          <w:szCs w:val="16"/>
        </w:rPr>
        <w:t>vernment of Kiribati Budget 2013</w:t>
      </w:r>
      <w:r w:rsidRPr="00362AFD">
        <w:rPr>
          <w:rFonts w:ascii="Times New Roman" w:hAnsi="Times New Roman"/>
          <w:sz w:val="16"/>
          <w:szCs w:val="16"/>
        </w:rPr>
        <w:t>.</w:t>
      </w:r>
      <w:proofErr w:type="gramEnd"/>
    </w:p>
  </w:footnote>
  <w:footnote w:id="30">
    <w:p w:rsidR="001F1AA2" w:rsidRPr="00F427A6" w:rsidRDefault="001F1AA2" w:rsidP="00695E6D">
      <w:pPr>
        <w:rPr>
          <w:sz w:val="16"/>
          <w:szCs w:val="16"/>
        </w:rPr>
      </w:pPr>
      <w:r w:rsidRPr="00F427A6">
        <w:rPr>
          <w:rStyle w:val="FootnoteReference"/>
          <w:szCs w:val="16"/>
        </w:rPr>
        <w:footnoteRef/>
      </w:r>
      <w:r w:rsidRPr="00F427A6">
        <w:rPr>
          <w:sz w:val="16"/>
          <w:szCs w:val="16"/>
        </w:rPr>
        <w:t xml:space="preserve"> Australia has strongly advocated that the Government of Kiribati agree to a hybrid approach </w:t>
      </w:r>
      <w:r>
        <w:rPr>
          <w:sz w:val="16"/>
          <w:szCs w:val="16"/>
        </w:rPr>
        <w:t>because</w:t>
      </w:r>
      <w:r w:rsidRPr="00F427A6">
        <w:rPr>
          <w:sz w:val="16"/>
          <w:szCs w:val="16"/>
        </w:rPr>
        <w:t xml:space="preserve"> it provide</w:t>
      </w:r>
      <w:r>
        <w:rPr>
          <w:sz w:val="16"/>
          <w:szCs w:val="16"/>
        </w:rPr>
        <w:t>s</w:t>
      </w:r>
      <w:r w:rsidRPr="00F427A6">
        <w:rPr>
          <w:sz w:val="16"/>
          <w:szCs w:val="16"/>
        </w:rPr>
        <w:t xml:space="preserve"> greater benefits for local communities, including ongoing maintenance revenue and more timely rehabilitation of schools</w:t>
      </w:r>
      <w:r>
        <w:rPr>
          <w:sz w:val="16"/>
          <w:szCs w:val="16"/>
        </w:rPr>
        <w:t xml:space="preserve">. </w:t>
      </w:r>
      <w:r w:rsidRPr="00F427A6">
        <w:rPr>
          <w:sz w:val="16"/>
          <w:szCs w:val="16"/>
        </w:rPr>
        <w:t>This approach is also consistent with the Kiribati Facilities Management Plan (2009) which limits permanent structures to urban centres.</w:t>
      </w:r>
    </w:p>
  </w:footnote>
  <w:footnote w:id="31">
    <w:p w:rsidR="001F1AA2" w:rsidRPr="00103AF7" w:rsidRDefault="001F1AA2" w:rsidP="00103AF7">
      <w:pPr>
        <w:pStyle w:val="CommentText"/>
        <w:rPr>
          <w:rFonts w:ascii="Times New Roman" w:hAnsi="Times New Roman"/>
          <w:sz w:val="16"/>
          <w:szCs w:val="16"/>
        </w:rPr>
      </w:pPr>
      <w:r>
        <w:rPr>
          <w:rStyle w:val="FootnoteReference"/>
        </w:rPr>
        <w:footnoteRef/>
      </w:r>
      <w:proofErr w:type="gramStart"/>
      <w:r w:rsidRPr="00103AF7">
        <w:rPr>
          <w:rFonts w:ascii="Times New Roman" w:hAnsi="Times New Roman"/>
          <w:sz w:val="16"/>
          <w:szCs w:val="16"/>
        </w:rPr>
        <w:t xml:space="preserve">Government of Kiribati Ministry of Education, </w:t>
      </w:r>
      <w:r w:rsidRPr="0024059A">
        <w:rPr>
          <w:rFonts w:ascii="Times New Roman" w:hAnsi="Times New Roman"/>
          <w:i/>
          <w:sz w:val="16"/>
          <w:szCs w:val="16"/>
        </w:rPr>
        <w:t>Kiribati English Language Program Eighth Quarterly Report</w:t>
      </w:r>
      <w:r>
        <w:rPr>
          <w:rFonts w:ascii="Times New Roman" w:hAnsi="Times New Roman"/>
          <w:i/>
          <w:sz w:val="16"/>
          <w:szCs w:val="16"/>
        </w:rPr>
        <w:t>,</w:t>
      </w:r>
      <w:r w:rsidRPr="0024059A">
        <w:rPr>
          <w:rFonts w:ascii="Times New Roman" w:hAnsi="Times New Roman"/>
          <w:i/>
          <w:sz w:val="16"/>
          <w:szCs w:val="16"/>
        </w:rPr>
        <w:t xml:space="preserve"> </w:t>
      </w:r>
      <w:r w:rsidRPr="009648AC">
        <w:rPr>
          <w:rFonts w:ascii="Times New Roman" w:hAnsi="Times New Roman"/>
          <w:sz w:val="16"/>
          <w:szCs w:val="16"/>
        </w:rPr>
        <w:t>2013.</w:t>
      </w:r>
      <w:proofErr w:type="gramEnd"/>
      <w:r w:rsidRPr="009648AC">
        <w:rPr>
          <w:rFonts w:ascii="Times New Roman" w:hAnsi="Times New Roman"/>
          <w:sz w:val="16"/>
          <w:szCs w:val="16"/>
        </w:rPr>
        <w:t xml:space="preserve"> </w:t>
      </w:r>
    </w:p>
  </w:footnote>
  <w:footnote w:id="32">
    <w:p w:rsidR="001F1AA2" w:rsidRPr="00B028A9" w:rsidRDefault="001F1AA2" w:rsidP="00695E6D">
      <w:pPr>
        <w:pStyle w:val="FootnoteText"/>
        <w:rPr>
          <w:b/>
          <w:szCs w:val="16"/>
        </w:rPr>
      </w:pPr>
      <w:r w:rsidRPr="00F427A6">
        <w:rPr>
          <w:rStyle w:val="FootnoteReference"/>
          <w:szCs w:val="16"/>
        </w:rPr>
        <w:footnoteRef/>
      </w:r>
      <w:r w:rsidRPr="00F427A6">
        <w:rPr>
          <w:szCs w:val="16"/>
        </w:rPr>
        <w:t xml:space="preserve"> </w:t>
      </w:r>
      <w:proofErr w:type="gramStart"/>
      <w:r w:rsidRPr="00F427A6">
        <w:rPr>
          <w:szCs w:val="16"/>
        </w:rPr>
        <w:t>Including</w:t>
      </w:r>
      <w:r w:rsidRPr="00F427A6">
        <w:rPr>
          <w:szCs w:val="16"/>
          <w:bdr w:val="none" w:sz="0" w:space="0" w:color="auto" w:frame="1"/>
          <w:lang w:val="en"/>
        </w:rPr>
        <w:t xml:space="preserve"> percentage of schools with mixed (male</w:t>
      </w:r>
      <w:r>
        <w:rPr>
          <w:szCs w:val="16"/>
          <w:bdr w:val="none" w:sz="0" w:space="0" w:color="auto" w:frame="1"/>
          <w:lang w:val="en"/>
        </w:rPr>
        <w:t xml:space="preserve"> and </w:t>
      </w:r>
      <w:r w:rsidRPr="00F427A6">
        <w:rPr>
          <w:szCs w:val="16"/>
          <w:bdr w:val="none" w:sz="0" w:space="0" w:color="auto" w:frame="1"/>
          <w:lang w:val="en"/>
        </w:rPr>
        <w:t xml:space="preserve">female) </w:t>
      </w:r>
      <w:r>
        <w:rPr>
          <w:szCs w:val="16"/>
          <w:bdr w:val="none" w:sz="0" w:space="0" w:color="auto" w:frame="1"/>
          <w:lang w:val="en"/>
        </w:rPr>
        <w:t>p</w:t>
      </w:r>
      <w:r w:rsidRPr="00F427A6">
        <w:rPr>
          <w:szCs w:val="16"/>
          <w:bdr w:val="none" w:sz="0" w:space="0" w:color="auto" w:frame="1"/>
          <w:lang w:val="en"/>
        </w:rPr>
        <w:t xml:space="preserve">arents </w:t>
      </w:r>
      <w:r>
        <w:rPr>
          <w:szCs w:val="16"/>
          <w:bdr w:val="none" w:sz="0" w:space="0" w:color="auto" w:frame="1"/>
          <w:lang w:val="en"/>
        </w:rPr>
        <w:t>c</w:t>
      </w:r>
      <w:r w:rsidRPr="00F427A6">
        <w:rPr>
          <w:szCs w:val="16"/>
          <w:bdr w:val="none" w:sz="0" w:space="0" w:color="auto" w:frame="1"/>
          <w:lang w:val="en"/>
        </w:rPr>
        <w:t>ommittee membership; percentage of schools accessible to stu</w:t>
      </w:r>
      <w:r w:rsidRPr="00262620">
        <w:rPr>
          <w:szCs w:val="16"/>
          <w:bdr w:val="none" w:sz="0" w:space="0" w:color="auto" w:frame="1"/>
          <w:lang w:val="en"/>
        </w:rPr>
        <w:t>dents with disability</w:t>
      </w:r>
      <w:r>
        <w:rPr>
          <w:szCs w:val="16"/>
          <w:bdr w:val="none" w:sz="0" w:space="0" w:color="auto" w:frame="1"/>
          <w:lang w:val="en"/>
        </w:rPr>
        <w:t>;</w:t>
      </w:r>
      <w:r w:rsidRPr="00262620">
        <w:rPr>
          <w:szCs w:val="16"/>
          <w:bdr w:val="none" w:sz="0" w:space="0" w:color="auto" w:frame="1"/>
          <w:lang w:val="en"/>
        </w:rPr>
        <w:t xml:space="preserve"> and percentage of children with disability accessing school.</w:t>
      </w:r>
      <w:proofErr w:type="gramEnd"/>
      <w:r w:rsidRPr="00262620">
        <w:rPr>
          <w:szCs w:val="16"/>
          <w:bdr w:val="none" w:sz="0" w:space="0" w:color="auto" w:frame="1"/>
          <w:lang w:val="en"/>
        </w:rPr>
        <w:t xml:space="preserve"> </w:t>
      </w:r>
    </w:p>
  </w:footnote>
  <w:footnote w:id="33">
    <w:p w:rsidR="001F1AA2" w:rsidRPr="006E7668" w:rsidRDefault="001F1AA2" w:rsidP="00D5456B">
      <w:pPr>
        <w:rPr>
          <w:rFonts w:eastAsia="Times New Roman"/>
          <w:color w:val="333333"/>
          <w:sz w:val="16"/>
          <w:szCs w:val="20"/>
        </w:rPr>
      </w:pPr>
      <w:r w:rsidRPr="006E7668">
        <w:rPr>
          <w:rStyle w:val="FootnoteReference"/>
          <w:szCs w:val="20"/>
        </w:rPr>
        <w:footnoteRef/>
      </w:r>
      <w:r w:rsidRPr="006E7668">
        <w:rPr>
          <w:sz w:val="16"/>
          <w:szCs w:val="20"/>
        </w:rPr>
        <w:t xml:space="preserve"> </w:t>
      </w:r>
      <w:r w:rsidRPr="006E7668">
        <w:rPr>
          <w:rFonts w:eastAsia="Times New Roman"/>
          <w:color w:val="333333"/>
          <w:sz w:val="16"/>
          <w:szCs w:val="20"/>
        </w:rPr>
        <w:t>The MLHRD</w:t>
      </w:r>
      <w:r>
        <w:rPr>
          <w:rFonts w:eastAsia="Times New Roman"/>
          <w:color w:val="333333"/>
          <w:sz w:val="16"/>
          <w:szCs w:val="20"/>
        </w:rPr>
        <w:t>’s Secretary</w:t>
      </w:r>
      <w:r w:rsidRPr="006E7668">
        <w:rPr>
          <w:rFonts w:eastAsia="Times New Roman"/>
          <w:color w:val="333333"/>
          <w:sz w:val="16"/>
          <w:szCs w:val="20"/>
        </w:rPr>
        <w:t xml:space="preserve"> is male, but half of </w:t>
      </w:r>
      <w:r>
        <w:rPr>
          <w:rFonts w:eastAsia="Times New Roman"/>
          <w:color w:val="333333"/>
          <w:sz w:val="16"/>
          <w:szCs w:val="20"/>
        </w:rPr>
        <w:t>its</w:t>
      </w:r>
      <w:r w:rsidRPr="006E7668">
        <w:rPr>
          <w:rFonts w:eastAsia="Times New Roman"/>
          <w:color w:val="333333"/>
          <w:sz w:val="16"/>
          <w:szCs w:val="20"/>
        </w:rPr>
        <w:t xml:space="preserve"> senior positions are </w:t>
      </w:r>
      <w:r>
        <w:rPr>
          <w:rFonts w:eastAsia="Times New Roman"/>
          <w:color w:val="333333"/>
          <w:sz w:val="16"/>
          <w:szCs w:val="20"/>
        </w:rPr>
        <w:t>held</w:t>
      </w:r>
      <w:r w:rsidRPr="006E7668">
        <w:rPr>
          <w:rFonts w:eastAsia="Times New Roman"/>
          <w:color w:val="333333"/>
          <w:sz w:val="16"/>
          <w:szCs w:val="20"/>
        </w:rPr>
        <w:t xml:space="preserve"> by women. At the Kiribati Institute of Technology, the acting Principal is male, but one Deputy Principal and two Heads of School are women. Young women are well represented on student representative groups and alumni.</w:t>
      </w:r>
    </w:p>
  </w:footnote>
  <w:footnote w:id="34">
    <w:p w:rsidR="001F1AA2" w:rsidRPr="006E7668" w:rsidRDefault="001F1AA2" w:rsidP="00695E6D">
      <w:pPr>
        <w:rPr>
          <w:rFonts w:eastAsia="Times New Roman"/>
          <w:sz w:val="16"/>
          <w:szCs w:val="16"/>
        </w:rPr>
      </w:pPr>
      <w:r w:rsidRPr="006E7668">
        <w:rPr>
          <w:rStyle w:val="FootnoteReference"/>
          <w:szCs w:val="16"/>
        </w:rPr>
        <w:footnoteRef/>
      </w:r>
      <w:r w:rsidRPr="006E7668">
        <w:rPr>
          <w:sz w:val="16"/>
          <w:szCs w:val="16"/>
        </w:rPr>
        <w:t xml:space="preserve"> </w:t>
      </w:r>
      <w:r w:rsidRPr="006E7668">
        <w:rPr>
          <w:rFonts w:eastAsia="Times New Roman"/>
          <w:sz w:val="16"/>
          <w:szCs w:val="16"/>
        </w:rPr>
        <w:t>The initiative originally included a second component involving upgrading nursing education in Kiribati. Th</w:t>
      </w:r>
      <w:r>
        <w:rPr>
          <w:rFonts w:eastAsia="Times New Roman"/>
          <w:sz w:val="16"/>
          <w:szCs w:val="16"/>
        </w:rPr>
        <w:t>is</w:t>
      </w:r>
      <w:r w:rsidRPr="006E7668">
        <w:rPr>
          <w:rFonts w:eastAsia="Times New Roman"/>
          <w:sz w:val="16"/>
          <w:szCs w:val="16"/>
        </w:rPr>
        <w:t xml:space="preserve"> component is being implemented through the bilateral health program and </w:t>
      </w:r>
      <w:r>
        <w:rPr>
          <w:rFonts w:eastAsia="Times New Roman"/>
          <w:sz w:val="16"/>
          <w:szCs w:val="16"/>
        </w:rPr>
        <w:t>focuses</w:t>
      </w:r>
      <w:r w:rsidRPr="006E7668">
        <w:rPr>
          <w:rFonts w:eastAsia="Times New Roman"/>
          <w:sz w:val="16"/>
          <w:szCs w:val="16"/>
        </w:rPr>
        <w:t xml:space="preserve"> solely on provi</w:t>
      </w:r>
      <w:r>
        <w:rPr>
          <w:rFonts w:eastAsia="Times New Roman"/>
          <w:sz w:val="16"/>
          <w:szCs w:val="16"/>
        </w:rPr>
        <w:t>ding</w:t>
      </w:r>
      <w:r w:rsidRPr="006E7668">
        <w:rPr>
          <w:rFonts w:eastAsia="Times New Roman"/>
          <w:sz w:val="16"/>
          <w:szCs w:val="16"/>
        </w:rPr>
        <w:t xml:space="preserve"> nursing</w:t>
      </w:r>
      <w:r>
        <w:rPr>
          <w:rFonts w:eastAsia="Times New Roman"/>
          <w:sz w:val="16"/>
          <w:szCs w:val="16"/>
        </w:rPr>
        <w:t>-</w:t>
      </w:r>
      <w:r w:rsidRPr="006E7668">
        <w:rPr>
          <w:rFonts w:eastAsia="Times New Roman"/>
          <w:sz w:val="16"/>
          <w:szCs w:val="16"/>
        </w:rPr>
        <w:t>sector scholarships.</w:t>
      </w:r>
    </w:p>
  </w:footnote>
  <w:footnote w:id="35">
    <w:p w:rsidR="001F1AA2" w:rsidRPr="006E7668" w:rsidRDefault="001F1AA2" w:rsidP="005155DB">
      <w:pPr>
        <w:pStyle w:val="FootnoteText"/>
        <w:rPr>
          <w:szCs w:val="16"/>
        </w:rPr>
      </w:pPr>
      <w:r w:rsidRPr="006E7668">
        <w:rPr>
          <w:rStyle w:val="FootnoteReference"/>
          <w:szCs w:val="16"/>
        </w:rPr>
        <w:footnoteRef/>
      </w:r>
      <w:r w:rsidRPr="006E7668">
        <w:rPr>
          <w:szCs w:val="16"/>
        </w:rPr>
        <w:t xml:space="preserve"> Sixteen students did not complete to Registered Nurse level but five of these exited with Dip</w:t>
      </w:r>
      <w:r>
        <w:rPr>
          <w:szCs w:val="16"/>
        </w:rPr>
        <w:t>l</w:t>
      </w:r>
      <w:r w:rsidRPr="006E7668">
        <w:rPr>
          <w:szCs w:val="16"/>
        </w:rPr>
        <w:t>omas of Nursing and another five with a Certificate III in Aged Care</w:t>
      </w:r>
      <w:r>
        <w:rPr>
          <w:szCs w:val="16"/>
        </w:rPr>
        <w:t xml:space="preserve">. </w:t>
      </w:r>
      <w:r w:rsidRPr="006E7668">
        <w:rPr>
          <w:szCs w:val="16"/>
        </w:rPr>
        <w:t xml:space="preserve">Only six students exited with no qualification. </w:t>
      </w:r>
    </w:p>
  </w:footnote>
  <w:footnote w:id="36">
    <w:p w:rsidR="001F1AA2" w:rsidRDefault="001F1AA2">
      <w:pPr>
        <w:pStyle w:val="FootnoteText"/>
      </w:pPr>
      <w:r>
        <w:rPr>
          <w:rStyle w:val="FootnoteReference"/>
        </w:rPr>
        <w:footnoteRef/>
      </w:r>
      <w:r>
        <w:t xml:space="preserve"> </w:t>
      </w:r>
      <w:r>
        <w:rPr>
          <w:szCs w:val="16"/>
        </w:rPr>
        <w:t>T</w:t>
      </w:r>
      <w:r w:rsidRPr="006E7668">
        <w:rPr>
          <w:szCs w:val="16"/>
        </w:rPr>
        <w:t>hree full-time as Registered Nurses in Australia or New Zealand; and nine part-time in the aged care sector</w:t>
      </w:r>
      <w:r>
        <w:rPr>
          <w:szCs w:val="16"/>
        </w:rPr>
        <w:t>. Note: two students had been employed in Kiribati’s domestic health sector.</w:t>
      </w:r>
    </w:p>
  </w:footnote>
  <w:footnote w:id="37">
    <w:p w:rsidR="001F1AA2" w:rsidRPr="006E7668" w:rsidRDefault="001F1AA2" w:rsidP="006E7668">
      <w:pPr>
        <w:pStyle w:val="FootnoteText"/>
        <w:rPr>
          <w:szCs w:val="16"/>
        </w:rPr>
      </w:pPr>
      <w:r w:rsidRPr="006E7668">
        <w:rPr>
          <w:rStyle w:val="FootnoteReference"/>
          <w:szCs w:val="16"/>
        </w:rPr>
        <w:footnoteRef/>
      </w:r>
      <w:r w:rsidRPr="006E7668">
        <w:rPr>
          <w:szCs w:val="16"/>
        </w:rPr>
        <w:t xml:space="preserve"> This is a result of major cutbacks to public sector health services and it contrasts with the Australia</w:t>
      </w:r>
      <w:r w:rsidRPr="006E7668">
        <w:rPr>
          <w:szCs w:val="16"/>
        </w:rPr>
        <w:noBreakHyphen/>
        <w:t>wide and global nursing shortage.</w:t>
      </w:r>
    </w:p>
  </w:footnote>
  <w:footnote w:id="38">
    <w:p w:rsidR="001F1AA2" w:rsidRPr="00276248" w:rsidRDefault="001F1AA2" w:rsidP="00695E6D">
      <w:pPr>
        <w:pStyle w:val="FootnoteText"/>
        <w:rPr>
          <w:szCs w:val="16"/>
        </w:rPr>
      </w:pPr>
      <w:r w:rsidRPr="006E7668">
        <w:rPr>
          <w:rStyle w:val="FootnoteReference"/>
          <w:szCs w:val="16"/>
        </w:rPr>
        <w:footnoteRef/>
      </w:r>
      <w:r w:rsidRPr="006E7668">
        <w:rPr>
          <w:szCs w:val="16"/>
        </w:rPr>
        <w:t xml:space="preserve"> This has meant that some students have required extra time and tuition to reach the required </w:t>
      </w:r>
      <w:r w:rsidRPr="00276248">
        <w:rPr>
          <w:szCs w:val="16"/>
        </w:rPr>
        <w:t>level.</w:t>
      </w:r>
    </w:p>
  </w:footnote>
  <w:footnote w:id="39">
    <w:p w:rsidR="001F1AA2" w:rsidRPr="00276248" w:rsidRDefault="001F1AA2" w:rsidP="00695E6D">
      <w:pPr>
        <w:rPr>
          <w:sz w:val="16"/>
          <w:szCs w:val="16"/>
        </w:rPr>
      </w:pPr>
      <w:r w:rsidRPr="00276248">
        <w:rPr>
          <w:rStyle w:val="FootnoteReference"/>
          <w:szCs w:val="16"/>
        </w:rPr>
        <w:footnoteRef/>
      </w:r>
      <w:r w:rsidRPr="00276248">
        <w:rPr>
          <w:sz w:val="16"/>
          <w:szCs w:val="16"/>
        </w:rPr>
        <w:t xml:space="preserve"> The review found that increasing numbers of </w:t>
      </w:r>
      <w:r w:rsidRPr="00276248">
        <w:rPr>
          <w:rFonts w:cs="Arial"/>
          <w:sz w:val="16"/>
          <w:szCs w:val="16"/>
        </w:rPr>
        <w:t xml:space="preserve">males were </w:t>
      </w:r>
      <w:r w:rsidRPr="006D6134">
        <w:rPr>
          <w:rFonts w:cs="Arial"/>
          <w:sz w:val="16"/>
          <w:szCs w:val="16"/>
        </w:rPr>
        <w:t>participating in the program (3 or 11 per cent in the first cohort; 7 or 21 per cent</w:t>
      </w:r>
      <w:r>
        <w:rPr>
          <w:rFonts w:cs="Arial"/>
          <w:sz w:val="16"/>
          <w:szCs w:val="16"/>
        </w:rPr>
        <w:t xml:space="preserve"> in the second cohort</w:t>
      </w:r>
      <w:r w:rsidRPr="006D6134">
        <w:rPr>
          <w:rFonts w:cs="Arial"/>
          <w:sz w:val="16"/>
          <w:szCs w:val="16"/>
        </w:rPr>
        <w:t>; and 9 or 35 per cent in the third cohort). Given the lack of education</w:t>
      </w:r>
      <w:r w:rsidRPr="00276248">
        <w:rPr>
          <w:rFonts w:cs="Arial"/>
          <w:sz w:val="16"/>
          <w:szCs w:val="16"/>
        </w:rPr>
        <w:t xml:space="preserve"> and employment opportunities in Kiribati for females, the review recommended that if the program continues, consideration be given to maintaining male student numbers at the same ratio as male to female nurses in Australia (10 per cent).</w:t>
      </w:r>
      <w:r w:rsidRPr="00876ABA">
        <w:rPr>
          <w:sz w:val="22"/>
          <w:szCs w:val="22"/>
        </w:rPr>
        <w:t xml:space="preserve"> </w:t>
      </w:r>
    </w:p>
  </w:footnote>
  <w:footnote w:id="40">
    <w:p w:rsidR="001F1AA2" w:rsidRPr="004F0E05" w:rsidRDefault="001F1AA2" w:rsidP="004F0E05">
      <w:pPr>
        <w:rPr>
          <w:sz w:val="16"/>
          <w:szCs w:val="16"/>
        </w:rPr>
      </w:pPr>
      <w:r>
        <w:rPr>
          <w:rStyle w:val="FootnoteReference"/>
        </w:rPr>
        <w:footnoteRef/>
      </w:r>
      <w:r>
        <w:t xml:space="preserve"> </w:t>
      </w:r>
      <w:r w:rsidRPr="004F0E05">
        <w:rPr>
          <w:sz w:val="16"/>
          <w:szCs w:val="16"/>
        </w:rPr>
        <w:t xml:space="preserve">Only about 13 per cent of workers across the Pacific and Timor-Leste </w:t>
      </w:r>
      <w:r>
        <w:rPr>
          <w:sz w:val="16"/>
          <w:szCs w:val="16"/>
        </w:rPr>
        <w:t>who</w:t>
      </w:r>
      <w:r w:rsidRPr="004F0E05">
        <w:rPr>
          <w:sz w:val="16"/>
          <w:szCs w:val="16"/>
        </w:rPr>
        <w:t xml:space="preserve"> participated in the </w:t>
      </w:r>
      <w:r>
        <w:rPr>
          <w:sz w:val="16"/>
          <w:szCs w:val="16"/>
        </w:rPr>
        <w:t>program</w:t>
      </w:r>
      <w:r w:rsidRPr="004F0E05">
        <w:rPr>
          <w:sz w:val="16"/>
          <w:szCs w:val="16"/>
        </w:rPr>
        <w:t xml:space="preserve"> </w:t>
      </w:r>
      <w:r>
        <w:rPr>
          <w:sz w:val="16"/>
          <w:szCs w:val="16"/>
        </w:rPr>
        <w:t>were</w:t>
      </w:r>
      <w:r w:rsidRPr="004F0E05">
        <w:rPr>
          <w:sz w:val="16"/>
          <w:szCs w:val="16"/>
        </w:rPr>
        <w:t xml:space="preserve"> female</w:t>
      </w:r>
      <w:r>
        <w:rPr>
          <w:sz w:val="16"/>
          <w:szCs w:val="16"/>
        </w:rPr>
        <w:t>. R</w:t>
      </w:r>
      <w:r w:rsidRPr="004F0E05">
        <w:rPr>
          <w:sz w:val="16"/>
          <w:szCs w:val="16"/>
        </w:rPr>
        <w:t>ecruitment of workers</w:t>
      </w:r>
      <w:r>
        <w:rPr>
          <w:sz w:val="16"/>
          <w:szCs w:val="16"/>
        </w:rPr>
        <w:t xml:space="preserve"> under the initiative</w:t>
      </w:r>
      <w:r w:rsidRPr="004F0E05">
        <w:rPr>
          <w:sz w:val="16"/>
          <w:szCs w:val="16"/>
        </w:rPr>
        <w:t xml:space="preserve"> </w:t>
      </w:r>
      <w:r>
        <w:rPr>
          <w:sz w:val="16"/>
          <w:szCs w:val="16"/>
        </w:rPr>
        <w:t>is</w:t>
      </w:r>
      <w:r w:rsidRPr="004F0E05">
        <w:rPr>
          <w:sz w:val="16"/>
          <w:szCs w:val="16"/>
        </w:rPr>
        <w:t xml:space="preserve"> demand-led by employers</w:t>
      </w:r>
      <w:r>
        <w:rPr>
          <w:sz w:val="16"/>
          <w:szCs w:val="16"/>
        </w:rPr>
        <w:t xml:space="preserve">. A barrier to female participation could potentially be the perception by employers that </w:t>
      </w:r>
      <w:r w:rsidRPr="004F0E05">
        <w:rPr>
          <w:sz w:val="16"/>
          <w:szCs w:val="16"/>
        </w:rPr>
        <w:t>males are better</w:t>
      </w:r>
      <w:r>
        <w:rPr>
          <w:sz w:val="16"/>
          <w:szCs w:val="16"/>
        </w:rPr>
        <w:t xml:space="preserve"> </w:t>
      </w:r>
      <w:r w:rsidRPr="004F0E05">
        <w:rPr>
          <w:sz w:val="16"/>
          <w:szCs w:val="16"/>
        </w:rPr>
        <w:t>suited to the work required.</w:t>
      </w:r>
    </w:p>
    <w:p w:rsidR="001F1AA2" w:rsidRDefault="001F1AA2" w:rsidP="004F0E05"/>
  </w:footnote>
  <w:footnote w:id="41">
    <w:p w:rsidR="001F1AA2" w:rsidRPr="00103AF7" w:rsidRDefault="001F1AA2" w:rsidP="00103AF7">
      <w:pPr>
        <w:pStyle w:val="Heading1"/>
        <w:spacing w:line="360" w:lineRule="auto"/>
        <w:rPr>
          <w:rFonts w:ascii="Times New Roman" w:hAnsi="Times New Roman" w:cs="Times New Roman"/>
          <w:sz w:val="16"/>
          <w:szCs w:val="16"/>
        </w:rPr>
      </w:pPr>
      <w:r w:rsidRPr="00D23312">
        <w:rPr>
          <w:rStyle w:val="FootnoteReference"/>
          <w:color w:val="auto"/>
        </w:rPr>
        <w:footnoteRef/>
      </w:r>
      <w:r w:rsidRPr="00D23312">
        <w:rPr>
          <w:rStyle w:val="FootnoteReference"/>
          <w:color w:val="auto"/>
        </w:rPr>
        <w:t xml:space="preserve"> </w:t>
      </w:r>
      <w:r w:rsidRPr="00103AF7">
        <w:rPr>
          <w:rFonts w:ascii="Times New Roman" w:hAnsi="Times New Roman" w:cs="Times New Roman"/>
          <w:color w:val="auto"/>
          <w:kern w:val="0"/>
          <w:sz w:val="16"/>
          <w:szCs w:val="16"/>
        </w:rPr>
        <w:t xml:space="preserve">AusAID, </w:t>
      </w:r>
      <w:r w:rsidRPr="00103AF7">
        <w:rPr>
          <w:rFonts w:ascii="Times New Roman" w:hAnsi="Times New Roman" w:cs="Times New Roman"/>
          <w:i/>
          <w:color w:val="auto"/>
          <w:kern w:val="0"/>
          <w:sz w:val="16"/>
          <w:szCs w:val="16"/>
        </w:rPr>
        <w:t>Accessibility Design Guide: Universal design principles for Australia’s aid program</w:t>
      </w:r>
      <w:r w:rsidRPr="00103AF7">
        <w:rPr>
          <w:rFonts w:ascii="Times New Roman" w:hAnsi="Times New Roman" w:cs="Times New Roman"/>
          <w:color w:val="auto"/>
          <w:kern w:val="0"/>
          <w:sz w:val="16"/>
          <w:szCs w:val="16"/>
        </w:rPr>
        <w:t xml:space="preserve">, </w:t>
      </w:r>
      <w:r>
        <w:rPr>
          <w:rFonts w:ascii="Times New Roman" w:hAnsi="Times New Roman" w:cs="Times New Roman"/>
          <w:color w:val="auto"/>
          <w:kern w:val="0"/>
          <w:sz w:val="16"/>
          <w:szCs w:val="16"/>
        </w:rPr>
        <w:t>2013</w:t>
      </w:r>
      <w:r w:rsidRPr="00103AF7">
        <w:rPr>
          <w:rFonts w:ascii="Times New Roman" w:hAnsi="Times New Roman" w:cs="Times New Roman"/>
          <w:color w:val="auto"/>
          <w:kern w:val="0"/>
          <w:sz w:val="16"/>
          <w:szCs w:val="16"/>
        </w:rPr>
        <w:t>.</w:t>
      </w:r>
    </w:p>
    <w:p w:rsidR="001F1AA2" w:rsidRPr="00637735" w:rsidRDefault="001F1AA2">
      <w:pPr>
        <w:pStyle w:val="FootnoteText"/>
        <w:rPr>
          <w:lang w:val="en-US"/>
        </w:rPr>
      </w:pPr>
    </w:p>
  </w:footnote>
  <w:footnote w:id="42">
    <w:p w:rsidR="001F1AA2" w:rsidRDefault="001F1AA2" w:rsidP="00695E6D">
      <w:pPr>
        <w:pStyle w:val="FootnoteText"/>
      </w:pPr>
      <w:r w:rsidRPr="00276248">
        <w:rPr>
          <w:rStyle w:val="FootnoteReference"/>
          <w:szCs w:val="16"/>
        </w:rPr>
        <w:footnoteRef/>
      </w:r>
      <w:r w:rsidRPr="00276248">
        <w:rPr>
          <w:szCs w:val="16"/>
        </w:rPr>
        <w:t xml:space="preserve"> </w:t>
      </w:r>
      <w:proofErr w:type="gramStart"/>
      <w:r w:rsidRPr="00276248">
        <w:rPr>
          <w:szCs w:val="16"/>
        </w:rPr>
        <w:t>From ‘3</w:t>
      </w:r>
      <w:r>
        <w:rPr>
          <w:szCs w:val="16"/>
        </w:rPr>
        <w:t>—</w:t>
      </w:r>
      <w:r w:rsidRPr="00276248">
        <w:rPr>
          <w:szCs w:val="16"/>
        </w:rPr>
        <w:t>Less than adequate’ in 2011 to ‘4</w:t>
      </w:r>
      <w:r>
        <w:rPr>
          <w:szCs w:val="16"/>
        </w:rPr>
        <w:t>—</w:t>
      </w:r>
      <w:r w:rsidRPr="00276248">
        <w:rPr>
          <w:szCs w:val="16"/>
        </w:rPr>
        <w:t>Adequate’ in 2012.</w:t>
      </w:r>
      <w:proofErr w:type="gramEnd"/>
      <w:r w:rsidRPr="00276248">
        <w:rPr>
          <w:szCs w:val="16"/>
        </w:rPr>
        <w:t xml:space="preserve"> </w:t>
      </w:r>
    </w:p>
  </w:footnote>
  <w:footnote w:id="43">
    <w:p w:rsidR="00932B26" w:rsidRDefault="00932B26">
      <w:pPr>
        <w:pStyle w:val="FootnoteText"/>
      </w:pPr>
      <w:r w:rsidRPr="00932B26">
        <w:rPr>
          <w:rStyle w:val="FootnoteReference"/>
          <w:sz w:val="12"/>
        </w:rPr>
        <w:footnoteRef/>
      </w:r>
      <w:r w:rsidRPr="00932B26">
        <w:rPr>
          <w:sz w:val="12"/>
          <w:szCs w:val="12"/>
        </w:rPr>
        <w:t xml:space="preserve"> </w:t>
      </w:r>
      <w:r>
        <w:t>Prior to 2012-13 Aid Program Performance Reports were called Annual Program Performance Reports</w:t>
      </w:r>
    </w:p>
  </w:footnote>
  <w:footnote w:id="44">
    <w:p w:rsidR="001F1AA2" w:rsidRPr="00841C20" w:rsidRDefault="001F1AA2" w:rsidP="00695E6D">
      <w:pPr>
        <w:pStyle w:val="FootnoteText"/>
        <w:rPr>
          <w:szCs w:val="16"/>
        </w:rPr>
      </w:pPr>
      <w:r w:rsidRPr="00B86A12">
        <w:rPr>
          <w:rStyle w:val="FootnoteReference"/>
        </w:rPr>
        <w:footnoteRef/>
      </w:r>
      <w:r w:rsidRPr="00B86A12">
        <w:rPr>
          <w:rStyle w:val="FootnoteReference"/>
        </w:rPr>
        <w:t xml:space="preserve"> </w:t>
      </w:r>
      <w:r w:rsidRPr="00B86A12">
        <w:t>‘Completed’ means the final version of the report has been received.</w:t>
      </w:r>
    </w:p>
  </w:footnote>
  <w:footnote w:id="45">
    <w:p w:rsidR="001F1AA2" w:rsidRPr="00841C20" w:rsidRDefault="001F1AA2" w:rsidP="00695E6D">
      <w:pPr>
        <w:pStyle w:val="FootnoteText"/>
        <w:rPr>
          <w:szCs w:val="16"/>
        </w:rPr>
      </w:pPr>
      <w:r w:rsidRPr="00841C20">
        <w:rPr>
          <w:rStyle w:val="FootnoteReference"/>
          <w:szCs w:val="16"/>
        </w:rPr>
        <w:footnoteRef/>
      </w:r>
      <w:r w:rsidRPr="00841C20">
        <w:rPr>
          <w:szCs w:val="16"/>
        </w:rPr>
        <w:t xml:space="preserve"> </w:t>
      </w:r>
      <w:proofErr w:type="gramStart"/>
      <w:r w:rsidRPr="00B86A12">
        <w:t>Mid-term review, Completion report, partner-led evaluation, joint evaluation.</w:t>
      </w:r>
      <w:proofErr w:type="gramEnd"/>
    </w:p>
  </w:footnote>
  <w:footnote w:id="46">
    <w:p w:rsidR="001F1AA2" w:rsidRPr="00551C11" w:rsidRDefault="001F1AA2" w:rsidP="00695E6D">
      <w:pPr>
        <w:pStyle w:val="FootnoteText"/>
      </w:pPr>
      <w:r w:rsidRPr="00841C20">
        <w:rPr>
          <w:rStyle w:val="FootnoteReference"/>
          <w:szCs w:val="16"/>
        </w:rPr>
        <w:footnoteRef/>
      </w:r>
      <w:r w:rsidRPr="00841C20">
        <w:rPr>
          <w:szCs w:val="16"/>
        </w:rPr>
        <w:t xml:space="preserve"> </w:t>
      </w:r>
      <w:r w:rsidRPr="00B86A12">
        <w:t>To inform a future phase of program, improve existing program; verify program outcomes.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Default="001F1AA2"/>
  <w:p w:rsidR="001F1AA2" w:rsidRDefault="001F1AA2">
    <w:r>
      <w:rPr>
        <w:noProof/>
      </w:rPr>
      <w:drawing>
        <wp:anchor distT="0" distB="0" distL="114300" distR="114300" simplePos="0" relativeHeight="251709440" behindDoc="0" locked="0" layoutInCell="1" allowOverlap="1" wp14:anchorId="07761F97" wp14:editId="59A6A198">
          <wp:simplePos x="0" y="0"/>
          <wp:positionH relativeFrom="page">
            <wp:align>left</wp:align>
          </wp:positionH>
          <wp:positionV relativeFrom="page">
            <wp:align>top</wp:align>
          </wp:positionV>
          <wp:extent cx="7560000" cy="1440000"/>
          <wp:effectExtent l="0" t="0" r="3175" b="825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rsidR="001F1AA2" w:rsidRDefault="001F1AA2"/>
  <w:p w:rsidR="001F1AA2" w:rsidRDefault="001F1A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Default="001F1AA2"/>
  <w:p w:rsidR="001F1AA2" w:rsidRDefault="001F1AA2">
    <w:r>
      <w:rPr>
        <w:noProof/>
      </w:rPr>
      <w:drawing>
        <wp:anchor distT="0" distB="0" distL="114300" distR="114300" simplePos="0" relativeHeight="251725824" behindDoc="0" locked="0" layoutInCell="1" allowOverlap="1" wp14:anchorId="31F3EEA1" wp14:editId="76165773">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p w:rsidR="001F1AA2" w:rsidRDefault="001F1AA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Default="001F1AA2"/>
  <w:p w:rsidR="001F1AA2" w:rsidRDefault="001F1AA2"/>
  <w:p w:rsidR="001F1AA2" w:rsidRDefault="001F1AA2"/>
  <w:p w:rsidR="001F1AA2" w:rsidRDefault="001F1AA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Default="001F1AA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Default="001F1AA2"/>
  <w:p w:rsidR="001F1AA2" w:rsidRDefault="001F1AA2"/>
  <w:p w:rsidR="001F1AA2" w:rsidRDefault="001F1AA2"/>
  <w:p w:rsidR="001F1AA2" w:rsidRDefault="001F1AA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Default="001F1AA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Default="001F1AA2">
    <w:r>
      <w:rPr>
        <w:noProof/>
      </w:rPr>
      <w:drawing>
        <wp:anchor distT="0" distB="0" distL="114300" distR="114300" simplePos="0" relativeHeight="251711488" behindDoc="0" locked="0" layoutInCell="1" allowOverlap="1" wp14:anchorId="6A1DB8EA" wp14:editId="114BCD7D">
          <wp:simplePos x="0" y="0"/>
          <wp:positionH relativeFrom="page">
            <wp:align>left</wp:align>
          </wp:positionH>
          <wp:positionV relativeFrom="page">
            <wp:align>top</wp:align>
          </wp:positionV>
          <wp:extent cx="7560000" cy="1440000"/>
          <wp:effectExtent l="0" t="0" r="3175"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rsidR="001F1AA2" w:rsidRDefault="001F1AA2"/>
  <w:p w:rsidR="001F1AA2" w:rsidRDefault="001F1AA2"/>
  <w:p w:rsidR="001F1AA2" w:rsidRDefault="001F1A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A2" w:rsidRDefault="001F1A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0706C8A"/>
    <w:multiLevelType w:val="hybridMultilevel"/>
    <w:tmpl w:val="64D8119E"/>
    <w:lvl w:ilvl="0" w:tplc="0C090001">
      <w:start w:val="1"/>
      <w:numFmt w:val="bullet"/>
      <w:lvlText w:val=""/>
      <w:lvlJc w:val="left"/>
      <w:pPr>
        <w:tabs>
          <w:tab w:val="num" w:pos="1080"/>
        </w:tabs>
        <w:ind w:left="1080" w:hanging="360"/>
      </w:pPr>
      <w:rPr>
        <w:rFonts w:ascii="Symbol" w:hAnsi="Symbol" w:hint="default"/>
      </w:rPr>
    </w:lvl>
    <w:lvl w:ilvl="1" w:tplc="49D27CA0">
      <w:start w:val="1"/>
      <w:numFmt w:val="bullet"/>
      <w:lvlText w:val="­"/>
      <w:lvlJc w:val="left"/>
      <w:pPr>
        <w:tabs>
          <w:tab w:val="num" w:pos="1800"/>
        </w:tabs>
        <w:ind w:left="1800" w:hanging="360"/>
      </w:pPr>
      <w:rPr>
        <w:rFonts w:ascii="Courier New" w:hAnsi="Courier New" w:cs="Times New Roman" w:hint="default"/>
        <w:color w:val="auto"/>
      </w:rPr>
    </w:lvl>
    <w:lvl w:ilvl="2" w:tplc="C6AAF9F0">
      <w:start w:val="1"/>
      <w:numFmt w:val="bullet"/>
      <w:lvlText w:val=":"/>
      <w:lvlJc w:val="left"/>
      <w:pPr>
        <w:tabs>
          <w:tab w:val="num" w:pos="2614"/>
        </w:tabs>
        <w:ind w:left="2614" w:hanging="454"/>
      </w:pPr>
      <w:rPr>
        <w:rFonts w:ascii="Courier New" w:hAnsi="Courier New" w:cs="Times New Roman"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
    <w:nsid w:val="014E3FC8"/>
    <w:multiLevelType w:val="hybridMultilevel"/>
    <w:tmpl w:val="962483AE"/>
    <w:lvl w:ilvl="0" w:tplc="B37661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581112"/>
    <w:multiLevelType w:val="hybridMultilevel"/>
    <w:tmpl w:val="25BAA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D8305C6"/>
    <w:multiLevelType w:val="hybridMultilevel"/>
    <w:tmpl w:val="407E6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176735"/>
    <w:multiLevelType w:val="hybridMultilevel"/>
    <w:tmpl w:val="33C6A4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B053659"/>
    <w:multiLevelType w:val="hybridMultilevel"/>
    <w:tmpl w:val="475AB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1">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2">
    <w:nsid w:val="210315F2"/>
    <w:multiLevelType w:val="hybridMultilevel"/>
    <w:tmpl w:val="563A6D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72C0A6C"/>
    <w:multiLevelType w:val="hybridMultilevel"/>
    <w:tmpl w:val="E7FC5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27E82F7B"/>
    <w:multiLevelType w:val="hybridMultilevel"/>
    <w:tmpl w:val="8684188A"/>
    <w:lvl w:ilvl="0" w:tplc="49D27CA0">
      <w:start w:val="1"/>
      <w:numFmt w:val="bullet"/>
      <w:lvlText w:val="­"/>
      <w:lvlJc w:val="left"/>
      <w:pPr>
        <w:ind w:left="720" w:hanging="360"/>
      </w:pPr>
      <w:rPr>
        <w:rFonts w:ascii="Courier New" w:hAnsi="Courier New"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813E1F"/>
    <w:multiLevelType w:val="hybridMultilevel"/>
    <w:tmpl w:val="89805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A8C484E"/>
    <w:multiLevelType w:val="hybridMultilevel"/>
    <w:tmpl w:val="2EA24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E8A3F63"/>
    <w:multiLevelType w:val="hybridMultilevel"/>
    <w:tmpl w:val="EF3EAC44"/>
    <w:lvl w:ilvl="0" w:tplc="416059B2">
      <w:numFmt w:val="bullet"/>
      <w:lvlText w:val="-"/>
      <w:lvlJc w:val="left"/>
      <w:pPr>
        <w:ind w:left="720" w:hanging="360"/>
      </w:pPr>
      <w:rPr>
        <w:rFonts w:ascii="Georgia" w:eastAsia="Times New Roman"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F4144CC"/>
    <w:multiLevelType w:val="hybridMultilevel"/>
    <w:tmpl w:val="DB60A964"/>
    <w:lvl w:ilvl="0" w:tplc="9118B95E">
      <w:start w:val="2"/>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3C1C6C50">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92520F7"/>
    <w:multiLevelType w:val="hybridMultilevel"/>
    <w:tmpl w:val="ECF4E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7CB2CA0"/>
    <w:multiLevelType w:val="hybridMultilevel"/>
    <w:tmpl w:val="712E5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1">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DEA506C"/>
    <w:multiLevelType w:val="hybridMultilevel"/>
    <w:tmpl w:val="EDF0D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0"/>
  </w:num>
  <w:num w:numId="3">
    <w:abstractNumId w:val="10"/>
  </w:num>
  <w:num w:numId="4">
    <w:abstractNumId w:val="26"/>
  </w:num>
  <w:num w:numId="5">
    <w:abstractNumId w:val="8"/>
  </w:num>
  <w:num w:numId="6">
    <w:abstractNumId w:val="24"/>
  </w:num>
  <w:num w:numId="7">
    <w:abstractNumId w:val="20"/>
  </w:num>
  <w:num w:numId="8">
    <w:abstractNumId w:val="17"/>
  </w:num>
  <w:num w:numId="9">
    <w:abstractNumId w:val="28"/>
  </w:num>
  <w:num w:numId="10">
    <w:abstractNumId w:val="7"/>
  </w:num>
  <w:num w:numId="11">
    <w:abstractNumId w:val="23"/>
  </w:num>
  <w:num w:numId="12">
    <w:abstractNumId w:val="31"/>
  </w:num>
  <w:num w:numId="13">
    <w:abstractNumId w:val="11"/>
  </w:num>
  <w:num w:numId="14">
    <w:abstractNumId w:val="32"/>
  </w:num>
  <w:num w:numId="15">
    <w:abstractNumId w:val="34"/>
  </w:num>
  <w:num w:numId="16">
    <w:abstractNumId w:val="16"/>
  </w:num>
  <w:num w:numId="17">
    <w:abstractNumId w:val="0"/>
  </w:num>
  <w:num w:numId="18">
    <w:abstractNumId w:val="3"/>
  </w:num>
  <w:num w:numId="19">
    <w:abstractNumId w:val="1"/>
  </w:num>
  <w:num w:numId="20">
    <w:abstractNumId w:val="12"/>
  </w:num>
  <w:num w:numId="21">
    <w:abstractNumId w:val="21"/>
  </w:num>
  <w:num w:numId="22">
    <w:abstractNumId w:val="19"/>
  </w:num>
  <w:num w:numId="23">
    <w:abstractNumId w:val="5"/>
  </w:num>
  <w:num w:numId="24">
    <w:abstractNumId w:val="13"/>
  </w:num>
  <w:num w:numId="25">
    <w:abstractNumId w:val="15"/>
  </w:num>
  <w:num w:numId="26">
    <w:abstractNumId w:val="9"/>
  </w:num>
  <w:num w:numId="27">
    <w:abstractNumId w:val="29"/>
  </w:num>
  <w:num w:numId="28">
    <w:abstractNumId w:val="4"/>
  </w:num>
  <w:num w:numId="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8"/>
  </w:num>
  <w:num w:numId="32">
    <w:abstractNumId w:val="6"/>
  </w:num>
  <w:num w:numId="33">
    <w:abstractNumId w:val="10"/>
  </w:num>
  <w:num w:numId="34">
    <w:abstractNumId w:val="10"/>
  </w:num>
  <w:num w:numId="35">
    <w:abstractNumId w:val="25"/>
  </w:num>
  <w:num w:numId="36">
    <w:abstractNumId w:val="33"/>
  </w:num>
  <w:num w:numId="37">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1B8C"/>
    <w:rsid w:val="000039CF"/>
    <w:rsid w:val="00004B03"/>
    <w:rsid w:val="000143D9"/>
    <w:rsid w:val="000178A3"/>
    <w:rsid w:val="00020121"/>
    <w:rsid w:val="00021A9E"/>
    <w:rsid w:val="00027887"/>
    <w:rsid w:val="00030111"/>
    <w:rsid w:val="00031100"/>
    <w:rsid w:val="000350CA"/>
    <w:rsid w:val="00037AAF"/>
    <w:rsid w:val="0004281C"/>
    <w:rsid w:val="000455E9"/>
    <w:rsid w:val="00053BE9"/>
    <w:rsid w:val="000568E5"/>
    <w:rsid w:val="00060FD6"/>
    <w:rsid w:val="00061E4C"/>
    <w:rsid w:val="00062FB9"/>
    <w:rsid w:val="00063E2B"/>
    <w:rsid w:val="00071B95"/>
    <w:rsid w:val="00074267"/>
    <w:rsid w:val="000742D9"/>
    <w:rsid w:val="000745E2"/>
    <w:rsid w:val="000759B9"/>
    <w:rsid w:val="0007683F"/>
    <w:rsid w:val="00076988"/>
    <w:rsid w:val="000774FD"/>
    <w:rsid w:val="0008688E"/>
    <w:rsid w:val="0009037C"/>
    <w:rsid w:val="00091898"/>
    <w:rsid w:val="00093E65"/>
    <w:rsid w:val="00096001"/>
    <w:rsid w:val="000979A0"/>
    <w:rsid w:val="000A1618"/>
    <w:rsid w:val="000A18C2"/>
    <w:rsid w:val="000A2952"/>
    <w:rsid w:val="000A4E43"/>
    <w:rsid w:val="000B3121"/>
    <w:rsid w:val="000B3C80"/>
    <w:rsid w:val="000C29BF"/>
    <w:rsid w:val="000C41EE"/>
    <w:rsid w:val="000C6080"/>
    <w:rsid w:val="000C60A8"/>
    <w:rsid w:val="000D1001"/>
    <w:rsid w:val="000D3D95"/>
    <w:rsid w:val="000E1043"/>
    <w:rsid w:val="000E3955"/>
    <w:rsid w:val="000E4B7E"/>
    <w:rsid w:val="000E7297"/>
    <w:rsid w:val="000F2679"/>
    <w:rsid w:val="001003FB"/>
    <w:rsid w:val="00100AA2"/>
    <w:rsid w:val="001015DA"/>
    <w:rsid w:val="00103AF7"/>
    <w:rsid w:val="00112E97"/>
    <w:rsid w:val="00113F6F"/>
    <w:rsid w:val="00115E44"/>
    <w:rsid w:val="00120FC7"/>
    <w:rsid w:val="00132D42"/>
    <w:rsid w:val="00134E95"/>
    <w:rsid w:val="001366B4"/>
    <w:rsid w:val="00137332"/>
    <w:rsid w:val="00141A30"/>
    <w:rsid w:val="0014411B"/>
    <w:rsid w:val="00147CB3"/>
    <w:rsid w:val="00150ABB"/>
    <w:rsid w:val="001612CE"/>
    <w:rsid w:val="0016544D"/>
    <w:rsid w:val="00171694"/>
    <w:rsid w:val="001729B5"/>
    <w:rsid w:val="00173C6E"/>
    <w:rsid w:val="001806CE"/>
    <w:rsid w:val="00180B19"/>
    <w:rsid w:val="0018196F"/>
    <w:rsid w:val="001829BB"/>
    <w:rsid w:val="00184CDD"/>
    <w:rsid w:val="001876E4"/>
    <w:rsid w:val="00192498"/>
    <w:rsid w:val="00194806"/>
    <w:rsid w:val="001965AE"/>
    <w:rsid w:val="00196CDF"/>
    <w:rsid w:val="001A3A3D"/>
    <w:rsid w:val="001A6A1A"/>
    <w:rsid w:val="001B1A0C"/>
    <w:rsid w:val="001B28F6"/>
    <w:rsid w:val="001C03E2"/>
    <w:rsid w:val="001C1EA0"/>
    <w:rsid w:val="001C26F0"/>
    <w:rsid w:val="001C322C"/>
    <w:rsid w:val="001C507E"/>
    <w:rsid w:val="001C700E"/>
    <w:rsid w:val="001C7117"/>
    <w:rsid w:val="001D1472"/>
    <w:rsid w:val="001D20FC"/>
    <w:rsid w:val="001D210A"/>
    <w:rsid w:val="001E3509"/>
    <w:rsid w:val="001E656D"/>
    <w:rsid w:val="001E7478"/>
    <w:rsid w:val="001F1AA2"/>
    <w:rsid w:val="001F7480"/>
    <w:rsid w:val="002115BD"/>
    <w:rsid w:val="002116EF"/>
    <w:rsid w:val="002122CC"/>
    <w:rsid w:val="0021438F"/>
    <w:rsid w:val="0021626F"/>
    <w:rsid w:val="00216609"/>
    <w:rsid w:val="00217EDF"/>
    <w:rsid w:val="002243CD"/>
    <w:rsid w:val="00231D45"/>
    <w:rsid w:val="0023281F"/>
    <w:rsid w:val="00237C4B"/>
    <w:rsid w:val="0024059A"/>
    <w:rsid w:val="00241A52"/>
    <w:rsid w:val="00243D2A"/>
    <w:rsid w:val="00246E5F"/>
    <w:rsid w:val="0025695C"/>
    <w:rsid w:val="0026198E"/>
    <w:rsid w:val="00263558"/>
    <w:rsid w:val="00263E83"/>
    <w:rsid w:val="00264CAA"/>
    <w:rsid w:val="00265491"/>
    <w:rsid w:val="002700AC"/>
    <w:rsid w:val="002736AB"/>
    <w:rsid w:val="00280900"/>
    <w:rsid w:val="002849B4"/>
    <w:rsid w:val="00286669"/>
    <w:rsid w:val="00290C6C"/>
    <w:rsid w:val="00291AF4"/>
    <w:rsid w:val="00292A33"/>
    <w:rsid w:val="002977D7"/>
    <w:rsid w:val="002A1935"/>
    <w:rsid w:val="002A22F7"/>
    <w:rsid w:val="002A4292"/>
    <w:rsid w:val="002A7421"/>
    <w:rsid w:val="002B0B3B"/>
    <w:rsid w:val="002B0DF4"/>
    <w:rsid w:val="002B1DED"/>
    <w:rsid w:val="002B433A"/>
    <w:rsid w:val="002B5127"/>
    <w:rsid w:val="002B79D4"/>
    <w:rsid w:val="002C033B"/>
    <w:rsid w:val="002C347A"/>
    <w:rsid w:val="002C69EB"/>
    <w:rsid w:val="002D0D83"/>
    <w:rsid w:val="002D2308"/>
    <w:rsid w:val="002D6914"/>
    <w:rsid w:val="002D79AF"/>
    <w:rsid w:val="002E58E7"/>
    <w:rsid w:val="002E5C40"/>
    <w:rsid w:val="002E7053"/>
    <w:rsid w:val="002E76B7"/>
    <w:rsid w:val="002E7A71"/>
    <w:rsid w:val="002F0BBE"/>
    <w:rsid w:val="002F241E"/>
    <w:rsid w:val="002F30DE"/>
    <w:rsid w:val="002F479A"/>
    <w:rsid w:val="002F554C"/>
    <w:rsid w:val="002F5A14"/>
    <w:rsid w:val="002F72D0"/>
    <w:rsid w:val="00303038"/>
    <w:rsid w:val="003036F1"/>
    <w:rsid w:val="0030618F"/>
    <w:rsid w:val="0030704A"/>
    <w:rsid w:val="00310426"/>
    <w:rsid w:val="00314348"/>
    <w:rsid w:val="003146DD"/>
    <w:rsid w:val="00315D13"/>
    <w:rsid w:val="00315EA1"/>
    <w:rsid w:val="00321E5D"/>
    <w:rsid w:val="003223F8"/>
    <w:rsid w:val="0032486D"/>
    <w:rsid w:val="003260C0"/>
    <w:rsid w:val="00326B5A"/>
    <w:rsid w:val="003321A1"/>
    <w:rsid w:val="003327F8"/>
    <w:rsid w:val="00335CB2"/>
    <w:rsid w:val="00341177"/>
    <w:rsid w:val="00341901"/>
    <w:rsid w:val="00343952"/>
    <w:rsid w:val="00343F7C"/>
    <w:rsid w:val="0034470D"/>
    <w:rsid w:val="00345B8E"/>
    <w:rsid w:val="00351ACA"/>
    <w:rsid w:val="00352AE5"/>
    <w:rsid w:val="0035541E"/>
    <w:rsid w:val="003557F2"/>
    <w:rsid w:val="00357130"/>
    <w:rsid w:val="0035739B"/>
    <w:rsid w:val="003575ED"/>
    <w:rsid w:val="00357AF7"/>
    <w:rsid w:val="00360662"/>
    <w:rsid w:val="00360C40"/>
    <w:rsid w:val="003654F0"/>
    <w:rsid w:val="00367667"/>
    <w:rsid w:val="00371312"/>
    <w:rsid w:val="00372D2A"/>
    <w:rsid w:val="00372E1B"/>
    <w:rsid w:val="003826FC"/>
    <w:rsid w:val="00383294"/>
    <w:rsid w:val="003836C7"/>
    <w:rsid w:val="00384671"/>
    <w:rsid w:val="003846E6"/>
    <w:rsid w:val="00392BC1"/>
    <w:rsid w:val="00395CFA"/>
    <w:rsid w:val="00397C38"/>
    <w:rsid w:val="003A2D7B"/>
    <w:rsid w:val="003A34CE"/>
    <w:rsid w:val="003A3653"/>
    <w:rsid w:val="003A54B4"/>
    <w:rsid w:val="003A57A2"/>
    <w:rsid w:val="003A74BF"/>
    <w:rsid w:val="003B0639"/>
    <w:rsid w:val="003B3233"/>
    <w:rsid w:val="003B476C"/>
    <w:rsid w:val="003C0492"/>
    <w:rsid w:val="003C0CE8"/>
    <w:rsid w:val="003C7721"/>
    <w:rsid w:val="003C782A"/>
    <w:rsid w:val="003D081D"/>
    <w:rsid w:val="003E4982"/>
    <w:rsid w:val="003E5D83"/>
    <w:rsid w:val="003E6B89"/>
    <w:rsid w:val="003F5118"/>
    <w:rsid w:val="003F5575"/>
    <w:rsid w:val="003F658D"/>
    <w:rsid w:val="003F76E9"/>
    <w:rsid w:val="0040054C"/>
    <w:rsid w:val="00410733"/>
    <w:rsid w:val="0041322F"/>
    <w:rsid w:val="00413539"/>
    <w:rsid w:val="00413926"/>
    <w:rsid w:val="00415A92"/>
    <w:rsid w:val="00420EC7"/>
    <w:rsid w:val="004228CD"/>
    <w:rsid w:val="00425DDB"/>
    <w:rsid w:val="00426354"/>
    <w:rsid w:val="004332F3"/>
    <w:rsid w:val="00436B8C"/>
    <w:rsid w:val="004400C4"/>
    <w:rsid w:val="00440BA8"/>
    <w:rsid w:val="004412D7"/>
    <w:rsid w:val="004419D7"/>
    <w:rsid w:val="00443639"/>
    <w:rsid w:val="00444F1F"/>
    <w:rsid w:val="00445A3B"/>
    <w:rsid w:val="0045321D"/>
    <w:rsid w:val="004555C9"/>
    <w:rsid w:val="00456757"/>
    <w:rsid w:val="00456F3A"/>
    <w:rsid w:val="00461C3B"/>
    <w:rsid w:val="004628F9"/>
    <w:rsid w:val="004639C7"/>
    <w:rsid w:val="00465778"/>
    <w:rsid w:val="00481482"/>
    <w:rsid w:val="00482C2D"/>
    <w:rsid w:val="004854F6"/>
    <w:rsid w:val="00487809"/>
    <w:rsid w:val="00495F8A"/>
    <w:rsid w:val="004A472A"/>
    <w:rsid w:val="004A516C"/>
    <w:rsid w:val="004A709A"/>
    <w:rsid w:val="004A7400"/>
    <w:rsid w:val="004B002D"/>
    <w:rsid w:val="004C02FF"/>
    <w:rsid w:val="004C22D7"/>
    <w:rsid w:val="004C4A3E"/>
    <w:rsid w:val="004C4B45"/>
    <w:rsid w:val="004C660D"/>
    <w:rsid w:val="004D102A"/>
    <w:rsid w:val="004D1529"/>
    <w:rsid w:val="004D19CE"/>
    <w:rsid w:val="004D4522"/>
    <w:rsid w:val="004D4DCE"/>
    <w:rsid w:val="004D7393"/>
    <w:rsid w:val="004D79BD"/>
    <w:rsid w:val="004E06FF"/>
    <w:rsid w:val="004E20D3"/>
    <w:rsid w:val="004E41FD"/>
    <w:rsid w:val="004E476A"/>
    <w:rsid w:val="004E6400"/>
    <w:rsid w:val="004E6E33"/>
    <w:rsid w:val="004E7955"/>
    <w:rsid w:val="004F0E05"/>
    <w:rsid w:val="004F521E"/>
    <w:rsid w:val="004F60BA"/>
    <w:rsid w:val="005014A5"/>
    <w:rsid w:val="00503974"/>
    <w:rsid w:val="0050529F"/>
    <w:rsid w:val="0050775D"/>
    <w:rsid w:val="00514B5E"/>
    <w:rsid w:val="005155DB"/>
    <w:rsid w:val="0052286C"/>
    <w:rsid w:val="00522AB9"/>
    <w:rsid w:val="005230F2"/>
    <w:rsid w:val="00525D78"/>
    <w:rsid w:val="005265B9"/>
    <w:rsid w:val="00532000"/>
    <w:rsid w:val="00533533"/>
    <w:rsid w:val="00535E24"/>
    <w:rsid w:val="0053669A"/>
    <w:rsid w:val="00540C93"/>
    <w:rsid w:val="005440F6"/>
    <w:rsid w:val="0054557A"/>
    <w:rsid w:val="0054649E"/>
    <w:rsid w:val="00546DD6"/>
    <w:rsid w:val="00551E70"/>
    <w:rsid w:val="00552CA2"/>
    <w:rsid w:val="005546C3"/>
    <w:rsid w:val="00555152"/>
    <w:rsid w:val="0055771D"/>
    <w:rsid w:val="00563DF3"/>
    <w:rsid w:val="005666B6"/>
    <w:rsid w:val="00567EC5"/>
    <w:rsid w:val="00567FCF"/>
    <w:rsid w:val="0057295D"/>
    <w:rsid w:val="00574320"/>
    <w:rsid w:val="00575295"/>
    <w:rsid w:val="00576A6A"/>
    <w:rsid w:val="00583702"/>
    <w:rsid w:val="005845CB"/>
    <w:rsid w:val="0058498A"/>
    <w:rsid w:val="0058579A"/>
    <w:rsid w:val="00586249"/>
    <w:rsid w:val="00586350"/>
    <w:rsid w:val="005909D6"/>
    <w:rsid w:val="005940C0"/>
    <w:rsid w:val="005A18C5"/>
    <w:rsid w:val="005A4845"/>
    <w:rsid w:val="005B39FD"/>
    <w:rsid w:val="005B7C71"/>
    <w:rsid w:val="005B7D58"/>
    <w:rsid w:val="005C4A6B"/>
    <w:rsid w:val="005D2A59"/>
    <w:rsid w:val="005D6190"/>
    <w:rsid w:val="005E34B6"/>
    <w:rsid w:val="005E60A0"/>
    <w:rsid w:val="005E67EE"/>
    <w:rsid w:val="005E7D29"/>
    <w:rsid w:val="005F0C00"/>
    <w:rsid w:val="005F0D8C"/>
    <w:rsid w:val="005F2768"/>
    <w:rsid w:val="005F33F2"/>
    <w:rsid w:val="00613E9A"/>
    <w:rsid w:val="00617035"/>
    <w:rsid w:val="0061786F"/>
    <w:rsid w:val="00617F30"/>
    <w:rsid w:val="00630CBA"/>
    <w:rsid w:val="00631EE7"/>
    <w:rsid w:val="00634B78"/>
    <w:rsid w:val="00637735"/>
    <w:rsid w:val="0064243E"/>
    <w:rsid w:val="00642E50"/>
    <w:rsid w:val="00646049"/>
    <w:rsid w:val="00647538"/>
    <w:rsid w:val="00651F63"/>
    <w:rsid w:val="00657108"/>
    <w:rsid w:val="00663381"/>
    <w:rsid w:val="00663909"/>
    <w:rsid w:val="0066491C"/>
    <w:rsid w:val="00664E48"/>
    <w:rsid w:val="006671BC"/>
    <w:rsid w:val="006758F3"/>
    <w:rsid w:val="006764D5"/>
    <w:rsid w:val="00680679"/>
    <w:rsid w:val="00683FFB"/>
    <w:rsid w:val="00695279"/>
    <w:rsid w:val="00695E6D"/>
    <w:rsid w:val="006A077C"/>
    <w:rsid w:val="006A234F"/>
    <w:rsid w:val="006A37C1"/>
    <w:rsid w:val="006A438C"/>
    <w:rsid w:val="006A6096"/>
    <w:rsid w:val="006B7B67"/>
    <w:rsid w:val="006C6800"/>
    <w:rsid w:val="006D2E37"/>
    <w:rsid w:val="006D6134"/>
    <w:rsid w:val="006E3F4D"/>
    <w:rsid w:val="006E7668"/>
    <w:rsid w:val="006E7C26"/>
    <w:rsid w:val="006E7E9F"/>
    <w:rsid w:val="006E7FA8"/>
    <w:rsid w:val="006F283A"/>
    <w:rsid w:val="006F4623"/>
    <w:rsid w:val="006F4B40"/>
    <w:rsid w:val="006F6A3A"/>
    <w:rsid w:val="00701FEA"/>
    <w:rsid w:val="0070236D"/>
    <w:rsid w:val="00702F88"/>
    <w:rsid w:val="00703DF4"/>
    <w:rsid w:val="00704B66"/>
    <w:rsid w:val="00706DE1"/>
    <w:rsid w:val="007110C9"/>
    <w:rsid w:val="00714BA3"/>
    <w:rsid w:val="00721098"/>
    <w:rsid w:val="0072299A"/>
    <w:rsid w:val="00726654"/>
    <w:rsid w:val="007400D2"/>
    <w:rsid w:val="0074072F"/>
    <w:rsid w:val="00746E80"/>
    <w:rsid w:val="00750E77"/>
    <w:rsid w:val="0075450D"/>
    <w:rsid w:val="007549F7"/>
    <w:rsid w:val="00756B1C"/>
    <w:rsid w:val="007576A8"/>
    <w:rsid w:val="00761D0F"/>
    <w:rsid w:val="00766BCF"/>
    <w:rsid w:val="00767F39"/>
    <w:rsid w:val="007726E1"/>
    <w:rsid w:val="00774A3E"/>
    <w:rsid w:val="00774F4B"/>
    <w:rsid w:val="00777473"/>
    <w:rsid w:val="00780F1C"/>
    <w:rsid w:val="00783B5D"/>
    <w:rsid w:val="0079256F"/>
    <w:rsid w:val="007965A0"/>
    <w:rsid w:val="007A289B"/>
    <w:rsid w:val="007A3C6A"/>
    <w:rsid w:val="007A5821"/>
    <w:rsid w:val="007A5D06"/>
    <w:rsid w:val="007B1885"/>
    <w:rsid w:val="007B2970"/>
    <w:rsid w:val="007B51E2"/>
    <w:rsid w:val="007B5BF2"/>
    <w:rsid w:val="007B746F"/>
    <w:rsid w:val="007D2062"/>
    <w:rsid w:val="007E2A95"/>
    <w:rsid w:val="007E2E70"/>
    <w:rsid w:val="007E368F"/>
    <w:rsid w:val="007E6917"/>
    <w:rsid w:val="007F0AA9"/>
    <w:rsid w:val="007F2841"/>
    <w:rsid w:val="007F4BF9"/>
    <w:rsid w:val="008019D0"/>
    <w:rsid w:val="00802232"/>
    <w:rsid w:val="00802A66"/>
    <w:rsid w:val="0080726A"/>
    <w:rsid w:val="008213C3"/>
    <w:rsid w:val="00821541"/>
    <w:rsid w:val="00830647"/>
    <w:rsid w:val="00830E80"/>
    <w:rsid w:val="00831BCA"/>
    <w:rsid w:val="0083678F"/>
    <w:rsid w:val="008367E3"/>
    <w:rsid w:val="00841488"/>
    <w:rsid w:val="00841C20"/>
    <w:rsid w:val="00844546"/>
    <w:rsid w:val="008506C8"/>
    <w:rsid w:val="00851A9A"/>
    <w:rsid w:val="0085675A"/>
    <w:rsid w:val="00856F20"/>
    <w:rsid w:val="008571D3"/>
    <w:rsid w:val="00861EC3"/>
    <w:rsid w:val="00875575"/>
    <w:rsid w:val="008810FA"/>
    <w:rsid w:val="00884878"/>
    <w:rsid w:val="00885012"/>
    <w:rsid w:val="00885B9C"/>
    <w:rsid w:val="00892A7E"/>
    <w:rsid w:val="00896927"/>
    <w:rsid w:val="00897E16"/>
    <w:rsid w:val="008A144E"/>
    <w:rsid w:val="008A2119"/>
    <w:rsid w:val="008A5A3C"/>
    <w:rsid w:val="008A67C0"/>
    <w:rsid w:val="008A768C"/>
    <w:rsid w:val="008B1D1B"/>
    <w:rsid w:val="008B5474"/>
    <w:rsid w:val="008B5F65"/>
    <w:rsid w:val="008C579B"/>
    <w:rsid w:val="008D27EF"/>
    <w:rsid w:val="008D2DC8"/>
    <w:rsid w:val="008D34F9"/>
    <w:rsid w:val="008D60FC"/>
    <w:rsid w:val="008D745E"/>
    <w:rsid w:val="008E06F4"/>
    <w:rsid w:val="008E644C"/>
    <w:rsid w:val="008E7F99"/>
    <w:rsid w:val="008F06F2"/>
    <w:rsid w:val="008F4B75"/>
    <w:rsid w:val="008F4C4B"/>
    <w:rsid w:val="008F5D80"/>
    <w:rsid w:val="008F6891"/>
    <w:rsid w:val="009011F7"/>
    <w:rsid w:val="00903149"/>
    <w:rsid w:val="00903528"/>
    <w:rsid w:val="00910A20"/>
    <w:rsid w:val="009167C7"/>
    <w:rsid w:val="00917B4D"/>
    <w:rsid w:val="00920016"/>
    <w:rsid w:val="00921127"/>
    <w:rsid w:val="009214D9"/>
    <w:rsid w:val="00922036"/>
    <w:rsid w:val="00923D3D"/>
    <w:rsid w:val="00924CCB"/>
    <w:rsid w:val="0092520A"/>
    <w:rsid w:val="009253B2"/>
    <w:rsid w:val="00925E84"/>
    <w:rsid w:val="00932B26"/>
    <w:rsid w:val="00932B83"/>
    <w:rsid w:val="00932FAD"/>
    <w:rsid w:val="00935D62"/>
    <w:rsid w:val="00936A66"/>
    <w:rsid w:val="00937DC5"/>
    <w:rsid w:val="009411B4"/>
    <w:rsid w:val="0094436A"/>
    <w:rsid w:val="00951562"/>
    <w:rsid w:val="00953292"/>
    <w:rsid w:val="00954EF3"/>
    <w:rsid w:val="0096269F"/>
    <w:rsid w:val="009648AC"/>
    <w:rsid w:val="00965A0C"/>
    <w:rsid w:val="009668EF"/>
    <w:rsid w:val="009729A9"/>
    <w:rsid w:val="00975B1B"/>
    <w:rsid w:val="00977182"/>
    <w:rsid w:val="0098030D"/>
    <w:rsid w:val="00981E62"/>
    <w:rsid w:val="009858D3"/>
    <w:rsid w:val="00990759"/>
    <w:rsid w:val="009942FC"/>
    <w:rsid w:val="00995B49"/>
    <w:rsid w:val="009A1E07"/>
    <w:rsid w:val="009A28D2"/>
    <w:rsid w:val="009A350F"/>
    <w:rsid w:val="009A4D39"/>
    <w:rsid w:val="009B5190"/>
    <w:rsid w:val="009B5AA4"/>
    <w:rsid w:val="009B654F"/>
    <w:rsid w:val="009B7089"/>
    <w:rsid w:val="009B73CC"/>
    <w:rsid w:val="009C16DF"/>
    <w:rsid w:val="009C4804"/>
    <w:rsid w:val="009D27BB"/>
    <w:rsid w:val="009D3524"/>
    <w:rsid w:val="009E50D9"/>
    <w:rsid w:val="009E6780"/>
    <w:rsid w:val="009F3F74"/>
    <w:rsid w:val="009F4D99"/>
    <w:rsid w:val="009F50F0"/>
    <w:rsid w:val="00A03911"/>
    <w:rsid w:val="00A05140"/>
    <w:rsid w:val="00A0620B"/>
    <w:rsid w:val="00A064E8"/>
    <w:rsid w:val="00A10DE1"/>
    <w:rsid w:val="00A15254"/>
    <w:rsid w:val="00A15E49"/>
    <w:rsid w:val="00A167B7"/>
    <w:rsid w:val="00A2139E"/>
    <w:rsid w:val="00A22538"/>
    <w:rsid w:val="00A225BE"/>
    <w:rsid w:val="00A23C19"/>
    <w:rsid w:val="00A24606"/>
    <w:rsid w:val="00A268D9"/>
    <w:rsid w:val="00A3013E"/>
    <w:rsid w:val="00A34039"/>
    <w:rsid w:val="00A3483E"/>
    <w:rsid w:val="00A3552E"/>
    <w:rsid w:val="00A368FC"/>
    <w:rsid w:val="00A417FA"/>
    <w:rsid w:val="00A42760"/>
    <w:rsid w:val="00A443C7"/>
    <w:rsid w:val="00A44753"/>
    <w:rsid w:val="00A456A3"/>
    <w:rsid w:val="00A47AD9"/>
    <w:rsid w:val="00A52843"/>
    <w:rsid w:val="00A53727"/>
    <w:rsid w:val="00A5551F"/>
    <w:rsid w:val="00A60023"/>
    <w:rsid w:val="00A65CAA"/>
    <w:rsid w:val="00A70C52"/>
    <w:rsid w:val="00A71E63"/>
    <w:rsid w:val="00A71EBB"/>
    <w:rsid w:val="00A74456"/>
    <w:rsid w:val="00A74938"/>
    <w:rsid w:val="00A766FD"/>
    <w:rsid w:val="00A820E7"/>
    <w:rsid w:val="00A92B08"/>
    <w:rsid w:val="00A92FB9"/>
    <w:rsid w:val="00A94EC5"/>
    <w:rsid w:val="00AA4F9F"/>
    <w:rsid w:val="00AB1161"/>
    <w:rsid w:val="00AB1BE1"/>
    <w:rsid w:val="00AB3900"/>
    <w:rsid w:val="00AB4770"/>
    <w:rsid w:val="00AB511A"/>
    <w:rsid w:val="00AB5826"/>
    <w:rsid w:val="00AB7215"/>
    <w:rsid w:val="00AC071C"/>
    <w:rsid w:val="00AC4B72"/>
    <w:rsid w:val="00AC56C2"/>
    <w:rsid w:val="00AC5E19"/>
    <w:rsid w:val="00AC647E"/>
    <w:rsid w:val="00AC6B63"/>
    <w:rsid w:val="00AE1F36"/>
    <w:rsid w:val="00AE5C52"/>
    <w:rsid w:val="00AE5CCE"/>
    <w:rsid w:val="00AE5E80"/>
    <w:rsid w:val="00AF045F"/>
    <w:rsid w:val="00AF0FA2"/>
    <w:rsid w:val="00AF0FDD"/>
    <w:rsid w:val="00AF2F21"/>
    <w:rsid w:val="00AF339D"/>
    <w:rsid w:val="00AF73AE"/>
    <w:rsid w:val="00B01B40"/>
    <w:rsid w:val="00B023BE"/>
    <w:rsid w:val="00B0394E"/>
    <w:rsid w:val="00B05E7D"/>
    <w:rsid w:val="00B068CB"/>
    <w:rsid w:val="00B10F80"/>
    <w:rsid w:val="00B17A9D"/>
    <w:rsid w:val="00B21C2F"/>
    <w:rsid w:val="00B2764E"/>
    <w:rsid w:val="00B30E77"/>
    <w:rsid w:val="00B33F27"/>
    <w:rsid w:val="00B34F5C"/>
    <w:rsid w:val="00B456CC"/>
    <w:rsid w:val="00B478EF"/>
    <w:rsid w:val="00B51BAD"/>
    <w:rsid w:val="00B56551"/>
    <w:rsid w:val="00B56558"/>
    <w:rsid w:val="00B57AE9"/>
    <w:rsid w:val="00B60ABA"/>
    <w:rsid w:val="00B638BD"/>
    <w:rsid w:val="00B65EB5"/>
    <w:rsid w:val="00B707A1"/>
    <w:rsid w:val="00B72CEC"/>
    <w:rsid w:val="00B80707"/>
    <w:rsid w:val="00B80F6A"/>
    <w:rsid w:val="00B86A12"/>
    <w:rsid w:val="00B87675"/>
    <w:rsid w:val="00B87CC0"/>
    <w:rsid w:val="00B95043"/>
    <w:rsid w:val="00B96133"/>
    <w:rsid w:val="00BA3026"/>
    <w:rsid w:val="00BA3EFF"/>
    <w:rsid w:val="00BA4972"/>
    <w:rsid w:val="00BA5FE7"/>
    <w:rsid w:val="00BA6CBD"/>
    <w:rsid w:val="00BB1077"/>
    <w:rsid w:val="00BB1559"/>
    <w:rsid w:val="00BB1613"/>
    <w:rsid w:val="00BB1C24"/>
    <w:rsid w:val="00BB79E6"/>
    <w:rsid w:val="00BC1544"/>
    <w:rsid w:val="00BC6161"/>
    <w:rsid w:val="00BC6774"/>
    <w:rsid w:val="00BC6EEF"/>
    <w:rsid w:val="00BC7980"/>
    <w:rsid w:val="00BC7BD9"/>
    <w:rsid w:val="00BD044B"/>
    <w:rsid w:val="00BD4D43"/>
    <w:rsid w:val="00BD51D3"/>
    <w:rsid w:val="00BE0D5C"/>
    <w:rsid w:val="00BE3C5C"/>
    <w:rsid w:val="00BE65E4"/>
    <w:rsid w:val="00BE686F"/>
    <w:rsid w:val="00BE772E"/>
    <w:rsid w:val="00BF0AA7"/>
    <w:rsid w:val="00BF2F97"/>
    <w:rsid w:val="00C00765"/>
    <w:rsid w:val="00C06287"/>
    <w:rsid w:val="00C0671C"/>
    <w:rsid w:val="00C1260E"/>
    <w:rsid w:val="00C13DD1"/>
    <w:rsid w:val="00C156A0"/>
    <w:rsid w:val="00C17E42"/>
    <w:rsid w:val="00C20D5E"/>
    <w:rsid w:val="00C23583"/>
    <w:rsid w:val="00C322E4"/>
    <w:rsid w:val="00C32C37"/>
    <w:rsid w:val="00C330CA"/>
    <w:rsid w:val="00C350A0"/>
    <w:rsid w:val="00C36C67"/>
    <w:rsid w:val="00C37A08"/>
    <w:rsid w:val="00C4066A"/>
    <w:rsid w:val="00C40D0E"/>
    <w:rsid w:val="00C469FC"/>
    <w:rsid w:val="00C47CE2"/>
    <w:rsid w:val="00C5078F"/>
    <w:rsid w:val="00C51389"/>
    <w:rsid w:val="00C51AF4"/>
    <w:rsid w:val="00C56BAB"/>
    <w:rsid w:val="00C60D92"/>
    <w:rsid w:val="00C61639"/>
    <w:rsid w:val="00C63AA9"/>
    <w:rsid w:val="00C64093"/>
    <w:rsid w:val="00C65930"/>
    <w:rsid w:val="00C67B92"/>
    <w:rsid w:val="00C74559"/>
    <w:rsid w:val="00C75AB0"/>
    <w:rsid w:val="00C813C0"/>
    <w:rsid w:val="00C82AA4"/>
    <w:rsid w:val="00C8305C"/>
    <w:rsid w:val="00C8513D"/>
    <w:rsid w:val="00C915EE"/>
    <w:rsid w:val="00C9461F"/>
    <w:rsid w:val="00C95691"/>
    <w:rsid w:val="00C95745"/>
    <w:rsid w:val="00C969FA"/>
    <w:rsid w:val="00C97CCC"/>
    <w:rsid w:val="00CA1ECD"/>
    <w:rsid w:val="00CA4C7F"/>
    <w:rsid w:val="00CA6524"/>
    <w:rsid w:val="00CC494C"/>
    <w:rsid w:val="00CD0FA4"/>
    <w:rsid w:val="00CD522A"/>
    <w:rsid w:val="00CD7870"/>
    <w:rsid w:val="00CE0E0B"/>
    <w:rsid w:val="00CE16BA"/>
    <w:rsid w:val="00CE7CB1"/>
    <w:rsid w:val="00CF0985"/>
    <w:rsid w:val="00CF5859"/>
    <w:rsid w:val="00CF5974"/>
    <w:rsid w:val="00D02572"/>
    <w:rsid w:val="00D0608D"/>
    <w:rsid w:val="00D06E87"/>
    <w:rsid w:val="00D06EFC"/>
    <w:rsid w:val="00D10B26"/>
    <w:rsid w:val="00D1197E"/>
    <w:rsid w:val="00D1619E"/>
    <w:rsid w:val="00D23312"/>
    <w:rsid w:val="00D23F03"/>
    <w:rsid w:val="00D25565"/>
    <w:rsid w:val="00D270EE"/>
    <w:rsid w:val="00D30E3D"/>
    <w:rsid w:val="00D33DA7"/>
    <w:rsid w:val="00D472D8"/>
    <w:rsid w:val="00D50815"/>
    <w:rsid w:val="00D5456B"/>
    <w:rsid w:val="00D54A92"/>
    <w:rsid w:val="00D56EF5"/>
    <w:rsid w:val="00D56FF4"/>
    <w:rsid w:val="00D74036"/>
    <w:rsid w:val="00D74A2D"/>
    <w:rsid w:val="00D808EE"/>
    <w:rsid w:val="00D81D23"/>
    <w:rsid w:val="00D83285"/>
    <w:rsid w:val="00D876B5"/>
    <w:rsid w:val="00D93663"/>
    <w:rsid w:val="00D94097"/>
    <w:rsid w:val="00D967F2"/>
    <w:rsid w:val="00DA1122"/>
    <w:rsid w:val="00DA1336"/>
    <w:rsid w:val="00DA3336"/>
    <w:rsid w:val="00DA4000"/>
    <w:rsid w:val="00DA4BBC"/>
    <w:rsid w:val="00DA4EEC"/>
    <w:rsid w:val="00DA7DA7"/>
    <w:rsid w:val="00DB0CB2"/>
    <w:rsid w:val="00DB7362"/>
    <w:rsid w:val="00DC064B"/>
    <w:rsid w:val="00DC16AF"/>
    <w:rsid w:val="00DC1EB7"/>
    <w:rsid w:val="00DC4C3F"/>
    <w:rsid w:val="00DC7C01"/>
    <w:rsid w:val="00DD090D"/>
    <w:rsid w:val="00DE043D"/>
    <w:rsid w:val="00DE0D9A"/>
    <w:rsid w:val="00DE478F"/>
    <w:rsid w:val="00DE55E6"/>
    <w:rsid w:val="00DF1AF1"/>
    <w:rsid w:val="00DF3C90"/>
    <w:rsid w:val="00DF6E19"/>
    <w:rsid w:val="00E00032"/>
    <w:rsid w:val="00E04482"/>
    <w:rsid w:val="00E04644"/>
    <w:rsid w:val="00E07968"/>
    <w:rsid w:val="00E21A07"/>
    <w:rsid w:val="00E2267F"/>
    <w:rsid w:val="00E247E3"/>
    <w:rsid w:val="00E27150"/>
    <w:rsid w:val="00E27C9F"/>
    <w:rsid w:val="00E36601"/>
    <w:rsid w:val="00E371ED"/>
    <w:rsid w:val="00E44364"/>
    <w:rsid w:val="00E4667C"/>
    <w:rsid w:val="00E4766C"/>
    <w:rsid w:val="00E544CC"/>
    <w:rsid w:val="00E56811"/>
    <w:rsid w:val="00E57AC9"/>
    <w:rsid w:val="00E6139F"/>
    <w:rsid w:val="00E61E1E"/>
    <w:rsid w:val="00E62387"/>
    <w:rsid w:val="00E64B3B"/>
    <w:rsid w:val="00E65423"/>
    <w:rsid w:val="00E70BDE"/>
    <w:rsid w:val="00E71A05"/>
    <w:rsid w:val="00E83D31"/>
    <w:rsid w:val="00E8695F"/>
    <w:rsid w:val="00E86DA7"/>
    <w:rsid w:val="00E90B9D"/>
    <w:rsid w:val="00E923F1"/>
    <w:rsid w:val="00E94456"/>
    <w:rsid w:val="00E9649B"/>
    <w:rsid w:val="00E967BA"/>
    <w:rsid w:val="00EA14C5"/>
    <w:rsid w:val="00EA3E4E"/>
    <w:rsid w:val="00EA43AE"/>
    <w:rsid w:val="00EA502D"/>
    <w:rsid w:val="00EA52D4"/>
    <w:rsid w:val="00EB0CD4"/>
    <w:rsid w:val="00EB1767"/>
    <w:rsid w:val="00EB260D"/>
    <w:rsid w:val="00EB3D8A"/>
    <w:rsid w:val="00EB44B5"/>
    <w:rsid w:val="00EB4AF9"/>
    <w:rsid w:val="00EB711D"/>
    <w:rsid w:val="00ED2536"/>
    <w:rsid w:val="00EE030B"/>
    <w:rsid w:val="00EE0E84"/>
    <w:rsid w:val="00EE2A05"/>
    <w:rsid w:val="00EE308D"/>
    <w:rsid w:val="00EE3D39"/>
    <w:rsid w:val="00EE4173"/>
    <w:rsid w:val="00EE44C9"/>
    <w:rsid w:val="00EE4AB8"/>
    <w:rsid w:val="00EF065C"/>
    <w:rsid w:val="00EF2769"/>
    <w:rsid w:val="00EF4DF3"/>
    <w:rsid w:val="00F0799D"/>
    <w:rsid w:val="00F105F9"/>
    <w:rsid w:val="00F10BB4"/>
    <w:rsid w:val="00F209D8"/>
    <w:rsid w:val="00F23464"/>
    <w:rsid w:val="00F2546B"/>
    <w:rsid w:val="00F27ED1"/>
    <w:rsid w:val="00F314A7"/>
    <w:rsid w:val="00F319E6"/>
    <w:rsid w:val="00F34A47"/>
    <w:rsid w:val="00F43C11"/>
    <w:rsid w:val="00F4517D"/>
    <w:rsid w:val="00F45B76"/>
    <w:rsid w:val="00F46297"/>
    <w:rsid w:val="00F5172B"/>
    <w:rsid w:val="00F52D59"/>
    <w:rsid w:val="00F53655"/>
    <w:rsid w:val="00F6071E"/>
    <w:rsid w:val="00F65284"/>
    <w:rsid w:val="00F65AD7"/>
    <w:rsid w:val="00F711FF"/>
    <w:rsid w:val="00F71512"/>
    <w:rsid w:val="00F74F2E"/>
    <w:rsid w:val="00F74FA5"/>
    <w:rsid w:val="00F75B84"/>
    <w:rsid w:val="00F75D3E"/>
    <w:rsid w:val="00F77E6A"/>
    <w:rsid w:val="00F80730"/>
    <w:rsid w:val="00F81546"/>
    <w:rsid w:val="00F8199D"/>
    <w:rsid w:val="00F81AE2"/>
    <w:rsid w:val="00F81D93"/>
    <w:rsid w:val="00F86C62"/>
    <w:rsid w:val="00F875EE"/>
    <w:rsid w:val="00F93164"/>
    <w:rsid w:val="00F940A3"/>
    <w:rsid w:val="00F9413F"/>
    <w:rsid w:val="00F94D21"/>
    <w:rsid w:val="00F959DC"/>
    <w:rsid w:val="00FA11D0"/>
    <w:rsid w:val="00FA406D"/>
    <w:rsid w:val="00FA4570"/>
    <w:rsid w:val="00FA70D7"/>
    <w:rsid w:val="00FB139C"/>
    <w:rsid w:val="00FB32EF"/>
    <w:rsid w:val="00FB77A5"/>
    <w:rsid w:val="00FC19A6"/>
    <w:rsid w:val="00FC39FD"/>
    <w:rsid w:val="00FC3C87"/>
    <w:rsid w:val="00FC4623"/>
    <w:rsid w:val="00FD1244"/>
    <w:rsid w:val="00FD4780"/>
    <w:rsid w:val="00FD7726"/>
    <w:rsid w:val="00FE1536"/>
    <w:rsid w:val="00FE22FA"/>
    <w:rsid w:val="00FE25EE"/>
    <w:rsid w:val="00FE2FD5"/>
    <w:rsid w:val="00FE4491"/>
    <w:rsid w:val="00FE48DC"/>
    <w:rsid w:val="00FE53B4"/>
    <w:rsid w:val="00FE735A"/>
    <w:rsid w:val="00FE75DA"/>
    <w:rsid w:val="00FF0487"/>
    <w:rsid w:val="00FF2D07"/>
    <w:rsid w:val="00FF5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78"/>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3B3233"/>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F105F9"/>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F105F9"/>
    <w:rPr>
      <w:rFonts w:ascii="Arial" w:eastAsia="Times New Roman" w:hAnsi="Arial" w:cs="Times New Roman"/>
      <w:color w:val="AD495D"/>
      <w:spacing w:val="-10"/>
      <w:kern w:val="28"/>
      <w:sz w:val="40"/>
      <w:szCs w:val="20"/>
    </w:rPr>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AC6B63"/>
    <w:pPr>
      <w:keepNext/>
      <w:spacing w:before="80" w:after="80" w:line="280" w:lineRule="atLeast"/>
    </w:pPr>
    <w:rPr>
      <w:rFonts w:ascii="Arial" w:eastAsia="Times New Roman" w:hAnsi="Arial"/>
      <w:color w:val="7E6D5F"/>
      <w:szCs w:val="19"/>
    </w:rPr>
  </w:style>
  <w:style w:type="paragraph" w:customStyle="1" w:styleId="Note">
    <w:name w:val="Note"/>
    <w:basedOn w:val="TableTextEntries"/>
    <w:next w:val="Normal"/>
    <w:link w:val="NoteCharChar"/>
    <w:autoRedefine/>
    <w:uiPriority w:val="99"/>
    <w:rsid w:val="00A52843"/>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uiPriority w:val="99"/>
    <w:rsid w:val="00A52843"/>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List Paragraph11,ADB List Paragraph"/>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rsid w:val="0050529F"/>
    <w:rPr>
      <w:rFonts w:ascii="Franklin Gothic Medium" w:hAnsi="Franklin Gothic Medium"/>
      <w:vanish/>
      <w:color w:val="FF00FF"/>
      <w:sz w:val="16"/>
      <w:szCs w:val="16"/>
    </w:rPr>
  </w:style>
  <w:style w:type="paragraph" w:styleId="CommentText">
    <w:name w:val="annotation text"/>
    <w:basedOn w:val="BodyText"/>
    <w:link w:val="CommentTextChar"/>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uiPriority w:val="99"/>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AC6B63"/>
    <w:rPr>
      <w:rFonts w:ascii="Arial" w:eastAsia="Times New Roman" w:hAnsi="Arial" w:cs="Times New Roman"/>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nhideWhenUsed/>
    <w:qFormat/>
    <w:rsid w:val="00B86A12"/>
    <w:pPr>
      <w:spacing w:after="0"/>
      <w:contextualSpacing/>
    </w:pPr>
    <w:rPr>
      <w:sz w:val="16"/>
      <w:szCs w:val="20"/>
    </w:rPr>
  </w:style>
  <w:style w:type="character" w:customStyle="1" w:styleId="FootnoteTextChar">
    <w:name w:val="Footnote Text Char"/>
    <w:basedOn w:val="DefaultParagraphFont"/>
    <w:link w:val="FootnoteText"/>
    <w:rsid w:val="00B86A12"/>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semiHidden/>
    <w:rsid w:val="00F77E6A"/>
    <w:rPr>
      <w:rFonts w:ascii="Times New Roman" w:hAnsi="Times New Roman"/>
      <w:w w:val="100"/>
      <w:position w:val="6"/>
      <w:sz w:val="16"/>
      <w:szCs w:val="12"/>
      <w:vertAlign w:val="baseline"/>
    </w:rPr>
  </w:style>
  <w:style w:type="paragraph" w:customStyle="1" w:styleId="gray">
    <w:name w:val="gray"/>
    <w:basedOn w:val="Normal"/>
    <w:rsid w:val="00695E6D"/>
    <w:pPr>
      <w:spacing w:before="136" w:after="136" w:line="288" w:lineRule="auto"/>
      <w:ind w:left="136" w:right="136"/>
    </w:pPr>
    <w:rPr>
      <w:rFonts w:ascii="Arial" w:eastAsia="Times New Roman" w:hAnsi="Arial" w:cs="Arial"/>
      <w:color w:val="333333"/>
      <w:sz w:val="16"/>
      <w:szCs w:val="16"/>
    </w:rPr>
  </w:style>
  <w:style w:type="character" w:customStyle="1" w:styleId="FootnoteTextChar2">
    <w:name w:val="Footnote Text Char2"/>
    <w:aliases w:val="ADB Char1,ft Char1,Fußnotentextf Char1,fn Char1,single space Char1,FOOTNOTES Char1,Fußnotentext Char Char1,Footnote text Char1,Footnote Text Char1 Char1,Footnote Text Char2 Char Char1,Footnote Text Char1 Char Char Char1,Footno Char1"/>
    <w:uiPriority w:val="99"/>
    <w:semiHidden/>
    <w:locked/>
    <w:rsid w:val="00695E6D"/>
    <w:rPr>
      <w:rFonts w:ascii="Franklin Gothic Book" w:hAnsi="Franklin Gothic Book"/>
      <w:sz w:val="14"/>
      <w:lang w:eastAsia="en-AU"/>
    </w:rPr>
  </w:style>
  <w:style w:type="paragraph" w:customStyle="1" w:styleId="Bullet">
    <w:name w:val="Bullet"/>
    <w:aliases w:val="b,b + line"/>
    <w:basedOn w:val="Normal"/>
    <w:link w:val="BulletChar"/>
    <w:qFormat/>
    <w:rsid w:val="00695E6D"/>
    <w:pPr>
      <w:spacing w:after="240" w:line="320" w:lineRule="exact"/>
    </w:pPr>
    <w:rPr>
      <w:rFonts w:ascii="Palatino" w:eastAsia="Times New Roman" w:hAnsi="Palatino"/>
      <w:color w:val="000000"/>
      <w:sz w:val="22"/>
      <w:szCs w:val="22"/>
    </w:rPr>
  </w:style>
  <w:style w:type="character" w:customStyle="1" w:styleId="BulletChar">
    <w:name w:val="Bullet Char"/>
    <w:aliases w:val="b Char,b + line Char Char"/>
    <w:link w:val="Bullet"/>
    <w:locked/>
    <w:rsid w:val="00695E6D"/>
    <w:rPr>
      <w:rFonts w:ascii="Palatino" w:eastAsia="Times New Roman" w:hAnsi="Palatino" w:cs="Times New Roman"/>
      <w:color w:val="000000"/>
    </w:rPr>
  </w:style>
  <w:style w:type="paragraph" w:customStyle="1" w:styleId="Sectionheading">
    <w:name w:val="Section heading"/>
    <w:basedOn w:val="Heading2"/>
    <w:next w:val="Normal"/>
    <w:link w:val="SectionheadingChar"/>
    <w:rsid w:val="00695E6D"/>
    <w:pPr>
      <w:pBdr>
        <w:bottom w:val="single" w:sz="18" w:space="1" w:color="333399"/>
      </w:pBdr>
      <w:spacing w:after="240"/>
      <w:ind w:right="0"/>
    </w:pPr>
    <w:rPr>
      <w:rFonts w:ascii="Arial" w:hAnsi="Arial"/>
      <w:b/>
      <w:bCs/>
      <w:iCs/>
      <w:smallCaps/>
      <w:color w:val="333399"/>
      <w:kern w:val="0"/>
      <w:sz w:val="28"/>
    </w:rPr>
  </w:style>
  <w:style w:type="character" w:customStyle="1" w:styleId="SectionheadingChar">
    <w:name w:val="Section heading Char"/>
    <w:link w:val="Sectionheading"/>
    <w:locked/>
    <w:rsid w:val="00695E6D"/>
    <w:rPr>
      <w:rFonts w:ascii="Arial" w:eastAsia="Times New Roman" w:hAnsi="Arial" w:cs="Arial"/>
      <w:b/>
      <w:bCs/>
      <w:iCs/>
      <w:smallCaps/>
      <w:color w:val="333399"/>
      <w:sz w:val="28"/>
      <w:szCs w:val="28"/>
    </w:rPr>
  </w:style>
  <w:style w:type="character" w:customStyle="1" w:styleId="ListParagraphChar">
    <w:name w:val="List Paragraph Char"/>
    <w:aliases w:val="List Paragraph1 Char,List Paragraph11 Char,ADB List Paragraph Char"/>
    <w:basedOn w:val="DefaultParagraphFont"/>
    <w:link w:val="ListParagraph"/>
    <w:uiPriority w:val="34"/>
    <w:locked/>
    <w:rsid w:val="00695E6D"/>
    <w:rPr>
      <w:rFonts w:ascii="Times New Roman" w:eastAsia="Times New Roman" w:hAnsi="Times New Roman" w:cs="Times New Roman"/>
      <w:szCs w:val="24"/>
    </w:rPr>
  </w:style>
  <w:style w:type="paragraph" w:styleId="NormalWeb">
    <w:name w:val="Normal (Web)"/>
    <w:basedOn w:val="Normal"/>
    <w:uiPriority w:val="99"/>
    <w:unhideWhenUsed/>
    <w:rsid w:val="00695E6D"/>
    <w:pPr>
      <w:spacing w:before="100" w:beforeAutospacing="1" w:after="100" w:afterAutospacing="1"/>
    </w:pPr>
    <w:rPr>
      <w:rFonts w:eastAsia="Times New Roman"/>
      <w:sz w:val="24"/>
    </w:rPr>
  </w:style>
  <w:style w:type="paragraph" w:styleId="HTMLPreformatted">
    <w:name w:val="HTML Preformatted"/>
    <w:basedOn w:val="Normal"/>
    <w:link w:val="HTMLPreformattedChar"/>
    <w:uiPriority w:val="99"/>
    <w:unhideWhenUsed/>
    <w:rsid w:val="0069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95E6D"/>
    <w:rPr>
      <w:rFonts w:ascii="Courier New" w:eastAsia="Times New Roman" w:hAnsi="Courier New" w:cs="Courier New"/>
      <w:sz w:val="20"/>
      <w:szCs w:val="20"/>
    </w:rPr>
  </w:style>
  <w:style w:type="paragraph" w:styleId="NoSpacing">
    <w:name w:val="No Spacing"/>
    <w:uiPriority w:val="1"/>
    <w:qFormat/>
    <w:rsid w:val="00695E6D"/>
    <w:pPr>
      <w:spacing w:after="0" w:line="240" w:lineRule="auto"/>
    </w:pPr>
    <w:rPr>
      <w:rFonts w:ascii="Tw Cen MT" w:eastAsia="Times New Roman" w:hAnsi="Tw Cen MT" w:cs="Times New Roman"/>
      <w:sz w:val="20"/>
      <w:lang w:eastAsia="en-US"/>
    </w:rPr>
  </w:style>
  <w:style w:type="paragraph" w:customStyle="1" w:styleId="Style1">
    <w:name w:val="Style1"/>
    <w:basedOn w:val="ListParagraph"/>
    <w:qFormat/>
    <w:rsid w:val="00695E6D"/>
    <w:pPr>
      <w:numPr>
        <w:numId w:val="0"/>
      </w:numPr>
      <w:spacing w:before="120" w:line="276" w:lineRule="auto"/>
      <w:contextualSpacing/>
    </w:pPr>
    <w:rPr>
      <w:rFonts w:ascii="Arial" w:hAnsi="Arial" w:cs="Arial"/>
      <w:sz w:val="16"/>
      <w:szCs w:val="20"/>
      <w:lang w:eastAsia="zh-CN"/>
    </w:rPr>
  </w:style>
  <w:style w:type="paragraph" w:customStyle="1" w:styleId="cap">
    <w:name w:val="cap"/>
    <w:basedOn w:val="Normal"/>
    <w:rsid w:val="00695E6D"/>
    <w:pPr>
      <w:spacing w:before="100" w:beforeAutospacing="1" w:after="100" w:afterAutospacing="1"/>
    </w:pPr>
    <w:rPr>
      <w:rFonts w:eastAsia="Times New Roman"/>
      <w:sz w:val="24"/>
    </w:rPr>
  </w:style>
  <w:style w:type="character" w:styleId="Emphasis">
    <w:name w:val="Emphasis"/>
    <w:basedOn w:val="DefaultParagraphFont"/>
    <w:uiPriority w:val="20"/>
    <w:qFormat/>
    <w:rsid w:val="00695E6D"/>
    <w:rPr>
      <w:b/>
      <w:bCs/>
      <w:i w:val="0"/>
      <w:iCs w:val="0"/>
    </w:rPr>
  </w:style>
  <w:style w:type="character" w:customStyle="1" w:styleId="st">
    <w:name w:val="st"/>
    <w:basedOn w:val="DefaultParagraphFont"/>
    <w:rsid w:val="00695E6D"/>
  </w:style>
  <w:style w:type="paragraph" w:customStyle="1" w:styleId="DoubleDot">
    <w:name w:val="Double Dot"/>
    <w:basedOn w:val="Normal"/>
    <w:rsid w:val="00695E6D"/>
    <w:pPr>
      <w:tabs>
        <w:tab w:val="num" w:pos="1560"/>
      </w:tabs>
      <w:spacing w:after="240" w:line="320" w:lineRule="exact"/>
      <w:ind w:left="1560" w:hanging="520"/>
    </w:pPr>
    <w:rPr>
      <w:rFonts w:ascii="Palatino" w:eastAsia="Times New Roman" w:hAnsi="Palatino"/>
      <w:color w:val="000000"/>
      <w:sz w:val="22"/>
      <w:szCs w:val="22"/>
    </w:rPr>
  </w:style>
  <w:style w:type="character" w:styleId="Strong">
    <w:name w:val="Strong"/>
    <w:basedOn w:val="DefaultParagraphFont"/>
    <w:uiPriority w:val="22"/>
    <w:qFormat/>
    <w:rsid w:val="002E7053"/>
    <w:rPr>
      <w:b/>
      <w:bCs/>
    </w:rPr>
  </w:style>
  <w:style w:type="paragraph" w:styleId="Header">
    <w:name w:val="header"/>
    <w:basedOn w:val="Normal"/>
    <w:link w:val="HeaderChar"/>
    <w:uiPriority w:val="99"/>
    <w:unhideWhenUsed/>
    <w:rsid w:val="009D27BB"/>
    <w:pPr>
      <w:tabs>
        <w:tab w:val="center" w:pos="4513"/>
        <w:tab w:val="right" w:pos="9026"/>
      </w:tabs>
    </w:pPr>
  </w:style>
  <w:style w:type="character" w:customStyle="1" w:styleId="HeaderChar">
    <w:name w:val="Header Char"/>
    <w:basedOn w:val="DefaultParagraphFont"/>
    <w:link w:val="Header"/>
    <w:uiPriority w:val="99"/>
    <w:rsid w:val="009D27BB"/>
    <w:rPr>
      <w:rFonts w:ascii="Times New Roman" w:eastAsia="SimSu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78"/>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3B3233"/>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F105F9"/>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F105F9"/>
    <w:rPr>
      <w:rFonts w:ascii="Arial" w:eastAsia="Times New Roman" w:hAnsi="Arial" w:cs="Times New Roman"/>
      <w:color w:val="AD495D"/>
      <w:spacing w:val="-10"/>
      <w:kern w:val="28"/>
      <w:sz w:val="40"/>
      <w:szCs w:val="20"/>
    </w:rPr>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AC6B63"/>
    <w:pPr>
      <w:keepNext/>
      <w:spacing w:before="80" w:after="80" w:line="280" w:lineRule="atLeast"/>
    </w:pPr>
    <w:rPr>
      <w:rFonts w:ascii="Arial" w:eastAsia="Times New Roman" w:hAnsi="Arial"/>
      <w:color w:val="7E6D5F"/>
      <w:szCs w:val="19"/>
    </w:rPr>
  </w:style>
  <w:style w:type="paragraph" w:customStyle="1" w:styleId="Note">
    <w:name w:val="Note"/>
    <w:basedOn w:val="TableTextEntries"/>
    <w:next w:val="Normal"/>
    <w:link w:val="NoteCharChar"/>
    <w:autoRedefine/>
    <w:uiPriority w:val="99"/>
    <w:rsid w:val="00A52843"/>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uiPriority w:val="99"/>
    <w:rsid w:val="00A52843"/>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aliases w:val="List Paragraph1,List Paragraph11,ADB List Paragraph"/>
    <w:basedOn w:val="BodyText"/>
    <w:link w:val="ListParagraphChar"/>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rsid w:val="0050529F"/>
    <w:rPr>
      <w:rFonts w:ascii="Franklin Gothic Medium" w:hAnsi="Franklin Gothic Medium"/>
      <w:vanish/>
      <w:color w:val="FF00FF"/>
      <w:sz w:val="16"/>
      <w:szCs w:val="16"/>
    </w:rPr>
  </w:style>
  <w:style w:type="paragraph" w:styleId="CommentText">
    <w:name w:val="annotation text"/>
    <w:basedOn w:val="BodyText"/>
    <w:link w:val="CommentTextChar"/>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uiPriority w:val="99"/>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AC6B63"/>
    <w:rPr>
      <w:rFonts w:ascii="Arial" w:eastAsia="Times New Roman" w:hAnsi="Arial" w:cs="Times New Roman"/>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nhideWhenUsed/>
    <w:qFormat/>
    <w:rsid w:val="00B86A12"/>
    <w:pPr>
      <w:spacing w:after="0"/>
      <w:contextualSpacing/>
    </w:pPr>
    <w:rPr>
      <w:sz w:val="16"/>
      <w:szCs w:val="20"/>
    </w:rPr>
  </w:style>
  <w:style w:type="character" w:customStyle="1" w:styleId="FootnoteTextChar">
    <w:name w:val="Footnote Text Char"/>
    <w:basedOn w:val="DefaultParagraphFont"/>
    <w:link w:val="FootnoteText"/>
    <w:rsid w:val="00B86A12"/>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semiHidden/>
    <w:rsid w:val="00F77E6A"/>
    <w:rPr>
      <w:rFonts w:ascii="Times New Roman" w:hAnsi="Times New Roman"/>
      <w:w w:val="100"/>
      <w:position w:val="6"/>
      <w:sz w:val="16"/>
      <w:szCs w:val="12"/>
      <w:vertAlign w:val="baseline"/>
    </w:rPr>
  </w:style>
  <w:style w:type="paragraph" w:customStyle="1" w:styleId="gray">
    <w:name w:val="gray"/>
    <w:basedOn w:val="Normal"/>
    <w:rsid w:val="00695E6D"/>
    <w:pPr>
      <w:spacing w:before="136" w:after="136" w:line="288" w:lineRule="auto"/>
      <w:ind w:left="136" w:right="136"/>
    </w:pPr>
    <w:rPr>
      <w:rFonts w:ascii="Arial" w:eastAsia="Times New Roman" w:hAnsi="Arial" w:cs="Arial"/>
      <w:color w:val="333333"/>
      <w:sz w:val="16"/>
      <w:szCs w:val="16"/>
    </w:rPr>
  </w:style>
  <w:style w:type="character" w:customStyle="1" w:styleId="FootnoteTextChar2">
    <w:name w:val="Footnote Text Char2"/>
    <w:aliases w:val="ADB Char1,ft Char1,Fußnotentextf Char1,fn Char1,single space Char1,FOOTNOTES Char1,Fußnotentext Char Char1,Footnote text Char1,Footnote Text Char1 Char1,Footnote Text Char2 Char Char1,Footnote Text Char1 Char Char Char1,Footno Char1"/>
    <w:uiPriority w:val="99"/>
    <w:semiHidden/>
    <w:locked/>
    <w:rsid w:val="00695E6D"/>
    <w:rPr>
      <w:rFonts w:ascii="Franklin Gothic Book" w:hAnsi="Franklin Gothic Book"/>
      <w:sz w:val="14"/>
      <w:lang w:eastAsia="en-AU"/>
    </w:rPr>
  </w:style>
  <w:style w:type="paragraph" w:customStyle="1" w:styleId="Bullet">
    <w:name w:val="Bullet"/>
    <w:aliases w:val="b,b + line"/>
    <w:basedOn w:val="Normal"/>
    <w:link w:val="BulletChar"/>
    <w:qFormat/>
    <w:rsid w:val="00695E6D"/>
    <w:pPr>
      <w:spacing w:after="240" w:line="320" w:lineRule="exact"/>
    </w:pPr>
    <w:rPr>
      <w:rFonts w:ascii="Palatino" w:eastAsia="Times New Roman" w:hAnsi="Palatino"/>
      <w:color w:val="000000"/>
      <w:sz w:val="22"/>
      <w:szCs w:val="22"/>
    </w:rPr>
  </w:style>
  <w:style w:type="character" w:customStyle="1" w:styleId="BulletChar">
    <w:name w:val="Bullet Char"/>
    <w:aliases w:val="b Char,b + line Char Char"/>
    <w:link w:val="Bullet"/>
    <w:locked/>
    <w:rsid w:val="00695E6D"/>
    <w:rPr>
      <w:rFonts w:ascii="Palatino" w:eastAsia="Times New Roman" w:hAnsi="Palatino" w:cs="Times New Roman"/>
      <w:color w:val="000000"/>
    </w:rPr>
  </w:style>
  <w:style w:type="paragraph" w:customStyle="1" w:styleId="Sectionheading">
    <w:name w:val="Section heading"/>
    <w:basedOn w:val="Heading2"/>
    <w:next w:val="Normal"/>
    <w:link w:val="SectionheadingChar"/>
    <w:rsid w:val="00695E6D"/>
    <w:pPr>
      <w:pBdr>
        <w:bottom w:val="single" w:sz="18" w:space="1" w:color="333399"/>
      </w:pBdr>
      <w:spacing w:after="240"/>
      <w:ind w:right="0"/>
    </w:pPr>
    <w:rPr>
      <w:rFonts w:ascii="Arial" w:hAnsi="Arial"/>
      <w:b/>
      <w:bCs/>
      <w:iCs/>
      <w:smallCaps/>
      <w:color w:val="333399"/>
      <w:kern w:val="0"/>
      <w:sz w:val="28"/>
    </w:rPr>
  </w:style>
  <w:style w:type="character" w:customStyle="1" w:styleId="SectionheadingChar">
    <w:name w:val="Section heading Char"/>
    <w:link w:val="Sectionheading"/>
    <w:locked/>
    <w:rsid w:val="00695E6D"/>
    <w:rPr>
      <w:rFonts w:ascii="Arial" w:eastAsia="Times New Roman" w:hAnsi="Arial" w:cs="Arial"/>
      <w:b/>
      <w:bCs/>
      <w:iCs/>
      <w:smallCaps/>
      <w:color w:val="333399"/>
      <w:sz w:val="28"/>
      <w:szCs w:val="28"/>
    </w:rPr>
  </w:style>
  <w:style w:type="character" w:customStyle="1" w:styleId="ListParagraphChar">
    <w:name w:val="List Paragraph Char"/>
    <w:aliases w:val="List Paragraph1 Char,List Paragraph11 Char,ADB List Paragraph Char"/>
    <w:basedOn w:val="DefaultParagraphFont"/>
    <w:link w:val="ListParagraph"/>
    <w:uiPriority w:val="34"/>
    <w:locked/>
    <w:rsid w:val="00695E6D"/>
    <w:rPr>
      <w:rFonts w:ascii="Times New Roman" w:eastAsia="Times New Roman" w:hAnsi="Times New Roman" w:cs="Times New Roman"/>
      <w:szCs w:val="24"/>
    </w:rPr>
  </w:style>
  <w:style w:type="paragraph" w:styleId="NormalWeb">
    <w:name w:val="Normal (Web)"/>
    <w:basedOn w:val="Normal"/>
    <w:uiPriority w:val="99"/>
    <w:unhideWhenUsed/>
    <w:rsid w:val="00695E6D"/>
    <w:pPr>
      <w:spacing w:before="100" w:beforeAutospacing="1" w:after="100" w:afterAutospacing="1"/>
    </w:pPr>
    <w:rPr>
      <w:rFonts w:eastAsia="Times New Roman"/>
      <w:sz w:val="24"/>
    </w:rPr>
  </w:style>
  <w:style w:type="paragraph" w:styleId="HTMLPreformatted">
    <w:name w:val="HTML Preformatted"/>
    <w:basedOn w:val="Normal"/>
    <w:link w:val="HTMLPreformattedChar"/>
    <w:uiPriority w:val="99"/>
    <w:unhideWhenUsed/>
    <w:rsid w:val="0069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95E6D"/>
    <w:rPr>
      <w:rFonts w:ascii="Courier New" w:eastAsia="Times New Roman" w:hAnsi="Courier New" w:cs="Courier New"/>
      <w:sz w:val="20"/>
      <w:szCs w:val="20"/>
    </w:rPr>
  </w:style>
  <w:style w:type="paragraph" w:styleId="NoSpacing">
    <w:name w:val="No Spacing"/>
    <w:uiPriority w:val="1"/>
    <w:qFormat/>
    <w:rsid w:val="00695E6D"/>
    <w:pPr>
      <w:spacing w:after="0" w:line="240" w:lineRule="auto"/>
    </w:pPr>
    <w:rPr>
      <w:rFonts w:ascii="Tw Cen MT" w:eastAsia="Times New Roman" w:hAnsi="Tw Cen MT" w:cs="Times New Roman"/>
      <w:sz w:val="20"/>
      <w:lang w:eastAsia="en-US"/>
    </w:rPr>
  </w:style>
  <w:style w:type="paragraph" w:customStyle="1" w:styleId="Style1">
    <w:name w:val="Style1"/>
    <w:basedOn w:val="ListParagraph"/>
    <w:qFormat/>
    <w:rsid w:val="00695E6D"/>
    <w:pPr>
      <w:numPr>
        <w:numId w:val="0"/>
      </w:numPr>
      <w:spacing w:before="120" w:line="276" w:lineRule="auto"/>
      <w:contextualSpacing/>
    </w:pPr>
    <w:rPr>
      <w:rFonts w:ascii="Arial" w:hAnsi="Arial" w:cs="Arial"/>
      <w:sz w:val="16"/>
      <w:szCs w:val="20"/>
      <w:lang w:eastAsia="zh-CN"/>
    </w:rPr>
  </w:style>
  <w:style w:type="paragraph" w:customStyle="1" w:styleId="cap">
    <w:name w:val="cap"/>
    <w:basedOn w:val="Normal"/>
    <w:rsid w:val="00695E6D"/>
    <w:pPr>
      <w:spacing w:before="100" w:beforeAutospacing="1" w:after="100" w:afterAutospacing="1"/>
    </w:pPr>
    <w:rPr>
      <w:rFonts w:eastAsia="Times New Roman"/>
      <w:sz w:val="24"/>
    </w:rPr>
  </w:style>
  <w:style w:type="character" w:styleId="Emphasis">
    <w:name w:val="Emphasis"/>
    <w:basedOn w:val="DefaultParagraphFont"/>
    <w:uiPriority w:val="20"/>
    <w:qFormat/>
    <w:rsid w:val="00695E6D"/>
    <w:rPr>
      <w:b/>
      <w:bCs/>
      <w:i w:val="0"/>
      <w:iCs w:val="0"/>
    </w:rPr>
  </w:style>
  <w:style w:type="character" w:customStyle="1" w:styleId="st">
    <w:name w:val="st"/>
    <w:basedOn w:val="DefaultParagraphFont"/>
    <w:rsid w:val="00695E6D"/>
  </w:style>
  <w:style w:type="paragraph" w:customStyle="1" w:styleId="DoubleDot">
    <w:name w:val="Double Dot"/>
    <w:basedOn w:val="Normal"/>
    <w:rsid w:val="00695E6D"/>
    <w:pPr>
      <w:tabs>
        <w:tab w:val="num" w:pos="1560"/>
      </w:tabs>
      <w:spacing w:after="240" w:line="320" w:lineRule="exact"/>
      <w:ind w:left="1560" w:hanging="520"/>
    </w:pPr>
    <w:rPr>
      <w:rFonts w:ascii="Palatino" w:eastAsia="Times New Roman" w:hAnsi="Palatino"/>
      <w:color w:val="000000"/>
      <w:sz w:val="22"/>
      <w:szCs w:val="22"/>
    </w:rPr>
  </w:style>
  <w:style w:type="character" w:styleId="Strong">
    <w:name w:val="Strong"/>
    <w:basedOn w:val="DefaultParagraphFont"/>
    <w:uiPriority w:val="22"/>
    <w:qFormat/>
    <w:rsid w:val="002E7053"/>
    <w:rPr>
      <w:b/>
      <w:bCs/>
    </w:rPr>
  </w:style>
  <w:style w:type="paragraph" w:styleId="Header">
    <w:name w:val="header"/>
    <w:basedOn w:val="Normal"/>
    <w:link w:val="HeaderChar"/>
    <w:uiPriority w:val="99"/>
    <w:unhideWhenUsed/>
    <w:rsid w:val="009D27BB"/>
    <w:pPr>
      <w:tabs>
        <w:tab w:val="center" w:pos="4513"/>
        <w:tab w:val="right" w:pos="9026"/>
      </w:tabs>
    </w:pPr>
  </w:style>
  <w:style w:type="character" w:customStyle="1" w:styleId="HeaderChar">
    <w:name w:val="Header Char"/>
    <w:basedOn w:val="DefaultParagraphFont"/>
    <w:link w:val="Header"/>
    <w:uiPriority w:val="99"/>
    <w:rsid w:val="009D27BB"/>
    <w:rPr>
      <w:rFonts w:ascii="Times New Roman" w:eastAsia="SimSu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4654">
      <w:bodyDiv w:val="1"/>
      <w:marLeft w:val="0"/>
      <w:marRight w:val="0"/>
      <w:marTop w:val="0"/>
      <w:marBottom w:val="0"/>
      <w:divBdr>
        <w:top w:val="none" w:sz="0" w:space="0" w:color="auto"/>
        <w:left w:val="none" w:sz="0" w:space="0" w:color="auto"/>
        <w:bottom w:val="none" w:sz="0" w:space="0" w:color="auto"/>
        <w:right w:val="none" w:sz="0" w:space="0" w:color="auto"/>
      </w:divBdr>
      <w:divsChild>
        <w:div w:id="111674372">
          <w:marLeft w:val="0"/>
          <w:marRight w:val="0"/>
          <w:marTop w:val="0"/>
          <w:marBottom w:val="0"/>
          <w:divBdr>
            <w:top w:val="none" w:sz="0" w:space="0" w:color="auto"/>
            <w:left w:val="none" w:sz="0" w:space="0" w:color="auto"/>
            <w:bottom w:val="none" w:sz="0" w:space="0" w:color="auto"/>
            <w:right w:val="none" w:sz="0" w:space="0" w:color="auto"/>
          </w:divBdr>
          <w:divsChild>
            <w:div w:id="803473846">
              <w:marLeft w:val="0"/>
              <w:marRight w:val="0"/>
              <w:marTop w:val="0"/>
              <w:marBottom w:val="0"/>
              <w:divBdr>
                <w:top w:val="none" w:sz="0" w:space="0" w:color="auto"/>
                <w:left w:val="none" w:sz="0" w:space="0" w:color="auto"/>
                <w:bottom w:val="none" w:sz="0" w:space="0" w:color="auto"/>
                <w:right w:val="none" w:sz="0" w:space="0" w:color="auto"/>
              </w:divBdr>
              <w:divsChild>
                <w:div w:id="1120302286">
                  <w:marLeft w:val="-15"/>
                  <w:marRight w:val="0"/>
                  <w:marTop w:val="0"/>
                  <w:marBottom w:val="0"/>
                  <w:divBdr>
                    <w:top w:val="none" w:sz="0" w:space="0" w:color="auto"/>
                    <w:left w:val="single" w:sz="6" w:space="0" w:color="919B9C"/>
                    <w:bottom w:val="single" w:sz="6" w:space="15" w:color="919B9C"/>
                    <w:right w:val="none" w:sz="0" w:space="0" w:color="auto"/>
                  </w:divBdr>
                  <w:divsChild>
                    <w:div w:id="991982428">
                      <w:marLeft w:val="0"/>
                      <w:marRight w:val="0"/>
                      <w:marTop w:val="0"/>
                      <w:marBottom w:val="0"/>
                      <w:divBdr>
                        <w:top w:val="none" w:sz="0" w:space="0" w:color="auto"/>
                        <w:left w:val="none" w:sz="0" w:space="0" w:color="auto"/>
                        <w:bottom w:val="none" w:sz="0" w:space="0" w:color="auto"/>
                        <w:right w:val="none" w:sz="0" w:space="0" w:color="auto"/>
                      </w:divBdr>
                      <w:divsChild>
                        <w:div w:id="1970548978">
                          <w:marLeft w:val="0"/>
                          <w:marRight w:val="0"/>
                          <w:marTop w:val="0"/>
                          <w:marBottom w:val="0"/>
                          <w:divBdr>
                            <w:top w:val="none" w:sz="0" w:space="0" w:color="auto"/>
                            <w:left w:val="none" w:sz="0" w:space="0" w:color="auto"/>
                            <w:bottom w:val="none" w:sz="0" w:space="0" w:color="auto"/>
                            <w:right w:val="none" w:sz="0" w:space="0" w:color="auto"/>
                          </w:divBdr>
                          <w:divsChild>
                            <w:div w:id="43884037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215359215">
      <w:bodyDiv w:val="1"/>
      <w:marLeft w:val="0"/>
      <w:marRight w:val="0"/>
      <w:marTop w:val="0"/>
      <w:marBottom w:val="0"/>
      <w:divBdr>
        <w:top w:val="none" w:sz="0" w:space="0" w:color="auto"/>
        <w:left w:val="none" w:sz="0" w:space="0" w:color="auto"/>
        <w:bottom w:val="none" w:sz="0" w:space="0" w:color="auto"/>
        <w:right w:val="none" w:sz="0" w:space="0" w:color="auto"/>
      </w:divBdr>
    </w:div>
    <w:div w:id="326136727">
      <w:bodyDiv w:val="1"/>
      <w:marLeft w:val="0"/>
      <w:marRight w:val="0"/>
      <w:marTop w:val="0"/>
      <w:marBottom w:val="0"/>
      <w:divBdr>
        <w:top w:val="none" w:sz="0" w:space="0" w:color="auto"/>
        <w:left w:val="none" w:sz="0" w:space="0" w:color="auto"/>
        <w:bottom w:val="none" w:sz="0" w:space="0" w:color="auto"/>
        <w:right w:val="none" w:sz="0" w:space="0" w:color="auto"/>
      </w:divBdr>
    </w:div>
    <w:div w:id="384066356">
      <w:bodyDiv w:val="1"/>
      <w:marLeft w:val="0"/>
      <w:marRight w:val="0"/>
      <w:marTop w:val="0"/>
      <w:marBottom w:val="0"/>
      <w:divBdr>
        <w:top w:val="none" w:sz="0" w:space="0" w:color="auto"/>
        <w:left w:val="none" w:sz="0" w:space="0" w:color="auto"/>
        <w:bottom w:val="none" w:sz="0" w:space="0" w:color="auto"/>
        <w:right w:val="none" w:sz="0" w:space="0" w:color="auto"/>
      </w:divBdr>
    </w:div>
    <w:div w:id="470292510">
      <w:bodyDiv w:val="1"/>
      <w:marLeft w:val="0"/>
      <w:marRight w:val="0"/>
      <w:marTop w:val="0"/>
      <w:marBottom w:val="0"/>
      <w:divBdr>
        <w:top w:val="none" w:sz="0" w:space="0" w:color="auto"/>
        <w:left w:val="none" w:sz="0" w:space="0" w:color="auto"/>
        <w:bottom w:val="none" w:sz="0" w:space="0" w:color="auto"/>
        <w:right w:val="none" w:sz="0" w:space="0" w:color="auto"/>
      </w:divBdr>
    </w:div>
    <w:div w:id="939024147">
      <w:bodyDiv w:val="1"/>
      <w:marLeft w:val="0"/>
      <w:marRight w:val="0"/>
      <w:marTop w:val="0"/>
      <w:marBottom w:val="0"/>
      <w:divBdr>
        <w:top w:val="none" w:sz="0" w:space="0" w:color="auto"/>
        <w:left w:val="none" w:sz="0" w:space="0" w:color="auto"/>
        <w:bottom w:val="none" w:sz="0" w:space="0" w:color="auto"/>
        <w:right w:val="none" w:sz="0" w:space="0" w:color="auto"/>
      </w:divBdr>
    </w:div>
    <w:div w:id="977567240">
      <w:bodyDiv w:val="1"/>
      <w:marLeft w:val="0"/>
      <w:marRight w:val="0"/>
      <w:marTop w:val="0"/>
      <w:marBottom w:val="0"/>
      <w:divBdr>
        <w:top w:val="none" w:sz="0" w:space="0" w:color="auto"/>
        <w:left w:val="none" w:sz="0" w:space="0" w:color="auto"/>
        <w:bottom w:val="none" w:sz="0" w:space="0" w:color="auto"/>
        <w:right w:val="none" w:sz="0" w:space="0" w:color="auto"/>
      </w:divBdr>
      <w:divsChild>
        <w:div w:id="525607182">
          <w:marLeft w:val="0"/>
          <w:marRight w:val="0"/>
          <w:marTop w:val="0"/>
          <w:marBottom w:val="0"/>
          <w:divBdr>
            <w:top w:val="none" w:sz="0" w:space="0" w:color="auto"/>
            <w:left w:val="none" w:sz="0" w:space="0" w:color="auto"/>
            <w:bottom w:val="none" w:sz="0" w:space="0" w:color="auto"/>
            <w:right w:val="none" w:sz="0" w:space="0" w:color="auto"/>
          </w:divBdr>
          <w:divsChild>
            <w:div w:id="679938410">
              <w:marLeft w:val="0"/>
              <w:marRight w:val="0"/>
              <w:marTop w:val="0"/>
              <w:marBottom w:val="0"/>
              <w:divBdr>
                <w:top w:val="none" w:sz="0" w:space="0" w:color="auto"/>
                <w:left w:val="none" w:sz="0" w:space="0" w:color="auto"/>
                <w:bottom w:val="none" w:sz="0" w:space="0" w:color="auto"/>
                <w:right w:val="none" w:sz="0" w:space="0" w:color="auto"/>
              </w:divBdr>
              <w:divsChild>
                <w:div w:id="1183323031">
                  <w:marLeft w:val="-15"/>
                  <w:marRight w:val="0"/>
                  <w:marTop w:val="0"/>
                  <w:marBottom w:val="0"/>
                  <w:divBdr>
                    <w:top w:val="none" w:sz="0" w:space="0" w:color="auto"/>
                    <w:left w:val="single" w:sz="6" w:space="0" w:color="919B9C"/>
                    <w:bottom w:val="single" w:sz="6" w:space="15" w:color="919B9C"/>
                    <w:right w:val="none" w:sz="0" w:space="0" w:color="auto"/>
                  </w:divBdr>
                  <w:divsChild>
                    <w:div w:id="308443470">
                      <w:marLeft w:val="0"/>
                      <w:marRight w:val="0"/>
                      <w:marTop w:val="0"/>
                      <w:marBottom w:val="0"/>
                      <w:divBdr>
                        <w:top w:val="none" w:sz="0" w:space="0" w:color="auto"/>
                        <w:left w:val="none" w:sz="0" w:space="0" w:color="auto"/>
                        <w:bottom w:val="none" w:sz="0" w:space="0" w:color="auto"/>
                        <w:right w:val="none" w:sz="0" w:space="0" w:color="auto"/>
                      </w:divBdr>
                      <w:divsChild>
                        <w:div w:id="443693751">
                          <w:marLeft w:val="0"/>
                          <w:marRight w:val="0"/>
                          <w:marTop w:val="0"/>
                          <w:marBottom w:val="0"/>
                          <w:divBdr>
                            <w:top w:val="none" w:sz="0" w:space="0" w:color="auto"/>
                            <w:left w:val="none" w:sz="0" w:space="0" w:color="auto"/>
                            <w:bottom w:val="none" w:sz="0" w:space="0" w:color="auto"/>
                            <w:right w:val="none" w:sz="0" w:space="0" w:color="auto"/>
                          </w:divBdr>
                          <w:divsChild>
                            <w:div w:id="85734864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985008139">
      <w:bodyDiv w:val="1"/>
      <w:marLeft w:val="0"/>
      <w:marRight w:val="0"/>
      <w:marTop w:val="0"/>
      <w:marBottom w:val="0"/>
      <w:divBdr>
        <w:top w:val="none" w:sz="0" w:space="0" w:color="auto"/>
        <w:left w:val="none" w:sz="0" w:space="0" w:color="auto"/>
        <w:bottom w:val="none" w:sz="0" w:space="0" w:color="auto"/>
        <w:right w:val="none" w:sz="0" w:space="0" w:color="auto"/>
      </w:divBdr>
    </w:div>
    <w:div w:id="1060982230">
      <w:bodyDiv w:val="1"/>
      <w:marLeft w:val="0"/>
      <w:marRight w:val="0"/>
      <w:marTop w:val="0"/>
      <w:marBottom w:val="0"/>
      <w:divBdr>
        <w:top w:val="none" w:sz="0" w:space="0" w:color="auto"/>
        <w:left w:val="none" w:sz="0" w:space="0" w:color="auto"/>
        <w:bottom w:val="none" w:sz="0" w:space="0" w:color="auto"/>
        <w:right w:val="none" w:sz="0" w:space="0" w:color="auto"/>
      </w:divBdr>
    </w:div>
    <w:div w:id="1194732379">
      <w:bodyDiv w:val="1"/>
      <w:marLeft w:val="0"/>
      <w:marRight w:val="0"/>
      <w:marTop w:val="0"/>
      <w:marBottom w:val="0"/>
      <w:divBdr>
        <w:top w:val="none" w:sz="0" w:space="0" w:color="auto"/>
        <w:left w:val="none" w:sz="0" w:space="0" w:color="auto"/>
        <w:bottom w:val="none" w:sz="0" w:space="0" w:color="auto"/>
        <w:right w:val="none" w:sz="0" w:space="0" w:color="auto"/>
      </w:divBdr>
    </w:div>
    <w:div w:id="1327172578">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51104743">
      <w:bodyDiv w:val="1"/>
      <w:marLeft w:val="0"/>
      <w:marRight w:val="0"/>
      <w:marTop w:val="0"/>
      <w:marBottom w:val="0"/>
      <w:divBdr>
        <w:top w:val="none" w:sz="0" w:space="0" w:color="auto"/>
        <w:left w:val="none" w:sz="0" w:space="0" w:color="auto"/>
        <w:bottom w:val="none" w:sz="0" w:space="0" w:color="auto"/>
        <w:right w:val="none" w:sz="0" w:space="0" w:color="auto"/>
      </w:divBdr>
    </w:div>
    <w:div w:id="1354573960">
      <w:bodyDiv w:val="1"/>
      <w:marLeft w:val="0"/>
      <w:marRight w:val="0"/>
      <w:marTop w:val="0"/>
      <w:marBottom w:val="0"/>
      <w:divBdr>
        <w:top w:val="none" w:sz="0" w:space="0" w:color="auto"/>
        <w:left w:val="none" w:sz="0" w:space="0" w:color="auto"/>
        <w:bottom w:val="none" w:sz="0" w:space="0" w:color="auto"/>
        <w:right w:val="none" w:sz="0" w:space="0" w:color="auto"/>
      </w:divBdr>
    </w:div>
    <w:div w:id="1465351336">
      <w:bodyDiv w:val="1"/>
      <w:marLeft w:val="0"/>
      <w:marRight w:val="0"/>
      <w:marTop w:val="0"/>
      <w:marBottom w:val="0"/>
      <w:divBdr>
        <w:top w:val="none" w:sz="0" w:space="0" w:color="auto"/>
        <w:left w:val="none" w:sz="0" w:space="0" w:color="auto"/>
        <w:bottom w:val="none" w:sz="0" w:space="0" w:color="auto"/>
        <w:right w:val="none" w:sz="0" w:space="0" w:color="auto"/>
      </w:divBdr>
    </w:div>
    <w:div w:id="1500464447">
      <w:bodyDiv w:val="1"/>
      <w:marLeft w:val="0"/>
      <w:marRight w:val="0"/>
      <w:marTop w:val="0"/>
      <w:marBottom w:val="0"/>
      <w:divBdr>
        <w:top w:val="none" w:sz="0" w:space="0" w:color="auto"/>
        <w:left w:val="none" w:sz="0" w:space="0" w:color="auto"/>
        <w:bottom w:val="none" w:sz="0" w:space="0" w:color="auto"/>
        <w:right w:val="none" w:sz="0" w:space="0" w:color="auto"/>
      </w:divBdr>
    </w:div>
    <w:div w:id="1549150536">
      <w:bodyDiv w:val="1"/>
      <w:marLeft w:val="0"/>
      <w:marRight w:val="0"/>
      <w:marTop w:val="0"/>
      <w:marBottom w:val="0"/>
      <w:divBdr>
        <w:top w:val="none" w:sz="0" w:space="0" w:color="auto"/>
        <w:left w:val="none" w:sz="0" w:space="0" w:color="auto"/>
        <w:bottom w:val="none" w:sz="0" w:space="0" w:color="auto"/>
        <w:right w:val="none" w:sz="0" w:space="0" w:color="auto"/>
      </w:divBdr>
      <w:divsChild>
        <w:div w:id="1682127174">
          <w:marLeft w:val="0"/>
          <w:marRight w:val="0"/>
          <w:marTop w:val="0"/>
          <w:marBottom w:val="0"/>
          <w:divBdr>
            <w:top w:val="none" w:sz="0" w:space="0" w:color="auto"/>
            <w:left w:val="none" w:sz="0" w:space="0" w:color="auto"/>
            <w:bottom w:val="none" w:sz="0" w:space="0" w:color="auto"/>
            <w:right w:val="none" w:sz="0" w:space="0" w:color="auto"/>
          </w:divBdr>
          <w:divsChild>
            <w:div w:id="821310240">
              <w:marLeft w:val="0"/>
              <w:marRight w:val="0"/>
              <w:marTop w:val="0"/>
              <w:marBottom w:val="0"/>
              <w:divBdr>
                <w:top w:val="none" w:sz="0" w:space="0" w:color="auto"/>
                <w:left w:val="none" w:sz="0" w:space="0" w:color="auto"/>
                <w:bottom w:val="none" w:sz="0" w:space="0" w:color="auto"/>
                <w:right w:val="none" w:sz="0" w:space="0" w:color="auto"/>
              </w:divBdr>
              <w:divsChild>
                <w:div w:id="1120339116">
                  <w:marLeft w:val="0"/>
                  <w:marRight w:val="0"/>
                  <w:marTop w:val="0"/>
                  <w:marBottom w:val="0"/>
                  <w:divBdr>
                    <w:top w:val="none" w:sz="0" w:space="0" w:color="auto"/>
                    <w:left w:val="none" w:sz="0" w:space="0" w:color="auto"/>
                    <w:bottom w:val="none" w:sz="0" w:space="0" w:color="auto"/>
                    <w:right w:val="none" w:sz="0" w:space="0" w:color="auto"/>
                  </w:divBdr>
                  <w:divsChild>
                    <w:div w:id="1612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47830">
      <w:bodyDiv w:val="1"/>
      <w:marLeft w:val="0"/>
      <w:marRight w:val="0"/>
      <w:marTop w:val="0"/>
      <w:marBottom w:val="0"/>
      <w:divBdr>
        <w:top w:val="none" w:sz="0" w:space="0" w:color="auto"/>
        <w:left w:val="none" w:sz="0" w:space="0" w:color="auto"/>
        <w:bottom w:val="none" w:sz="0" w:space="0" w:color="auto"/>
        <w:right w:val="none" w:sz="0" w:space="0" w:color="auto"/>
      </w:divBdr>
    </w:div>
    <w:div w:id="1577015507">
      <w:bodyDiv w:val="1"/>
      <w:marLeft w:val="0"/>
      <w:marRight w:val="0"/>
      <w:marTop w:val="0"/>
      <w:marBottom w:val="0"/>
      <w:divBdr>
        <w:top w:val="none" w:sz="0" w:space="0" w:color="auto"/>
        <w:left w:val="none" w:sz="0" w:space="0" w:color="auto"/>
        <w:bottom w:val="none" w:sz="0" w:space="0" w:color="auto"/>
        <w:right w:val="none" w:sz="0" w:space="0" w:color="auto"/>
      </w:divBdr>
    </w:div>
    <w:div w:id="1647737143">
      <w:bodyDiv w:val="1"/>
      <w:marLeft w:val="0"/>
      <w:marRight w:val="0"/>
      <w:marTop w:val="0"/>
      <w:marBottom w:val="0"/>
      <w:divBdr>
        <w:top w:val="none" w:sz="0" w:space="0" w:color="auto"/>
        <w:left w:val="none" w:sz="0" w:space="0" w:color="auto"/>
        <w:bottom w:val="none" w:sz="0" w:space="0" w:color="auto"/>
        <w:right w:val="none" w:sz="0" w:space="0" w:color="auto"/>
      </w:divBdr>
    </w:div>
    <w:div w:id="1700624296">
      <w:bodyDiv w:val="1"/>
      <w:marLeft w:val="0"/>
      <w:marRight w:val="0"/>
      <w:marTop w:val="0"/>
      <w:marBottom w:val="0"/>
      <w:divBdr>
        <w:top w:val="none" w:sz="0" w:space="0" w:color="auto"/>
        <w:left w:val="none" w:sz="0" w:space="0" w:color="auto"/>
        <w:bottom w:val="none" w:sz="0" w:space="0" w:color="auto"/>
        <w:right w:val="none" w:sz="0" w:space="0" w:color="auto"/>
      </w:divBdr>
    </w:div>
    <w:div w:id="1767535664">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22008101">
      <w:bodyDiv w:val="1"/>
      <w:marLeft w:val="0"/>
      <w:marRight w:val="0"/>
      <w:marTop w:val="0"/>
      <w:marBottom w:val="0"/>
      <w:divBdr>
        <w:top w:val="none" w:sz="0" w:space="0" w:color="auto"/>
        <w:left w:val="none" w:sz="0" w:space="0" w:color="auto"/>
        <w:bottom w:val="none" w:sz="0" w:space="0" w:color="auto"/>
        <w:right w:val="none" w:sz="0" w:space="0" w:color="auto"/>
      </w:divBdr>
    </w:div>
    <w:div w:id="202716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D7D6C7-C1E2-4B44-9AE1-B2393216145D}"/>
</file>

<file path=customXml/itemProps2.xml><?xml version="1.0" encoding="utf-8"?>
<ds:datastoreItem xmlns:ds="http://schemas.openxmlformats.org/officeDocument/2006/customXml" ds:itemID="{C4E07B64-93DE-45BD-9514-029138AEE904}"/>
</file>

<file path=customXml/itemProps3.xml><?xml version="1.0" encoding="utf-8"?>
<ds:datastoreItem xmlns:ds="http://schemas.openxmlformats.org/officeDocument/2006/customXml" ds:itemID="{3D4B48E0-AB63-4DF9-9D9D-4CB248923982}"/>
</file>

<file path=customXml/itemProps4.xml><?xml version="1.0" encoding="utf-8"?>
<ds:datastoreItem xmlns:ds="http://schemas.openxmlformats.org/officeDocument/2006/customXml" ds:itemID="{55E42F85-2286-4923-B778-AF8150757E0C}"/>
</file>

<file path=docProps/app.xml><?xml version="1.0" encoding="utf-8"?>
<Properties xmlns="http://schemas.openxmlformats.org/officeDocument/2006/extended-properties" xmlns:vt="http://schemas.openxmlformats.org/officeDocument/2006/docPropsVTypes">
  <Template>Normal.dotm</Template>
  <TotalTime>0</TotalTime>
  <Pages>30</Pages>
  <Words>13007</Words>
  <Characters>74146</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2014-01-29T05:26:00Z</dcterms:created>
  <dcterms:modified xsi:type="dcterms:W3CDTF">2014-01-29T05:42:00Z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312700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