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2D81" w14:textId="77777777" w:rsidR="00665D77" w:rsidRDefault="00665D77" w:rsidP="00126856">
      <w:pPr>
        <w:pStyle w:val="Heading1"/>
        <w:numPr>
          <w:ilvl w:val="0"/>
          <w:numId w:val="0"/>
        </w:numPr>
      </w:pPr>
      <w:bookmarkStart w:id="0" w:name="_Toc413078488"/>
    </w:p>
    <w:p w14:paraId="4DBF6B12" w14:textId="77777777" w:rsidR="00125375" w:rsidRDefault="00125375" w:rsidP="00125375"/>
    <w:p w14:paraId="6F018EDC" w14:textId="77777777" w:rsidR="00125375" w:rsidRDefault="00125375" w:rsidP="00125375"/>
    <w:p w14:paraId="0A225BBA" w14:textId="77777777" w:rsidR="00125375" w:rsidRDefault="00125375" w:rsidP="00125375"/>
    <w:p w14:paraId="4FAEEA36" w14:textId="77777777" w:rsidR="00125375" w:rsidRDefault="00125375" w:rsidP="00961EF6">
      <w:pPr>
        <w:spacing w:line="1000" w:lineRule="atLeast"/>
        <w:rPr>
          <w:b/>
          <w:bCs/>
          <w:color w:val="auto"/>
          <w:sz w:val="36"/>
          <w:szCs w:val="36"/>
          <w:lang w:val="en-GB"/>
        </w:rPr>
      </w:pPr>
      <w:bookmarkStart w:id="1" w:name="_Hlk216192824"/>
      <w:r w:rsidRPr="00125375">
        <w:rPr>
          <w:b/>
          <w:bCs/>
          <w:color w:val="auto"/>
          <w:sz w:val="36"/>
          <w:szCs w:val="36"/>
          <w:lang w:val="en-GB"/>
        </w:rPr>
        <w:t>INVESTMENT DESIGN DOCUMENT</w:t>
      </w:r>
    </w:p>
    <w:p w14:paraId="74EBF5E0" w14:textId="77777777" w:rsidR="00A2023F" w:rsidRDefault="00125375" w:rsidP="00B17B40">
      <w:pPr>
        <w:spacing w:before="600" w:after="0" w:line="276" w:lineRule="auto"/>
        <w:rPr>
          <w:b/>
          <w:bCs/>
          <w:caps/>
          <w:color w:val="auto"/>
          <w:sz w:val="36"/>
          <w:szCs w:val="36"/>
          <w:lang w:val="en-GB"/>
        </w:rPr>
      </w:pPr>
      <w:r w:rsidRPr="00D32A9B">
        <w:rPr>
          <w:b/>
          <w:bCs/>
          <w:caps/>
          <w:color w:val="auto"/>
          <w:sz w:val="36"/>
          <w:szCs w:val="36"/>
          <w:lang w:val="en-GB"/>
        </w:rPr>
        <w:t>Australia-Indonesia Climate</w:t>
      </w:r>
      <w:r w:rsidR="00A2023F">
        <w:rPr>
          <w:b/>
          <w:bCs/>
          <w:caps/>
          <w:color w:val="auto"/>
          <w:sz w:val="36"/>
          <w:szCs w:val="36"/>
          <w:lang w:val="en-GB"/>
        </w:rPr>
        <w:t xml:space="preserve"> and </w:t>
      </w:r>
    </w:p>
    <w:p w14:paraId="045BF003" w14:textId="7281B439" w:rsidR="00125375" w:rsidRPr="00125375" w:rsidRDefault="00A2023F" w:rsidP="00E631FD">
      <w:pPr>
        <w:spacing w:before="60" w:after="0" w:line="276" w:lineRule="auto"/>
        <w:rPr>
          <w:b/>
          <w:bCs/>
          <w:caps/>
          <w:color w:val="auto"/>
          <w:sz w:val="36"/>
          <w:szCs w:val="36"/>
          <w:lang w:val="en-GB"/>
        </w:rPr>
      </w:pPr>
      <w:r>
        <w:rPr>
          <w:b/>
          <w:bCs/>
          <w:caps/>
          <w:color w:val="auto"/>
          <w:sz w:val="36"/>
          <w:szCs w:val="36"/>
          <w:lang w:val="en-GB"/>
        </w:rPr>
        <w:t>sustainable</w:t>
      </w:r>
      <w:r w:rsidR="00125375" w:rsidRPr="00D32A9B">
        <w:rPr>
          <w:b/>
          <w:bCs/>
          <w:caps/>
          <w:color w:val="auto"/>
          <w:sz w:val="36"/>
          <w:szCs w:val="36"/>
          <w:lang w:val="en-GB"/>
        </w:rPr>
        <w:t xml:space="preserve"> Infrastructure</w:t>
      </w:r>
      <w:r>
        <w:rPr>
          <w:b/>
          <w:bCs/>
          <w:caps/>
          <w:color w:val="auto"/>
          <w:sz w:val="36"/>
          <w:szCs w:val="36"/>
          <w:lang w:val="en-GB"/>
        </w:rPr>
        <w:t xml:space="preserve"> </w:t>
      </w:r>
      <w:r w:rsidR="00125375" w:rsidRPr="00D32A9B">
        <w:rPr>
          <w:b/>
          <w:bCs/>
          <w:caps/>
          <w:color w:val="auto"/>
          <w:sz w:val="36"/>
          <w:szCs w:val="36"/>
          <w:lang w:val="en-GB"/>
        </w:rPr>
        <w:t xml:space="preserve">Partnership (KINETIK) </w:t>
      </w:r>
    </w:p>
    <w:bookmarkEnd w:id="1"/>
    <w:p w14:paraId="61AB7A0F" w14:textId="77777777" w:rsidR="00E1430D" w:rsidRDefault="00E1430D" w:rsidP="00D72F9A">
      <w:pPr>
        <w:spacing w:before="0" w:after="0" w:line="240" w:lineRule="auto"/>
        <w:rPr>
          <w:b/>
          <w:bCs/>
          <w:sz w:val="28"/>
          <w:szCs w:val="28"/>
          <w:lang w:val="en-GB"/>
        </w:rPr>
      </w:pPr>
    </w:p>
    <w:p w14:paraId="2BC012CD" w14:textId="77777777" w:rsidR="00D72F9A" w:rsidRPr="00170DF2" w:rsidRDefault="00D72F9A" w:rsidP="00D72F9A">
      <w:pPr>
        <w:spacing w:before="0" w:after="0" w:line="240" w:lineRule="auto"/>
        <w:rPr>
          <w:b/>
          <w:bCs/>
          <w:sz w:val="28"/>
          <w:szCs w:val="28"/>
          <w:lang w:val="en-GB"/>
        </w:rPr>
      </w:pPr>
    </w:p>
    <w:p w14:paraId="56136720" w14:textId="43DE7253" w:rsidR="00125375" w:rsidRPr="00125375" w:rsidRDefault="00E631FD" w:rsidP="00125375">
      <w:pPr>
        <w:rPr>
          <w:b/>
          <w:bCs/>
          <w:sz w:val="28"/>
          <w:szCs w:val="28"/>
          <w:lang w:val="en-GB"/>
        </w:rPr>
      </w:pPr>
      <w:r>
        <w:rPr>
          <w:b/>
          <w:bCs/>
          <w:sz w:val="28"/>
          <w:szCs w:val="28"/>
          <w:lang w:val="en-GB"/>
        </w:rPr>
        <w:t>Decem</w:t>
      </w:r>
      <w:r w:rsidR="00125375" w:rsidRPr="00125375">
        <w:rPr>
          <w:b/>
          <w:bCs/>
          <w:sz w:val="28"/>
          <w:szCs w:val="28"/>
          <w:lang w:val="en-GB"/>
        </w:rPr>
        <w:t>ber 202</w:t>
      </w:r>
      <w:r w:rsidR="00125375" w:rsidRPr="00170DF2">
        <w:rPr>
          <w:b/>
          <w:bCs/>
          <w:sz w:val="28"/>
          <w:szCs w:val="28"/>
          <w:lang w:val="en-GB"/>
        </w:rPr>
        <w:t>5</w:t>
      </w:r>
    </w:p>
    <w:p w14:paraId="33F7ACDB" w14:textId="77777777" w:rsidR="00125375" w:rsidRPr="00125375" w:rsidRDefault="00125375" w:rsidP="00125375"/>
    <w:bookmarkEnd w:id="0"/>
    <w:p w14:paraId="3B565144" w14:textId="77777777" w:rsidR="00125375" w:rsidRDefault="00125375">
      <w:pPr>
        <w:suppressAutoHyphens w:val="0"/>
        <w:spacing w:before="0" w:after="120" w:line="440" w:lineRule="atLeast"/>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br w:type="page"/>
      </w:r>
    </w:p>
    <w:p w14:paraId="6D630B58" w14:textId="77777777" w:rsidR="00497954" w:rsidRDefault="00497954" w:rsidP="00B32D31">
      <w:pPr>
        <w:suppressAutoHyphens w:val="0"/>
        <w:spacing w:before="0" w:after="120" w:line="440" w:lineRule="atLeast"/>
        <w:rPr>
          <w:rFonts w:asciiTheme="majorHAnsi" w:eastAsia="Times New Roman" w:hAnsiTheme="majorHAnsi" w:cstheme="majorHAnsi"/>
          <w:b/>
          <w:bCs/>
          <w:sz w:val="24"/>
          <w:szCs w:val="24"/>
        </w:rPr>
        <w:sectPr w:rsidR="00497954" w:rsidSect="00373A9E">
          <w:headerReference w:type="default" r:id="rId11"/>
          <w:footerReference w:type="default" r:id="rId12"/>
          <w:headerReference w:type="first" r:id="rId13"/>
          <w:footerReference w:type="first" r:id="rId14"/>
          <w:pgSz w:w="11906" w:h="16838" w:code="9"/>
          <w:pgMar w:top="1418" w:right="1134" w:bottom="1418" w:left="1134" w:header="425" w:footer="493" w:gutter="0"/>
          <w:cols w:space="397"/>
          <w:titlePg/>
          <w:docGrid w:linePitch="360"/>
        </w:sectPr>
      </w:pPr>
    </w:p>
    <w:sdt>
      <w:sdtPr>
        <w:rPr>
          <w:rFonts w:asciiTheme="minorHAnsi" w:eastAsiaTheme="minorHAnsi" w:hAnsiTheme="minorHAnsi" w:cstheme="minorBidi"/>
          <w:b w:val="0"/>
          <w:sz w:val="22"/>
          <w:szCs w:val="22"/>
        </w:rPr>
        <w:id w:val="-982077892"/>
        <w:docPartObj>
          <w:docPartGallery w:val="Table of Contents"/>
          <w:docPartUnique/>
        </w:docPartObj>
      </w:sdtPr>
      <w:sdtEndPr>
        <w:rPr>
          <w:bCs/>
          <w:noProof/>
        </w:rPr>
      </w:sdtEndPr>
      <w:sdtContent>
        <w:p w14:paraId="7F1D49AE" w14:textId="1BBAA795" w:rsidR="000B7B7F" w:rsidRDefault="000B7B7F" w:rsidP="00AD769D">
          <w:pPr>
            <w:pStyle w:val="TOCHeading"/>
            <w:numPr>
              <w:ilvl w:val="0"/>
              <w:numId w:val="0"/>
            </w:numPr>
            <w:ind w:left="567" w:hanging="567"/>
          </w:pPr>
          <w:r>
            <w:t>Contents</w:t>
          </w:r>
        </w:p>
        <w:p w14:paraId="4547BD4F" w14:textId="052B74F3" w:rsidR="00CD2312" w:rsidRDefault="000B7B7F">
          <w:pPr>
            <w:pStyle w:val="TOC1"/>
            <w:rPr>
              <w:rFonts w:eastAsiaTheme="minorEastAsia" w:cstheme="minorBidi"/>
              <w:b w:val="0"/>
              <w:bCs w:val="0"/>
              <w:noProof/>
              <w:color w:val="auto"/>
              <w:kern w:val="2"/>
              <w:sz w:val="24"/>
              <w:lang w:eastAsia="en-AU"/>
              <w14:ligatures w14:val="standardContextual"/>
            </w:rPr>
          </w:pPr>
          <w:r>
            <w:fldChar w:fldCharType="begin"/>
          </w:r>
          <w:r>
            <w:instrText xml:space="preserve"> TOC \o "1-3" \h \z \u </w:instrText>
          </w:r>
          <w:r>
            <w:fldChar w:fldCharType="separate"/>
          </w:r>
          <w:hyperlink w:anchor="_Toc216270553" w:history="1">
            <w:r w:rsidR="00CD2312" w:rsidRPr="00987704">
              <w:rPr>
                <w:rStyle w:val="Hyperlink"/>
                <w:noProof/>
              </w:rPr>
              <w:t>Acronyms</w:t>
            </w:r>
            <w:r w:rsidR="00CD2312">
              <w:rPr>
                <w:noProof/>
                <w:webHidden/>
              </w:rPr>
              <w:tab/>
            </w:r>
            <w:r w:rsidR="00CD2312">
              <w:rPr>
                <w:noProof/>
                <w:webHidden/>
              </w:rPr>
              <w:fldChar w:fldCharType="begin"/>
            </w:r>
            <w:r w:rsidR="00CD2312">
              <w:rPr>
                <w:noProof/>
                <w:webHidden/>
              </w:rPr>
              <w:instrText xml:space="preserve"> PAGEREF _Toc216270553 \h </w:instrText>
            </w:r>
            <w:r w:rsidR="00CD2312">
              <w:rPr>
                <w:noProof/>
                <w:webHidden/>
              </w:rPr>
            </w:r>
            <w:r w:rsidR="00CD2312">
              <w:rPr>
                <w:noProof/>
                <w:webHidden/>
              </w:rPr>
              <w:fldChar w:fldCharType="separate"/>
            </w:r>
            <w:r w:rsidR="00CD2312">
              <w:rPr>
                <w:noProof/>
                <w:webHidden/>
              </w:rPr>
              <w:t>6</w:t>
            </w:r>
            <w:r w:rsidR="00CD2312">
              <w:rPr>
                <w:noProof/>
                <w:webHidden/>
              </w:rPr>
              <w:fldChar w:fldCharType="end"/>
            </w:r>
          </w:hyperlink>
        </w:p>
        <w:p w14:paraId="6C3657BD" w14:textId="76CF123F" w:rsidR="00CD2312" w:rsidRDefault="00CD2312">
          <w:pPr>
            <w:pStyle w:val="TOC1"/>
            <w:rPr>
              <w:rFonts w:eastAsiaTheme="minorEastAsia" w:cstheme="minorBidi"/>
              <w:b w:val="0"/>
              <w:bCs w:val="0"/>
              <w:noProof/>
              <w:color w:val="auto"/>
              <w:kern w:val="2"/>
              <w:sz w:val="24"/>
              <w:lang w:eastAsia="en-AU"/>
              <w14:ligatures w14:val="standardContextual"/>
            </w:rPr>
          </w:pPr>
          <w:hyperlink w:anchor="_Toc216270554" w:history="1">
            <w:r w:rsidRPr="00987704">
              <w:rPr>
                <w:rStyle w:val="Hyperlink"/>
                <w:noProof/>
              </w:rPr>
              <w:t>Glossary of Terms</w:t>
            </w:r>
            <w:r>
              <w:rPr>
                <w:noProof/>
                <w:webHidden/>
              </w:rPr>
              <w:tab/>
            </w:r>
            <w:r>
              <w:rPr>
                <w:noProof/>
                <w:webHidden/>
              </w:rPr>
              <w:fldChar w:fldCharType="begin"/>
            </w:r>
            <w:r>
              <w:rPr>
                <w:noProof/>
                <w:webHidden/>
              </w:rPr>
              <w:instrText xml:space="preserve"> PAGEREF _Toc216270554 \h </w:instrText>
            </w:r>
            <w:r>
              <w:rPr>
                <w:noProof/>
                <w:webHidden/>
              </w:rPr>
            </w:r>
            <w:r>
              <w:rPr>
                <w:noProof/>
                <w:webHidden/>
              </w:rPr>
              <w:fldChar w:fldCharType="separate"/>
            </w:r>
            <w:r>
              <w:rPr>
                <w:noProof/>
                <w:webHidden/>
              </w:rPr>
              <w:t>8</w:t>
            </w:r>
            <w:r>
              <w:rPr>
                <w:noProof/>
                <w:webHidden/>
              </w:rPr>
              <w:fldChar w:fldCharType="end"/>
            </w:r>
          </w:hyperlink>
        </w:p>
        <w:p w14:paraId="7BD0D7E8" w14:textId="5D46F9D3" w:rsidR="00CD2312" w:rsidRDefault="00CD2312">
          <w:pPr>
            <w:pStyle w:val="TOC1"/>
            <w:rPr>
              <w:rFonts w:eastAsiaTheme="minorEastAsia" w:cstheme="minorBidi"/>
              <w:b w:val="0"/>
              <w:bCs w:val="0"/>
              <w:noProof/>
              <w:color w:val="auto"/>
              <w:kern w:val="2"/>
              <w:sz w:val="24"/>
              <w:lang w:eastAsia="en-AU"/>
              <w14:ligatures w14:val="standardContextual"/>
            </w:rPr>
          </w:pPr>
          <w:hyperlink w:anchor="_Toc216270555" w:history="1">
            <w:r w:rsidRPr="00987704">
              <w:rPr>
                <w:rStyle w:val="Hyperlink"/>
                <w:noProof/>
              </w:rPr>
              <w:t>1.</w:t>
            </w:r>
            <w:r>
              <w:rPr>
                <w:rFonts w:eastAsiaTheme="minorEastAsia" w:cstheme="minorBidi"/>
                <w:b w:val="0"/>
                <w:bCs w:val="0"/>
                <w:noProof/>
                <w:color w:val="auto"/>
                <w:kern w:val="2"/>
                <w:sz w:val="24"/>
                <w:lang w:eastAsia="en-AU"/>
                <w14:ligatures w14:val="standardContextual"/>
              </w:rPr>
              <w:tab/>
            </w:r>
            <w:r w:rsidRPr="00987704">
              <w:rPr>
                <w:rStyle w:val="Hyperlink"/>
                <w:noProof/>
              </w:rPr>
              <w:t>Executive Summary</w:t>
            </w:r>
            <w:r>
              <w:rPr>
                <w:noProof/>
                <w:webHidden/>
              </w:rPr>
              <w:tab/>
            </w:r>
            <w:r>
              <w:rPr>
                <w:noProof/>
                <w:webHidden/>
              </w:rPr>
              <w:fldChar w:fldCharType="begin"/>
            </w:r>
            <w:r>
              <w:rPr>
                <w:noProof/>
                <w:webHidden/>
              </w:rPr>
              <w:instrText xml:space="preserve"> PAGEREF _Toc216270555 \h </w:instrText>
            </w:r>
            <w:r>
              <w:rPr>
                <w:noProof/>
                <w:webHidden/>
              </w:rPr>
            </w:r>
            <w:r>
              <w:rPr>
                <w:noProof/>
                <w:webHidden/>
              </w:rPr>
              <w:fldChar w:fldCharType="separate"/>
            </w:r>
            <w:r>
              <w:rPr>
                <w:noProof/>
                <w:webHidden/>
              </w:rPr>
              <w:t>10</w:t>
            </w:r>
            <w:r>
              <w:rPr>
                <w:noProof/>
                <w:webHidden/>
              </w:rPr>
              <w:fldChar w:fldCharType="end"/>
            </w:r>
          </w:hyperlink>
        </w:p>
        <w:p w14:paraId="0E859BA9" w14:textId="6B55D2AA" w:rsidR="00CD2312" w:rsidRDefault="00CD2312">
          <w:pPr>
            <w:pStyle w:val="TOC1"/>
            <w:rPr>
              <w:rFonts w:eastAsiaTheme="minorEastAsia" w:cstheme="minorBidi"/>
              <w:b w:val="0"/>
              <w:bCs w:val="0"/>
              <w:noProof/>
              <w:color w:val="auto"/>
              <w:kern w:val="2"/>
              <w:sz w:val="24"/>
              <w:lang w:eastAsia="en-AU"/>
              <w14:ligatures w14:val="standardContextual"/>
            </w:rPr>
          </w:pPr>
          <w:hyperlink w:anchor="_Toc216270576" w:history="1">
            <w:r w:rsidRPr="00987704">
              <w:rPr>
                <w:rStyle w:val="Hyperlink"/>
                <w:noProof/>
              </w:rPr>
              <w:t>2.</w:t>
            </w:r>
            <w:r>
              <w:rPr>
                <w:rFonts w:eastAsiaTheme="minorEastAsia" w:cstheme="minorBidi"/>
                <w:b w:val="0"/>
                <w:bCs w:val="0"/>
                <w:noProof/>
                <w:color w:val="auto"/>
                <w:kern w:val="2"/>
                <w:sz w:val="24"/>
                <w:lang w:eastAsia="en-AU"/>
                <w14:ligatures w14:val="standardContextual"/>
              </w:rPr>
              <w:tab/>
            </w:r>
            <w:r w:rsidRPr="00987704">
              <w:rPr>
                <w:rStyle w:val="Hyperlink"/>
                <w:noProof/>
              </w:rPr>
              <w:t>Introduction and background</w:t>
            </w:r>
            <w:r>
              <w:rPr>
                <w:noProof/>
                <w:webHidden/>
              </w:rPr>
              <w:tab/>
            </w:r>
            <w:r>
              <w:rPr>
                <w:noProof/>
                <w:webHidden/>
              </w:rPr>
              <w:fldChar w:fldCharType="begin"/>
            </w:r>
            <w:r>
              <w:rPr>
                <w:noProof/>
                <w:webHidden/>
              </w:rPr>
              <w:instrText xml:space="preserve"> PAGEREF _Toc216270576 \h </w:instrText>
            </w:r>
            <w:r>
              <w:rPr>
                <w:noProof/>
                <w:webHidden/>
              </w:rPr>
            </w:r>
            <w:r>
              <w:rPr>
                <w:noProof/>
                <w:webHidden/>
              </w:rPr>
              <w:fldChar w:fldCharType="separate"/>
            </w:r>
            <w:r>
              <w:rPr>
                <w:noProof/>
                <w:webHidden/>
              </w:rPr>
              <w:t>13</w:t>
            </w:r>
            <w:r>
              <w:rPr>
                <w:noProof/>
                <w:webHidden/>
              </w:rPr>
              <w:fldChar w:fldCharType="end"/>
            </w:r>
          </w:hyperlink>
        </w:p>
        <w:p w14:paraId="60E0CF1C" w14:textId="3D5EA9FB" w:rsidR="00CD2312" w:rsidRDefault="00CD2312">
          <w:pPr>
            <w:pStyle w:val="TOC1"/>
            <w:rPr>
              <w:rFonts w:eastAsiaTheme="minorEastAsia" w:cstheme="minorBidi"/>
              <w:b w:val="0"/>
              <w:bCs w:val="0"/>
              <w:noProof/>
              <w:color w:val="auto"/>
              <w:kern w:val="2"/>
              <w:sz w:val="24"/>
              <w:lang w:eastAsia="en-AU"/>
              <w14:ligatures w14:val="standardContextual"/>
            </w:rPr>
          </w:pPr>
          <w:hyperlink w:anchor="_Toc216270587" w:history="1">
            <w:r w:rsidRPr="00987704">
              <w:rPr>
                <w:rStyle w:val="Hyperlink"/>
                <w:noProof/>
              </w:rPr>
              <w:t>3.</w:t>
            </w:r>
            <w:r>
              <w:rPr>
                <w:rFonts w:eastAsiaTheme="minorEastAsia" w:cstheme="minorBidi"/>
                <w:b w:val="0"/>
                <w:bCs w:val="0"/>
                <w:noProof/>
                <w:color w:val="auto"/>
                <w:kern w:val="2"/>
                <w:sz w:val="24"/>
                <w:lang w:eastAsia="en-AU"/>
                <w14:ligatures w14:val="standardContextual"/>
              </w:rPr>
              <w:tab/>
            </w:r>
            <w:r w:rsidRPr="00987704">
              <w:rPr>
                <w:rStyle w:val="Hyperlink"/>
                <w:noProof/>
              </w:rPr>
              <w:t>Development context and situational analysis (what problem are we addressing?)</w:t>
            </w:r>
            <w:r>
              <w:rPr>
                <w:noProof/>
                <w:webHidden/>
              </w:rPr>
              <w:tab/>
            </w:r>
            <w:r>
              <w:rPr>
                <w:noProof/>
                <w:webHidden/>
              </w:rPr>
              <w:fldChar w:fldCharType="begin"/>
            </w:r>
            <w:r>
              <w:rPr>
                <w:noProof/>
                <w:webHidden/>
              </w:rPr>
              <w:instrText xml:space="preserve"> PAGEREF _Toc216270587 \h </w:instrText>
            </w:r>
            <w:r>
              <w:rPr>
                <w:noProof/>
                <w:webHidden/>
              </w:rPr>
            </w:r>
            <w:r>
              <w:rPr>
                <w:noProof/>
                <w:webHidden/>
              </w:rPr>
              <w:fldChar w:fldCharType="separate"/>
            </w:r>
            <w:r>
              <w:rPr>
                <w:noProof/>
                <w:webHidden/>
              </w:rPr>
              <w:t>15</w:t>
            </w:r>
            <w:r>
              <w:rPr>
                <w:noProof/>
                <w:webHidden/>
              </w:rPr>
              <w:fldChar w:fldCharType="end"/>
            </w:r>
          </w:hyperlink>
        </w:p>
        <w:p w14:paraId="2B7642C2" w14:textId="23C87C7B"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588" w:history="1">
            <w:r w:rsidRPr="00987704">
              <w:rPr>
                <w:rStyle w:val="Hyperlink"/>
                <w:noProof/>
              </w:rPr>
              <w:t>Economic and regional context</w:t>
            </w:r>
            <w:r>
              <w:rPr>
                <w:noProof/>
                <w:webHidden/>
              </w:rPr>
              <w:tab/>
            </w:r>
            <w:r>
              <w:rPr>
                <w:noProof/>
                <w:webHidden/>
              </w:rPr>
              <w:fldChar w:fldCharType="begin"/>
            </w:r>
            <w:r>
              <w:rPr>
                <w:noProof/>
                <w:webHidden/>
              </w:rPr>
              <w:instrText xml:space="preserve"> PAGEREF _Toc216270588 \h </w:instrText>
            </w:r>
            <w:r>
              <w:rPr>
                <w:noProof/>
                <w:webHidden/>
              </w:rPr>
            </w:r>
            <w:r>
              <w:rPr>
                <w:noProof/>
                <w:webHidden/>
              </w:rPr>
              <w:fldChar w:fldCharType="separate"/>
            </w:r>
            <w:r>
              <w:rPr>
                <w:noProof/>
                <w:webHidden/>
              </w:rPr>
              <w:t>15</w:t>
            </w:r>
            <w:r>
              <w:rPr>
                <w:noProof/>
                <w:webHidden/>
              </w:rPr>
              <w:fldChar w:fldCharType="end"/>
            </w:r>
          </w:hyperlink>
        </w:p>
        <w:p w14:paraId="2B7A7777" w14:textId="11220339"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594" w:history="1">
            <w:r w:rsidRPr="00987704">
              <w:rPr>
                <w:rStyle w:val="Hyperlink"/>
                <w:noProof/>
              </w:rPr>
              <w:t>Indonesia’s low emissions transition demands coordinated, inclusive and scalable action</w:t>
            </w:r>
            <w:r>
              <w:rPr>
                <w:noProof/>
                <w:webHidden/>
              </w:rPr>
              <w:tab/>
            </w:r>
            <w:r>
              <w:rPr>
                <w:noProof/>
                <w:webHidden/>
              </w:rPr>
              <w:fldChar w:fldCharType="begin"/>
            </w:r>
            <w:r>
              <w:rPr>
                <w:noProof/>
                <w:webHidden/>
              </w:rPr>
              <w:instrText xml:space="preserve"> PAGEREF _Toc216270594 \h </w:instrText>
            </w:r>
            <w:r>
              <w:rPr>
                <w:noProof/>
                <w:webHidden/>
              </w:rPr>
            </w:r>
            <w:r>
              <w:rPr>
                <w:noProof/>
                <w:webHidden/>
              </w:rPr>
              <w:fldChar w:fldCharType="separate"/>
            </w:r>
            <w:r>
              <w:rPr>
                <w:noProof/>
                <w:webHidden/>
              </w:rPr>
              <w:t>16</w:t>
            </w:r>
            <w:r>
              <w:rPr>
                <w:noProof/>
                <w:webHidden/>
              </w:rPr>
              <w:fldChar w:fldCharType="end"/>
            </w:r>
          </w:hyperlink>
        </w:p>
        <w:p w14:paraId="5829121C" w14:textId="1DD6280C"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596" w:history="1">
            <w:r w:rsidRPr="00987704">
              <w:rPr>
                <w:rStyle w:val="Hyperlink"/>
                <w:noProof/>
              </w:rPr>
              <w:t>Infrastructure gaps and uneven access undermine inclusive, climate resilient development</w:t>
            </w:r>
            <w:r>
              <w:rPr>
                <w:noProof/>
                <w:webHidden/>
              </w:rPr>
              <w:tab/>
            </w:r>
            <w:r>
              <w:rPr>
                <w:noProof/>
                <w:webHidden/>
              </w:rPr>
              <w:fldChar w:fldCharType="begin"/>
            </w:r>
            <w:r>
              <w:rPr>
                <w:noProof/>
                <w:webHidden/>
              </w:rPr>
              <w:instrText xml:space="preserve"> PAGEREF _Toc216270596 \h </w:instrText>
            </w:r>
            <w:r>
              <w:rPr>
                <w:noProof/>
                <w:webHidden/>
              </w:rPr>
            </w:r>
            <w:r>
              <w:rPr>
                <w:noProof/>
                <w:webHidden/>
              </w:rPr>
              <w:fldChar w:fldCharType="separate"/>
            </w:r>
            <w:r>
              <w:rPr>
                <w:noProof/>
                <w:webHidden/>
              </w:rPr>
              <w:t>16</w:t>
            </w:r>
            <w:r>
              <w:rPr>
                <w:noProof/>
                <w:webHidden/>
              </w:rPr>
              <w:fldChar w:fldCharType="end"/>
            </w:r>
          </w:hyperlink>
        </w:p>
        <w:p w14:paraId="1F76D45A" w14:textId="5DC20B50"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00" w:history="1">
            <w:r w:rsidRPr="00987704">
              <w:rPr>
                <w:rStyle w:val="Hyperlink"/>
                <w:noProof/>
              </w:rPr>
              <w:t>Climate finance and private investment provide untapped opportunities, but significant work is required</w:t>
            </w:r>
            <w:r>
              <w:rPr>
                <w:noProof/>
                <w:webHidden/>
              </w:rPr>
              <w:tab/>
            </w:r>
            <w:r>
              <w:rPr>
                <w:noProof/>
                <w:webHidden/>
              </w:rPr>
              <w:fldChar w:fldCharType="begin"/>
            </w:r>
            <w:r>
              <w:rPr>
                <w:noProof/>
                <w:webHidden/>
              </w:rPr>
              <w:instrText xml:space="preserve"> PAGEREF _Toc216270600 \h </w:instrText>
            </w:r>
            <w:r>
              <w:rPr>
                <w:noProof/>
                <w:webHidden/>
              </w:rPr>
            </w:r>
            <w:r>
              <w:rPr>
                <w:noProof/>
                <w:webHidden/>
              </w:rPr>
              <w:fldChar w:fldCharType="separate"/>
            </w:r>
            <w:r>
              <w:rPr>
                <w:noProof/>
                <w:webHidden/>
              </w:rPr>
              <w:t>17</w:t>
            </w:r>
            <w:r>
              <w:rPr>
                <w:noProof/>
                <w:webHidden/>
              </w:rPr>
              <w:fldChar w:fldCharType="end"/>
            </w:r>
          </w:hyperlink>
        </w:p>
        <w:p w14:paraId="470ECF7A" w14:textId="7E0866DA"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07" w:history="1">
            <w:r w:rsidRPr="00987704">
              <w:rPr>
                <w:rStyle w:val="Hyperlink"/>
                <w:noProof/>
              </w:rPr>
              <w:t>Gender equality, disability and social inclusion</w:t>
            </w:r>
            <w:r>
              <w:rPr>
                <w:noProof/>
                <w:webHidden/>
              </w:rPr>
              <w:tab/>
            </w:r>
            <w:r>
              <w:rPr>
                <w:noProof/>
                <w:webHidden/>
              </w:rPr>
              <w:fldChar w:fldCharType="begin"/>
            </w:r>
            <w:r>
              <w:rPr>
                <w:noProof/>
                <w:webHidden/>
              </w:rPr>
              <w:instrText xml:space="preserve"> PAGEREF _Toc216270607 \h </w:instrText>
            </w:r>
            <w:r>
              <w:rPr>
                <w:noProof/>
                <w:webHidden/>
              </w:rPr>
            </w:r>
            <w:r>
              <w:rPr>
                <w:noProof/>
                <w:webHidden/>
              </w:rPr>
              <w:fldChar w:fldCharType="separate"/>
            </w:r>
            <w:r>
              <w:rPr>
                <w:noProof/>
                <w:webHidden/>
              </w:rPr>
              <w:t>18</w:t>
            </w:r>
            <w:r>
              <w:rPr>
                <w:noProof/>
                <w:webHidden/>
              </w:rPr>
              <w:fldChar w:fldCharType="end"/>
            </w:r>
          </w:hyperlink>
        </w:p>
        <w:p w14:paraId="467650F6" w14:textId="652AD8BF"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13" w:history="1">
            <w:r w:rsidRPr="00987704">
              <w:rPr>
                <w:rStyle w:val="Hyperlink"/>
                <w:noProof/>
              </w:rPr>
              <w:t>Automation and digitalisation</w:t>
            </w:r>
            <w:r>
              <w:rPr>
                <w:noProof/>
                <w:webHidden/>
              </w:rPr>
              <w:tab/>
            </w:r>
            <w:r>
              <w:rPr>
                <w:noProof/>
                <w:webHidden/>
              </w:rPr>
              <w:fldChar w:fldCharType="begin"/>
            </w:r>
            <w:r>
              <w:rPr>
                <w:noProof/>
                <w:webHidden/>
              </w:rPr>
              <w:instrText xml:space="preserve"> PAGEREF _Toc216270613 \h </w:instrText>
            </w:r>
            <w:r>
              <w:rPr>
                <w:noProof/>
                <w:webHidden/>
              </w:rPr>
            </w:r>
            <w:r>
              <w:rPr>
                <w:noProof/>
                <w:webHidden/>
              </w:rPr>
              <w:fldChar w:fldCharType="separate"/>
            </w:r>
            <w:r>
              <w:rPr>
                <w:noProof/>
                <w:webHidden/>
              </w:rPr>
              <w:t>19</w:t>
            </w:r>
            <w:r>
              <w:rPr>
                <w:noProof/>
                <w:webHidden/>
              </w:rPr>
              <w:fldChar w:fldCharType="end"/>
            </w:r>
          </w:hyperlink>
        </w:p>
        <w:p w14:paraId="440CBBD1" w14:textId="5E4E3528"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14" w:history="1">
            <w:r w:rsidRPr="00987704">
              <w:rPr>
                <w:rStyle w:val="Hyperlink"/>
                <w:noProof/>
              </w:rPr>
              <w:t>Lessons learned</w:t>
            </w:r>
            <w:r>
              <w:rPr>
                <w:noProof/>
                <w:webHidden/>
              </w:rPr>
              <w:tab/>
            </w:r>
            <w:r>
              <w:rPr>
                <w:noProof/>
                <w:webHidden/>
              </w:rPr>
              <w:fldChar w:fldCharType="begin"/>
            </w:r>
            <w:r>
              <w:rPr>
                <w:noProof/>
                <w:webHidden/>
              </w:rPr>
              <w:instrText xml:space="preserve"> PAGEREF _Toc216270614 \h </w:instrText>
            </w:r>
            <w:r>
              <w:rPr>
                <w:noProof/>
                <w:webHidden/>
              </w:rPr>
            </w:r>
            <w:r>
              <w:rPr>
                <w:noProof/>
                <w:webHidden/>
              </w:rPr>
              <w:fldChar w:fldCharType="separate"/>
            </w:r>
            <w:r>
              <w:rPr>
                <w:noProof/>
                <w:webHidden/>
              </w:rPr>
              <w:t>19</w:t>
            </w:r>
            <w:r>
              <w:rPr>
                <w:noProof/>
                <w:webHidden/>
              </w:rPr>
              <w:fldChar w:fldCharType="end"/>
            </w:r>
          </w:hyperlink>
        </w:p>
        <w:p w14:paraId="378E2196" w14:textId="126C2D97" w:rsidR="00CD2312" w:rsidRDefault="00CD2312">
          <w:pPr>
            <w:pStyle w:val="TOC1"/>
            <w:rPr>
              <w:rFonts w:eastAsiaTheme="minorEastAsia" w:cstheme="minorBidi"/>
              <w:b w:val="0"/>
              <w:bCs w:val="0"/>
              <w:noProof/>
              <w:color w:val="auto"/>
              <w:kern w:val="2"/>
              <w:sz w:val="24"/>
              <w:lang w:eastAsia="en-AU"/>
              <w14:ligatures w14:val="standardContextual"/>
            </w:rPr>
          </w:pPr>
          <w:hyperlink w:anchor="_Toc216270615" w:history="1">
            <w:r w:rsidRPr="00987704">
              <w:rPr>
                <w:rStyle w:val="Hyperlink"/>
                <w:noProof/>
              </w:rPr>
              <w:t>4.</w:t>
            </w:r>
            <w:r>
              <w:rPr>
                <w:rFonts w:eastAsiaTheme="minorEastAsia" w:cstheme="minorBidi"/>
                <w:b w:val="0"/>
                <w:bCs w:val="0"/>
                <w:noProof/>
                <w:color w:val="auto"/>
                <w:kern w:val="2"/>
                <w:sz w:val="24"/>
                <w:lang w:eastAsia="en-AU"/>
                <w14:ligatures w14:val="standardContextual"/>
              </w:rPr>
              <w:tab/>
            </w:r>
            <w:r w:rsidRPr="00987704">
              <w:rPr>
                <w:rStyle w:val="Hyperlink"/>
                <w:noProof/>
              </w:rPr>
              <w:t>Strategic Intent and Rationale (Why?)</w:t>
            </w:r>
            <w:r>
              <w:rPr>
                <w:noProof/>
                <w:webHidden/>
              </w:rPr>
              <w:tab/>
            </w:r>
            <w:r>
              <w:rPr>
                <w:noProof/>
                <w:webHidden/>
              </w:rPr>
              <w:fldChar w:fldCharType="begin"/>
            </w:r>
            <w:r>
              <w:rPr>
                <w:noProof/>
                <w:webHidden/>
              </w:rPr>
              <w:instrText xml:space="preserve"> PAGEREF _Toc216270615 \h </w:instrText>
            </w:r>
            <w:r>
              <w:rPr>
                <w:noProof/>
                <w:webHidden/>
              </w:rPr>
            </w:r>
            <w:r>
              <w:rPr>
                <w:noProof/>
                <w:webHidden/>
              </w:rPr>
              <w:fldChar w:fldCharType="separate"/>
            </w:r>
            <w:r>
              <w:rPr>
                <w:noProof/>
                <w:webHidden/>
              </w:rPr>
              <w:t>20</w:t>
            </w:r>
            <w:r>
              <w:rPr>
                <w:noProof/>
                <w:webHidden/>
              </w:rPr>
              <w:fldChar w:fldCharType="end"/>
            </w:r>
          </w:hyperlink>
        </w:p>
        <w:p w14:paraId="62AB371B" w14:textId="1CDA2431"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16" w:history="1">
            <w:r w:rsidRPr="00987704">
              <w:rPr>
                <w:rStyle w:val="Hyperlink"/>
                <w:noProof/>
              </w:rPr>
              <w:t>Strategic setting and rationale for Australian/DFAT engagement</w:t>
            </w:r>
            <w:r>
              <w:rPr>
                <w:noProof/>
                <w:webHidden/>
              </w:rPr>
              <w:tab/>
            </w:r>
            <w:r>
              <w:rPr>
                <w:noProof/>
                <w:webHidden/>
              </w:rPr>
              <w:fldChar w:fldCharType="begin"/>
            </w:r>
            <w:r>
              <w:rPr>
                <w:noProof/>
                <w:webHidden/>
              </w:rPr>
              <w:instrText xml:space="preserve"> PAGEREF _Toc216270616 \h </w:instrText>
            </w:r>
            <w:r>
              <w:rPr>
                <w:noProof/>
                <w:webHidden/>
              </w:rPr>
            </w:r>
            <w:r>
              <w:rPr>
                <w:noProof/>
                <w:webHidden/>
              </w:rPr>
              <w:fldChar w:fldCharType="separate"/>
            </w:r>
            <w:r>
              <w:rPr>
                <w:noProof/>
                <w:webHidden/>
              </w:rPr>
              <w:t>20</w:t>
            </w:r>
            <w:r>
              <w:rPr>
                <w:noProof/>
                <w:webHidden/>
              </w:rPr>
              <w:fldChar w:fldCharType="end"/>
            </w:r>
          </w:hyperlink>
        </w:p>
        <w:p w14:paraId="5D6DE8D0" w14:textId="7BFB2B87"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17" w:history="1">
            <w:r w:rsidRPr="00987704">
              <w:rPr>
                <w:rStyle w:val="Hyperlink"/>
                <w:noProof/>
              </w:rPr>
              <w:t>Coherence with bilateral and regional programs</w:t>
            </w:r>
            <w:r>
              <w:rPr>
                <w:noProof/>
                <w:webHidden/>
              </w:rPr>
              <w:tab/>
            </w:r>
            <w:r>
              <w:rPr>
                <w:noProof/>
                <w:webHidden/>
              </w:rPr>
              <w:fldChar w:fldCharType="begin"/>
            </w:r>
            <w:r>
              <w:rPr>
                <w:noProof/>
                <w:webHidden/>
              </w:rPr>
              <w:instrText xml:space="preserve"> PAGEREF _Toc216270617 \h </w:instrText>
            </w:r>
            <w:r>
              <w:rPr>
                <w:noProof/>
                <w:webHidden/>
              </w:rPr>
            </w:r>
            <w:r>
              <w:rPr>
                <w:noProof/>
                <w:webHidden/>
              </w:rPr>
              <w:fldChar w:fldCharType="separate"/>
            </w:r>
            <w:r>
              <w:rPr>
                <w:noProof/>
                <w:webHidden/>
              </w:rPr>
              <w:t>21</w:t>
            </w:r>
            <w:r>
              <w:rPr>
                <w:noProof/>
                <w:webHidden/>
              </w:rPr>
              <w:fldChar w:fldCharType="end"/>
            </w:r>
          </w:hyperlink>
        </w:p>
        <w:p w14:paraId="5C8963E1" w14:textId="424E6414"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18" w:history="1">
            <w:r w:rsidRPr="00987704">
              <w:rPr>
                <w:rStyle w:val="Hyperlink"/>
                <w:noProof/>
              </w:rPr>
              <w:t>Using Australia’s development finance toolkit to create end-to-end solutions</w:t>
            </w:r>
            <w:r>
              <w:rPr>
                <w:noProof/>
                <w:webHidden/>
              </w:rPr>
              <w:tab/>
            </w:r>
            <w:r>
              <w:rPr>
                <w:noProof/>
                <w:webHidden/>
              </w:rPr>
              <w:fldChar w:fldCharType="begin"/>
            </w:r>
            <w:r>
              <w:rPr>
                <w:noProof/>
                <w:webHidden/>
              </w:rPr>
              <w:instrText xml:space="preserve"> PAGEREF _Toc216270618 \h </w:instrText>
            </w:r>
            <w:r>
              <w:rPr>
                <w:noProof/>
                <w:webHidden/>
              </w:rPr>
            </w:r>
            <w:r>
              <w:rPr>
                <w:noProof/>
                <w:webHidden/>
              </w:rPr>
              <w:fldChar w:fldCharType="separate"/>
            </w:r>
            <w:r>
              <w:rPr>
                <w:noProof/>
                <w:webHidden/>
              </w:rPr>
              <w:t>21</w:t>
            </w:r>
            <w:r>
              <w:rPr>
                <w:noProof/>
                <w:webHidden/>
              </w:rPr>
              <w:fldChar w:fldCharType="end"/>
            </w:r>
          </w:hyperlink>
        </w:p>
        <w:p w14:paraId="1DC9934B" w14:textId="57D61A8B"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19" w:history="1">
            <w:r w:rsidRPr="00987704">
              <w:rPr>
                <w:rStyle w:val="Hyperlink"/>
                <w:noProof/>
              </w:rPr>
              <w:t>Leveraging Australia’s comparative advantages in government-to-government and business-to-government linkages</w:t>
            </w:r>
            <w:r>
              <w:rPr>
                <w:noProof/>
                <w:webHidden/>
              </w:rPr>
              <w:tab/>
            </w:r>
            <w:r>
              <w:rPr>
                <w:noProof/>
                <w:webHidden/>
              </w:rPr>
              <w:fldChar w:fldCharType="begin"/>
            </w:r>
            <w:r>
              <w:rPr>
                <w:noProof/>
                <w:webHidden/>
              </w:rPr>
              <w:instrText xml:space="preserve"> PAGEREF _Toc216270619 \h </w:instrText>
            </w:r>
            <w:r>
              <w:rPr>
                <w:noProof/>
                <w:webHidden/>
              </w:rPr>
            </w:r>
            <w:r>
              <w:rPr>
                <w:noProof/>
                <w:webHidden/>
              </w:rPr>
              <w:fldChar w:fldCharType="separate"/>
            </w:r>
            <w:r>
              <w:rPr>
                <w:noProof/>
                <w:webHidden/>
              </w:rPr>
              <w:t>22</w:t>
            </w:r>
            <w:r>
              <w:rPr>
                <w:noProof/>
                <w:webHidden/>
              </w:rPr>
              <w:fldChar w:fldCharType="end"/>
            </w:r>
          </w:hyperlink>
        </w:p>
        <w:p w14:paraId="592474F1" w14:textId="68F9E0EC"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20" w:history="1">
            <w:r w:rsidRPr="00987704">
              <w:rPr>
                <w:rStyle w:val="Hyperlink"/>
                <w:noProof/>
              </w:rPr>
              <w:t>Shaping Multilateral Development Bank effectiveness and financing</w:t>
            </w:r>
            <w:r>
              <w:rPr>
                <w:noProof/>
                <w:webHidden/>
              </w:rPr>
              <w:tab/>
            </w:r>
            <w:r>
              <w:rPr>
                <w:noProof/>
                <w:webHidden/>
              </w:rPr>
              <w:fldChar w:fldCharType="begin"/>
            </w:r>
            <w:r>
              <w:rPr>
                <w:noProof/>
                <w:webHidden/>
              </w:rPr>
              <w:instrText xml:space="preserve"> PAGEREF _Toc216270620 \h </w:instrText>
            </w:r>
            <w:r>
              <w:rPr>
                <w:noProof/>
                <w:webHidden/>
              </w:rPr>
            </w:r>
            <w:r>
              <w:rPr>
                <w:noProof/>
                <w:webHidden/>
              </w:rPr>
              <w:fldChar w:fldCharType="separate"/>
            </w:r>
            <w:r>
              <w:rPr>
                <w:noProof/>
                <w:webHidden/>
              </w:rPr>
              <w:t>22</w:t>
            </w:r>
            <w:r>
              <w:rPr>
                <w:noProof/>
                <w:webHidden/>
              </w:rPr>
              <w:fldChar w:fldCharType="end"/>
            </w:r>
          </w:hyperlink>
        </w:p>
        <w:p w14:paraId="7828A94A" w14:textId="35B3E98D"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23" w:history="1">
            <w:r w:rsidRPr="00987704">
              <w:rPr>
                <w:rStyle w:val="Hyperlink"/>
                <w:iCs/>
                <w:noProof/>
              </w:rPr>
              <w:t>Complementarity</w:t>
            </w:r>
            <w:r w:rsidRPr="00987704">
              <w:rPr>
                <w:rStyle w:val="Hyperlink"/>
                <w:noProof/>
              </w:rPr>
              <w:t xml:space="preserve"> with other development partners</w:t>
            </w:r>
            <w:r>
              <w:rPr>
                <w:noProof/>
                <w:webHidden/>
              </w:rPr>
              <w:tab/>
            </w:r>
            <w:r>
              <w:rPr>
                <w:noProof/>
                <w:webHidden/>
              </w:rPr>
              <w:fldChar w:fldCharType="begin"/>
            </w:r>
            <w:r>
              <w:rPr>
                <w:noProof/>
                <w:webHidden/>
              </w:rPr>
              <w:instrText xml:space="preserve"> PAGEREF _Toc216270623 \h </w:instrText>
            </w:r>
            <w:r>
              <w:rPr>
                <w:noProof/>
                <w:webHidden/>
              </w:rPr>
            </w:r>
            <w:r>
              <w:rPr>
                <w:noProof/>
                <w:webHidden/>
              </w:rPr>
              <w:fldChar w:fldCharType="separate"/>
            </w:r>
            <w:r>
              <w:rPr>
                <w:noProof/>
                <w:webHidden/>
              </w:rPr>
              <w:t>23</w:t>
            </w:r>
            <w:r>
              <w:rPr>
                <w:noProof/>
                <w:webHidden/>
              </w:rPr>
              <w:fldChar w:fldCharType="end"/>
            </w:r>
          </w:hyperlink>
        </w:p>
        <w:p w14:paraId="4AF375A4" w14:textId="51EB45C8" w:rsidR="00CD2312" w:rsidRDefault="00CD2312">
          <w:pPr>
            <w:pStyle w:val="TOC1"/>
            <w:rPr>
              <w:rFonts w:eastAsiaTheme="minorEastAsia" w:cstheme="minorBidi"/>
              <w:b w:val="0"/>
              <w:bCs w:val="0"/>
              <w:noProof/>
              <w:color w:val="auto"/>
              <w:kern w:val="2"/>
              <w:sz w:val="24"/>
              <w:lang w:eastAsia="en-AU"/>
              <w14:ligatures w14:val="standardContextual"/>
            </w:rPr>
          </w:pPr>
          <w:hyperlink w:anchor="_Toc216270624" w:history="1">
            <w:r w:rsidRPr="00987704">
              <w:rPr>
                <w:rStyle w:val="Hyperlink"/>
                <w:noProof/>
              </w:rPr>
              <w:t>5.</w:t>
            </w:r>
            <w:r>
              <w:rPr>
                <w:rFonts w:eastAsiaTheme="minorEastAsia" w:cstheme="minorBidi"/>
                <w:b w:val="0"/>
                <w:bCs w:val="0"/>
                <w:noProof/>
                <w:color w:val="auto"/>
                <w:kern w:val="2"/>
                <w:sz w:val="24"/>
                <w:lang w:eastAsia="en-AU"/>
                <w14:ligatures w14:val="standardContextual"/>
              </w:rPr>
              <w:tab/>
            </w:r>
            <w:r w:rsidRPr="00987704">
              <w:rPr>
                <w:rStyle w:val="Hyperlink"/>
                <w:noProof/>
              </w:rPr>
              <w:t>Proposed Outcomes and Investment Options (What?)</w:t>
            </w:r>
            <w:r>
              <w:rPr>
                <w:noProof/>
                <w:webHidden/>
              </w:rPr>
              <w:tab/>
            </w:r>
            <w:r>
              <w:rPr>
                <w:noProof/>
                <w:webHidden/>
              </w:rPr>
              <w:fldChar w:fldCharType="begin"/>
            </w:r>
            <w:r>
              <w:rPr>
                <w:noProof/>
                <w:webHidden/>
              </w:rPr>
              <w:instrText xml:space="preserve"> PAGEREF _Toc216270624 \h </w:instrText>
            </w:r>
            <w:r>
              <w:rPr>
                <w:noProof/>
                <w:webHidden/>
              </w:rPr>
            </w:r>
            <w:r>
              <w:rPr>
                <w:noProof/>
                <w:webHidden/>
              </w:rPr>
              <w:fldChar w:fldCharType="separate"/>
            </w:r>
            <w:r>
              <w:rPr>
                <w:noProof/>
                <w:webHidden/>
              </w:rPr>
              <w:t>23</w:t>
            </w:r>
            <w:r>
              <w:rPr>
                <w:noProof/>
                <w:webHidden/>
              </w:rPr>
              <w:fldChar w:fldCharType="end"/>
            </w:r>
          </w:hyperlink>
        </w:p>
        <w:p w14:paraId="2F0D6D21" w14:textId="4012CA08"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28" w:history="1">
            <w:r w:rsidRPr="00987704">
              <w:rPr>
                <w:rStyle w:val="Hyperlink"/>
                <w:noProof/>
              </w:rPr>
              <w:t>Adaptive and responsive design</w:t>
            </w:r>
            <w:r>
              <w:rPr>
                <w:noProof/>
                <w:webHidden/>
              </w:rPr>
              <w:tab/>
            </w:r>
            <w:r>
              <w:rPr>
                <w:noProof/>
                <w:webHidden/>
              </w:rPr>
              <w:fldChar w:fldCharType="begin"/>
            </w:r>
            <w:r>
              <w:rPr>
                <w:noProof/>
                <w:webHidden/>
              </w:rPr>
              <w:instrText xml:space="preserve"> PAGEREF _Toc216270628 \h </w:instrText>
            </w:r>
            <w:r>
              <w:rPr>
                <w:noProof/>
                <w:webHidden/>
              </w:rPr>
            </w:r>
            <w:r>
              <w:rPr>
                <w:noProof/>
                <w:webHidden/>
              </w:rPr>
              <w:fldChar w:fldCharType="separate"/>
            </w:r>
            <w:r>
              <w:rPr>
                <w:noProof/>
                <w:webHidden/>
              </w:rPr>
              <w:t>24</w:t>
            </w:r>
            <w:r>
              <w:rPr>
                <w:noProof/>
                <w:webHidden/>
              </w:rPr>
              <w:fldChar w:fldCharType="end"/>
            </w:r>
          </w:hyperlink>
        </w:p>
        <w:p w14:paraId="31205ACA" w14:textId="6B108E7C"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29" w:history="1">
            <w:r w:rsidRPr="00987704">
              <w:rPr>
                <w:rStyle w:val="Hyperlink"/>
                <w:noProof/>
              </w:rPr>
              <w:t>Design framework</w:t>
            </w:r>
            <w:r>
              <w:rPr>
                <w:noProof/>
                <w:webHidden/>
              </w:rPr>
              <w:tab/>
            </w:r>
            <w:r>
              <w:rPr>
                <w:noProof/>
                <w:webHidden/>
              </w:rPr>
              <w:fldChar w:fldCharType="begin"/>
            </w:r>
            <w:r>
              <w:rPr>
                <w:noProof/>
                <w:webHidden/>
              </w:rPr>
              <w:instrText xml:space="preserve"> PAGEREF _Toc216270629 \h </w:instrText>
            </w:r>
            <w:r>
              <w:rPr>
                <w:noProof/>
                <w:webHidden/>
              </w:rPr>
            </w:r>
            <w:r>
              <w:rPr>
                <w:noProof/>
                <w:webHidden/>
              </w:rPr>
              <w:fldChar w:fldCharType="separate"/>
            </w:r>
            <w:r>
              <w:rPr>
                <w:noProof/>
                <w:webHidden/>
              </w:rPr>
              <w:t>24</w:t>
            </w:r>
            <w:r>
              <w:rPr>
                <w:noProof/>
                <w:webHidden/>
              </w:rPr>
              <w:fldChar w:fldCharType="end"/>
            </w:r>
          </w:hyperlink>
        </w:p>
        <w:p w14:paraId="4147BC04" w14:textId="5E1623EE"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30" w:history="1">
            <w:r w:rsidRPr="00987704">
              <w:rPr>
                <w:rStyle w:val="Hyperlink"/>
                <w:noProof/>
              </w:rPr>
              <w:t>Delivery approach</w:t>
            </w:r>
            <w:r>
              <w:rPr>
                <w:noProof/>
                <w:webHidden/>
              </w:rPr>
              <w:tab/>
            </w:r>
            <w:r>
              <w:rPr>
                <w:noProof/>
                <w:webHidden/>
              </w:rPr>
              <w:fldChar w:fldCharType="begin"/>
            </w:r>
            <w:r>
              <w:rPr>
                <w:noProof/>
                <w:webHidden/>
              </w:rPr>
              <w:instrText xml:space="preserve"> PAGEREF _Toc216270630 \h </w:instrText>
            </w:r>
            <w:r>
              <w:rPr>
                <w:noProof/>
                <w:webHidden/>
              </w:rPr>
            </w:r>
            <w:r>
              <w:rPr>
                <w:noProof/>
                <w:webHidden/>
              </w:rPr>
              <w:fldChar w:fldCharType="separate"/>
            </w:r>
            <w:r>
              <w:rPr>
                <w:noProof/>
                <w:webHidden/>
              </w:rPr>
              <w:t>25</w:t>
            </w:r>
            <w:r>
              <w:rPr>
                <w:noProof/>
                <w:webHidden/>
              </w:rPr>
              <w:fldChar w:fldCharType="end"/>
            </w:r>
          </w:hyperlink>
        </w:p>
        <w:p w14:paraId="7804CDFA" w14:textId="05B0B1D1"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31" w:history="1">
            <w:r w:rsidRPr="00987704">
              <w:rPr>
                <w:rStyle w:val="Hyperlink"/>
                <w:noProof/>
              </w:rPr>
              <w:t>Capabilities and services</w:t>
            </w:r>
            <w:r>
              <w:rPr>
                <w:noProof/>
                <w:webHidden/>
              </w:rPr>
              <w:tab/>
            </w:r>
            <w:r>
              <w:rPr>
                <w:noProof/>
                <w:webHidden/>
              </w:rPr>
              <w:fldChar w:fldCharType="begin"/>
            </w:r>
            <w:r>
              <w:rPr>
                <w:noProof/>
                <w:webHidden/>
              </w:rPr>
              <w:instrText xml:space="preserve"> PAGEREF _Toc216270631 \h </w:instrText>
            </w:r>
            <w:r>
              <w:rPr>
                <w:noProof/>
                <w:webHidden/>
              </w:rPr>
            </w:r>
            <w:r>
              <w:rPr>
                <w:noProof/>
                <w:webHidden/>
              </w:rPr>
              <w:fldChar w:fldCharType="separate"/>
            </w:r>
            <w:r>
              <w:rPr>
                <w:noProof/>
                <w:webHidden/>
              </w:rPr>
              <w:t>25</w:t>
            </w:r>
            <w:r>
              <w:rPr>
                <w:noProof/>
                <w:webHidden/>
              </w:rPr>
              <w:fldChar w:fldCharType="end"/>
            </w:r>
          </w:hyperlink>
        </w:p>
        <w:p w14:paraId="6B5ED891" w14:textId="7E56B308"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32" w:history="1">
            <w:r w:rsidRPr="00987704">
              <w:rPr>
                <w:rStyle w:val="Hyperlink"/>
                <w:noProof/>
              </w:rPr>
              <w:t>Theory of Change and Program Logic</w:t>
            </w:r>
            <w:r>
              <w:rPr>
                <w:noProof/>
                <w:webHidden/>
              </w:rPr>
              <w:tab/>
            </w:r>
            <w:r>
              <w:rPr>
                <w:noProof/>
                <w:webHidden/>
              </w:rPr>
              <w:fldChar w:fldCharType="begin"/>
            </w:r>
            <w:r>
              <w:rPr>
                <w:noProof/>
                <w:webHidden/>
              </w:rPr>
              <w:instrText xml:space="preserve"> PAGEREF _Toc216270632 \h </w:instrText>
            </w:r>
            <w:r>
              <w:rPr>
                <w:noProof/>
                <w:webHidden/>
              </w:rPr>
            </w:r>
            <w:r>
              <w:rPr>
                <w:noProof/>
                <w:webHidden/>
              </w:rPr>
              <w:fldChar w:fldCharType="separate"/>
            </w:r>
            <w:r>
              <w:rPr>
                <w:noProof/>
                <w:webHidden/>
              </w:rPr>
              <w:t>26</w:t>
            </w:r>
            <w:r>
              <w:rPr>
                <w:noProof/>
                <w:webHidden/>
              </w:rPr>
              <w:fldChar w:fldCharType="end"/>
            </w:r>
          </w:hyperlink>
        </w:p>
        <w:p w14:paraId="5FBAAE6A" w14:textId="56402B9C" w:rsidR="00CD2312" w:rsidRDefault="00CD2312">
          <w:pPr>
            <w:pStyle w:val="TOC1"/>
            <w:rPr>
              <w:rFonts w:eastAsiaTheme="minorEastAsia" w:cstheme="minorBidi"/>
              <w:b w:val="0"/>
              <w:bCs w:val="0"/>
              <w:noProof/>
              <w:color w:val="auto"/>
              <w:kern w:val="2"/>
              <w:sz w:val="24"/>
              <w:lang w:eastAsia="en-AU"/>
              <w14:ligatures w14:val="standardContextual"/>
            </w:rPr>
          </w:pPr>
          <w:hyperlink w:anchor="_Toc216270649" w:history="1">
            <w:r w:rsidRPr="00987704">
              <w:rPr>
                <w:rStyle w:val="Hyperlink"/>
                <w:noProof/>
              </w:rPr>
              <w:t>6.</w:t>
            </w:r>
            <w:r>
              <w:rPr>
                <w:rFonts w:eastAsiaTheme="minorEastAsia" w:cstheme="minorBidi"/>
                <w:b w:val="0"/>
                <w:bCs w:val="0"/>
                <w:noProof/>
                <w:color w:val="auto"/>
                <w:kern w:val="2"/>
                <w:sz w:val="24"/>
                <w:lang w:eastAsia="en-AU"/>
                <w14:ligatures w14:val="standardContextual"/>
              </w:rPr>
              <w:tab/>
            </w:r>
            <w:r w:rsidRPr="00987704">
              <w:rPr>
                <w:rStyle w:val="Hyperlink"/>
                <w:noProof/>
              </w:rPr>
              <w:t>Implementation Arrangements (How will DFAT engage?)</w:t>
            </w:r>
            <w:r>
              <w:rPr>
                <w:noProof/>
                <w:webHidden/>
              </w:rPr>
              <w:tab/>
            </w:r>
            <w:r>
              <w:rPr>
                <w:noProof/>
                <w:webHidden/>
              </w:rPr>
              <w:fldChar w:fldCharType="begin"/>
            </w:r>
            <w:r>
              <w:rPr>
                <w:noProof/>
                <w:webHidden/>
              </w:rPr>
              <w:instrText xml:space="preserve"> PAGEREF _Toc216270649 \h </w:instrText>
            </w:r>
            <w:r>
              <w:rPr>
                <w:noProof/>
                <w:webHidden/>
              </w:rPr>
            </w:r>
            <w:r>
              <w:rPr>
                <w:noProof/>
                <w:webHidden/>
              </w:rPr>
              <w:fldChar w:fldCharType="separate"/>
            </w:r>
            <w:r>
              <w:rPr>
                <w:noProof/>
                <w:webHidden/>
              </w:rPr>
              <w:t>28</w:t>
            </w:r>
            <w:r>
              <w:rPr>
                <w:noProof/>
                <w:webHidden/>
              </w:rPr>
              <w:fldChar w:fldCharType="end"/>
            </w:r>
          </w:hyperlink>
        </w:p>
        <w:p w14:paraId="17C212F2" w14:textId="05AA2E88"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50" w:history="1">
            <w:r w:rsidRPr="00987704">
              <w:rPr>
                <w:rStyle w:val="Hyperlink"/>
                <w:noProof/>
              </w:rPr>
              <w:t>Program-wide implementation</w:t>
            </w:r>
            <w:r>
              <w:rPr>
                <w:noProof/>
                <w:webHidden/>
              </w:rPr>
              <w:tab/>
            </w:r>
            <w:r>
              <w:rPr>
                <w:noProof/>
                <w:webHidden/>
              </w:rPr>
              <w:fldChar w:fldCharType="begin"/>
            </w:r>
            <w:r>
              <w:rPr>
                <w:noProof/>
                <w:webHidden/>
              </w:rPr>
              <w:instrText xml:space="preserve"> PAGEREF _Toc216270650 \h </w:instrText>
            </w:r>
            <w:r>
              <w:rPr>
                <w:noProof/>
                <w:webHidden/>
              </w:rPr>
            </w:r>
            <w:r>
              <w:rPr>
                <w:noProof/>
                <w:webHidden/>
              </w:rPr>
              <w:fldChar w:fldCharType="separate"/>
            </w:r>
            <w:r>
              <w:rPr>
                <w:noProof/>
                <w:webHidden/>
              </w:rPr>
              <w:t>28</w:t>
            </w:r>
            <w:r>
              <w:rPr>
                <w:noProof/>
                <w:webHidden/>
              </w:rPr>
              <w:fldChar w:fldCharType="end"/>
            </w:r>
          </w:hyperlink>
        </w:p>
        <w:p w14:paraId="39A7CAAD" w14:textId="1E863EE8"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57" w:history="1">
            <w:r w:rsidRPr="00987704">
              <w:rPr>
                <w:rStyle w:val="Hyperlink"/>
                <w:noProof/>
              </w:rPr>
              <w:t>Scope and geographic targeting</w:t>
            </w:r>
            <w:r>
              <w:rPr>
                <w:noProof/>
                <w:webHidden/>
              </w:rPr>
              <w:tab/>
            </w:r>
            <w:r>
              <w:rPr>
                <w:noProof/>
                <w:webHidden/>
              </w:rPr>
              <w:fldChar w:fldCharType="begin"/>
            </w:r>
            <w:r>
              <w:rPr>
                <w:noProof/>
                <w:webHidden/>
              </w:rPr>
              <w:instrText xml:space="preserve"> PAGEREF _Toc216270657 \h </w:instrText>
            </w:r>
            <w:r>
              <w:rPr>
                <w:noProof/>
                <w:webHidden/>
              </w:rPr>
            </w:r>
            <w:r>
              <w:rPr>
                <w:noProof/>
                <w:webHidden/>
              </w:rPr>
              <w:fldChar w:fldCharType="separate"/>
            </w:r>
            <w:r>
              <w:rPr>
                <w:noProof/>
                <w:webHidden/>
              </w:rPr>
              <w:t>31</w:t>
            </w:r>
            <w:r>
              <w:rPr>
                <w:noProof/>
                <w:webHidden/>
              </w:rPr>
              <w:fldChar w:fldCharType="end"/>
            </w:r>
          </w:hyperlink>
        </w:p>
        <w:p w14:paraId="75171FD8" w14:textId="5D4A211F"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58" w:history="1">
            <w:r w:rsidRPr="00987704">
              <w:rPr>
                <w:rStyle w:val="Hyperlink"/>
                <w:noProof/>
              </w:rPr>
              <w:t>Location and targeting</w:t>
            </w:r>
            <w:r>
              <w:rPr>
                <w:noProof/>
                <w:webHidden/>
              </w:rPr>
              <w:tab/>
            </w:r>
            <w:r>
              <w:rPr>
                <w:noProof/>
                <w:webHidden/>
              </w:rPr>
              <w:fldChar w:fldCharType="begin"/>
            </w:r>
            <w:r>
              <w:rPr>
                <w:noProof/>
                <w:webHidden/>
              </w:rPr>
              <w:instrText xml:space="preserve"> PAGEREF _Toc216270658 \h </w:instrText>
            </w:r>
            <w:r>
              <w:rPr>
                <w:noProof/>
                <w:webHidden/>
              </w:rPr>
            </w:r>
            <w:r>
              <w:rPr>
                <w:noProof/>
                <w:webHidden/>
              </w:rPr>
              <w:fldChar w:fldCharType="separate"/>
            </w:r>
            <w:r>
              <w:rPr>
                <w:noProof/>
                <w:webHidden/>
              </w:rPr>
              <w:t>31</w:t>
            </w:r>
            <w:r>
              <w:rPr>
                <w:noProof/>
                <w:webHidden/>
              </w:rPr>
              <w:fldChar w:fldCharType="end"/>
            </w:r>
          </w:hyperlink>
        </w:p>
        <w:p w14:paraId="132D88DF" w14:textId="21D3E340"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59" w:history="1">
            <w:r w:rsidRPr="00987704">
              <w:rPr>
                <w:rStyle w:val="Hyperlink"/>
                <w:noProof/>
              </w:rPr>
              <w:t>Governance arrangements and structure</w:t>
            </w:r>
            <w:r>
              <w:rPr>
                <w:noProof/>
                <w:webHidden/>
              </w:rPr>
              <w:tab/>
            </w:r>
            <w:r>
              <w:rPr>
                <w:noProof/>
                <w:webHidden/>
              </w:rPr>
              <w:fldChar w:fldCharType="begin"/>
            </w:r>
            <w:r>
              <w:rPr>
                <w:noProof/>
                <w:webHidden/>
              </w:rPr>
              <w:instrText xml:space="preserve"> PAGEREF _Toc216270659 \h </w:instrText>
            </w:r>
            <w:r>
              <w:rPr>
                <w:noProof/>
                <w:webHidden/>
              </w:rPr>
            </w:r>
            <w:r>
              <w:rPr>
                <w:noProof/>
                <w:webHidden/>
              </w:rPr>
              <w:fldChar w:fldCharType="separate"/>
            </w:r>
            <w:r>
              <w:rPr>
                <w:noProof/>
                <w:webHidden/>
              </w:rPr>
              <w:t>31</w:t>
            </w:r>
            <w:r>
              <w:rPr>
                <w:noProof/>
                <w:webHidden/>
              </w:rPr>
              <w:fldChar w:fldCharType="end"/>
            </w:r>
          </w:hyperlink>
        </w:p>
        <w:p w14:paraId="3E2B090F" w14:textId="2AF3A7B6"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63" w:history="1">
            <w:r w:rsidRPr="00987704">
              <w:rPr>
                <w:rStyle w:val="Hyperlink"/>
                <w:noProof/>
              </w:rPr>
              <w:t>Management</w:t>
            </w:r>
            <w:r>
              <w:rPr>
                <w:noProof/>
                <w:webHidden/>
              </w:rPr>
              <w:tab/>
            </w:r>
            <w:r>
              <w:rPr>
                <w:noProof/>
                <w:webHidden/>
              </w:rPr>
              <w:fldChar w:fldCharType="begin"/>
            </w:r>
            <w:r>
              <w:rPr>
                <w:noProof/>
                <w:webHidden/>
              </w:rPr>
              <w:instrText xml:space="preserve"> PAGEREF _Toc216270663 \h </w:instrText>
            </w:r>
            <w:r>
              <w:rPr>
                <w:noProof/>
                <w:webHidden/>
              </w:rPr>
            </w:r>
            <w:r>
              <w:rPr>
                <w:noProof/>
                <w:webHidden/>
              </w:rPr>
              <w:fldChar w:fldCharType="separate"/>
            </w:r>
            <w:r>
              <w:rPr>
                <w:noProof/>
                <w:webHidden/>
              </w:rPr>
              <w:t>32</w:t>
            </w:r>
            <w:r>
              <w:rPr>
                <w:noProof/>
                <w:webHidden/>
              </w:rPr>
              <w:fldChar w:fldCharType="end"/>
            </w:r>
          </w:hyperlink>
        </w:p>
        <w:p w14:paraId="7EBD9E85" w14:textId="775D8900"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70" w:history="1">
            <w:r w:rsidRPr="00987704">
              <w:rPr>
                <w:rStyle w:val="Hyperlink"/>
                <w:noProof/>
              </w:rPr>
              <w:t>Early Activities</w:t>
            </w:r>
            <w:r>
              <w:rPr>
                <w:noProof/>
                <w:webHidden/>
              </w:rPr>
              <w:tab/>
            </w:r>
            <w:r>
              <w:rPr>
                <w:noProof/>
                <w:webHidden/>
              </w:rPr>
              <w:fldChar w:fldCharType="begin"/>
            </w:r>
            <w:r>
              <w:rPr>
                <w:noProof/>
                <w:webHidden/>
              </w:rPr>
              <w:instrText xml:space="preserve"> PAGEREF _Toc216270670 \h </w:instrText>
            </w:r>
            <w:r>
              <w:rPr>
                <w:noProof/>
                <w:webHidden/>
              </w:rPr>
            </w:r>
            <w:r>
              <w:rPr>
                <w:noProof/>
                <w:webHidden/>
              </w:rPr>
              <w:fldChar w:fldCharType="separate"/>
            </w:r>
            <w:r>
              <w:rPr>
                <w:noProof/>
                <w:webHidden/>
              </w:rPr>
              <w:t>33</w:t>
            </w:r>
            <w:r>
              <w:rPr>
                <w:noProof/>
                <w:webHidden/>
              </w:rPr>
              <w:fldChar w:fldCharType="end"/>
            </w:r>
          </w:hyperlink>
        </w:p>
        <w:p w14:paraId="4B774ED3" w14:textId="5B9C7F77"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71" w:history="1">
            <w:r w:rsidRPr="00987704">
              <w:rPr>
                <w:rStyle w:val="Hyperlink"/>
                <w:noProof/>
              </w:rPr>
              <w:t>Policy Dialogue</w:t>
            </w:r>
            <w:r>
              <w:rPr>
                <w:noProof/>
                <w:webHidden/>
              </w:rPr>
              <w:tab/>
            </w:r>
            <w:r>
              <w:rPr>
                <w:noProof/>
                <w:webHidden/>
              </w:rPr>
              <w:fldChar w:fldCharType="begin"/>
            </w:r>
            <w:r>
              <w:rPr>
                <w:noProof/>
                <w:webHidden/>
              </w:rPr>
              <w:instrText xml:space="preserve"> PAGEREF _Toc216270671 \h </w:instrText>
            </w:r>
            <w:r>
              <w:rPr>
                <w:noProof/>
                <w:webHidden/>
              </w:rPr>
            </w:r>
            <w:r>
              <w:rPr>
                <w:noProof/>
                <w:webHidden/>
              </w:rPr>
              <w:fldChar w:fldCharType="separate"/>
            </w:r>
            <w:r>
              <w:rPr>
                <w:noProof/>
                <w:webHidden/>
              </w:rPr>
              <w:t>33</w:t>
            </w:r>
            <w:r>
              <w:rPr>
                <w:noProof/>
                <w:webHidden/>
              </w:rPr>
              <w:fldChar w:fldCharType="end"/>
            </w:r>
          </w:hyperlink>
        </w:p>
        <w:p w14:paraId="3B17CDE4" w14:textId="3D6CDBB8"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72" w:history="1">
            <w:r w:rsidRPr="00987704">
              <w:rPr>
                <w:rStyle w:val="Hyperlink"/>
                <w:noProof/>
              </w:rPr>
              <w:t>Profile and Public Diplomacy</w:t>
            </w:r>
            <w:r>
              <w:rPr>
                <w:noProof/>
                <w:webHidden/>
              </w:rPr>
              <w:tab/>
            </w:r>
            <w:r>
              <w:rPr>
                <w:noProof/>
                <w:webHidden/>
              </w:rPr>
              <w:fldChar w:fldCharType="begin"/>
            </w:r>
            <w:r>
              <w:rPr>
                <w:noProof/>
                <w:webHidden/>
              </w:rPr>
              <w:instrText xml:space="preserve"> PAGEREF _Toc216270672 \h </w:instrText>
            </w:r>
            <w:r>
              <w:rPr>
                <w:noProof/>
                <w:webHidden/>
              </w:rPr>
            </w:r>
            <w:r>
              <w:rPr>
                <w:noProof/>
                <w:webHidden/>
              </w:rPr>
              <w:fldChar w:fldCharType="separate"/>
            </w:r>
            <w:r>
              <w:rPr>
                <w:noProof/>
                <w:webHidden/>
              </w:rPr>
              <w:t>33</w:t>
            </w:r>
            <w:r>
              <w:rPr>
                <w:noProof/>
                <w:webHidden/>
              </w:rPr>
              <w:fldChar w:fldCharType="end"/>
            </w:r>
          </w:hyperlink>
        </w:p>
        <w:p w14:paraId="1B428A7C" w14:textId="73E032F2"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73" w:history="1">
            <w:r w:rsidRPr="00987704">
              <w:rPr>
                <w:rStyle w:val="Hyperlink"/>
                <w:noProof/>
              </w:rPr>
              <w:t>Branding and communications</w:t>
            </w:r>
            <w:r>
              <w:rPr>
                <w:noProof/>
                <w:webHidden/>
              </w:rPr>
              <w:tab/>
            </w:r>
            <w:r>
              <w:rPr>
                <w:noProof/>
                <w:webHidden/>
              </w:rPr>
              <w:fldChar w:fldCharType="begin"/>
            </w:r>
            <w:r>
              <w:rPr>
                <w:noProof/>
                <w:webHidden/>
              </w:rPr>
              <w:instrText xml:space="preserve"> PAGEREF _Toc216270673 \h </w:instrText>
            </w:r>
            <w:r>
              <w:rPr>
                <w:noProof/>
                <w:webHidden/>
              </w:rPr>
            </w:r>
            <w:r>
              <w:rPr>
                <w:noProof/>
                <w:webHidden/>
              </w:rPr>
              <w:fldChar w:fldCharType="separate"/>
            </w:r>
            <w:r>
              <w:rPr>
                <w:noProof/>
                <w:webHidden/>
              </w:rPr>
              <w:t>33</w:t>
            </w:r>
            <w:r>
              <w:rPr>
                <w:noProof/>
                <w:webHidden/>
              </w:rPr>
              <w:fldChar w:fldCharType="end"/>
            </w:r>
          </w:hyperlink>
        </w:p>
        <w:p w14:paraId="62C764AD" w14:textId="17290771"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74" w:history="1">
            <w:r w:rsidRPr="00987704">
              <w:rPr>
                <w:rStyle w:val="Hyperlink"/>
                <w:noProof/>
              </w:rPr>
              <w:t>Sustainability</w:t>
            </w:r>
            <w:r>
              <w:rPr>
                <w:noProof/>
                <w:webHidden/>
              </w:rPr>
              <w:tab/>
            </w:r>
            <w:r>
              <w:rPr>
                <w:noProof/>
                <w:webHidden/>
              </w:rPr>
              <w:fldChar w:fldCharType="begin"/>
            </w:r>
            <w:r>
              <w:rPr>
                <w:noProof/>
                <w:webHidden/>
              </w:rPr>
              <w:instrText xml:space="preserve"> PAGEREF _Toc216270674 \h </w:instrText>
            </w:r>
            <w:r>
              <w:rPr>
                <w:noProof/>
                <w:webHidden/>
              </w:rPr>
            </w:r>
            <w:r>
              <w:rPr>
                <w:noProof/>
                <w:webHidden/>
              </w:rPr>
              <w:fldChar w:fldCharType="separate"/>
            </w:r>
            <w:r>
              <w:rPr>
                <w:noProof/>
                <w:webHidden/>
              </w:rPr>
              <w:t>34</w:t>
            </w:r>
            <w:r>
              <w:rPr>
                <w:noProof/>
                <w:webHidden/>
              </w:rPr>
              <w:fldChar w:fldCharType="end"/>
            </w:r>
          </w:hyperlink>
        </w:p>
        <w:p w14:paraId="166E3271" w14:textId="1060428B" w:rsidR="00CD2312" w:rsidRDefault="00CD2312">
          <w:pPr>
            <w:pStyle w:val="TOC1"/>
            <w:rPr>
              <w:rFonts w:eastAsiaTheme="minorEastAsia" w:cstheme="minorBidi"/>
              <w:b w:val="0"/>
              <w:bCs w:val="0"/>
              <w:noProof/>
              <w:color w:val="auto"/>
              <w:kern w:val="2"/>
              <w:sz w:val="24"/>
              <w:lang w:eastAsia="en-AU"/>
              <w14:ligatures w14:val="standardContextual"/>
            </w:rPr>
          </w:pPr>
          <w:hyperlink w:anchor="_Toc216270675" w:history="1">
            <w:r w:rsidRPr="00987704">
              <w:rPr>
                <w:rStyle w:val="Hyperlink"/>
                <w:noProof/>
              </w:rPr>
              <w:t>7.</w:t>
            </w:r>
            <w:r>
              <w:rPr>
                <w:rFonts w:eastAsiaTheme="minorEastAsia" w:cstheme="minorBidi"/>
                <w:b w:val="0"/>
                <w:bCs w:val="0"/>
                <w:noProof/>
                <w:color w:val="auto"/>
                <w:kern w:val="2"/>
                <w:sz w:val="24"/>
                <w:lang w:eastAsia="en-AU"/>
                <w14:ligatures w14:val="standardContextual"/>
              </w:rPr>
              <w:tab/>
            </w:r>
            <w:r w:rsidRPr="00987704">
              <w:rPr>
                <w:rStyle w:val="Hyperlink"/>
                <w:noProof/>
              </w:rPr>
              <w:t>Monitoring, Evaluation, Reflection and Learning (MEL) (How will DFAT measure performance?)</w:t>
            </w:r>
            <w:r>
              <w:rPr>
                <w:noProof/>
                <w:webHidden/>
              </w:rPr>
              <w:tab/>
            </w:r>
            <w:r>
              <w:rPr>
                <w:noProof/>
                <w:webHidden/>
              </w:rPr>
              <w:fldChar w:fldCharType="begin"/>
            </w:r>
            <w:r>
              <w:rPr>
                <w:noProof/>
                <w:webHidden/>
              </w:rPr>
              <w:instrText xml:space="preserve"> PAGEREF _Toc216270675 \h </w:instrText>
            </w:r>
            <w:r>
              <w:rPr>
                <w:noProof/>
                <w:webHidden/>
              </w:rPr>
            </w:r>
            <w:r>
              <w:rPr>
                <w:noProof/>
                <w:webHidden/>
              </w:rPr>
              <w:fldChar w:fldCharType="separate"/>
            </w:r>
            <w:r>
              <w:rPr>
                <w:noProof/>
                <w:webHidden/>
              </w:rPr>
              <w:t>35</w:t>
            </w:r>
            <w:r>
              <w:rPr>
                <w:noProof/>
                <w:webHidden/>
              </w:rPr>
              <w:fldChar w:fldCharType="end"/>
            </w:r>
          </w:hyperlink>
        </w:p>
        <w:p w14:paraId="1C91DA9E" w14:textId="1964CE64"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76" w:history="1">
            <w:r w:rsidRPr="00987704">
              <w:rPr>
                <w:rStyle w:val="Hyperlink"/>
                <w:noProof/>
              </w:rPr>
              <w:t>Activity and Project-based data collection and reporting</w:t>
            </w:r>
            <w:r>
              <w:rPr>
                <w:noProof/>
                <w:webHidden/>
              </w:rPr>
              <w:tab/>
            </w:r>
            <w:r>
              <w:rPr>
                <w:noProof/>
                <w:webHidden/>
              </w:rPr>
              <w:fldChar w:fldCharType="begin"/>
            </w:r>
            <w:r>
              <w:rPr>
                <w:noProof/>
                <w:webHidden/>
              </w:rPr>
              <w:instrText xml:space="preserve"> PAGEREF _Toc216270676 \h </w:instrText>
            </w:r>
            <w:r>
              <w:rPr>
                <w:noProof/>
                <w:webHidden/>
              </w:rPr>
            </w:r>
            <w:r>
              <w:rPr>
                <w:noProof/>
                <w:webHidden/>
              </w:rPr>
              <w:fldChar w:fldCharType="separate"/>
            </w:r>
            <w:r>
              <w:rPr>
                <w:noProof/>
                <w:webHidden/>
              </w:rPr>
              <w:t>35</w:t>
            </w:r>
            <w:r>
              <w:rPr>
                <w:noProof/>
                <w:webHidden/>
              </w:rPr>
              <w:fldChar w:fldCharType="end"/>
            </w:r>
          </w:hyperlink>
        </w:p>
        <w:p w14:paraId="1FBC9151" w14:textId="79634D90"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78" w:history="1">
            <w:r w:rsidRPr="00987704">
              <w:rPr>
                <w:rStyle w:val="Hyperlink"/>
                <w:noProof/>
              </w:rPr>
              <w:t>Partner-based outcomes and performance</w:t>
            </w:r>
            <w:r>
              <w:rPr>
                <w:noProof/>
                <w:webHidden/>
              </w:rPr>
              <w:tab/>
            </w:r>
            <w:r>
              <w:rPr>
                <w:noProof/>
                <w:webHidden/>
              </w:rPr>
              <w:fldChar w:fldCharType="begin"/>
            </w:r>
            <w:r>
              <w:rPr>
                <w:noProof/>
                <w:webHidden/>
              </w:rPr>
              <w:instrText xml:space="preserve"> PAGEREF _Toc216270678 \h </w:instrText>
            </w:r>
            <w:r>
              <w:rPr>
                <w:noProof/>
                <w:webHidden/>
              </w:rPr>
            </w:r>
            <w:r>
              <w:rPr>
                <w:noProof/>
                <w:webHidden/>
              </w:rPr>
              <w:fldChar w:fldCharType="separate"/>
            </w:r>
            <w:r>
              <w:rPr>
                <w:noProof/>
                <w:webHidden/>
              </w:rPr>
              <w:t>36</w:t>
            </w:r>
            <w:r>
              <w:rPr>
                <w:noProof/>
                <w:webHidden/>
              </w:rPr>
              <w:fldChar w:fldCharType="end"/>
            </w:r>
          </w:hyperlink>
        </w:p>
        <w:p w14:paraId="7724C348" w14:textId="46C6ACEC"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80" w:history="1">
            <w:r w:rsidRPr="00987704">
              <w:rPr>
                <w:rStyle w:val="Hyperlink"/>
                <w:noProof/>
              </w:rPr>
              <w:t>Reporting of program-wide Activities and Outputs</w:t>
            </w:r>
            <w:r>
              <w:rPr>
                <w:noProof/>
                <w:webHidden/>
              </w:rPr>
              <w:tab/>
            </w:r>
            <w:r>
              <w:rPr>
                <w:noProof/>
                <w:webHidden/>
              </w:rPr>
              <w:fldChar w:fldCharType="begin"/>
            </w:r>
            <w:r>
              <w:rPr>
                <w:noProof/>
                <w:webHidden/>
              </w:rPr>
              <w:instrText xml:space="preserve"> PAGEREF _Toc216270680 \h </w:instrText>
            </w:r>
            <w:r>
              <w:rPr>
                <w:noProof/>
                <w:webHidden/>
              </w:rPr>
            </w:r>
            <w:r>
              <w:rPr>
                <w:noProof/>
                <w:webHidden/>
              </w:rPr>
              <w:fldChar w:fldCharType="separate"/>
            </w:r>
            <w:r>
              <w:rPr>
                <w:noProof/>
                <w:webHidden/>
              </w:rPr>
              <w:t>36</w:t>
            </w:r>
            <w:r>
              <w:rPr>
                <w:noProof/>
                <w:webHidden/>
              </w:rPr>
              <w:fldChar w:fldCharType="end"/>
            </w:r>
          </w:hyperlink>
        </w:p>
        <w:p w14:paraId="259DCE9E" w14:textId="0AFA3777"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82" w:history="1">
            <w:r w:rsidRPr="00987704">
              <w:rPr>
                <w:rStyle w:val="Hyperlink"/>
                <w:noProof/>
              </w:rPr>
              <w:t>Program-wide assessment of outcomes (IOs and EOPOs)</w:t>
            </w:r>
            <w:r>
              <w:rPr>
                <w:noProof/>
                <w:webHidden/>
              </w:rPr>
              <w:tab/>
            </w:r>
            <w:r>
              <w:rPr>
                <w:noProof/>
                <w:webHidden/>
              </w:rPr>
              <w:fldChar w:fldCharType="begin"/>
            </w:r>
            <w:r>
              <w:rPr>
                <w:noProof/>
                <w:webHidden/>
              </w:rPr>
              <w:instrText xml:space="preserve"> PAGEREF _Toc216270682 \h </w:instrText>
            </w:r>
            <w:r>
              <w:rPr>
                <w:noProof/>
                <w:webHidden/>
              </w:rPr>
            </w:r>
            <w:r>
              <w:rPr>
                <w:noProof/>
                <w:webHidden/>
              </w:rPr>
              <w:fldChar w:fldCharType="separate"/>
            </w:r>
            <w:r>
              <w:rPr>
                <w:noProof/>
                <w:webHidden/>
              </w:rPr>
              <w:t>37</w:t>
            </w:r>
            <w:r>
              <w:rPr>
                <w:noProof/>
                <w:webHidden/>
              </w:rPr>
              <w:fldChar w:fldCharType="end"/>
            </w:r>
          </w:hyperlink>
        </w:p>
        <w:p w14:paraId="1F02E31A" w14:textId="558D4CD8"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84" w:history="1">
            <w:r w:rsidRPr="00987704">
              <w:rPr>
                <w:rStyle w:val="Hyperlink"/>
                <w:noProof/>
              </w:rPr>
              <w:t>Monitoring of assumptions and risks, and changes to the political economy and context</w:t>
            </w:r>
            <w:r>
              <w:rPr>
                <w:noProof/>
                <w:webHidden/>
              </w:rPr>
              <w:tab/>
            </w:r>
            <w:r>
              <w:rPr>
                <w:noProof/>
                <w:webHidden/>
              </w:rPr>
              <w:fldChar w:fldCharType="begin"/>
            </w:r>
            <w:r>
              <w:rPr>
                <w:noProof/>
                <w:webHidden/>
              </w:rPr>
              <w:instrText xml:space="preserve"> PAGEREF _Toc216270684 \h </w:instrText>
            </w:r>
            <w:r>
              <w:rPr>
                <w:noProof/>
                <w:webHidden/>
              </w:rPr>
            </w:r>
            <w:r>
              <w:rPr>
                <w:noProof/>
                <w:webHidden/>
              </w:rPr>
              <w:fldChar w:fldCharType="separate"/>
            </w:r>
            <w:r>
              <w:rPr>
                <w:noProof/>
                <w:webHidden/>
              </w:rPr>
              <w:t>37</w:t>
            </w:r>
            <w:r>
              <w:rPr>
                <w:noProof/>
                <w:webHidden/>
              </w:rPr>
              <w:fldChar w:fldCharType="end"/>
            </w:r>
          </w:hyperlink>
        </w:p>
        <w:p w14:paraId="4CCF2460" w14:textId="63E81517"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85" w:history="1">
            <w:r w:rsidRPr="00987704">
              <w:rPr>
                <w:rStyle w:val="Hyperlink"/>
                <w:noProof/>
              </w:rPr>
              <w:t>Key MERL Events and Deliverables</w:t>
            </w:r>
            <w:r>
              <w:rPr>
                <w:noProof/>
                <w:webHidden/>
              </w:rPr>
              <w:tab/>
            </w:r>
            <w:r>
              <w:rPr>
                <w:noProof/>
                <w:webHidden/>
              </w:rPr>
              <w:fldChar w:fldCharType="begin"/>
            </w:r>
            <w:r>
              <w:rPr>
                <w:noProof/>
                <w:webHidden/>
              </w:rPr>
              <w:instrText xml:space="preserve"> PAGEREF _Toc216270685 \h </w:instrText>
            </w:r>
            <w:r>
              <w:rPr>
                <w:noProof/>
                <w:webHidden/>
              </w:rPr>
            </w:r>
            <w:r>
              <w:rPr>
                <w:noProof/>
                <w:webHidden/>
              </w:rPr>
              <w:fldChar w:fldCharType="separate"/>
            </w:r>
            <w:r>
              <w:rPr>
                <w:noProof/>
                <w:webHidden/>
              </w:rPr>
              <w:t>38</w:t>
            </w:r>
            <w:r>
              <w:rPr>
                <w:noProof/>
                <w:webHidden/>
              </w:rPr>
              <w:fldChar w:fldCharType="end"/>
            </w:r>
          </w:hyperlink>
        </w:p>
        <w:p w14:paraId="41B35F1A" w14:textId="52C17DA4"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86" w:history="1">
            <w:r w:rsidRPr="00987704">
              <w:rPr>
                <w:rStyle w:val="Hyperlink"/>
                <w:noProof/>
              </w:rPr>
              <w:t>Mid-term independent evaluation and Investment Completion Report</w:t>
            </w:r>
            <w:r>
              <w:rPr>
                <w:noProof/>
                <w:webHidden/>
              </w:rPr>
              <w:tab/>
            </w:r>
            <w:r>
              <w:rPr>
                <w:noProof/>
                <w:webHidden/>
              </w:rPr>
              <w:fldChar w:fldCharType="begin"/>
            </w:r>
            <w:r>
              <w:rPr>
                <w:noProof/>
                <w:webHidden/>
              </w:rPr>
              <w:instrText xml:space="preserve"> PAGEREF _Toc216270686 \h </w:instrText>
            </w:r>
            <w:r>
              <w:rPr>
                <w:noProof/>
                <w:webHidden/>
              </w:rPr>
            </w:r>
            <w:r>
              <w:rPr>
                <w:noProof/>
                <w:webHidden/>
              </w:rPr>
              <w:fldChar w:fldCharType="separate"/>
            </w:r>
            <w:r>
              <w:rPr>
                <w:noProof/>
                <w:webHidden/>
              </w:rPr>
              <w:t>38</w:t>
            </w:r>
            <w:r>
              <w:rPr>
                <w:noProof/>
                <w:webHidden/>
              </w:rPr>
              <w:fldChar w:fldCharType="end"/>
            </w:r>
          </w:hyperlink>
        </w:p>
        <w:p w14:paraId="19543553" w14:textId="1CB8914E" w:rsidR="00CD2312" w:rsidRDefault="00CD2312">
          <w:pPr>
            <w:pStyle w:val="TOC1"/>
            <w:rPr>
              <w:rFonts w:eastAsiaTheme="minorEastAsia" w:cstheme="minorBidi"/>
              <w:b w:val="0"/>
              <w:bCs w:val="0"/>
              <w:noProof/>
              <w:color w:val="auto"/>
              <w:kern w:val="2"/>
              <w:sz w:val="24"/>
              <w:lang w:eastAsia="en-AU"/>
              <w14:ligatures w14:val="standardContextual"/>
            </w:rPr>
          </w:pPr>
          <w:hyperlink w:anchor="_Toc216270687" w:history="1">
            <w:r w:rsidRPr="00987704">
              <w:rPr>
                <w:rStyle w:val="Hyperlink"/>
                <w:noProof/>
              </w:rPr>
              <w:t>8.</w:t>
            </w:r>
            <w:r>
              <w:rPr>
                <w:rFonts w:eastAsiaTheme="minorEastAsia" w:cstheme="minorBidi"/>
                <w:b w:val="0"/>
                <w:bCs w:val="0"/>
                <w:noProof/>
                <w:color w:val="auto"/>
                <w:kern w:val="2"/>
                <w:sz w:val="24"/>
                <w:lang w:eastAsia="en-AU"/>
                <w14:ligatures w14:val="standardContextual"/>
              </w:rPr>
              <w:tab/>
            </w:r>
            <w:r w:rsidRPr="00987704">
              <w:rPr>
                <w:rStyle w:val="Hyperlink"/>
                <w:noProof/>
              </w:rPr>
              <w:t>Gender Equality, Disability Inclusiveness, Climate Change, and Other Cross-Cutting Issues</w:t>
            </w:r>
            <w:r>
              <w:rPr>
                <w:noProof/>
                <w:webHidden/>
              </w:rPr>
              <w:tab/>
            </w:r>
            <w:r>
              <w:rPr>
                <w:noProof/>
                <w:webHidden/>
              </w:rPr>
              <w:fldChar w:fldCharType="begin"/>
            </w:r>
            <w:r>
              <w:rPr>
                <w:noProof/>
                <w:webHidden/>
              </w:rPr>
              <w:instrText xml:space="preserve"> PAGEREF _Toc216270687 \h </w:instrText>
            </w:r>
            <w:r>
              <w:rPr>
                <w:noProof/>
                <w:webHidden/>
              </w:rPr>
            </w:r>
            <w:r>
              <w:rPr>
                <w:noProof/>
                <w:webHidden/>
              </w:rPr>
              <w:fldChar w:fldCharType="separate"/>
            </w:r>
            <w:r>
              <w:rPr>
                <w:noProof/>
                <w:webHidden/>
              </w:rPr>
              <w:t>38</w:t>
            </w:r>
            <w:r>
              <w:rPr>
                <w:noProof/>
                <w:webHidden/>
              </w:rPr>
              <w:fldChar w:fldCharType="end"/>
            </w:r>
          </w:hyperlink>
        </w:p>
        <w:p w14:paraId="4E8E7290" w14:textId="10888F0C"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88" w:history="1">
            <w:r w:rsidRPr="00987704">
              <w:rPr>
                <w:rStyle w:val="Hyperlink"/>
                <w:noProof/>
              </w:rPr>
              <w:t>Gender equality</w:t>
            </w:r>
            <w:r>
              <w:rPr>
                <w:noProof/>
                <w:webHidden/>
              </w:rPr>
              <w:tab/>
            </w:r>
            <w:r>
              <w:rPr>
                <w:noProof/>
                <w:webHidden/>
              </w:rPr>
              <w:fldChar w:fldCharType="begin"/>
            </w:r>
            <w:r>
              <w:rPr>
                <w:noProof/>
                <w:webHidden/>
              </w:rPr>
              <w:instrText xml:space="preserve"> PAGEREF _Toc216270688 \h </w:instrText>
            </w:r>
            <w:r>
              <w:rPr>
                <w:noProof/>
                <w:webHidden/>
              </w:rPr>
            </w:r>
            <w:r>
              <w:rPr>
                <w:noProof/>
                <w:webHidden/>
              </w:rPr>
              <w:fldChar w:fldCharType="separate"/>
            </w:r>
            <w:r>
              <w:rPr>
                <w:noProof/>
                <w:webHidden/>
              </w:rPr>
              <w:t>38</w:t>
            </w:r>
            <w:r>
              <w:rPr>
                <w:noProof/>
                <w:webHidden/>
              </w:rPr>
              <w:fldChar w:fldCharType="end"/>
            </w:r>
          </w:hyperlink>
        </w:p>
        <w:p w14:paraId="49CDEE1B" w14:textId="16EAACD4"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89" w:history="1">
            <w:r w:rsidRPr="00987704">
              <w:rPr>
                <w:rStyle w:val="Hyperlink"/>
                <w:noProof/>
              </w:rPr>
              <w:t>Disability inclusiveness</w:t>
            </w:r>
            <w:r>
              <w:rPr>
                <w:noProof/>
                <w:webHidden/>
              </w:rPr>
              <w:tab/>
            </w:r>
            <w:r>
              <w:rPr>
                <w:noProof/>
                <w:webHidden/>
              </w:rPr>
              <w:fldChar w:fldCharType="begin"/>
            </w:r>
            <w:r>
              <w:rPr>
                <w:noProof/>
                <w:webHidden/>
              </w:rPr>
              <w:instrText xml:space="preserve"> PAGEREF _Toc216270689 \h </w:instrText>
            </w:r>
            <w:r>
              <w:rPr>
                <w:noProof/>
                <w:webHidden/>
              </w:rPr>
            </w:r>
            <w:r>
              <w:rPr>
                <w:noProof/>
                <w:webHidden/>
              </w:rPr>
              <w:fldChar w:fldCharType="separate"/>
            </w:r>
            <w:r>
              <w:rPr>
                <w:noProof/>
                <w:webHidden/>
              </w:rPr>
              <w:t>41</w:t>
            </w:r>
            <w:r>
              <w:rPr>
                <w:noProof/>
                <w:webHidden/>
              </w:rPr>
              <w:fldChar w:fldCharType="end"/>
            </w:r>
          </w:hyperlink>
        </w:p>
        <w:p w14:paraId="7C345BF2" w14:textId="26DB9CE1"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90" w:history="1">
            <w:r w:rsidRPr="00987704">
              <w:rPr>
                <w:rStyle w:val="Hyperlink"/>
                <w:noProof/>
              </w:rPr>
              <w:t>Social inclusion</w:t>
            </w:r>
            <w:r>
              <w:rPr>
                <w:noProof/>
                <w:webHidden/>
              </w:rPr>
              <w:tab/>
            </w:r>
            <w:r>
              <w:rPr>
                <w:noProof/>
                <w:webHidden/>
              </w:rPr>
              <w:fldChar w:fldCharType="begin"/>
            </w:r>
            <w:r>
              <w:rPr>
                <w:noProof/>
                <w:webHidden/>
              </w:rPr>
              <w:instrText xml:space="preserve"> PAGEREF _Toc216270690 \h </w:instrText>
            </w:r>
            <w:r>
              <w:rPr>
                <w:noProof/>
                <w:webHidden/>
              </w:rPr>
            </w:r>
            <w:r>
              <w:rPr>
                <w:noProof/>
                <w:webHidden/>
              </w:rPr>
              <w:fldChar w:fldCharType="separate"/>
            </w:r>
            <w:r>
              <w:rPr>
                <w:noProof/>
                <w:webHidden/>
              </w:rPr>
              <w:t>41</w:t>
            </w:r>
            <w:r>
              <w:rPr>
                <w:noProof/>
                <w:webHidden/>
              </w:rPr>
              <w:fldChar w:fldCharType="end"/>
            </w:r>
          </w:hyperlink>
        </w:p>
        <w:p w14:paraId="7FB84075" w14:textId="6A4D498B"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91" w:history="1">
            <w:r w:rsidRPr="00987704">
              <w:rPr>
                <w:rStyle w:val="Hyperlink"/>
                <w:noProof/>
              </w:rPr>
              <w:t>Climate change</w:t>
            </w:r>
            <w:r>
              <w:rPr>
                <w:noProof/>
                <w:webHidden/>
              </w:rPr>
              <w:tab/>
            </w:r>
            <w:r>
              <w:rPr>
                <w:noProof/>
                <w:webHidden/>
              </w:rPr>
              <w:fldChar w:fldCharType="begin"/>
            </w:r>
            <w:r>
              <w:rPr>
                <w:noProof/>
                <w:webHidden/>
              </w:rPr>
              <w:instrText xml:space="preserve"> PAGEREF _Toc216270691 \h </w:instrText>
            </w:r>
            <w:r>
              <w:rPr>
                <w:noProof/>
                <w:webHidden/>
              </w:rPr>
            </w:r>
            <w:r>
              <w:rPr>
                <w:noProof/>
                <w:webHidden/>
              </w:rPr>
              <w:fldChar w:fldCharType="separate"/>
            </w:r>
            <w:r>
              <w:rPr>
                <w:noProof/>
                <w:webHidden/>
              </w:rPr>
              <w:t>42</w:t>
            </w:r>
            <w:r>
              <w:rPr>
                <w:noProof/>
                <w:webHidden/>
              </w:rPr>
              <w:fldChar w:fldCharType="end"/>
            </w:r>
          </w:hyperlink>
        </w:p>
        <w:p w14:paraId="5A8DB7EC" w14:textId="758BDB94"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92" w:history="1">
            <w:r w:rsidRPr="00987704">
              <w:rPr>
                <w:rStyle w:val="Hyperlink"/>
                <w:noProof/>
              </w:rPr>
              <w:t>Private sector engagement and innovation</w:t>
            </w:r>
            <w:r>
              <w:rPr>
                <w:noProof/>
                <w:webHidden/>
              </w:rPr>
              <w:tab/>
            </w:r>
            <w:r>
              <w:rPr>
                <w:noProof/>
                <w:webHidden/>
              </w:rPr>
              <w:fldChar w:fldCharType="begin"/>
            </w:r>
            <w:r>
              <w:rPr>
                <w:noProof/>
                <w:webHidden/>
              </w:rPr>
              <w:instrText xml:space="preserve"> PAGEREF _Toc216270692 \h </w:instrText>
            </w:r>
            <w:r>
              <w:rPr>
                <w:noProof/>
                <w:webHidden/>
              </w:rPr>
            </w:r>
            <w:r>
              <w:rPr>
                <w:noProof/>
                <w:webHidden/>
              </w:rPr>
              <w:fldChar w:fldCharType="separate"/>
            </w:r>
            <w:r>
              <w:rPr>
                <w:noProof/>
                <w:webHidden/>
              </w:rPr>
              <w:t>42</w:t>
            </w:r>
            <w:r>
              <w:rPr>
                <w:noProof/>
                <w:webHidden/>
              </w:rPr>
              <w:fldChar w:fldCharType="end"/>
            </w:r>
          </w:hyperlink>
        </w:p>
        <w:p w14:paraId="09D5B679" w14:textId="20E8BF0C"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93" w:history="1">
            <w:r w:rsidRPr="00987704">
              <w:rPr>
                <w:rStyle w:val="Hyperlink"/>
                <w:noProof/>
              </w:rPr>
              <w:t>Locally-led development and localisation</w:t>
            </w:r>
            <w:r>
              <w:rPr>
                <w:noProof/>
                <w:webHidden/>
              </w:rPr>
              <w:tab/>
            </w:r>
            <w:r>
              <w:rPr>
                <w:noProof/>
                <w:webHidden/>
              </w:rPr>
              <w:fldChar w:fldCharType="begin"/>
            </w:r>
            <w:r>
              <w:rPr>
                <w:noProof/>
                <w:webHidden/>
              </w:rPr>
              <w:instrText xml:space="preserve"> PAGEREF _Toc216270693 \h </w:instrText>
            </w:r>
            <w:r>
              <w:rPr>
                <w:noProof/>
                <w:webHidden/>
              </w:rPr>
            </w:r>
            <w:r>
              <w:rPr>
                <w:noProof/>
                <w:webHidden/>
              </w:rPr>
              <w:fldChar w:fldCharType="separate"/>
            </w:r>
            <w:r>
              <w:rPr>
                <w:noProof/>
                <w:webHidden/>
              </w:rPr>
              <w:t>42</w:t>
            </w:r>
            <w:r>
              <w:rPr>
                <w:noProof/>
                <w:webHidden/>
              </w:rPr>
              <w:fldChar w:fldCharType="end"/>
            </w:r>
          </w:hyperlink>
        </w:p>
        <w:p w14:paraId="66C5FC59" w14:textId="4805641F" w:rsidR="00CD2312" w:rsidRDefault="00CD2312">
          <w:pPr>
            <w:pStyle w:val="TOC1"/>
            <w:rPr>
              <w:rFonts w:eastAsiaTheme="minorEastAsia" w:cstheme="minorBidi"/>
              <w:b w:val="0"/>
              <w:bCs w:val="0"/>
              <w:noProof/>
              <w:color w:val="auto"/>
              <w:kern w:val="2"/>
              <w:sz w:val="24"/>
              <w:lang w:eastAsia="en-AU"/>
              <w14:ligatures w14:val="standardContextual"/>
            </w:rPr>
          </w:pPr>
          <w:hyperlink w:anchor="_Toc216270694" w:history="1">
            <w:r w:rsidRPr="00987704">
              <w:rPr>
                <w:rStyle w:val="Hyperlink"/>
                <w:noProof/>
              </w:rPr>
              <w:t>9.</w:t>
            </w:r>
            <w:r>
              <w:rPr>
                <w:rFonts w:eastAsiaTheme="minorEastAsia" w:cstheme="minorBidi"/>
                <w:b w:val="0"/>
                <w:bCs w:val="0"/>
                <w:noProof/>
                <w:color w:val="auto"/>
                <w:kern w:val="2"/>
                <w:sz w:val="24"/>
                <w:lang w:eastAsia="en-AU"/>
                <w14:ligatures w14:val="standardContextual"/>
              </w:rPr>
              <w:tab/>
            </w:r>
            <w:r w:rsidRPr="00987704">
              <w:rPr>
                <w:rStyle w:val="Hyperlink"/>
                <w:noProof/>
              </w:rPr>
              <w:t>Budget and Resources (What will it cost?)</w:t>
            </w:r>
            <w:r>
              <w:rPr>
                <w:noProof/>
                <w:webHidden/>
              </w:rPr>
              <w:tab/>
            </w:r>
            <w:r>
              <w:rPr>
                <w:noProof/>
                <w:webHidden/>
              </w:rPr>
              <w:fldChar w:fldCharType="begin"/>
            </w:r>
            <w:r>
              <w:rPr>
                <w:noProof/>
                <w:webHidden/>
              </w:rPr>
              <w:instrText xml:space="preserve"> PAGEREF _Toc216270694 \h </w:instrText>
            </w:r>
            <w:r>
              <w:rPr>
                <w:noProof/>
                <w:webHidden/>
              </w:rPr>
            </w:r>
            <w:r>
              <w:rPr>
                <w:noProof/>
                <w:webHidden/>
              </w:rPr>
              <w:fldChar w:fldCharType="separate"/>
            </w:r>
            <w:r>
              <w:rPr>
                <w:noProof/>
                <w:webHidden/>
              </w:rPr>
              <w:t>43</w:t>
            </w:r>
            <w:r>
              <w:rPr>
                <w:noProof/>
                <w:webHidden/>
              </w:rPr>
              <w:fldChar w:fldCharType="end"/>
            </w:r>
          </w:hyperlink>
        </w:p>
        <w:p w14:paraId="546ECB9B" w14:textId="2EA2A39B" w:rsidR="00CD2312" w:rsidRDefault="00CD2312">
          <w:pPr>
            <w:pStyle w:val="TOC1"/>
            <w:rPr>
              <w:rFonts w:eastAsiaTheme="minorEastAsia" w:cstheme="minorBidi"/>
              <w:b w:val="0"/>
              <w:bCs w:val="0"/>
              <w:noProof/>
              <w:color w:val="auto"/>
              <w:kern w:val="2"/>
              <w:sz w:val="24"/>
              <w:lang w:eastAsia="en-AU"/>
              <w14:ligatures w14:val="standardContextual"/>
            </w:rPr>
          </w:pPr>
          <w:hyperlink w:anchor="_Toc216270695" w:history="1">
            <w:r w:rsidRPr="00987704">
              <w:rPr>
                <w:rStyle w:val="Hyperlink"/>
                <w:noProof/>
              </w:rPr>
              <w:t>10.</w:t>
            </w:r>
            <w:r>
              <w:rPr>
                <w:rFonts w:eastAsiaTheme="minorEastAsia" w:cstheme="minorBidi"/>
                <w:b w:val="0"/>
                <w:bCs w:val="0"/>
                <w:noProof/>
                <w:color w:val="auto"/>
                <w:kern w:val="2"/>
                <w:sz w:val="24"/>
                <w:lang w:eastAsia="en-AU"/>
                <w14:ligatures w14:val="standardContextual"/>
              </w:rPr>
              <w:tab/>
            </w:r>
            <w:r w:rsidRPr="00987704">
              <w:rPr>
                <w:rStyle w:val="Hyperlink"/>
                <w:noProof/>
              </w:rPr>
              <w:t>Procurement and Partnering</w:t>
            </w:r>
            <w:r>
              <w:rPr>
                <w:noProof/>
                <w:webHidden/>
              </w:rPr>
              <w:tab/>
            </w:r>
            <w:r>
              <w:rPr>
                <w:noProof/>
                <w:webHidden/>
              </w:rPr>
              <w:fldChar w:fldCharType="begin"/>
            </w:r>
            <w:r>
              <w:rPr>
                <w:noProof/>
                <w:webHidden/>
              </w:rPr>
              <w:instrText xml:space="preserve"> PAGEREF _Toc216270695 \h </w:instrText>
            </w:r>
            <w:r>
              <w:rPr>
                <w:noProof/>
                <w:webHidden/>
              </w:rPr>
            </w:r>
            <w:r>
              <w:rPr>
                <w:noProof/>
                <w:webHidden/>
              </w:rPr>
              <w:fldChar w:fldCharType="separate"/>
            </w:r>
            <w:r>
              <w:rPr>
                <w:noProof/>
                <w:webHidden/>
              </w:rPr>
              <w:t>43</w:t>
            </w:r>
            <w:r>
              <w:rPr>
                <w:noProof/>
                <w:webHidden/>
              </w:rPr>
              <w:fldChar w:fldCharType="end"/>
            </w:r>
          </w:hyperlink>
        </w:p>
        <w:p w14:paraId="3985DB04" w14:textId="1EFDE4AD"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96" w:history="1">
            <w:r w:rsidRPr="00987704">
              <w:rPr>
                <w:rStyle w:val="Hyperlink"/>
                <w:noProof/>
              </w:rPr>
              <w:t>Delivery Partner selection and procurement</w:t>
            </w:r>
            <w:r>
              <w:rPr>
                <w:noProof/>
                <w:webHidden/>
              </w:rPr>
              <w:tab/>
            </w:r>
            <w:r>
              <w:rPr>
                <w:noProof/>
                <w:webHidden/>
              </w:rPr>
              <w:fldChar w:fldCharType="begin"/>
            </w:r>
            <w:r>
              <w:rPr>
                <w:noProof/>
                <w:webHidden/>
              </w:rPr>
              <w:instrText xml:space="preserve"> PAGEREF _Toc216270696 \h </w:instrText>
            </w:r>
            <w:r>
              <w:rPr>
                <w:noProof/>
                <w:webHidden/>
              </w:rPr>
            </w:r>
            <w:r>
              <w:rPr>
                <w:noProof/>
                <w:webHidden/>
              </w:rPr>
              <w:fldChar w:fldCharType="separate"/>
            </w:r>
            <w:r>
              <w:rPr>
                <w:noProof/>
                <w:webHidden/>
              </w:rPr>
              <w:t>43</w:t>
            </w:r>
            <w:r>
              <w:rPr>
                <w:noProof/>
                <w:webHidden/>
              </w:rPr>
              <w:fldChar w:fldCharType="end"/>
            </w:r>
          </w:hyperlink>
        </w:p>
        <w:p w14:paraId="5F2FFCE5" w14:textId="1B3C0FE6"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97" w:history="1">
            <w:r w:rsidRPr="00987704">
              <w:rPr>
                <w:rStyle w:val="Hyperlink"/>
                <w:noProof/>
              </w:rPr>
              <w:t>Partnering</w:t>
            </w:r>
            <w:r>
              <w:rPr>
                <w:noProof/>
                <w:webHidden/>
              </w:rPr>
              <w:tab/>
            </w:r>
            <w:r>
              <w:rPr>
                <w:noProof/>
                <w:webHidden/>
              </w:rPr>
              <w:fldChar w:fldCharType="begin"/>
            </w:r>
            <w:r>
              <w:rPr>
                <w:noProof/>
                <w:webHidden/>
              </w:rPr>
              <w:instrText xml:space="preserve"> PAGEREF _Toc216270697 \h </w:instrText>
            </w:r>
            <w:r>
              <w:rPr>
                <w:noProof/>
                <w:webHidden/>
              </w:rPr>
            </w:r>
            <w:r>
              <w:rPr>
                <w:noProof/>
                <w:webHidden/>
              </w:rPr>
              <w:fldChar w:fldCharType="separate"/>
            </w:r>
            <w:r>
              <w:rPr>
                <w:noProof/>
                <w:webHidden/>
              </w:rPr>
              <w:t>44</w:t>
            </w:r>
            <w:r>
              <w:rPr>
                <w:noProof/>
                <w:webHidden/>
              </w:rPr>
              <w:fldChar w:fldCharType="end"/>
            </w:r>
          </w:hyperlink>
        </w:p>
        <w:p w14:paraId="4F05D23B" w14:textId="66E9FDC6"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698" w:history="1">
            <w:r w:rsidRPr="00987704">
              <w:rPr>
                <w:rStyle w:val="Hyperlink"/>
                <w:noProof/>
              </w:rPr>
              <w:t>Implementation arrangements</w:t>
            </w:r>
            <w:r>
              <w:rPr>
                <w:noProof/>
                <w:webHidden/>
              </w:rPr>
              <w:tab/>
            </w:r>
            <w:r>
              <w:rPr>
                <w:noProof/>
                <w:webHidden/>
              </w:rPr>
              <w:fldChar w:fldCharType="begin"/>
            </w:r>
            <w:r>
              <w:rPr>
                <w:noProof/>
                <w:webHidden/>
              </w:rPr>
              <w:instrText xml:space="preserve"> PAGEREF _Toc216270698 \h </w:instrText>
            </w:r>
            <w:r>
              <w:rPr>
                <w:noProof/>
                <w:webHidden/>
              </w:rPr>
            </w:r>
            <w:r>
              <w:rPr>
                <w:noProof/>
                <w:webHidden/>
              </w:rPr>
              <w:fldChar w:fldCharType="separate"/>
            </w:r>
            <w:r>
              <w:rPr>
                <w:noProof/>
                <w:webHidden/>
              </w:rPr>
              <w:t>44</w:t>
            </w:r>
            <w:r>
              <w:rPr>
                <w:noProof/>
                <w:webHidden/>
              </w:rPr>
              <w:fldChar w:fldCharType="end"/>
            </w:r>
          </w:hyperlink>
        </w:p>
        <w:p w14:paraId="2D5EF0A2" w14:textId="1BE395D5" w:rsidR="00CD2312" w:rsidRDefault="00CD2312">
          <w:pPr>
            <w:pStyle w:val="TOC1"/>
            <w:rPr>
              <w:rFonts w:eastAsiaTheme="minorEastAsia" w:cstheme="minorBidi"/>
              <w:b w:val="0"/>
              <w:bCs w:val="0"/>
              <w:noProof/>
              <w:color w:val="auto"/>
              <w:kern w:val="2"/>
              <w:sz w:val="24"/>
              <w:lang w:eastAsia="en-AU"/>
              <w14:ligatures w14:val="standardContextual"/>
            </w:rPr>
          </w:pPr>
          <w:hyperlink w:anchor="_Toc216270699" w:history="1">
            <w:r w:rsidRPr="00987704">
              <w:rPr>
                <w:rStyle w:val="Hyperlink"/>
                <w:noProof/>
              </w:rPr>
              <w:t>11.</w:t>
            </w:r>
            <w:r>
              <w:rPr>
                <w:rFonts w:eastAsiaTheme="minorEastAsia" w:cstheme="minorBidi"/>
                <w:b w:val="0"/>
                <w:bCs w:val="0"/>
                <w:noProof/>
                <w:color w:val="auto"/>
                <w:kern w:val="2"/>
                <w:sz w:val="24"/>
                <w:lang w:eastAsia="en-AU"/>
                <w14:ligatures w14:val="standardContextual"/>
              </w:rPr>
              <w:tab/>
            </w:r>
            <w:r w:rsidRPr="00987704">
              <w:rPr>
                <w:rStyle w:val="Hyperlink"/>
                <w:noProof/>
              </w:rPr>
              <w:t>Risk Management and Safeguards (What might go wrong?)</w:t>
            </w:r>
            <w:r>
              <w:rPr>
                <w:noProof/>
                <w:webHidden/>
              </w:rPr>
              <w:tab/>
            </w:r>
            <w:r>
              <w:rPr>
                <w:noProof/>
                <w:webHidden/>
              </w:rPr>
              <w:fldChar w:fldCharType="begin"/>
            </w:r>
            <w:r>
              <w:rPr>
                <w:noProof/>
                <w:webHidden/>
              </w:rPr>
              <w:instrText xml:space="preserve"> PAGEREF _Toc216270699 \h </w:instrText>
            </w:r>
            <w:r>
              <w:rPr>
                <w:noProof/>
                <w:webHidden/>
              </w:rPr>
            </w:r>
            <w:r>
              <w:rPr>
                <w:noProof/>
                <w:webHidden/>
              </w:rPr>
              <w:fldChar w:fldCharType="separate"/>
            </w:r>
            <w:r>
              <w:rPr>
                <w:noProof/>
                <w:webHidden/>
              </w:rPr>
              <w:t>44</w:t>
            </w:r>
            <w:r>
              <w:rPr>
                <w:noProof/>
                <w:webHidden/>
              </w:rPr>
              <w:fldChar w:fldCharType="end"/>
            </w:r>
          </w:hyperlink>
        </w:p>
        <w:p w14:paraId="2E425078" w14:textId="32AA0226"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700" w:history="1">
            <w:r w:rsidRPr="00987704">
              <w:rPr>
                <w:rStyle w:val="Hyperlink"/>
                <w:noProof/>
              </w:rPr>
              <w:t>Environmental and Social Safeguards</w:t>
            </w:r>
            <w:r>
              <w:rPr>
                <w:noProof/>
                <w:webHidden/>
              </w:rPr>
              <w:tab/>
            </w:r>
            <w:r>
              <w:rPr>
                <w:noProof/>
                <w:webHidden/>
              </w:rPr>
              <w:fldChar w:fldCharType="begin"/>
            </w:r>
            <w:r>
              <w:rPr>
                <w:noProof/>
                <w:webHidden/>
              </w:rPr>
              <w:instrText xml:space="preserve"> PAGEREF _Toc216270700 \h </w:instrText>
            </w:r>
            <w:r>
              <w:rPr>
                <w:noProof/>
                <w:webHidden/>
              </w:rPr>
            </w:r>
            <w:r>
              <w:rPr>
                <w:noProof/>
                <w:webHidden/>
              </w:rPr>
              <w:fldChar w:fldCharType="separate"/>
            </w:r>
            <w:r>
              <w:rPr>
                <w:noProof/>
                <w:webHidden/>
              </w:rPr>
              <w:t>45</w:t>
            </w:r>
            <w:r>
              <w:rPr>
                <w:noProof/>
                <w:webHidden/>
              </w:rPr>
              <w:fldChar w:fldCharType="end"/>
            </w:r>
          </w:hyperlink>
        </w:p>
        <w:p w14:paraId="4115C85C" w14:textId="7A937B72"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701" w:history="1">
            <w:r w:rsidRPr="00987704">
              <w:rPr>
                <w:rStyle w:val="Hyperlink"/>
                <w:noProof/>
              </w:rPr>
              <w:t>Health and Safety</w:t>
            </w:r>
            <w:r>
              <w:rPr>
                <w:noProof/>
                <w:webHidden/>
              </w:rPr>
              <w:tab/>
            </w:r>
            <w:r>
              <w:rPr>
                <w:noProof/>
                <w:webHidden/>
              </w:rPr>
              <w:fldChar w:fldCharType="begin"/>
            </w:r>
            <w:r>
              <w:rPr>
                <w:noProof/>
                <w:webHidden/>
              </w:rPr>
              <w:instrText xml:space="preserve"> PAGEREF _Toc216270701 \h </w:instrText>
            </w:r>
            <w:r>
              <w:rPr>
                <w:noProof/>
                <w:webHidden/>
              </w:rPr>
            </w:r>
            <w:r>
              <w:rPr>
                <w:noProof/>
                <w:webHidden/>
              </w:rPr>
              <w:fldChar w:fldCharType="separate"/>
            </w:r>
            <w:r>
              <w:rPr>
                <w:noProof/>
                <w:webHidden/>
              </w:rPr>
              <w:t>46</w:t>
            </w:r>
            <w:r>
              <w:rPr>
                <w:noProof/>
                <w:webHidden/>
              </w:rPr>
              <w:fldChar w:fldCharType="end"/>
            </w:r>
          </w:hyperlink>
        </w:p>
        <w:p w14:paraId="7BB4572C" w14:textId="50EA51CC"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702" w:history="1">
            <w:r w:rsidRPr="00987704">
              <w:rPr>
                <w:rStyle w:val="Hyperlink"/>
                <w:noProof/>
              </w:rPr>
              <w:t>Sexual exploitation, abuse and harassment</w:t>
            </w:r>
            <w:r>
              <w:rPr>
                <w:noProof/>
                <w:webHidden/>
              </w:rPr>
              <w:tab/>
            </w:r>
            <w:r>
              <w:rPr>
                <w:noProof/>
                <w:webHidden/>
              </w:rPr>
              <w:fldChar w:fldCharType="begin"/>
            </w:r>
            <w:r>
              <w:rPr>
                <w:noProof/>
                <w:webHidden/>
              </w:rPr>
              <w:instrText xml:space="preserve"> PAGEREF _Toc216270702 \h </w:instrText>
            </w:r>
            <w:r>
              <w:rPr>
                <w:noProof/>
                <w:webHidden/>
              </w:rPr>
            </w:r>
            <w:r>
              <w:rPr>
                <w:noProof/>
                <w:webHidden/>
              </w:rPr>
              <w:fldChar w:fldCharType="separate"/>
            </w:r>
            <w:r>
              <w:rPr>
                <w:noProof/>
                <w:webHidden/>
              </w:rPr>
              <w:t>46</w:t>
            </w:r>
            <w:r>
              <w:rPr>
                <w:noProof/>
                <w:webHidden/>
              </w:rPr>
              <w:fldChar w:fldCharType="end"/>
            </w:r>
          </w:hyperlink>
        </w:p>
        <w:p w14:paraId="50812673" w14:textId="6199C8B2"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703" w:history="1">
            <w:r w:rsidRPr="00987704">
              <w:rPr>
                <w:rStyle w:val="Hyperlink"/>
                <w:noProof/>
              </w:rPr>
              <w:t>Child Protection</w:t>
            </w:r>
            <w:r>
              <w:rPr>
                <w:noProof/>
                <w:webHidden/>
              </w:rPr>
              <w:tab/>
            </w:r>
            <w:r>
              <w:rPr>
                <w:noProof/>
                <w:webHidden/>
              </w:rPr>
              <w:fldChar w:fldCharType="begin"/>
            </w:r>
            <w:r>
              <w:rPr>
                <w:noProof/>
                <w:webHidden/>
              </w:rPr>
              <w:instrText xml:space="preserve"> PAGEREF _Toc216270703 \h </w:instrText>
            </w:r>
            <w:r>
              <w:rPr>
                <w:noProof/>
                <w:webHidden/>
              </w:rPr>
            </w:r>
            <w:r>
              <w:rPr>
                <w:noProof/>
                <w:webHidden/>
              </w:rPr>
              <w:fldChar w:fldCharType="separate"/>
            </w:r>
            <w:r>
              <w:rPr>
                <w:noProof/>
                <w:webHidden/>
              </w:rPr>
              <w:t>46</w:t>
            </w:r>
            <w:r>
              <w:rPr>
                <w:noProof/>
                <w:webHidden/>
              </w:rPr>
              <w:fldChar w:fldCharType="end"/>
            </w:r>
          </w:hyperlink>
        </w:p>
        <w:p w14:paraId="05ACE02C" w14:textId="3C7791FD"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704" w:history="1">
            <w:r w:rsidRPr="00987704">
              <w:rPr>
                <w:rStyle w:val="Hyperlink"/>
                <w:noProof/>
              </w:rPr>
              <w:t>Fraud and Corruption Control</w:t>
            </w:r>
            <w:r>
              <w:rPr>
                <w:noProof/>
                <w:webHidden/>
              </w:rPr>
              <w:tab/>
            </w:r>
            <w:r>
              <w:rPr>
                <w:noProof/>
                <w:webHidden/>
              </w:rPr>
              <w:fldChar w:fldCharType="begin"/>
            </w:r>
            <w:r>
              <w:rPr>
                <w:noProof/>
                <w:webHidden/>
              </w:rPr>
              <w:instrText xml:space="preserve"> PAGEREF _Toc216270704 \h </w:instrText>
            </w:r>
            <w:r>
              <w:rPr>
                <w:noProof/>
                <w:webHidden/>
              </w:rPr>
            </w:r>
            <w:r>
              <w:rPr>
                <w:noProof/>
                <w:webHidden/>
              </w:rPr>
              <w:fldChar w:fldCharType="separate"/>
            </w:r>
            <w:r>
              <w:rPr>
                <w:noProof/>
                <w:webHidden/>
              </w:rPr>
              <w:t>47</w:t>
            </w:r>
            <w:r>
              <w:rPr>
                <w:noProof/>
                <w:webHidden/>
              </w:rPr>
              <w:fldChar w:fldCharType="end"/>
            </w:r>
          </w:hyperlink>
        </w:p>
        <w:p w14:paraId="5420BC05" w14:textId="7271FED4"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705" w:history="1">
            <w:r w:rsidRPr="00987704">
              <w:rPr>
                <w:rStyle w:val="Hyperlink"/>
                <w:noProof/>
              </w:rPr>
              <w:t>Monitoring and managing risks</w:t>
            </w:r>
            <w:r>
              <w:rPr>
                <w:noProof/>
                <w:webHidden/>
              </w:rPr>
              <w:tab/>
            </w:r>
            <w:r>
              <w:rPr>
                <w:noProof/>
                <w:webHidden/>
              </w:rPr>
              <w:fldChar w:fldCharType="begin"/>
            </w:r>
            <w:r>
              <w:rPr>
                <w:noProof/>
                <w:webHidden/>
              </w:rPr>
              <w:instrText xml:space="preserve"> PAGEREF _Toc216270705 \h </w:instrText>
            </w:r>
            <w:r>
              <w:rPr>
                <w:noProof/>
                <w:webHidden/>
              </w:rPr>
            </w:r>
            <w:r>
              <w:rPr>
                <w:noProof/>
                <w:webHidden/>
              </w:rPr>
              <w:fldChar w:fldCharType="separate"/>
            </w:r>
            <w:r>
              <w:rPr>
                <w:noProof/>
                <w:webHidden/>
              </w:rPr>
              <w:t>47</w:t>
            </w:r>
            <w:r>
              <w:rPr>
                <w:noProof/>
                <w:webHidden/>
              </w:rPr>
              <w:fldChar w:fldCharType="end"/>
            </w:r>
          </w:hyperlink>
        </w:p>
        <w:p w14:paraId="06D9E2F6" w14:textId="2258BAA7" w:rsidR="00CD2312" w:rsidRDefault="00CD2312">
          <w:pPr>
            <w:pStyle w:val="TOC1"/>
            <w:rPr>
              <w:rFonts w:eastAsiaTheme="minorEastAsia" w:cstheme="minorBidi"/>
              <w:b w:val="0"/>
              <w:bCs w:val="0"/>
              <w:noProof/>
              <w:color w:val="auto"/>
              <w:kern w:val="2"/>
              <w:sz w:val="24"/>
              <w:lang w:eastAsia="en-AU"/>
              <w14:ligatures w14:val="standardContextual"/>
            </w:rPr>
          </w:pPr>
          <w:hyperlink w:anchor="_Toc216270706" w:history="1">
            <w:r w:rsidRPr="00987704">
              <w:rPr>
                <w:rStyle w:val="Hyperlink"/>
                <w:noProof/>
              </w:rPr>
              <w:t>Annexes</w:t>
            </w:r>
            <w:r>
              <w:rPr>
                <w:noProof/>
                <w:webHidden/>
              </w:rPr>
              <w:tab/>
            </w:r>
            <w:r>
              <w:rPr>
                <w:noProof/>
                <w:webHidden/>
              </w:rPr>
              <w:fldChar w:fldCharType="begin"/>
            </w:r>
            <w:r>
              <w:rPr>
                <w:noProof/>
                <w:webHidden/>
              </w:rPr>
              <w:instrText xml:space="preserve"> PAGEREF _Toc216270706 \h </w:instrText>
            </w:r>
            <w:r>
              <w:rPr>
                <w:noProof/>
                <w:webHidden/>
              </w:rPr>
            </w:r>
            <w:r>
              <w:rPr>
                <w:noProof/>
                <w:webHidden/>
              </w:rPr>
              <w:fldChar w:fldCharType="separate"/>
            </w:r>
            <w:r>
              <w:rPr>
                <w:noProof/>
                <w:webHidden/>
              </w:rPr>
              <w:t>48</w:t>
            </w:r>
            <w:r>
              <w:rPr>
                <w:noProof/>
                <w:webHidden/>
              </w:rPr>
              <w:fldChar w:fldCharType="end"/>
            </w:r>
          </w:hyperlink>
        </w:p>
        <w:p w14:paraId="6FE4B45B" w14:textId="51CC08B0"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707" w:history="1">
            <w:r w:rsidRPr="00987704">
              <w:rPr>
                <w:rStyle w:val="Hyperlink"/>
                <w:noProof/>
              </w:rPr>
              <w:t>Annex 1 – Program Logic</w:t>
            </w:r>
            <w:r>
              <w:rPr>
                <w:noProof/>
                <w:webHidden/>
              </w:rPr>
              <w:tab/>
            </w:r>
            <w:r>
              <w:rPr>
                <w:noProof/>
                <w:webHidden/>
              </w:rPr>
              <w:fldChar w:fldCharType="begin"/>
            </w:r>
            <w:r>
              <w:rPr>
                <w:noProof/>
                <w:webHidden/>
              </w:rPr>
              <w:instrText xml:space="preserve"> PAGEREF _Toc216270707 \h </w:instrText>
            </w:r>
            <w:r>
              <w:rPr>
                <w:noProof/>
                <w:webHidden/>
              </w:rPr>
            </w:r>
            <w:r>
              <w:rPr>
                <w:noProof/>
                <w:webHidden/>
              </w:rPr>
              <w:fldChar w:fldCharType="separate"/>
            </w:r>
            <w:r>
              <w:rPr>
                <w:noProof/>
                <w:webHidden/>
              </w:rPr>
              <w:t>48</w:t>
            </w:r>
            <w:r>
              <w:rPr>
                <w:noProof/>
                <w:webHidden/>
              </w:rPr>
              <w:fldChar w:fldCharType="end"/>
            </w:r>
          </w:hyperlink>
        </w:p>
        <w:p w14:paraId="465C404B" w14:textId="660C5DA3"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712" w:history="1">
            <w:r w:rsidRPr="00987704">
              <w:rPr>
                <w:rStyle w:val="Hyperlink"/>
                <w:noProof/>
              </w:rPr>
              <w:t>Annex 2 – Indicative Services and Capabilities by Delivery Partner</w:t>
            </w:r>
            <w:r>
              <w:rPr>
                <w:noProof/>
                <w:webHidden/>
              </w:rPr>
              <w:tab/>
            </w:r>
            <w:r>
              <w:rPr>
                <w:noProof/>
                <w:webHidden/>
              </w:rPr>
              <w:fldChar w:fldCharType="begin"/>
            </w:r>
            <w:r>
              <w:rPr>
                <w:noProof/>
                <w:webHidden/>
              </w:rPr>
              <w:instrText xml:space="preserve"> PAGEREF _Toc216270712 \h </w:instrText>
            </w:r>
            <w:r>
              <w:rPr>
                <w:noProof/>
                <w:webHidden/>
              </w:rPr>
            </w:r>
            <w:r>
              <w:rPr>
                <w:noProof/>
                <w:webHidden/>
              </w:rPr>
              <w:fldChar w:fldCharType="separate"/>
            </w:r>
            <w:r>
              <w:rPr>
                <w:noProof/>
                <w:webHidden/>
              </w:rPr>
              <w:t>52</w:t>
            </w:r>
            <w:r>
              <w:rPr>
                <w:noProof/>
                <w:webHidden/>
              </w:rPr>
              <w:fldChar w:fldCharType="end"/>
            </w:r>
          </w:hyperlink>
        </w:p>
        <w:p w14:paraId="5C1B6253" w14:textId="272AD099" w:rsidR="00CD2312" w:rsidRDefault="00CD2312">
          <w:pPr>
            <w:pStyle w:val="TOC2"/>
            <w:tabs>
              <w:tab w:val="right" w:leader="dot" w:pos="9288"/>
            </w:tabs>
            <w:rPr>
              <w:rFonts w:eastAsiaTheme="minorEastAsia" w:cstheme="minorBidi"/>
              <w:bCs w:val="0"/>
              <w:noProof/>
              <w:color w:val="auto"/>
              <w:kern w:val="2"/>
              <w:sz w:val="24"/>
              <w:szCs w:val="24"/>
              <w:lang w:eastAsia="en-AU"/>
              <w14:ligatures w14:val="standardContextual"/>
            </w:rPr>
          </w:pPr>
          <w:hyperlink w:anchor="_Toc216270713" w:history="1">
            <w:r w:rsidRPr="00987704">
              <w:rPr>
                <w:rStyle w:val="Hyperlink"/>
                <w:noProof/>
              </w:rPr>
              <w:t>Annex 3 – Monitoring and Evaluation (MEL) Framework</w:t>
            </w:r>
            <w:r>
              <w:rPr>
                <w:noProof/>
                <w:webHidden/>
              </w:rPr>
              <w:tab/>
            </w:r>
            <w:r>
              <w:rPr>
                <w:noProof/>
                <w:webHidden/>
              </w:rPr>
              <w:fldChar w:fldCharType="begin"/>
            </w:r>
            <w:r>
              <w:rPr>
                <w:noProof/>
                <w:webHidden/>
              </w:rPr>
              <w:instrText xml:space="preserve"> PAGEREF _Toc216270713 \h </w:instrText>
            </w:r>
            <w:r>
              <w:rPr>
                <w:noProof/>
                <w:webHidden/>
              </w:rPr>
            </w:r>
            <w:r>
              <w:rPr>
                <w:noProof/>
                <w:webHidden/>
              </w:rPr>
              <w:fldChar w:fldCharType="separate"/>
            </w:r>
            <w:r>
              <w:rPr>
                <w:noProof/>
                <w:webHidden/>
              </w:rPr>
              <w:t>67</w:t>
            </w:r>
            <w:r>
              <w:rPr>
                <w:noProof/>
                <w:webHidden/>
              </w:rPr>
              <w:fldChar w:fldCharType="end"/>
            </w:r>
          </w:hyperlink>
        </w:p>
        <w:p w14:paraId="21A09E1C" w14:textId="2197E544" w:rsidR="000B7B7F" w:rsidRDefault="000B7B7F">
          <w:r>
            <w:rPr>
              <w:b/>
              <w:bCs/>
              <w:noProof/>
            </w:rPr>
            <w:fldChar w:fldCharType="end"/>
          </w:r>
        </w:p>
      </w:sdtContent>
    </w:sdt>
    <w:p w14:paraId="0BB71DCB" w14:textId="7FF97ABC" w:rsidR="00497954" w:rsidRDefault="0031705E">
      <w:pPr>
        <w:suppressAutoHyphens w:val="0"/>
        <w:spacing w:before="0" w:after="120" w:line="440" w:lineRule="atLeast"/>
        <w:rPr>
          <w:rFonts w:eastAsia="Times New Roman" w:cs="Times New Roman"/>
          <w:b/>
          <w:bCs/>
          <w:sz w:val="21"/>
          <w:szCs w:val="21"/>
        </w:rPr>
        <w:sectPr w:rsidR="00497954" w:rsidSect="00721AA9">
          <w:pgSz w:w="11906" w:h="16838" w:code="9"/>
          <w:pgMar w:top="1361" w:right="1304" w:bottom="1304" w:left="1304" w:header="425" w:footer="493" w:gutter="0"/>
          <w:cols w:space="397"/>
          <w:titlePg/>
          <w:docGrid w:linePitch="360"/>
        </w:sectPr>
      </w:pPr>
      <w:r w:rsidRPr="003E18AD">
        <w:rPr>
          <w:rFonts w:eastAsia="Times New Roman" w:cs="Times New Roman"/>
          <w:sz w:val="21"/>
          <w:szCs w:val="21"/>
        </w:rPr>
        <w:fldChar w:fldCharType="begin"/>
      </w:r>
      <w:r w:rsidRPr="003E18AD">
        <w:rPr>
          <w:rFonts w:eastAsia="Times New Roman" w:cs="Times New Roman"/>
          <w:sz w:val="21"/>
          <w:szCs w:val="21"/>
        </w:rPr>
        <w:instrText xml:space="preserve"> TOC \h \z \t "Title,1,Subtitle,1,IDD 1,1,IDD 2,2" </w:instrText>
      </w:r>
      <w:r w:rsidRPr="003E18AD">
        <w:rPr>
          <w:rFonts w:eastAsia="Times New Roman" w:cs="Times New Roman"/>
          <w:sz w:val="21"/>
          <w:szCs w:val="21"/>
        </w:rPr>
        <w:fldChar w:fldCharType="separate"/>
      </w:r>
      <w:r w:rsidRPr="003E18AD">
        <w:rPr>
          <w:rFonts w:eastAsia="Times New Roman" w:cs="Times New Roman"/>
          <w:b/>
          <w:bCs/>
          <w:sz w:val="21"/>
          <w:szCs w:val="21"/>
        </w:rPr>
        <w:fldChar w:fldCharType="end"/>
      </w:r>
    </w:p>
    <w:p w14:paraId="0EF91DE6" w14:textId="0F464616" w:rsidR="0084642A" w:rsidRDefault="0084642A" w:rsidP="00D2498B">
      <w:pPr>
        <w:pStyle w:val="Heading1"/>
        <w:numPr>
          <w:ilvl w:val="0"/>
          <w:numId w:val="0"/>
        </w:numPr>
        <w:ind w:left="567" w:hanging="567"/>
      </w:pPr>
      <w:bookmarkStart w:id="2" w:name="_Toc216270553"/>
      <w:r w:rsidRPr="003E18AD">
        <w:lastRenderedPageBreak/>
        <w:t>Acronyms</w:t>
      </w:r>
      <w:bookmarkEnd w:id="2"/>
      <w:r w:rsidRPr="003E18AD">
        <w:t xml:space="preserve"> </w:t>
      </w:r>
    </w:p>
    <w:p w14:paraId="60C585FB" w14:textId="77777777" w:rsidR="000C0AF2" w:rsidRPr="000C0AF2" w:rsidRDefault="000C0AF2" w:rsidP="000C0AF2">
      <w:pPr>
        <w:spacing w:before="0" w:after="0"/>
      </w:pPr>
    </w:p>
    <w:p w14:paraId="0553EB07" w14:textId="1FC899AA" w:rsidR="00A352AF" w:rsidRDefault="00A352AF" w:rsidP="00B53FC3">
      <w:pPr>
        <w:pStyle w:val="BodyText"/>
        <w:ind w:left="1701" w:hanging="1701"/>
        <w:rPr>
          <w:sz w:val="21"/>
          <w:szCs w:val="21"/>
        </w:rPr>
      </w:pPr>
      <w:r>
        <w:rPr>
          <w:sz w:val="21"/>
          <w:szCs w:val="21"/>
        </w:rPr>
        <w:t>ADB</w:t>
      </w:r>
      <w:r>
        <w:rPr>
          <w:sz w:val="21"/>
          <w:szCs w:val="21"/>
        </w:rPr>
        <w:tab/>
        <w:t>Asian Development Bank</w:t>
      </w:r>
    </w:p>
    <w:p w14:paraId="124A08A8" w14:textId="48552407" w:rsidR="00B53FC3" w:rsidRPr="005B0BC3" w:rsidRDefault="00B53FC3" w:rsidP="00B53FC3">
      <w:pPr>
        <w:pStyle w:val="BodyText"/>
        <w:ind w:left="1701" w:hanging="1701"/>
        <w:rPr>
          <w:sz w:val="21"/>
          <w:szCs w:val="21"/>
        </w:rPr>
      </w:pPr>
      <w:r w:rsidRPr="005B0BC3">
        <w:rPr>
          <w:sz w:val="21"/>
          <w:szCs w:val="21"/>
        </w:rPr>
        <w:t xml:space="preserve">ADI </w:t>
      </w:r>
      <w:r w:rsidRPr="005B0BC3">
        <w:rPr>
          <w:sz w:val="21"/>
          <w:szCs w:val="21"/>
        </w:rPr>
        <w:tab/>
      </w:r>
      <w:r w:rsidR="00D90F71" w:rsidRPr="005B0BC3">
        <w:rPr>
          <w:sz w:val="21"/>
          <w:szCs w:val="21"/>
        </w:rPr>
        <w:t>Australian Development Investments</w:t>
      </w:r>
    </w:p>
    <w:p w14:paraId="5704B5ED" w14:textId="7600A082" w:rsidR="002C2366" w:rsidRDefault="002C2366" w:rsidP="0084642A">
      <w:pPr>
        <w:pStyle w:val="BodyText"/>
        <w:ind w:left="1701" w:hanging="1701"/>
        <w:rPr>
          <w:sz w:val="21"/>
          <w:szCs w:val="21"/>
        </w:rPr>
      </w:pPr>
      <w:r>
        <w:rPr>
          <w:sz w:val="21"/>
          <w:szCs w:val="21"/>
        </w:rPr>
        <w:t>AI</w:t>
      </w:r>
      <w:r>
        <w:rPr>
          <w:sz w:val="21"/>
          <w:szCs w:val="21"/>
        </w:rPr>
        <w:tab/>
        <w:t>Artificial Intelligence</w:t>
      </w:r>
    </w:p>
    <w:p w14:paraId="0AE15B98" w14:textId="7E3E5BA6" w:rsidR="00136F90" w:rsidRDefault="0079254F" w:rsidP="0084642A">
      <w:pPr>
        <w:pStyle w:val="BodyText"/>
        <w:ind w:left="1701" w:hanging="1701"/>
        <w:rPr>
          <w:sz w:val="21"/>
          <w:szCs w:val="21"/>
        </w:rPr>
      </w:pPr>
      <w:r>
        <w:rPr>
          <w:sz w:val="21"/>
          <w:szCs w:val="21"/>
        </w:rPr>
        <w:t>APS</w:t>
      </w:r>
      <w:r>
        <w:rPr>
          <w:sz w:val="21"/>
          <w:szCs w:val="21"/>
        </w:rPr>
        <w:tab/>
        <w:t>Australian Public Sector</w:t>
      </w:r>
    </w:p>
    <w:p w14:paraId="67C98C3E" w14:textId="2538B0BF" w:rsidR="007458DD" w:rsidRPr="005B0BC3" w:rsidRDefault="007458DD" w:rsidP="0084642A">
      <w:pPr>
        <w:pStyle w:val="BodyText"/>
        <w:ind w:left="1701" w:hanging="1701"/>
        <w:rPr>
          <w:sz w:val="21"/>
          <w:szCs w:val="21"/>
        </w:rPr>
      </w:pPr>
      <w:r w:rsidRPr="005B0BC3">
        <w:rPr>
          <w:sz w:val="21"/>
          <w:szCs w:val="21"/>
        </w:rPr>
        <w:t xml:space="preserve">ASEAN </w:t>
      </w:r>
      <w:r w:rsidRPr="005B0BC3">
        <w:rPr>
          <w:sz w:val="21"/>
          <w:szCs w:val="21"/>
        </w:rPr>
        <w:tab/>
        <w:t xml:space="preserve">Association of Southeast Nations </w:t>
      </w:r>
    </w:p>
    <w:p w14:paraId="11B402EF" w14:textId="69D5F16A" w:rsidR="004F3B94" w:rsidRPr="005B0BC3" w:rsidRDefault="004F3B94" w:rsidP="0084642A">
      <w:pPr>
        <w:pStyle w:val="BodyText"/>
        <w:ind w:left="1701" w:hanging="1701"/>
        <w:rPr>
          <w:sz w:val="21"/>
          <w:szCs w:val="21"/>
        </w:rPr>
      </w:pPr>
      <w:r w:rsidRPr="005B0BC3">
        <w:rPr>
          <w:sz w:val="21"/>
          <w:szCs w:val="21"/>
        </w:rPr>
        <w:t xml:space="preserve">Bappenas </w:t>
      </w:r>
      <w:r w:rsidRPr="005B0BC3">
        <w:rPr>
          <w:sz w:val="21"/>
          <w:szCs w:val="21"/>
        </w:rPr>
        <w:tab/>
      </w:r>
      <w:r w:rsidR="009D4A6B" w:rsidRPr="005B0BC3">
        <w:rPr>
          <w:sz w:val="21"/>
          <w:szCs w:val="21"/>
        </w:rPr>
        <w:t>Ministry of National Development Planning</w:t>
      </w:r>
      <w:r w:rsidR="009D4A6B" w:rsidRPr="005B0BC3" w:rsidDel="009D4A6B">
        <w:rPr>
          <w:sz w:val="21"/>
          <w:szCs w:val="21"/>
        </w:rPr>
        <w:t xml:space="preserve"> </w:t>
      </w:r>
    </w:p>
    <w:p w14:paraId="1E676B49" w14:textId="28FBC7D0" w:rsidR="00A95093" w:rsidRDefault="00A95093" w:rsidP="0084642A">
      <w:pPr>
        <w:pStyle w:val="BodyText"/>
        <w:ind w:left="1701" w:hanging="1701"/>
        <w:rPr>
          <w:sz w:val="21"/>
          <w:szCs w:val="21"/>
        </w:rPr>
      </w:pPr>
      <w:r>
        <w:rPr>
          <w:sz w:val="21"/>
          <w:szCs w:val="21"/>
        </w:rPr>
        <w:t>B2B</w:t>
      </w:r>
      <w:r>
        <w:rPr>
          <w:sz w:val="21"/>
          <w:szCs w:val="21"/>
        </w:rPr>
        <w:tab/>
        <w:t>Business-to-Business</w:t>
      </w:r>
    </w:p>
    <w:p w14:paraId="7015D163" w14:textId="5550F8D8" w:rsidR="00660F05" w:rsidRPr="005B0BC3" w:rsidRDefault="00660F05" w:rsidP="0084642A">
      <w:pPr>
        <w:pStyle w:val="BodyText"/>
        <w:ind w:left="1701" w:hanging="1701"/>
        <w:rPr>
          <w:sz w:val="21"/>
          <w:szCs w:val="21"/>
        </w:rPr>
      </w:pPr>
      <w:r w:rsidRPr="005B0BC3">
        <w:rPr>
          <w:sz w:val="21"/>
          <w:szCs w:val="21"/>
        </w:rPr>
        <w:t>BKPM</w:t>
      </w:r>
      <w:r w:rsidRPr="005B0BC3">
        <w:rPr>
          <w:sz w:val="21"/>
          <w:szCs w:val="21"/>
        </w:rPr>
        <w:tab/>
        <w:t>Indonesia Investment Coordinating Board</w:t>
      </w:r>
    </w:p>
    <w:p w14:paraId="43A45DFA" w14:textId="73D67227" w:rsidR="0079254F" w:rsidRDefault="0079254F" w:rsidP="0084642A">
      <w:pPr>
        <w:pStyle w:val="BodyText"/>
        <w:ind w:left="1701" w:hanging="1701"/>
        <w:rPr>
          <w:sz w:val="21"/>
          <w:szCs w:val="21"/>
        </w:rPr>
      </w:pPr>
      <w:r>
        <w:rPr>
          <w:sz w:val="21"/>
          <w:szCs w:val="21"/>
        </w:rPr>
        <w:t>CBO</w:t>
      </w:r>
      <w:r>
        <w:rPr>
          <w:sz w:val="21"/>
          <w:szCs w:val="21"/>
        </w:rPr>
        <w:tab/>
        <w:t>Community-based Organisation</w:t>
      </w:r>
    </w:p>
    <w:p w14:paraId="555E6FF5" w14:textId="57D06D22" w:rsidR="004F3B94" w:rsidRPr="005B0BC3" w:rsidRDefault="004F3B94" w:rsidP="0084642A">
      <w:pPr>
        <w:pStyle w:val="BodyText"/>
        <w:ind w:left="1701" w:hanging="1701"/>
        <w:rPr>
          <w:sz w:val="21"/>
          <w:szCs w:val="21"/>
        </w:rPr>
      </w:pPr>
      <w:r w:rsidRPr="005B0BC3">
        <w:rPr>
          <w:sz w:val="21"/>
          <w:szCs w:val="21"/>
        </w:rPr>
        <w:t xml:space="preserve">CMEA </w:t>
      </w:r>
      <w:r w:rsidRPr="005B0BC3">
        <w:rPr>
          <w:sz w:val="21"/>
          <w:szCs w:val="21"/>
        </w:rPr>
        <w:tab/>
      </w:r>
      <w:r w:rsidR="007F489F">
        <w:rPr>
          <w:sz w:val="21"/>
          <w:szCs w:val="21"/>
        </w:rPr>
        <w:t>Coordinating Ministry for Economic Affairs</w:t>
      </w:r>
    </w:p>
    <w:p w14:paraId="18EB963D" w14:textId="42AEF1D1" w:rsidR="003B5CB7" w:rsidRDefault="003B5CB7" w:rsidP="0084642A">
      <w:pPr>
        <w:pStyle w:val="BodyText"/>
        <w:ind w:left="1701" w:hanging="1701"/>
        <w:rPr>
          <w:sz w:val="21"/>
          <w:szCs w:val="21"/>
        </w:rPr>
      </w:pPr>
      <w:r>
        <w:rPr>
          <w:sz w:val="21"/>
          <w:szCs w:val="21"/>
        </w:rPr>
        <w:t>CPTPP</w:t>
      </w:r>
      <w:r w:rsidR="00C574D2">
        <w:rPr>
          <w:sz w:val="21"/>
          <w:szCs w:val="21"/>
        </w:rPr>
        <w:tab/>
        <w:t>Comprehensive and Progressive Agreement for Trans-Pacific Partnership</w:t>
      </w:r>
    </w:p>
    <w:p w14:paraId="11544D32" w14:textId="1EDE4F5C" w:rsidR="00C36A54" w:rsidRDefault="003E2E6E" w:rsidP="0084642A">
      <w:pPr>
        <w:pStyle w:val="BodyText"/>
        <w:ind w:left="1701" w:hanging="1701"/>
        <w:rPr>
          <w:sz w:val="21"/>
          <w:szCs w:val="21"/>
        </w:rPr>
      </w:pPr>
      <w:r>
        <w:rPr>
          <w:sz w:val="21"/>
          <w:szCs w:val="21"/>
        </w:rPr>
        <w:t>CSIRO</w:t>
      </w:r>
      <w:r>
        <w:rPr>
          <w:sz w:val="21"/>
          <w:szCs w:val="21"/>
        </w:rPr>
        <w:tab/>
      </w:r>
      <w:r w:rsidR="002D699D">
        <w:rPr>
          <w:sz w:val="21"/>
          <w:szCs w:val="21"/>
        </w:rPr>
        <w:t>C</w:t>
      </w:r>
      <w:r w:rsidR="00D0477C">
        <w:rPr>
          <w:sz w:val="21"/>
          <w:szCs w:val="21"/>
        </w:rPr>
        <w:t>ommonwealth Scientific and Industrial Research Organisation</w:t>
      </w:r>
    </w:p>
    <w:p w14:paraId="7F314B8B" w14:textId="752115F5" w:rsidR="0019454C" w:rsidRDefault="0019454C" w:rsidP="0084642A">
      <w:pPr>
        <w:pStyle w:val="BodyText"/>
        <w:ind w:left="1701" w:hanging="1701"/>
        <w:rPr>
          <w:sz w:val="21"/>
          <w:szCs w:val="21"/>
        </w:rPr>
      </w:pPr>
      <w:r>
        <w:rPr>
          <w:sz w:val="21"/>
          <w:szCs w:val="21"/>
        </w:rPr>
        <w:t>CSO</w:t>
      </w:r>
      <w:r>
        <w:rPr>
          <w:sz w:val="21"/>
          <w:szCs w:val="21"/>
        </w:rPr>
        <w:tab/>
        <w:t>Civil Society Organisation</w:t>
      </w:r>
    </w:p>
    <w:p w14:paraId="2B27781D" w14:textId="5755A88A" w:rsidR="00D4614B" w:rsidRDefault="00D4614B" w:rsidP="0084642A">
      <w:pPr>
        <w:pStyle w:val="BodyText"/>
        <w:ind w:left="1701" w:hanging="1701"/>
        <w:rPr>
          <w:sz w:val="21"/>
          <w:szCs w:val="21"/>
        </w:rPr>
      </w:pPr>
      <w:r>
        <w:rPr>
          <w:sz w:val="21"/>
          <w:szCs w:val="21"/>
        </w:rPr>
        <w:t>DEG</w:t>
      </w:r>
      <w:r>
        <w:rPr>
          <w:sz w:val="21"/>
          <w:szCs w:val="21"/>
        </w:rPr>
        <w:tab/>
      </w:r>
      <w:r w:rsidRPr="00D4614B">
        <w:rPr>
          <w:sz w:val="21"/>
          <w:szCs w:val="21"/>
        </w:rPr>
        <w:t xml:space="preserve">Deutsche </w:t>
      </w:r>
      <w:proofErr w:type="spellStart"/>
      <w:r w:rsidRPr="00D4614B">
        <w:rPr>
          <w:sz w:val="21"/>
          <w:szCs w:val="21"/>
        </w:rPr>
        <w:t>Investitions</w:t>
      </w:r>
      <w:proofErr w:type="spellEnd"/>
      <w:r w:rsidRPr="00D4614B">
        <w:rPr>
          <w:sz w:val="21"/>
          <w:szCs w:val="21"/>
        </w:rPr>
        <w:t xml:space="preserve">- und </w:t>
      </w:r>
      <w:proofErr w:type="spellStart"/>
      <w:r w:rsidRPr="00D4614B">
        <w:rPr>
          <w:sz w:val="21"/>
          <w:szCs w:val="21"/>
        </w:rPr>
        <w:t>Entwicklungsgesellschaft</w:t>
      </w:r>
      <w:proofErr w:type="spellEnd"/>
    </w:p>
    <w:p w14:paraId="2419462A" w14:textId="5781D725" w:rsidR="0084642A" w:rsidRPr="005B0BC3" w:rsidRDefault="0084642A" w:rsidP="0084642A">
      <w:pPr>
        <w:pStyle w:val="BodyText"/>
        <w:ind w:left="1701" w:hanging="1701"/>
        <w:rPr>
          <w:rFonts w:cstheme="minorHAnsi"/>
          <w:sz w:val="21"/>
          <w:szCs w:val="21"/>
        </w:rPr>
      </w:pPr>
      <w:r w:rsidRPr="005B0BC3">
        <w:rPr>
          <w:sz w:val="21"/>
          <w:szCs w:val="21"/>
        </w:rPr>
        <w:t xml:space="preserve">DFAT </w:t>
      </w:r>
      <w:r w:rsidRPr="005B0BC3">
        <w:rPr>
          <w:sz w:val="21"/>
          <w:szCs w:val="21"/>
        </w:rPr>
        <w:tab/>
      </w:r>
      <w:r w:rsidRPr="005B0BC3">
        <w:rPr>
          <w:rFonts w:cstheme="minorHAnsi"/>
          <w:sz w:val="21"/>
          <w:szCs w:val="21"/>
        </w:rPr>
        <w:t>Department of Foreign Affairs and Trade</w:t>
      </w:r>
    </w:p>
    <w:p w14:paraId="23F54B85" w14:textId="166EB7C3" w:rsidR="00961F7C" w:rsidRDefault="00961F7C" w:rsidP="0084642A">
      <w:pPr>
        <w:pStyle w:val="BodyText"/>
        <w:ind w:left="1701" w:hanging="1701"/>
        <w:rPr>
          <w:sz w:val="21"/>
          <w:szCs w:val="21"/>
        </w:rPr>
      </w:pPr>
      <w:r w:rsidRPr="268F02DC">
        <w:rPr>
          <w:sz w:val="21"/>
          <w:szCs w:val="21"/>
        </w:rPr>
        <w:t>DFI</w:t>
      </w:r>
      <w:r w:rsidR="00EE1097">
        <w:rPr>
          <w:sz w:val="21"/>
          <w:szCs w:val="21"/>
        </w:rPr>
        <w:tab/>
      </w:r>
      <w:r w:rsidR="00985EB8" w:rsidRPr="268F02DC">
        <w:rPr>
          <w:sz w:val="21"/>
          <w:szCs w:val="21"/>
        </w:rPr>
        <w:t>Development Finance Institution</w:t>
      </w:r>
    </w:p>
    <w:p w14:paraId="78A58D79" w14:textId="77777777" w:rsidR="0084642A" w:rsidRPr="005B0BC3" w:rsidRDefault="0084642A" w:rsidP="0084642A">
      <w:pPr>
        <w:pStyle w:val="BodyText"/>
        <w:ind w:left="1701" w:hanging="1701"/>
        <w:rPr>
          <w:rFonts w:cstheme="minorHAnsi"/>
          <w:sz w:val="21"/>
          <w:szCs w:val="21"/>
        </w:rPr>
      </w:pPr>
      <w:r w:rsidRPr="005B0BC3">
        <w:rPr>
          <w:rFonts w:cstheme="minorHAnsi"/>
          <w:sz w:val="21"/>
          <w:szCs w:val="21"/>
        </w:rPr>
        <w:t>DPP</w:t>
      </w:r>
      <w:r w:rsidRPr="005B0BC3">
        <w:rPr>
          <w:rFonts w:cstheme="minorHAnsi"/>
          <w:sz w:val="21"/>
          <w:szCs w:val="21"/>
        </w:rPr>
        <w:tab/>
        <w:t>Development Partnership Plans</w:t>
      </w:r>
    </w:p>
    <w:p w14:paraId="02316175" w14:textId="77777777" w:rsidR="0084642A" w:rsidRPr="005B0BC3" w:rsidRDefault="0084642A" w:rsidP="0084642A">
      <w:pPr>
        <w:pStyle w:val="BodyText"/>
        <w:ind w:left="1701" w:hanging="1701"/>
        <w:rPr>
          <w:rFonts w:cstheme="minorHAnsi"/>
          <w:sz w:val="21"/>
          <w:szCs w:val="21"/>
        </w:rPr>
      </w:pPr>
      <w:r w:rsidRPr="005B0BC3">
        <w:rPr>
          <w:rFonts w:cstheme="minorHAnsi"/>
          <w:sz w:val="21"/>
          <w:szCs w:val="21"/>
        </w:rPr>
        <w:t>EOPO</w:t>
      </w:r>
      <w:r w:rsidRPr="005B0BC3">
        <w:rPr>
          <w:rFonts w:cstheme="minorHAnsi"/>
          <w:sz w:val="21"/>
          <w:szCs w:val="21"/>
        </w:rPr>
        <w:tab/>
        <w:t>End of Program Outcome</w:t>
      </w:r>
    </w:p>
    <w:p w14:paraId="3AE3B0F8" w14:textId="58ADCA46" w:rsidR="00743608" w:rsidRDefault="00743608" w:rsidP="0084642A">
      <w:pPr>
        <w:pStyle w:val="BodyText"/>
        <w:ind w:left="1701" w:hanging="1701"/>
        <w:rPr>
          <w:rFonts w:eastAsia="Times New Roman" w:cs="Times New Roman"/>
          <w:sz w:val="21"/>
          <w:szCs w:val="21"/>
        </w:rPr>
      </w:pPr>
      <w:r>
        <w:rPr>
          <w:rFonts w:eastAsia="Times New Roman" w:cs="Times New Roman"/>
          <w:sz w:val="21"/>
          <w:szCs w:val="21"/>
        </w:rPr>
        <w:t>ESG</w:t>
      </w:r>
      <w:r>
        <w:rPr>
          <w:rFonts w:eastAsia="Times New Roman" w:cs="Times New Roman"/>
          <w:sz w:val="21"/>
          <w:szCs w:val="21"/>
        </w:rPr>
        <w:tab/>
      </w:r>
      <w:r w:rsidR="00B96322">
        <w:rPr>
          <w:rFonts w:eastAsia="Times New Roman" w:cs="Times New Roman"/>
          <w:sz w:val="21"/>
          <w:szCs w:val="21"/>
        </w:rPr>
        <w:t>Environmental, Social, and Governance</w:t>
      </w:r>
    </w:p>
    <w:p w14:paraId="16EE620E" w14:textId="78CCE74E" w:rsidR="00CF3738" w:rsidRDefault="00CF3738" w:rsidP="0084642A">
      <w:pPr>
        <w:pStyle w:val="BodyText"/>
        <w:ind w:left="1701" w:hanging="1701"/>
        <w:rPr>
          <w:rFonts w:eastAsia="Times New Roman" w:cs="Times New Roman"/>
          <w:sz w:val="21"/>
          <w:szCs w:val="21"/>
        </w:rPr>
      </w:pPr>
      <w:r>
        <w:rPr>
          <w:rFonts w:eastAsia="Times New Roman" w:cs="Times New Roman"/>
          <w:sz w:val="21"/>
          <w:szCs w:val="21"/>
        </w:rPr>
        <w:t>GDP</w:t>
      </w:r>
      <w:r>
        <w:rPr>
          <w:rFonts w:eastAsia="Times New Roman" w:cs="Times New Roman"/>
          <w:sz w:val="21"/>
          <w:szCs w:val="21"/>
        </w:rPr>
        <w:tab/>
        <w:t>Gross Domestic Product</w:t>
      </w:r>
    </w:p>
    <w:p w14:paraId="3B747AC7" w14:textId="614E610F" w:rsidR="0084642A" w:rsidRPr="005B0BC3" w:rsidRDefault="0084642A" w:rsidP="0084642A">
      <w:pPr>
        <w:pStyle w:val="BodyText"/>
        <w:ind w:left="1701" w:hanging="1701"/>
        <w:rPr>
          <w:rFonts w:eastAsia="Times New Roman" w:cs="Times New Roman"/>
          <w:sz w:val="21"/>
          <w:szCs w:val="21"/>
        </w:rPr>
      </w:pPr>
      <w:r w:rsidRPr="005B0BC3">
        <w:rPr>
          <w:rFonts w:eastAsia="Times New Roman" w:cs="Times New Roman"/>
          <w:sz w:val="21"/>
          <w:szCs w:val="21"/>
        </w:rPr>
        <w:t>GEDSI</w:t>
      </w:r>
      <w:r w:rsidRPr="005B0BC3">
        <w:rPr>
          <w:rFonts w:eastAsia="Times New Roman" w:cs="Times New Roman"/>
          <w:sz w:val="21"/>
          <w:szCs w:val="21"/>
        </w:rPr>
        <w:tab/>
        <w:t xml:space="preserve">Gender Equality, Disability and Social Inclusion </w:t>
      </w:r>
    </w:p>
    <w:p w14:paraId="778A16EF" w14:textId="666C7F44" w:rsidR="004D036F" w:rsidRDefault="004D036F" w:rsidP="0084642A">
      <w:pPr>
        <w:pStyle w:val="BodyText"/>
        <w:ind w:left="1701" w:hanging="1701"/>
        <w:rPr>
          <w:rFonts w:eastAsia="Times New Roman" w:cs="Times New Roman"/>
          <w:sz w:val="21"/>
          <w:szCs w:val="21"/>
        </w:rPr>
      </w:pPr>
      <w:r>
        <w:rPr>
          <w:rFonts w:eastAsia="Times New Roman" w:cs="Times New Roman"/>
          <w:sz w:val="21"/>
          <w:szCs w:val="21"/>
        </w:rPr>
        <w:t>G2G</w:t>
      </w:r>
      <w:r>
        <w:rPr>
          <w:rFonts w:eastAsia="Times New Roman" w:cs="Times New Roman"/>
          <w:sz w:val="21"/>
          <w:szCs w:val="21"/>
        </w:rPr>
        <w:tab/>
        <w:t>Government-to-Government</w:t>
      </w:r>
    </w:p>
    <w:p w14:paraId="454A5EAE" w14:textId="171F8CAA" w:rsidR="00901E30" w:rsidRDefault="00901E30" w:rsidP="0084642A">
      <w:pPr>
        <w:pStyle w:val="BodyText"/>
        <w:ind w:left="1701" w:hanging="1701"/>
        <w:rPr>
          <w:rFonts w:eastAsia="Times New Roman" w:cs="Times New Roman"/>
          <w:sz w:val="21"/>
          <w:szCs w:val="21"/>
        </w:rPr>
      </w:pPr>
      <w:r>
        <w:rPr>
          <w:rFonts w:eastAsia="Times New Roman" w:cs="Times New Roman"/>
          <w:sz w:val="21"/>
          <w:szCs w:val="21"/>
        </w:rPr>
        <w:t>GHG</w:t>
      </w:r>
      <w:r>
        <w:rPr>
          <w:rFonts w:eastAsia="Times New Roman" w:cs="Times New Roman"/>
          <w:sz w:val="21"/>
          <w:szCs w:val="21"/>
        </w:rPr>
        <w:tab/>
        <w:t>Greenhouse Gas</w:t>
      </w:r>
      <w:r w:rsidR="009558A5">
        <w:rPr>
          <w:rFonts w:eastAsia="Times New Roman" w:cs="Times New Roman"/>
          <w:sz w:val="21"/>
          <w:szCs w:val="21"/>
        </w:rPr>
        <w:t>es</w:t>
      </w:r>
    </w:p>
    <w:p w14:paraId="69F4C81F" w14:textId="5F6BCAA7" w:rsidR="00BB01AE" w:rsidRDefault="00BB01AE" w:rsidP="0084642A">
      <w:pPr>
        <w:pStyle w:val="BodyText"/>
        <w:ind w:left="1701" w:hanging="1701"/>
        <w:rPr>
          <w:rFonts w:eastAsia="Times New Roman" w:cs="Times New Roman"/>
          <w:sz w:val="21"/>
          <w:szCs w:val="21"/>
        </w:rPr>
      </w:pPr>
      <w:r>
        <w:rPr>
          <w:rFonts w:eastAsia="Times New Roman" w:cs="Times New Roman"/>
          <w:sz w:val="21"/>
          <w:szCs w:val="21"/>
        </w:rPr>
        <w:t>ICN</w:t>
      </w:r>
      <w:r>
        <w:rPr>
          <w:rFonts w:eastAsia="Times New Roman" w:cs="Times New Roman"/>
          <w:sz w:val="21"/>
          <w:szCs w:val="21"/>
        </w:rPr>
        <w:tab/>
        <w:t>I</w:t>
      </w:r>
      <w:r w:rsidR="00CB0CCC">
        <w:rPr>
          <w:rFonts w:eastAsia="Times New Roman" w:cs="Times New Roman"/>
          <w:sz w:val="21"/>
          <w:szCs w:val="21"/>
        </w:rPr>
        <w:t>nvestment Concept Note</w:t>
      </w:r>
    </w:p>
    <w:p w14:paraId="423B2F14" w14:textId="4DD1A455" w:rsidR="00CB0CCC" w:rsidRDefault="00CB0CCC" w:rsidP="0084642A">
      <w:pPr>
        <w:pStyle w:val="BodyText"/>
        <w:ind w:left="1701" w:hanging="1701"/>
        <w:rPr>
          <w:rFonts w:eastAsia="Times New Roman" w:cs="Times New Roman"/>
          <w:sz w:val="21"/>
          <w:szCs w:val="21"/>
        </w:rPr>
      </w:pPr>
      <w:r>
        <w:rPr>
          <w:rFonts w:eastAsia="Times New Roman" w:cs="Times New Roman"/>
          <w:sz w:val="21"/>
          <w:szCs w:val="21"/>
        </w:rPr>
        <w:t>IDD</w:t>
      </w:r>
      <w:r>
        <w:rPr>
          <w:rFonts w:eastAsia="Times New Roman" w:cs="Times New Roman"/>
          <w:sz w:val="21"/>
          <w:szCs w:val="21"/>
        </w:rPr>
        <w:tab/>
        <w:t>Investment Design Document</w:t>
      </w:r>
    </w:p>
    <w:p w14:paraId="3C0917A3" w14:textId="374920C1" w:rsidR="007F10FC" w:rsidRPr="005B0BC3" w:rsidRDefault="007F10FC" w:rsidP="0084642A">
      <w:pPr>
        <w:pStyle w:val="BodyText"/>
        <w:ind w:left="1701" w:hanging="1701"/>
        <w:rPr>
          <w:rFonts w:eastAsia="Times New Roman" w:cs="Times New Roman"/>
          <w:sz w:val="21"/>
          <w:szCs w:val="21"/>
        </w:rPr>
      </w:pPr>
      <w:r w:rsidRPr="005B0BC3">
        <w:rPr>
          <w:rFonts w:eastAsia="Times New Roman" w:cs="Times New Roman"/>
          <w:sz w:val="21"/>
          <w:szCs w:val="21"/>
        </w:rPr>
        <w:t xml:space="preserve">INA </w:t>
      </w:r>
      <w:r w:rsidRPr="005B0BC3">
        <w:rPr>
          <w:rFonts w:eastAsia="Times New Roman" w:cs="Times New Roman"/>
          <w:sz w:val="21"/>
          <w:szCs w:val="21"/>
        </w:rPr>
        <w:tab/>
        <w:t>Indonesia Investment Authority</w:t>
      </w:r>
    </w:p>
    <w:p w14:paraId="7348F705" w14:textId="77777777" w:rsidR="00660F05" w:rsidRPr="005B0BC3" w:rsidRDefault="00660F05" w:rsidP="00660F05">
      <w:pPr>
        <w:pStyle w:val="BodyText"/>
        <w:ind w:left="1701" w:hanging="1701"/>
        <w:rPr>
          <w:rFonts w:eastAsia="Times New Roman" w:cs="Times New Roman"/>
          <w:sz w:val="21"/>
          <w:szCs w:val="21"/>
        </w:rPr>
      </w:pPr>
      <w:r w:rsidRPr="005B0BC3">
        <w:rPr>
          <w:rFonts w:eastAsia="Times New Roman" w:cs="Times New Roman"/>
          <w:sz w:val="21"/>
          <w:szCs w:val="21"/>
        </w:rPr>
        <w:t>IO</w:t>
      </w:r>
      <w:r w:rsidRPr="005B0BC3">
        <w:rPr>
          <w:rFonts w:eastAsia="Times New Roman" w:cs="Times New Roman"/>
          <w:sz w:val="21"/>
          <w:szCs w:val="21"/>
        </w:rPr>
        <w:tab/>
        <w:t>Intermediate Outcome</w:t>
      </w:r>
    </w:p>
    <w:p w14:paraId="685B830C" w14:textId="7D7D7A94" w:rsidR="00DF22FB" w:rsidRPr="005B0BC3" w:rsidRDefault="00DF22FB" w:rsidP="0084642A">
      <w:pPr>
        <w:pStyle w:val="BodyText"/>
        <w:ind w:left="1701" w:hanging="1701"/>
        <w:rPr>
          <w:sz w:val="21"/>
          <w:szCs w:val="21"/>
        </w:rPr>
      </w:pPr>
      <w:r w:rsidRPr="005B0BC3">
        <w:rPr>
          <w:rFonts w:cstheme="minorHAnsi"/>
          <w:sz w:val="21"/>
          <w:szCs w:val="21"/>
        </w:rPr>
        <w:t>JETP</w:t>
      </w:r>
      <w:r w:rsidRPr="005B0BC3">
        <w:rPr>
          <w:sz w:val="21"/>
          <w:szCs w:val="21"/>
        </w:rPr>
        <w:t xml:space="preserve"> </w:t>
      </w:r>
      <w:r w:rsidRPr="005B0BC3">
        <w:rPr>
          <w:sz w:val="21"/>
          <w:szCs w:val="21"/>
        </w:rPr>
        <w:tab/>
        <w:t>Just Energy Transition Partnership</w:t>
      </w:r>
    </w:p>
    <w:p w14:paraId="1AF68E06" w14:textId="2C54B56D" w:rsidR="005C66B6" w:rsidRPr="005B0BC3" w:rsidRDefault="005C66B6" w:rsidP="0084642A">
      <w:pPr>
        <w:pStyle w:val="BodyText"/>
        <w:ind w:left="1701" w:hanging="1701"/>
        <w:rPr>
          <w:rFonts w:cstheme="minorHAnsi"/>
          <w:sz w:val="21"/>
          <w:szCs w:val="21"/>
        </w:rPr>
      </w:pPr>
      <w:r w:rsidRPr="005B0BC3">
        <w:rPr>
          <w:rFonts w:cstheme="minorHAnsi"/>
          <w:sz w:val="21"/>
          <w:szCs w:val="21"/>
        </w:rPr>
        <w:t xml:space="preserve">KIAT </w:t>
      </w:r>
      <w:r w:rsidRPr="005B0BC3">
        <w:rPr>
          <w:rFonts w:cstheme="minorHAnsi"/>
          <w:sz w:val="21"/>
          <w:szCs w:val="21"/>
        </w:rPr>
        <w:tab/>
        <w:t>Australia-Indonesia Partnership for Infrastructure</w:t>
      </w:r>
    </w:p>
    <w:p w14:paraId="0154FEB7" w14:textId="1189A315" w:rsidR="00AB23C6" w:rsidRPr="005B0BC3" w:rsidRDefault="005C66B6" w:rsidP="0084642A">
      <w:pPr>
        <w:pStyle w:val="BodyText"/>
        <w:ind w:left="1701" w:hanging="1701"/>
        <w:rPr>
          <w:sz w:val="21"/>
          <w:szCs w:val="21"/>
        </w:rPr>
      </w:pPr>
      <w:r w:rsidRPr="005B0BC3">
        <w:rPr>
          <w:sz w:val="21"/>
          <w:szCs w:val="21"/>
        </w:rPr>
        <w:t>KINETIK</w:t>
      </w:r>
      <w:r w:rsidRPr="005B0BC3">
        <w:rPr>
          <w:sz w:val="21"/>
          <w:szCs w:val="21"/>
        </w:rPr>
        <w:tab/>
      </w:r>
      <w:r w:rsidR="009D4A6B" w:rsidRPr="005B0BC3">
        <w:rPr>
          <w:sz w:val="21"/>
          <w:szCs w:val="21"/>
        </w:rPr>
        <w:t>Australia-Indonesia Partnership for Climate</w:t>
      </w:r>
      <w:r w:rsidR="00BB2095">
        <w:rPr>
          <w:sz w:val="21"/>
          <w:szCs w:val="21"/>
        </w:rPr>
        <w:t xml:space="preserve"> </w:t>
      </w:r>
      <w:r w:rsidR="009D4A6B" w:rsidRPr="005B0BC3">
        <w:rPr>
          <w:sz w:val="21"/>
          <w:szCs w:val="21"/>
        </w:rPr>
        <w:t>and Infrastructure</w:t>
      </w:r>
      <w:r w:rsidR="009D4A6B" w:rsidRPr="005B0BC3" w:rsidDel="009D4A6B">
        <w:rPr>
          <w:sz w:val="21"/>
          <w:szCs w:val="21"/>
        </w:rPr>
        <w:t xml:space="preserve"> </w:t>
      </w:r>
    </w:p>
    <w:p w14:paraId="145258C4" w14:textId="0FDF3731" w:rsidR="0084642A" w:rsidRPr="005B0BC3" w:rsidRDefault="00660F05" w:rsidP="0084642A">
      <w:pPr>
        <w:pStyle w:val="BodyText"/>
        <w:ind w:left="1701" w:hanging="1701"/>
        <w:rPr>
          <w:rFonts w:cstheme="minorHAnsi"/>
          <w:sz w:val="21"/>
          <w:szCs w:val="21"/>
        </w:rPr>
      </w:pPr>
      <w:r w:rsidRPr="005B0BC3">
        <w:rPr>
          <w:rFonts w:cstheme="minorHAnsi"/>
          <w:sz w:val="21"/>
          <w:szCs w:val="21"/>
        </w:rPr>
        <w:t>LKPP</w:t>
      </w:r>
      <w:r w:rsidRPr="005B0BC3">
        <w:rPr>
          <w:rFonts w:cstheme="minorHAnsi"/>
          <w:sz w:val="21"/>
          <w:szCs w:val="21"/>
        </w:rPr>
        <w:tab/>
        <w:t>Indonesia National Public Procurement Agency</w:t>
      </w:r>
    </w:p>
    <w:p w14:paraId="641579A9" w14:textId="1D97084C" w:rsidR="00961F7C" w:rsidRDefault="00961F7C" w:rsidP="00660F05">
      <w:pPr>
        <w:pStyle w:val="BodyText"/>
        <w:ind w:left="1701" w:hanging="1701"/>
        <w:rPr>
          <w:rFonts w:cstheme="minorHAnsi"/>
          <w:sz w:val="21"/>
          <w:szCs w:val="21"/>
        </w:rPr>
      </w:pPr>
      <w:r>
        <w:rPr>
          <w:rFonts w:cstheme="minorHAnsi"/>
          <w:sz w:val="21"/>
          <w:szCs w:val="21"/>
        </w:rPr>
        <w:t>MDB</w:t>
      </w:r>
      <w:r>
        <w:rPr>
          <w:rFonts w:cstheme="minorHAnsi"/>
          <w:sz w:val="21"/>
          <w:szCs w:val="21"/>
        </w:rPr>
        <w:tab/>
        <w:t>Multilateral Development Bank</w:t>
      </w:r>
    </w:p>
    <w:p w14:paraId="1FBCED74" w14:textId="77777777" w:rsidR="00660F05" w:rsidRPr="005B0BC3" w:rsidRDefault="00660F05" w:rsidP="00660F05">
      <w:pPr>
        <w:pStyle w:val="BodyText"/>
        <w:ind w:left="1701" w:hanging="1701"/>
        <w:rPr>
          <w:rFonts w:cstheme="minorHAnsi"/>
          <w:sz w:val="21"/>
          <w:szCs w:val="21"/>
        </w:rPr>
      </w:pPr>
      <w:r w:rsidRPr="005B0BC3">
        <w:rPr>
          <w:rFonts w:cstheme="minorHAnsi"/>
          <w:sz w:val="21"/>
          <w:szCs w:val="21"/>
        </w:rPr>
        <w:t>M&amp;E</w:t>
      </w:r>
      <w:r w:rsidRPr="005B0BC3">
        <w:rPr>
          <w:rFonts w:cstheme="minorHAnsi"/>
          <w:sz w:val="21"/>
          <w:szCs w:val="21"/>
        </w:rPr>
        <w:tab/>
        <w:t xml:space="preserve">Monitoring and Evaluation </w:t>
      </w:r>
    </w:p>
    <w:p w14:paraId="2DEE3270" w14:textId="77777777" w:rsidR="00660F05" w:rsidRPr="005B0BC3" w:rsidRDefault="00660F05" w:rsidP="00660F05">
      <w:pPr>
        <w:pStyle w:val="BodyText"/>
        <w:ind w:left="1701" w:hanging="1701"/>
        <w:rPr>
          <w:rFonts w:cstheme="minorHAnsi"/>
          <w:sz w:val="21"/>
          <w:szCs w:val="21"/>
        </w:rPr>
      </w:pPr>
      <w:r w:rsidRPr="005B0BC3">
        <w:rPr>
          <w:rFonts w:cstheme="minorHAnsi"/>
          <w:sz w:val="21"/>
          <w:szCs w:val="21"/>
        </w:rPr>
        <w:t>MEL</w:t>
      </w:r>
      <w:r w:rsidRPr="005B0BC3">
        <w:rPr>
          <w:rFonts w:cstheme="minorHAnsi"/>
          <w:sz w:val="21"/>
          <w:szCs w:val="21"/>
        </w:rPr>
        <w:tab/>
        <w:t>Monitoring, Evaluation and Learning</w:t>
      </w:r>
    </w:p>
    <w:p w14:paraId="2611CE7A" w14:textId="77777777" w:rsidR="00660F05" w:rsidRPr="005B0BC3" w:rsidRDefault="00660F05" w:rsidP="00660F05">
      <w:pPr>
        <w:pStyle w:val="BodyText"/>
        <w:ind w:left="1701" w:hanging="1701"/>
        <w:rPr>
          <w:rFonts w:cstheme="minorHAnsi"/>
          <w:sz w:val="21"/>
          <w:szCs w:val="21"/>
        </w:rPr>
      </w:pPr>
      <w:r w:rsidRPr="005B0BC3">
        <w:rPr>
          <w:rFonts w:cstheme="minorHAnsi"/>
          <w:sz w:val="21"/>
          <w:szCs w:val="21"/>
        </w:rPr>
        <w:lastRenderedPageBreak/>
        <w:t>MOF</w:t>
      </w:r>
      <w:r w:rsidRPr="005B0BC3">
        <w:rPr>
          <w:rFonts w:cstheme="minorHAnsi"/>
          <w:sz w:val="21"/>
          <w:szCs w:val="21"/>
        </w:rPr>
        <w:tab/>
        <w:t xml:space="preserve">Ministry of Finance </w:t>
      </w:r>
    </w:p>
    <w:p w14:paraId="142AE55B" w14:textId="5ED8ABFB" w:rsidR="00660F05" w:rsidRPr="005B0BC3" w:rsidRDefault="00660F05" w:rsidP="00660F05">
      <w:pPr>
        <w:rPr>
          <w:sz w:val="21"/>
          <w:szCs w:val="21"/>
        </w:rPr>
      </w:pPr>
      <w:r w:rsidRPr="005B0BC3">
        <w:rPr>
          <w:sz w:val="21"/>
          <w:szCs w:val="21"/>
        </w:rPr>
        <w:t>MOHA</w:t>
      </w:r>
      <w:r w:rsidRPr="005B0BC3">
        <w:rPr>
          <w:sz w:val="21"/>
          <w:szCs w:val="21"/>
        </w:rPr>
        <w:tab/>
      </w:r>
      <w:r w:rsidRPr="005B0BC3">
        <w:rPr>
          <w:sz w:val="21"/>
          <w:szCs w:val="21"/>
        </w:rPr>
        <w:tab/>
      </w:r>
      <w:r w:rsidR="00C92510" w:rsidRPr="005B0BC3">
        <w:rPr>
          <w:sz w:val="21"/>
          <w:szCs w:val="21"/>
        </w:rPr>
        <w:t xml:space="preserve">  </w:t>
      </w:r>
      <w:r w:rsidRPr="005B0BC3">
        <w:rPr>
          <w:sz w:val="21"/>
          <w:szCs w:val="21"/>
        </w:rPr>
        <w:t xml:space="preserve"> </w:t>
      </w:r>
      <w:r w:rsidR="004E4A86" w:rsidRPr="005B0BC3">
        <w:rPr>
          <w:sz w:val="21"/>
          <w:szCs w:val="21"/>
        </w:rPr>
        <w:t xml:space="preserve">  </w:t>
      </w:r>
      <w:r w:rsidRPr="005B0BC3">
        <w:rPr>
          <w:sz w:val="21"/>
          <w:szCs w:val="21"/>
        </w:rPr>
        <w:t>Ministry of Home Affairs</w:t>
      </w:r>
    </w:p>
    <w:p w14:paraId="52962A4F" w14:textId="263FB1BF" w:rsidR="003D0695" w:rsidRDefault="003D0695" w:rsidP="0084642A">
      <w:pPr>
        <w:pStyle w:val="BodyText"/>
        <w:ind w:left="1701" w:hanging="1701"/>
        <w:rPr>
          <w:rFonts w:cstheme="minorHAnsi"/>
          <w:sz w:val="21"/>
          <w:szCs w:val="21"/>
        </w:rPr>
      </w:pPr>
      <w:r>
        <w:rPr>
          <w:rFonts w:cstheme="minorHAnsi"/>
          <w:sz w:val="21"/>
          <w:szCs w:val="21"/>
        </w:rPr>
        <w:t>MOSOE</w:t>
      </w:r>
      <w:r>
        <w:rPr>
          <w:rFonts w:cstheme="minorHAnsi"/>
          <w:sz w:val="21"/>
          <w:szCs w:val="21"/>
        </w:rPr>
        <w:tab/>
        <w:t>Ministry of State-Owned Enterprises</w:t>
      </w:r>
    </w:p>
    <w:p w14:paraId="7A1AC2F0" w14:textId="2EE998C3" w:rsidR="00845896" w:rsidRDefault="00845896" w:rsidP="0084642A">
      <w:pPr>
        <w:pStyle w:val="BodyText"/>
        <w:ind w:left="1701" w:hanging="1701"/>
        <w:rPr>
          <w:rFonts w:cstheme="minorHAnsi"/>
          <w:sz w:val="21"/>
          <w:szCs w:val="21"/>
        </w:rPr>
      </w:pPr>
      <w:r>
        <w:rPr>
          <w:rFonts w:cstheme="minorHAnsi"/>
          <w:sz w:val="21"/>
          <w:szCs w:val="21"/>
        </w:rPr>
        <w:t>NGO</w:t>
      </w:r>
      <w:r>
        <w:rPr>
          <w:rFonts w:cstheme="minorHAnsi"/>
          <w:sz w:val="21"/>
          <w:szCs w:val="21"/>
        </w:rPr>
        <w:tab/>
        <w:t>Non-Governmental Organisation</w:t>
      </w:r>
    </w:p>
    <w:p w14:paraId="4A130E9A" w14:textId="2D74EFA8" w:rsidR="0084642A" w:rsidRPr="005B0BC3" w:rsidRDefault="0084642A" w:rsidP="0084642A">
      <w:pPr>
        <w:pStyle w:val="BodyText"/>
        <w:ind w:left="1701" w:hanging="1701"/>
        <w:rPr>
          <w:rFonts w:cstheme="minorHAnsi"/>
          <w:sz w:val="21"/>
          <w:szCs w:val="21"/>
        </w:rPr>
      </w:pPr>
      <w:r w:rsidRPr="005B0BC3">
        <w:rPr>
          <w:rFonts w:cstheme="minorHAnsi"/>
          <w:sz w:val="21"/>
          <w:szCs w:val="21"/>
        </w:rPr>
        <w:t xml:space="preserve">ODA </w:t>
      </w:r>
      <w:r w:rsidRPr="005B0BC3">
        <w:rPr>
          <w:rFonts w:cstheme="minorHAnsi"/>
          <w:sz w:val="21"/>
          <w:szCs w:val="21"/>
        </w:rPr>
        <w:tab/>
        <w:t xml:space="preserve">Official Development Assistance </w:t>
      </w:r>
    </w:p>
    <w:p w14:paraId="5158A041" w14:textId="65FC570F" w:rsidR="00987F10" w:rsidRDefault="00EA25E2" w:rsidP="0084642A">
      <w:pPr>
        <w:pStyle w:val="BodyText"/>
        <w:ind w:left="1701" w:hanging="1701"/>
        <w:rPr>
          <w:rFonts w:cstheme="minorHAnsi"/>
          <w:sz w:val="21"/>
          <w:szCs w:val="21"/>
        </w:rPr>
      </w:pPr>
      <w:r>
        <w:rPr>
          <w:rFonts w:cstheme="minorHAnsi"/>
          <w:sz w:val="21"/>
          <w:szCs w:val="21"/>
        </w:rPr>
        <w:t>OECD</w:t>
      </w:r>
      <w:r>
        <w:rPr>
          <w:rFonts w:cstheme="minorHAnsi"/>
          <w:sz w:val="21"/>
          <w:szCs w:val="21"/>
        </w:rPr>
        <w:tab/>
      </w:r>
      <w:r w:rsidR="003B5CB7">
        <w:rPr>
          <w:rFonts w:cstheme="minorHAnsi"/>
          <w:sz w:val="21"/>
          <w:szCs w:val="21"/>
        </w:rPr>
        <w:t>Organisation for Economic Cooperation and Development</w:t>
      </w:r>
    </w:p>
    <w:p w14:paraId="6F516546" w14:textId="63DDDC48" w:rsidR="00660F05" w:rsidRPr="005B0BC3" w:rsidRDefault="00660F05" w:rsidP="0084642A">
      <w:pPr>
        <w:pStyle w:val="BodyText"/>
        <w:ind w:left="1701" w:hanging="1701"/>
        <w:rPr>
          <w:rFonts w:cstheme="minorHAnsi"/>
          <w:sz w:val="21"/>
          <w:szCs w:val="21"/>
        </w:rPr>
      </w:pPr>
      <w:r w:rsidRPr="005B0BC3">
        <w:rPr>
          <w:rFonts w:cstheme="minorHAnsi"/>
          <w:sz w:val="21"/>
          <w:szCs w:val="21"/>
        </w:rPr>
        <w:t>OJK</w:t>
      </w:r>
      <w:r w:rsidRPr="005B0BC3">
        <w:rPr>
          <w:rFonts w:cstheme="minorHAnsi"/>
          <w:sz w:val="21"/>
          <w:szCs w:val="21"/>
        </w:rPr>
        <w:tab/>
        <w:t xml:space="preserve">Financial Services Authority </w:t>
      </w:r>
    </w:p>
    <w:p w14:paraId="582416BD" w14:textId="0661B302" w:rsidR="0084642A" w:rsidRPr="005B0BC3" w:rsidRDefault="0084642A" w:rsidP="0084642A">
      <w:pPr>
        <w:pStyle w:val="BodyText"/>
        <w:ind w:left="1701" w:hanging="1701"/>
        <w:rPr>
          <w:rFonts w:cstheme="minorHAnsi"/>
          <w:sz w:val="21"/>
          <w:szCs w:val="21"/>
        </w:rPr>
      </w:pPr>
      <w:r w:rsidRPr="005B0BC3">
        <w:rPr>
          <w:rFonts w:cstheme="minorHAnsi"/>
          <w:sz w:val="21"/>
          <w:szCs w:val="21"/>
        </w:rPr>
        <w:t>OPD</w:t>
      </w:r>
      <w:r w:rsidRPr="005B0BC3">
        <w:rPr>
          <w:rFonts w:cstheme="minorHAnsi"/>
          <w:sz w:val="21"/>
          <w:szCs w:val="21"/>
        </w:rPr>
        <w:tab/>
        <w:t xml:space="preserve">Organisation of </w:t>
      </w:r>
      <w:r w:rsidR="00C66D97">
        <w:rPr>
          <w:rFonts w:cstheme="minorHAnsi"/>
          <w:sz w:val="21"/>
          <w:szCs w:val="21"/>
        </w:rPr>
        <w:t>P</w:t>
      </w:r>
      <w:r w:rsidR="0096754F">
        <w:rPr>
          <w:rFonts w:cstheme="minorHAnsi"/>
          <w:sz w:val="21"/>
          <w:szCs w:val="21"/>
        </w:rPr>
        <w:t>ersons</w:t>
      </w:r>
      <w:r w:rsidR="00C66D97" w:rsidRPr="005B0BC3">
        <w:rPr>
          <w:rFonts w:cstheme="minorHAnsi"/>
          <w:sz w:val="21"/>
          <w:szCs w:val="21"/>
        </w:rPr>
        <w:t xml:space="preserve"> </w:t>
      </w:r>
      <w:r w:rsidRPr="005B0BC3">
        <w:rPr>
          <w:rFonts w:cstheme="minorHAnsi"/>
          <w:sz w:val="21"/>
          <w:szCs w:val="21"/>
        </w:rPr>
        <w:t xml:space="preserve">with </w:t>
      </w:r>
      <w:r w:rsidR="00C66D97">
        <w:rPr>
          <w:rFonts w:cstheme="minorHAnsi"/>
          <w:sz w:val="21"/>
          <w:szCs w:val="21"/>
        </w:rPr>
        <w:t>D</w:t>
      </w:r>
      <w:r w:rsidR="00C66D97" w:rsidRPr="005B0BC3">
        <w:rPr>
          <w:rFonts w:cstheme="minorHAnsi"/>
          <w:sz w:val="21"/>
          <w:szCs w:val="21"/>
        </w:rPr>
        <w:t>isabilit</w:t>
      </w:r>
      <w:r w:rsidR="0096754F">
        <w:rPr>
          <w:rFonts w:cstheme="minorHAnsi"/>
          <w:sz w:val="21"/>
          <w:szCs w:val="21"/>
        </w:rPr>
        <w:t>ies</w:t>
      </w:r>
      <w:r w:rsidR="00C66D97" w:rsidRPr="005B0BC3">
        <w:rPr>
          <w:rFonts w:cstheme="minorHAnsi"/>
          <w:sz w:val="21"/>
          <w:szCs w:val="21"/>
        </w:rPr>
        <w:t xml:space="preserve"> </w:t>
      </w:r>
    </w:p>
    <w:p w14:paraId="51E64B53" w14:textId="0C6FC649" w:rsidR="00B821D6" w:rsidRDefault="00B821D6" w:rsidP="0084642A">
      <w:pPr>
        <w:pStyle w:val="BodyText"/>
        <w:ind w:left="1701" w:hanging="1701"/>
        <w:rPr>
          <w:rFonts w:cstheme="minorHAnsi"/>
          <w:sz w:val="21"/>
          <w:szCs w:val="21"/>
        </w:rPr>
      </w:pPr>
      <w:r>
        <w:rPr>
          <w:rFonts w:cstheme="minorHAnsi"/>
          <w:sz w:val="21"/>
          <w:szCs w:val="21"/>
        </w:rPr>
        <w:t>PEA</w:t>
      </w:r>
      <w:r>
        <w:rPr>
          <w:rFonts w:cstheme="minorHAnsi"/>
          <w:sz w:val="21"/>
          <w:szCs w:val="21"/>
        </w:rPr>
        <w:tab/>
        <w:t>Political Economy Analysis</w:t>
      </w:r>
    </w:p>
    <w:p w14:paraId="72F84FF9" w14:textId="0AAAB4C9" w:rsidR="00B53FC3" w:rsidRPr="005B0BC3" w:rsidRDefault="00B53FC3" w:rsidP="0084642A">
      <w:pPr>
        <w:pStyle w:val="BodyText"/>
        <w:ind w:left="1701" w:hanging="1701"/>
        <w:rPr>
          <w:rFonts w:cstheme="minorHAnsi"/>
          <w:sz w:val="21"/>
          <w:szCs w:val="21"/>
        </w:rPr>
      </w:pPr>
      <w:r w:rsidRPr="005B0BC3">
        <w:rPr>
          <w:rFonts w:cstheme="minorHAnsi"/>
          <w:sz w:val="21"/>
          <w:szCs w:val="21"/>
        </w:rPr>
        <w:t>PIDG</w:t>
      </w:r>
      <w:r w:rsidRPr="005B0BC3">
        <w:rPr>
          <w:rFonts w:cstheme="minorHAnsi"/>
          <w:sz w:val="21"/>
          <w:szCs w:val="21"/>
        </w:rPr>
        <w:tab/>
      </w:r>
      <w:r w:rsidR="00D90F71" w:rsidRPr="005B0BC3">
        <w:rPr>
          <w:rFonts w:cstheme="minorHAnsi"/>
          <w:sz w:val="21"/>
          <w:szCs w:val="21"/>
        </w:rPr>
        <w:t>Private Infrastructure Development Group</w:t>
      </w:r>
    </w:p>
    <w:p w14:paraId="0EC9BD59" w14:textId="1A35FFD6" w:rsidR="004F3B94" w:rsidRPr="005B0BC3" w:rsidRDefault="004F3B94" w:rsidP="0084642A">
      <w:pPr>
        <w:pStyle w:val="BodyText"/>
        <w:ind w:left="1701" w:hanging="1701"/>
        <w:rPr>
          <w:rFonts w:cstheme="minorHAnsi"/>
          <w:sz w:val="21"/>
          <w:szCs w:val="21"/>
        </w:rPr>
      </w:pPr>
      <w:r w:rsidRPr="005B0BC3">
        <w:rPr>
          <w:rFonts w:cstheme="minorHAnsi"/>
          <w:sz w:val="21"/>
          <w:szCs w:val="21"/>
        </w:rPr>
        <w:t>PPP</w:t>
      </w:r>
      <w:r w:rsidRPr="005B0BC3">
        <w:rPr>
          <w:rFonts w:cstheme="minorHAnsi"/>
          <w:sz w:val="21"/>
          <w:szCs w:val="21"/>
        </w:rPr>
        <w:tab/>
        <w:t xml:space="preserve">Public Private Partnerships </w:t>
      </w:r>
    </w:p>
    <w:p w14:paraId="49D8447E" w14:textId="4CEE71CE" w:rsidR="0079254F" w:rsidRDefault="0079254F" w:rsidP="009D4A6B">
      <w:pPr>
        <w:pStyle w:val="BodyText"/>
        <w:ind w:left="1701" w:hanging="1701"/>
        <w:rPr>
          <w:rFonts w:cstheme="minorHAnsi"/>
          <w:sz w:val="21"/>
          <w:szCs w:val="21"/>
        </w:rPr>
      </w:pPr>
      <w:r>
        <w:rPr>
          <w:rFonts w:cstheme="minorHAnsi"/>
          <w:sz w:val="21"/>
          <w:szCs w:val="21"/>
        </w:rPr>
        <w:t>PSEAH</w:t>
      </w:r>
      <w:r>
        <w:rPr>
          <w:rFonts w:cstheme="minorHAnsi"/>
          <w:sz w:val="21"/>
          <w:szCs w:val="21"/>
        </w:rPr>
        <w:tab/>
        <w:t>Prevention of Sexual Exploitation, Abuse and Harassment</w:t>
      </w:r>
    </w:p>
    <w:p w14:paraId="7FB33EAE" w14:textId="51CFA8EA" w:rsidR="0034159B" w:rsidRPr="005B0BC3" w:rsidRDefault="0034159B" w:rsidP="009D4A6B">
      <w:pPr>
        <w:pStyle w:val="BodyText"/>
        <w:ind w:left="1701" w:hanging="1701"/>
        <w:rPr>
          <w:rFonts w:cstheme="minorHAnsi"/>
          <w:sz w:val="21"/>
          <w:szCs w:val="21"/>
        </w:rPr>
      </w:pPr>
      <w:r w:rsidRPr="005B0BC3">
        <w:rPr>
          <w:rFonts w:cstheme="minorHAnsi"/>
          <w:sz w:val="21"/>
          <w:szCs w:val="21"/>
        </w:rPr>
        <w:t>PT SMI</w:t>
      </w:r>
      <w:r w:rsidRPr="005B0BC3">
        <w:rPr>
          <w:rFonts w:cstheme="minorHAnsi"/>
          <w:sz w:val="21"/>
          <w:szCs w:val="21"/>
        </w:rPr>
        <w:tab/>
      </w:r>
      <w:r w:rsidR="009D4A6B" w:rsidRPr="005B0BC3">
        <w:rPr>
          <w:rFonts w:cstheme="minorHAnsi"/>
          <w:sz w:val="21"/>
          <w:szCs w:val="21"/>
        </w:rPr>
        <w:t xml:space="preserve">PT Sarana Multi </w:t>
      </w:r>
      <w:proofErr w:type="spellStart"/>
      <w:r w:rsidR="009D4A6B" w:rsidRPr="005B0BC3">
        <w:rPr>
          <w:rFonts w:cstheme="minorHAnsi"/>
          <w:sz w:val="21"/>
          <w:szCs w:val="21"/>
        </w:rPr>
        <w:t>Infrastruktur</w:t>
      </w:r>
      <w:proofErr w:type="spellEnd"/>
    </w:p>
    <w:p w14:paraId="3F57A4CA" w14:textId="6216348C" w:rsidR="0034159B" w:rsidRPr="005B0BC3" w:rsidRDefault="0034159B" w:rsidP="00536364">
      <w:pPr>
        <w:pStyle w:val="BodyText"/>
        <w:ind w:left="1701" w:hanging="1701"/>
        <w:rPr>
          <w:rFonts w:cstheme="minorHAnsi"/>
          <w:sz w:val="21"/>
          <w:szCs w:val="21"/>
        </w:rPr>
      </w:pPr>
      <w:r w:rsidRPr="005B0BC3">
        <w:rPr>
          <w:rFonts w:cstheme="minorHAnsi"/>
          <w:sz w:val="21"/>
          <w:szCs w:val="21"/>
        </w:rPr>
        <w:t>PT IIF</w:t>
      </w:r>
      <w:r w:rsidRPr="005B0BC3">
        <w:rPr>
          <w:rFonts w:cstheme="minorHAnsi"/>
          <w:sz w:val="21"/>
          <w:szCs w:val="21"/>
        </w:rPr>
        <w:tab/>
        <w:t>PT Indonesia Infrastructure Finance</w:t>
      </w:r>
    </w:p>
    <w:p w14:paraId="65A312BC" w14:textId="56887153" w:rsidR="0034159B" w:rsidRPr="005B0BC3" w:rsidRDefault="0034159B" w:rsidP="00536364">
      <w:pPr>
        <w:pStyle w:val="BodyText"/>
        <w:ind w:left="1701" w:hanging="1701"/>
        <w:rPr>
          <w:rFonts w:cstheme="minorHAnsi"/>
          <w:sz w:val="21"/>
          <w:szCs w:val="21"/>
        </w:rPr>
      </w:pPr>
      <w:r w:rsidRPr="005B0BC3">
        <w:rPr>
          <w:rFonts w:cstheme="minorHAnsi"/>
          <w:sz w:val="21"/>
          <w:szCs w:val="21"/>
        </w:rPr>
        <w:t>PT IIGF</w:t>
      </w:r>
      <w:r w:rsidRPr="005B0BC3">
        <w:rPr>
          <w:rFonts w:cstheme="minorHAnsi"/>
          <w:sz w:val="21"/>
          <w:szCs w:val="21"/>
        </w:rPr>
        <w:tab/>
        <w:t>PT Indonesia Infrastructure Guarantee Fund</w:t>
      </w:r>
    </w:p>
    <w:p w14:paraId="3E1E750E" w14:textId="05BE40CB" w:rsidR="00AB112E" w:rsidRDefault="00AB112E" w:rsidP="007F10FC">
      <w:pPr>
        <w:pStyle w:val="BodyText"/>
        <w:ind w:left="1701" w:hanging="1701"/>
        <w:rPr>
          <w:sz w:val="21"/>
          <w:szCs w:val="21"/>
        </w:rPr>
      </w:pPr>
      <w:r>
        <w:rPr>
          <w:sz w:val="21"/>
          <w:szCs w:val="21"/>
        </w:rPr>
        <w:t>PT PLN</w:t>
      </w:r>
      <w:r>
        <w:rPr>
          <w:sz w:val="21"/>
          <w:szCs w:val="21"/>
        </w:rPr>
        <w:tab/>
        <w:t>PT Perusahaan Listrik Negara (Indonesia’s state-owned electricity company)</w:t>
      </w:r>
    </w:p>
    <w:p w14:paraId="5CA8EDAC" w14:textId="1C4FD802" w:rsidR="007F10FC" w:rsidRPr="005B0BC3" w:rsidRDefault="007F10FC" w:rsidP="007F10FC">
      <w:pPr>
        <w:pStyle w:val="BodyText"/>
        <w:ind w:left="1701" w:hanging="1701"/>
        <w:rPr>
          <w:rFonts w:eastAsia="Times New Roman" w:cs="Times New Roman"/>
          <w:sz w:val="21"/>
          <w:szCs w:val="21"/>
        </w:rPr>
      </w:pPr>
      <w:r w:rsidRPr="005B0BC3">
        <w:rPr>
          <w:sz w:val="21"/>
          <w:szCs w:val="21"/>
        </w:rPr>
        <w:t>RPJMN</w:t>
      </w:r>
      <w:r w:rsidR="00536364" w:rsidRPr="005B0BC3">
        <w:rPr>
          <w:sz w:val="21"/>
          <w:szCs w:val="21"/>
        </w:rPr>
        <w:tab/>
      </w:r>
      <w:r w:rsidRPr="005B0BC3">
        <w:rPr>
          <w:sz w:val="21"/>
          <w:szCs w:val="21"/>
        </w:rPr>
        <w:t>National Medium-Term Development Plan</w:t>
      </w:r>
    </w:p>
    <w:p w14:paraId="44AAA9B1" w14:textId="1C058E9B" w:rsidR="0084642A" w:rsidRDefault="005C66B6" w:rsidP="00536364">
      <w:pPr>
        <w:pStyle w:val="BodyText"/>
        <w:ind w:left="1701" w:hanging="1701"/>
        <w:rPr>
          <w:sz w:val="21"/>
          <w:szCs w:val="21"/>
        </w:rPr>
      </w:pPr>
      <w:r w:rsidRPr="005B0BC3">
        <w:rPr>
          <w:sz w:val="21"/>
          <w:szCs w:val="21"/>
        </w:rPr>
        <w:t>SIAP2</w:t>
      </w:r>
      <w:r w:rsidRPr="005B0BC3">
        <w:rPr>
          <w:sz w:val="21"/>
          <w:szCs w:val="21"/>
        </w:rPr>
        <w:tab/>
      </w:r>
      <w:r w:rsidRPr="005B0BC3">
        <w:rPr>
          <w:rFonts w:cstheme="minorHAnsi"/>
          <w:sz w:val="21"/>
          <w:szCs w:val="21"/>
        </w:rPr>
        <w:t>Sustainable</w:t>
      </w:r>
      <w:r w:rsidRPr="005B0BC3">
        <w:rPr>
          <w:sz w:val="21"/>
          <w:szCs w:val="21"/>
        </w:rPr>
        <w:t xml:space="preserve"> Infrastructure Assistance Program II</w:t>
      </w:r>
    </w:p>
    <w:p w14:paraId="6731D274" w14:textId="5ADB123D" w:rsidR="007D40E6" w:rsidRDefault="007D40E6" w:rsidP="00536364">
      <w:pPr>
        <w:pStyle w:val="BodyText"/>
        <w:ind w:left="1701" w:hanging="1701"/>
        <w:rPr>
          <w:sz w:val="21"/>
          <w:szCs w:val="21"/>
        </w:rPr>
      </w:pPr>
      <w:r>
        <w:rPr>
          <w:sz w:val="21"/>
          <w:szCs w:val="21"/>
        </w:rPr>
        <w:t>SMV</w:t>
      </w:r>
      <w:r>
        <w:rPr>
          <w:sz w:val="21"/>
          <w:szCs w:val="21"/>
        </w:rPr>
        <w:tab/>
        <w:t>S</w:t>
      </w:r>
      <w:r w:rsidR="00B22C13">
        <w:rPr>
          <w:sz w:val="21"/>
          <w:szCs w:val="21"/>
        </w:rPr>
        <w:t>pecial Mission Vehicle</w:t>
      </w:r>
    </w:p>
    <w:p w14:paraId="4145E238" w14:textId="276BA1FB" w:rsidR="0019454C" w:rsidRDefault="0019454C" w:rsidP="00536364">
      <w:pPr>
        <w:pStyle w:val="BodyText"/>
        <w:ind w:left="1701" w:hanging="1701"/>
        <w:rPr>
          <w:sz w:val="21"/>
          <w:szCs w:val="21"/>
        </w:rPr>
      </w:pPr>
      <w:r>
        <w:rPr>
          <w:sz w:val="21"/>
          <w:szCs w:val="21"/>
        </w:rPr>
        <w:t>SOE</w:t>
      </w:r>
      <w:r>
        <w:rPr>
          <w:sz w:val="21"/>
          <w:szCs w:val="21"/>
        </w:rPr>
        <w:tab/>
        <w:t>State-owned Enterprise</w:t>
      </w:r>
    </w:p>
    <w:p w14:paraId="3E2AC64D" w14:textId="313CF2D4" w:rsidR="009E1C9A" w:rsidRDefault="009E1C9A" w:rsidP="00536364">
      <w:pPr>
        <w:pStyle w:val="BodyText"/>
        <w:ind w:left="1701" w:hanging="1701"/>
        <w:rPr>
          <w:sz w:val="21"/>
          <w:szCs w:val="21"/>
        </w:rPr>
      </w:pPr>
      <w:r>
        <w:rPr>
          <w:sz w:val="21"/>
          <w:szCs w:val="21"/>
        </w:rPr>
        <w:t>USAID</w:t>
      </w:r>
      <w:r>
        <w:rPr>
          <w:sz w:val="21"/>
          <w:szCs w:val="21"/>
        </w:rPr>
        <w:tab/>
        <w:t>United States Agency for In</w:t>
      </w:r>
      <w:r w:rsidR="006B0157">
        <w:rPr>
          <w:sz w:val="21"/>
          <w:szCs w:val="21"/>
        </w:rPr>
        <w:t>ternational Development</w:t>
      </w:r>
    </w:p>
    <w:p w14:paraId="6BAB2526" w14:textId="6FB0495D" w:rsidR="002F4F2F" w:rsidRDefault="002F4F2F" w:rsidP="00536364">
      <w:pPr>
        <w:pStyle w:val="BodyText"/>
        <w:ind w:left="1701" w:hanging="1701"/>
        <w:rPr>
          <w:sz w:val="21"/>
          <w:szCs w:val="21"/>
        </w:rPr>
      </w:pPr>
      <w:r>
        <w:rPr>
          <w:sz w:val="21"/>
          <w:szCs w:val="21"/>
        </w:rPr>
        <w:t>WASH</w:t>
      </w:r>
      <w:r>
        <w:rPr>
          <w:sz w:val="21"/>
          <w:szCs w:val="21"/>
        </w:rPr>
        <w:tab/>
      </w:r>
      <w:r w:rsidR="00DC613D">
        <w:rPr>
          <w:sz w:val="21"/>
          <w:szCs w:val="21"/>
        </w:rPr>
        <w:t>Water, Sanitation, and Hygiene</w:t>
      </w:r>
      <w:r w:rsidR="005903B9">
        <w:rPr>
          <w:sz w:val="21"/>
          <w:szCs w:val="21"/>
        </w:rPr>
        <w:tab/>
      </w:r>
    </w:p>
    <w:p w14:paraId="53B562AB" w14:textId="3F25FF4C" w:rsidR="005903B9" w:rsidRPr="005B0BC3" w:rsidRDefault="003D106F" w:rsidP="00536364">
      <w:pPr>
        <w:pStyle w:val="BodyText"/>
        <w:ind w:left="1701" w:hanging="1701"/>
        <w:rPr>
          <w:sz w:val="21"/>
          <w:szCs w:val="21"/>
        </w:rPr>
      </w:pPr>
      <w:r>
        <w:rPr>
          <w:sz w:val="21"/>
          <w:szCs w:val="21"/>
        </w:rPr>
        <w:t>WB</w:t>
      </w:r>
      <w:r>
        <w:rPr>
          <w:sz w:val="21"/>
          <w:szCs w:val="21"/>
        </w:rPr>
        <w:tab/>
        <w:t>World Bank</w:t>
      </w:r>
    </w:p>
    <w:p w14:paraId="5C240847" w14:textId="77777777" w:rsidR="00A352AF" w:rsidRDefault="00A352AF" w:rsidP="00A352AF">
      <w:pPr>
        <w:suppressAutoHyphens w:val="0"/>
        <w:spacing w:before="0" w:after="120" w:line="440" w:lineRule="atLeast"/>
      </w:pPr>
    </w:p>
    <w:p w14:paraId="7A445608" w14:textId="77777777" w:rsidR="00EA200D" w:rsidRDefault="00EA200D">
      <w:pPr>
        <w:suppressAutoHyphens w:val="0"/>
        <w:spacing w:before="0" w:after="120" w:line="440" w:lineRule="atLeast"/>
      </w:pPr>
      <w:r>
        <w:br w:type="page"/>
      </w:r>
    </w:p>
    <w:p w14:paraId="62518942" w14:textId="5A689C63" w:rsidR="005B0BC3" w:rsidRDefault="005B0BC3" w:rsidP="00D2498B">
      <w:pPr>
        <w:pStyle w:val="Heading1"/>
        <w:numPr>
          <w:ilvl w:val="0"/>
          <w:numId w:val="0"/>
        </w:numPr>
        <w:ind w:left="567" w:hanging="567"/>
      </w:pPr>
      <w:bookmarkStart w:id="3" w:name="_Toc216270554"/>
      <w:r>
        <w:lastRenderedPageBreak/>
        <w:t>Glossary of Terms</w:t>
      </w:r>
      <w:bookmarkEnd w:id="3"/>
    </w:p>
    <w:tbl>
      <w:tblPr>
        <w:tblStyle w:val="TableGrid"/>
        <w:tblW w:w="9491" w:type="dxa"/>
        <w:tblLook w:val="04A0" w:firstRow="1" w:lastRow="0" w:firstColumn="1" w:lastColumn="0" w:noHBand="0" w:noVBand="1"/>
        <w:tblCaption w:val="Glossary of Terms"/>
        <w:tblDescription w:val="A table containing key terms and definitions"/>
      </w:tblPr>
      <w:tblGrid>
        <w:gridCol w:w="3480"/>
        <w:gridCol w:w="6011"/>
      </w:tblGrid>
      <w:tr w:rsidR="007F0F29" w:rsidRPr="00466021" w14:paraId="3ADC3AEE" w14:textId="77777777" w:rsidTr="007F0F29">
        <w:trPr>
          <w:trHeight w:val="560"/>
        </w:trPr>
        <w:tc>
          <w:tcPr>
            <w:tcW w:w="3480" w:type="dxa"/>
            <w:hideMark/>
          </w:tcPr>
          <w:p w14:paraId="34104718" w14:textId="77777777" w:rsidR="007F0F29" w:rsidRPr="00466021" w:rsidRDefault="007F0F29" w:rsidP="00466021">
            <w:pPr>
              <w:rPr>
                <w:b/>
                <w:bCs/>
                <w:i/>
                <w:iCs/>
                <w:sz w:val="21"/>
                <w:szCs w:val="21"/>
              </w:rPr>
            </w:pPr>
            <w:r w:rsidRPr="00466021">
              <w:rPr>
                <w:b/>
                <w:bCs/>
                <w:i/>
                <w:iCs/>
                <w:sz w:val="21"/>
                <w:szCs w:val="21"/>
              </w:rPr>
              <w:t xml:space="preserve">Term </w:t>
            </w:r>
          </w:p>
        </w:tc>
        <w:tc>
          <w:tcPr>
            <w:tcW w:w="6011" w:type="dxa"/>
            <w:hideMark/>
          </w:tcPr>
          <w:p w14:paraId="6F842068" w14:textId="77777777" w:rsidR="007F0F29" w:rsidRPr="00466021" w:rsidRDefault="007F0F29" w:rsidP="00466021">
            <w:pPr>
              <w:rPr>
                <w:b/>
                <w:bCs/>
                <w:i/>
                <w:iCs/>
                <w:sz w:val="21"/>
                <w:szCs w:val="21"/>
              </w:rPr>
            </w:pPr>
            <w:r w:rsidRPr="00466021">
              <w:rPr>
                <w:b/>
                <w:bCs/>
                <w:i/>
                <w:iCs/>
                <w:sz w:val="21"/>
                <w:szCs w:val="21"/>
              </w:rPr>
              <w:t xml:space="preserve">Definition </w:t>
            </w:r>
          </w:p>
        </w:tc>
      </w:tr>
      <w:tr w:rsidR="007F0F29" w:rsidRPr="00466021" w14:paraId="1BB4437E" w14:textId="77777777" w:rsidTr="007F0F29">
        <w:trPr>
          <w:trHeight w:val="577"/>
        </w:trPr>
        <w:tc>
          <w:tcPr>
            <w:tcW w:w="3480" w:type="dxa"/>
            <w:hideMark/>
          </w:tcPr>
          <w:p w14:paraId="7125167E" w14:textId="77777777" w:rsidR="007F0F29" w:rsidRPr="00466021" w:rsidRDefault="007F0F29" w:rsidP="00466021">
            <w:pPr>
              <w:rPr>
                <w:sz w:val="21"/>
                <w:szCs w:val="21"/>
              </w:rPr>
            </w:pPr>
            <w:r w:rsidRPr="00466021">
              <w:rPr>
                <w:sz w:val="21"/>
                <w:szCs w:val="21"/>
              </w:rPr>
              <w:t xml:space="preserve">Bankable projects </w:t>
            </w:r>
          </w:p>
        </w:tc>
        <w:tc>
          <w:tcPr>
            <w:tcW w:w="6011" w:type="dxa"/>
            <w:hideMark/>
          </w:tcPr>
          <w:p w14:paraId="36DCDAF5" w14:textId="77777777" w:rsidR="007F0F29" w:rsidRPr="00466021" w:rsidRDefault="007F0F29" w:rsidP="00466021">
            <w:pPr>
              <w:rPr>
                <w:sz w:val="21"/>
                <w:szCs w:val="21"/>
              </w:rPr>
            </w:pPr>
            <w:r w:rsidRPr="00466021">
              <w:rPr>
                <w:sz w:val="21"/>
                <w:szCs w:val="21"/>
              </w:rPr>
              <w:t>Financially viable projects that are attractive to investors, often specifically those that align with climate objectives.</w:t>
            </w:r>
          </w:p>
        </w:tc>
      </w:tr>
      <w:tr w:rsidR="007F0F29" w:rsidRPr="00466021" w14:paraId="5BD3BD62" w14:textId="77777777" w:rsidTr="007F0F29">
        <w:trPr>
          <w:trHeight w:val="300"/>
        </w:trPr>
        <w:tc>
          <w:tcPr>
            <w:tcW w:w="3480" w:type="dxa"/>
            <w:hideMark/>
          </w:tcPr>
          <w:p w14:paraId="6D8DEDE5" w14:textId="77777777" w:rsidR="007F0F29" w:rsidRPr="00466021" w:rsidRDefault="007F0F29" w:rsidP="00466021">
            <w:pPr>
              <w:rPr>
                <w:sz w:val="21"/>
                <w:szCs w:val="21"/>
              </w:rPr>
            </w:pPr>
            <w:r w:rsidRPr="00466021">
              <w:rPr>
                <w:sz w:val="21"/>
                <w:szCs w:val="21"/>
              </w:rPr>
              <w:t xml:space="preserve">Blended Finance </w:t>
            </w:r>
          </w:p>
        </w:tc>
        <w:tc>
          <w:tcPr>
            <w:tcW w:w="6011" w:type="dxa"/>
            <w:hideMark/>
          </w:tcPr>
          <w:p w14:paraId="78EC6213" w14:textId="3C921AA9" w:rsidR="007F0F29" w:rsidRPr="00466021" w:rsidRDefault="007F0F29" w:rsidP="00466021">
            <w:pPr>
              <w:rPr>
                <w:sz w:val="21"/>
                <w:szCs w:val="21"/>
              </w:rPr>
            </w:pPr>
            <w:r w:rsidRPr="00466021">
              <w:rPr>
                <w:sz w:val="21"/>
                <w:szCs w:val="21"/>
              </w:rPr>
              <w:t xml:space="preserve">Strategic use of a mix of development finance to mobilise additional </w:t>
            </w:r>
            <w:r w:rsidRPr="444786DB">
              <w:rPr>
                <w:sz w:val="21"/>
                <w:szCs w:val="21"/>
              </w:rPr>
              <w:t>finance</w:t>
            </w:r>
            <w:r w:rsidRPr="00466021">
              <w:rPr>
                <w:sz w:val="21"/>
                <w:szCs w:val="21"/>
              </w:rPr>
              <w:t xml:space="preserve"> for sustainable development.</w:t>
            </w:r>
          </w:p>
        </w:tc>
      </w:tr>
      <w:tr w:rsidR="007F0F29" w:rsidRPr="00466021" w14:paraId="3DB874C2" w14:textId="77777777" w:rsidTr="007F0F29">
        <w:trPr>
          <w:trHeight w:val="300"/>
        </w:trPr>
        <w:tc>
          <w:tcPr>
            <w:tcW w:w="3480" w:type="dxa"/>
          </w:tcPr>
          <w:p w14:paraId="326F8C3C" w14:textId="4C7AB5E7" w:rsidR="007F0F29" w:rsidRPr="00466021" w:rsidRDefault="007F0F29" w:rsidP="005948F5">
            <w:pPr>
              <w:rPr>
                <w:sz w:val="21"/>
                <w:szCs w:val="21"/>
              </w:rPr>
            </w:pPr>
            <w:r w:rsidRPr="00466021">
              <w:rPr>
                <w:sz w:val="21"/>
                <w:szCs w:val="21"/>
              </w:rPr>
              <w:t>Climate Adaptation Infrastructure</w:t>
            </w:r>
          </w:p>
        </w:tc>
        <w:tc>
          <w:tcPr>
            <w:tcW w:w="6011" w:type="dxa"/>
          </w:tcPr>
          <w:p w14:paraId="7C63B103" w14:textId="1AA140B4" w:rsidR="007F0F29" w:rsidRPr="00466021" w:rsidRDefault="007F0F29" w:rsidP="005948F5">
            <w:pPr>
              <w:rPr>
                <w:sz w:val="21"/>
                <w:szCs w:val="21"/>
              </w:rPr>
            </w:pPr>
            <w:r w:rsidRPr="00466021">
              <w:rPr>
                <w:sz w:val="21"/>
                <w:szCs w:val="21"/>
              </w:rPr>
              <w:t>Infrastructure that assists societies adjust to actual or expected climate effects. (e.g. sea walls, reservoirs and green spaces).</w:t>
            </w:r>
          </w:p>
        </w:tc>
      </w:tr>
      <w:tr w:rsidR="007F0F29" w:rsidRPr="00466021" w14:paraId="2CEDA863" w14:textId="77777777" w:rsidTr="007F0F29">
        <w:trPr>
          <w:trHeight w:val="300"/>
        </w:trPr>
        <w:tc>
          <w:tcPr>
            <w:tcW w:w="3480" w:type="dxa"/>
            <w:hideMark/>
          </w:tcPr>
          <w:p w14:paraId="4EB9ABA9" w14:textId="77777777" w:rsidR="007F0F29" w:rsidRPr="00466021" w:rsidRDefault="007F0F29" w:rsidP="005948F5">
            <w:pPr>
              <w:rPr>
                <w:sz w:val="21"/>
                <w:szCs w:val="21"/>
              </w:rPr>
            </w:pPr>
            <w:r w:rsidRPr="00466021">
              <w:rPr>
                <w:sz w:val="21"/>
                <w:szCs w:val="21"/>
              </w:rPr>
              <w:t xml:space="preserve">Climate Finance </w:t>
            </w:r>
          </w:p>
        </w:tc>
        <w:tc>
          <w:tcPr>
            <w:tcW w:w="6011" w:type="dxa"/>
            <w:hideMark/>
          </w:tcPr>
          <w:p w14:paraId="43FB40FF" w14:textId="77777777" w:rsidR="007F0F29" w:rsidRPr="00466021" w:rsidRDefault="007F0F29" w:rsidP="005948F5">
            <w:pPr>
              <w:rPr>
                <w:sz w:val="21"/>
                <w:szCs w:val="21"/>
              </w:rPr>
            </w:pPr>
            <w:r w:rsidRPr="00466021">
              <w:rPr>
                <w:sz w:val="21"/>
                <w:szCs w:val="21"/>
              </w:rPr>
              <w:t>Category of finance that seeks to reduce emissions, enhance greenhouse gas sinks, and reduce vulnerability to climate change impacts.</w:t>
            </w:r>
          </w:p>
        </w:tc>
      </w:tr>
      <w:tr w:rsidR="007F0F29" w:rsidRPr="00466021" w14:paraId="4A51A2F0" w14:textId="77777777" w:rsidTr="007F0F29">
        <w:trPr>
          <w:trHeight w:val="300"/>
        </w:trPr>
        <w:tc>
          <w:tcPr>
            <w:tcW w:w="3480" w:type="dxa"/>
            <w:hideMark/>
          </w:tcPr>
          <w:p w14:paraId="34619A5C" w14:textId="63B2BBEB" w:rsidR="007F0F29" w:rsidRPr="00466021" w:rsidRDefault="007F0F29" w:rsidP="005948F5">
            <w:pPr>
              <w:rPr>
                <w:sz w:val="21"/>
                <w:szCs w:val="21"/>
              </w:rPr>
            </w:pPr>
            <w:r w:rsidRPr="3F3EA7AC">
              <w:rPr>
                <w:sz w:val="21"/>
                <w:szCs w:val="21"/>
              </w:rPr>
              <w:t xml:space="preserve">Climate mitigation in infrastructure </w:t>
            </w:r>
          </w:p>
        </w:tc>
        <w:tc>
          <w:tcPr>
            <w:tcW w:w="6011" w:type="dxa"/>
            <w:hideMark/>
          </w:tcPr>
          <w:p w14:paraId="1F6B7E56" w14:textId="77777777" w:rsidR="007F0F29" w:rsidRPr="00466021" w:rsidRDefault="007F0F29" w:rsidP="005948F5">
            <w:pPr>
              <w:rPr>
                <w:sz w:val="21"/>
                <w:szCs w:val="21"/>
              </w:rPr>
            </w:pPr>
            <w:r w:rsidRPr="00466021">
              <w:rPr>
                <w:sz w:val="21"/>
                <w:szCs w:val="21"/>
              </w:rPr>
              <w:t xml:space="preserve">Infrastructure that focuses on reducing greenhouse gas emissions to limit climate change (e.g. green buildings, renewable energy generation). </w:t>
            </w:r>
          </w:p>
        </w:tc>
      </w:tr>
      <w:tr w:rsidR="007F0F29" w:rsidRPr="00466021" w14:paraId="7AE8ACB9" w14:textId="77777777" w:rsidTr="007F0F29">
        <w:trPr>
          <w:trHeight w:val="300"/>
        </w:trPr>
        <w:tc>
          <w:tcPr>
            <w:tcW w:w="3480" w:type="dxa"/>
            <w:hideMark/>
          </w:tcPr>
          <w:p w14:paraId="38E49FF0" w14:textId="77777777" w:rsidR="007F0F29" w:rsidRPr="00466021" w:rsidRDefault="007F0F29" w:rsidP="005948F5">
            <w:pPr>
              <w:rPr>
                <w:sz w:val="21"/>
                <w:szCs w:val="21"/>
              </w:rPr>
            </w:pPr>
            <w:r w:rsidRPr="00466021">
              <w:rPr>
                <w:sz w:val="21"/>
                <w:szCs w:val="21"/>
              </w:rPr>
              <w:t>Climate resilience in infrastructure</w:t>
            </w:r>
          </w:p>
        </w:tc>
        <w:tc>
          <w:tcPr>
            <w:tcW w:w="6011" w:type="dxa"/>
            <w:hideMark/>
          </w:tcPr>
          <w:p w14:paraId="35D8905B" w14:textId="77777777" w:rsidR="007F0F29" w:rsidRPr="00466021" w:rsidRDefault="007F0F29" w:rsidP="005948F5">
            <w:pPr>
              <w:rPr>
                <w:sz w:val="21"/>
                <w:szCs w:val="21"/>
              </w:rPr>
            </w:pPr>
            <w:r w:rsidRPr="00466021">
              <w:rPr>
                <w:sz w:val="21"/>
                <w:szCs w:val="21"/>
              </w:rPr>
              <w:t>Infrastructure that is climate and disaster resilient, considering physical and transition climate and disaster risks and minimising emissions in its design, build and operation.</w:t>
            </w:r>
          </w:p>
        </w:tc>
      </w:tr>
      <w:tr w:rsidR="007F0F29" w:rsidRPr="00466021" w14:paraId="02B7DB88" w14:textId="77777777" w:rsidTr="007F0F29">
        <w:trPr>
          <w:trHeight w:val="300"/>
        </w:trPr>
        <w:tc>
          <w:tcPr>
            <w:tcW w:w="3480" w:type="dxa"/>
          </w:tcPr>
          <w:p w14:paraId="1EA5D732" w14:textId="3A68E5E6" w:rsidR="007F0F29" w:rsidRPr="00466021" w:rsidRDefault="007F0F29" w:rsidP="005948F5">
            <w:pPr>
              <w:rPr>
                <w:sz w:val="21"/>
                <w:szCs w:val="21"/>
              </w:rPr>
            </w:pPr>
            <w:r w:rsidRPr="00466021">
              <w:rPr>
                <w:sz w:val="21"/>
                <w:szCs w:val="21"/>
              </w:rPr>
              <w:t>Financing</w:t>
            </w:r>
          </w:p>
        </w:tc>
        <w:tc>
          <w:tcPr>
            <w:tcW w:w="6011" w:type="dxa"/>
          </w:tcPr>
          <w:p w14:paraId="5B3D6404" w14:textId="18969755" w:rsidR="007F0F29" w:rsidRPr="00466021" w:rsidRDefault="007F0F29" w:rsidP="005948F5">
            <w:pPr>
              <w:rPr>
                <w:sz w:val="21"/>
                <w:szCs w:val="21"/>
              </w:rPr>
            </w:pPr>
            <w:r w:rsidRPr="00466021">
              <w:rPr>
                <w:sz w:val="21"/>
                <w:szCs w:val="21"/>
              </w:rPr>
              <w:t>Upfront costs of building the infrastructure. Common financing sources include central and subnational governments, state-owned enterprises, public-private arrangements and wholly private sector funded.</w:t>
            </w:r>
          </w:p>
        </w:tc>
      </w:tr>
      <w:tr w:rsidR="007F0F29" w:rsidRPr="00466021" w14:paraId="6550804A" w14:textId="77777777" w:rsidTr="007F0F29">
        <w:trPr>
          <w:trHeight w:val="300"/>
        </w:trPr>
        <w:tc>
          <w:tcPr>
            <w:tcW w:w="3480" w:type="dxa"/>
            <w:hideMark/>
          </w:tcPr>
          <w:p w14:paraId="7E9546DA" w14:textId="77777777" w:rsidR="007F0F29" w:rsidRPr="00466021" w:rsidRDefault="007F0F29" w:rsidP="005948F5">
            <w:pPr>
              <w:rPr>
                <w:sz w:val="21"/>
                <w:szCs w:val="21"/>
              </w:rPr>
            </w:pPr>
            <w:r w:rsidRPr="00466021">
              <w:rPr>
                <w:sz w:val="21"/>
                <w:szCs w:val="21"/>
              </w:rPr>
              <w:t>Funding</w:t>
            </w:r>
          </w:p>
        </w:tc>
        <w:tc>
          <w:tcPr>
            <w:tcW w:w="6011" w:type="dxa"/>
            <w:hideMark/>
          </w:tcPr>
          <w:p w14:paraId="3FCC22C4" w14:textId="0E621F4A" w:rsidR="007F0F29" w:rsidRPr="00466021" w:rsidRDefault="007F0F29" w:rsidP="005948F5">
            <w:pPr>
              <w:rPr>
                <w:sz w:val="21"/>
                <w:szCs w:val="21"/>
              </w:rPr>
            </w:pPr>
            <w:r>
              <w:rPr>
                <w:sz w:val="21"/>
                <w:szCs w:val="21"/>
              </w:rPr>
              <w:t xml:space="preserve">Mechanisms for </w:t>
            </w:r>
            <w:r w:rsidRPr="00466021">
              <w:rPr>
                <w:sz w:val="21"/>
                <w:szCs w:val="21"/>
              </w:rPr>
              <w:t xml:space="preserve">taxpayers and users </w:t>
            </w:r>
            <w:r>
              <w:rPr>
                <w:sz w:val="21"/>
                <w:szCs w:val="21"/>
              </w:rPr>
              <w:t xml:space="preserve">to </w:t>
            </w:r>
            <w:r w:rsidRPr="00466021">
              <w:rPr>
                <w:sz w:val="21"/>
                <w:szCs w:val="21"/>
              </w:rPr>
              <w:t>pay the full cost of delivering the infrastructure. This includes servicing debt obligations and distributing revenues to investors.</w:t>
            </w:r>
          </w:p>
        </w:tc>
      </w:tr>
      <w:tr w:rsidR="007F0F29" w:rsidRPr="00466021" w14:paraId="4E843684" w14:textId="77777777" w:rsidTr="007F0F29">
        <w:trPr>
          <w:trHeight w:val="300"/>
        </w:trPr>
        <w:tc>
          <w:tcPr>
            <w:tcW w:w="3480" w:type="dxa"/>
            <w:hideMark/>
          </w:tcPr>
          <w:p w14:paraId="5C5693F0" w14:textId="77777777" w:rsidR="007F0F29" w:rsidRPr="00466021" w:rsidRDefault="007F0F29" w:rsidP="005948F5">
            <w:pPr>
              <w:rPr>
                <w:sz w:val="21"/>
                <w:szCs w:val="21"/>
              </w:rPr>
            </w:pPr>
            <w:r w:rsidRPr="00466021">
              <w:rPr>
                <w:sz w:val="21"/>
                <w:szCs w:val="21"/>
              </w:rPr>
              <w:t>Green Finance</w:t>
            </w:r>
          </w:p>
        </w:tc>
        <w:tc>
          <w:tcPr>
            <w:tcW w:w="6011" w:type="dxa"/>
            <w:hideMark/>
          </w:tcPr>
          <w:p w14:paraId="00763E1A" w14:textId="77777777" w:rsidR="007F0F29" w:rsidRPr="00466021" w:rsidRDefault="007F0F29" w:rsidP="005948F5">
            <w:pPr>
              <w:rPr>
                <w:sz w:val="21"/>
                <w:szCs w:val="21"/>
              </w:rPr>
            </w:pPr>
            <w:r w:rsidRPr="00466021">
              <w:rPr>
                <w:sz w:val="21"/>
                <w:szCs w:val="21"/>
              </w:rPr>
              <w:t>Category of finance that targets environmentally sustainable projects and initiatives.</w:t>
            </w:r>
          </w:p>
        </w:tc>
      </w:tr>
      <w:tr w:rsidR="007F0F29" w:rsidRPr="00466021" w14:paraId="5EB3EC76" w14:textId="77777777" w:rsidTr="007F0F29">
        <w:trPr>
          <w:trHeight w:val="300"/>
        </w:trPr>
        <w:tc>
          <w:tcPr>
            <w:tcW w:w="3480" w:type="dxa"/>
            <w:hideMark/>
          </w:tcPr>
          <w:p w14:paraId="412C37A0" w14:textId="77777777" w:rsidR="007F0F29" w:rsidRPr="00466021" w:rsidRDefault="007F0F29" w:rsidP="005948F5">
            <w:pPr>
              <w:rPr>
                <w:sz w:val="21"/>
                <w:szCs w:val="21"/>
              </w:rPr>
            </w:pPr>
            <w:r w:rsidRPr="00466021">
              <w:rPr>
                <w:sz w:val="21"/>
                <w:szCs w:val="21"/>
              </w:rPr>
              <w:t xml:space="preserve">Green Growth </w:t>
            </w:r>
          </w:p>
        </w:tc>
        <w:tc>
          <w:tcPr>
            <w:tcW w:w="6011" w:type="dxa"/>
            <w:hideMark/>
          </w:tcPr>
          <w:p w14:paraId="585ECE83" w14:textId="77777777" w:rsidR="007F0F29" w:rsidRPr="00466021" w:rsidRDefault="007F0F29" w:rsidP="005948F5">
            <w:pPr>
              <w:rPr>
                <w:sz w:val="21"/>
                <w:szCs w:val="21"/>
              </w:rPr>
            </w:pPr>
            <w:r w:rsidRPr="00466021">
              <w:rPr>
                <w:sz w:val="21"/>
                <w:szCs w:val="21"/>
              </w:rPr>
              <w:t>Economic progress that fosters environmentally sustainable, low-carbon, and socially inclusive development.</w:t>
            </w:r>
          </w:p>
        </w:tc>
      </w:tr>
      <w:tr w:rsidR="007F0F29" w:rsidRPr="00466021" w14:paraId="4D146D70" w14:textId="77777777" w:rsidTr="007F0F29">
        <w:trPr>
          <w:trHeight w:val="300"/>
        </w:trPr>
        <w:tc>
          <w:tcPr>
            <w:tcW w:w="3480" w:type="dxa"/>
            <w:hideMark/>
          </w:tcPr>
          <w:p w14:paraId="37835D35" w14:textId="77777777" w:rsidR="007F0F29" w:rsidRPr="00466021" w:rsidRDefault="007F0F29" w:rsidP="005948F5">
            <w:pPr>
              <w:rPr>
                <w:sz w:val="21"/>
                <w:szCs w:val="21"/>
              </w:rPr>
            </w:pPr>
            <w:r w:rsidRPr="00466021">
              <w:rPr>
                <w:sz w:val="21"/>
                <w:szCs w:val="21"/>
              </w:rPr>
              <w:t>Green and sustainable finance taxonomies</w:t>
            </w:r>
          </w:p>
        </w:tc>
        <w:tc>
          <w:tcPr>
            <w:tcW w:w="6011" w:type="dxa"/>
            <w:hideMark/>
          </w:tcPr>
          <w:p w14:paraId="459B9B23" w14:textId="77777777" w:rsidR="007F0F29" w:rsidRPr="00466021" w:rsidRDefault="007F0F29" w:rsidP="005948F5">
            <w:pPr>
              <w:rPr>
                <w:sz w:val="21"/>
                <w:szCs w:val="21"/>
              </w:rPr>
            </w:pPr>
            <w:r w:rsidRPr="00466021">
              <w:rPr>
                <w:sz w:val="21"/>
                <w:szCs w:val="21"/>
              </w:rPr>
              <w:t>Frameworks that define and classify economic activities and investments based on their environmental sustainability and contribution to climate objectives</w:t>
            </w:r>
          </w:p>
        </w:tc>
      </w:tr>
      <w:tr w:rsidR="007F0F29" w:rsidRPr="00466021" w14:paraId="25BADD50" w14:textId="77777777" w:rsidTr="007F0F29">
        <w:trPr>
          <w:trHeight w:val="300"/>
        </w:trPr>
        <w:tc>
          <w:tcPr>
            <w:tcW w:w="3480" w:type="dxa"/>
            <w:hideMark/>
          </w:tcPr>
          <w:p w14:paraId="23B75335" w14:textId="77777777" w:rsidR="007F0F29" w:rsidRPr="00466021" w:rsidRDefault="007F0F29" w:rsidP="005948F5">
            <w:pPr>
              <w:rPr>
                <w:sz w:val="21"/>
                <w:szCs w:val="21"/>
              </w:rPr>
            </w:pPr>
            <w:r w:rsidRPr="00466021">
              <w:rPr>
                <w:sz w:val="21"/>
                <w:szCs w:val="21"/>
              </w:rPr>
              <w:t>Infrastructure with co-benefits</w:t>
            </w:r>
          </w:p>
        </w:tc>
        <w:tc>
          <w:tcPr>
            <w:tcW w:w="6011" w:type="dxa"/>
            <w:hideMark/>
          </w:tcPr>
          <w:p w14:paraId="4AFFD2D9" w14:textId="77777777" w:rsidR="007F0F29" w:rsidRPr="00466021" w:rsidRDefault="007F0F29" w:rsidP="005948F5">
            <w:pPr>
              <w:rPr>
                <w:sz w:val="21"/>
                <w:szCs w:val="21"/>
              </w:rPr>
            </w:pPr>
            <w:r w:rsidRPr="00466021">
              <w:rPr>
                <w:sz w:val="21"/>
                <w:szCs w:val="21"/>
              </w:rPr>
              <w:t>Infrastructure projects that integrate adaptation and mitigation elements. For example, urban green spaces serve as cooling zones (adaptation) while sequestering carbon (mitigation).</w:t>
            </w:r>
          </w:p>
        </w:tc>
      </w:tr>
      <w:tr w:rsidR="007F0F29" w:rsidRPr="00466021" w14:paraId="7A670616" w14:textId="77777777" w:rsidTr="007F0F29">
        <w:trPr>
          <w:trHeight w:val="300"/>
        </w:trPr>
        <w:tc>
          <w:tcPr>
            <w:tcW w:w="3480" w:type="dxa"/>
          </w:tcPr>
          <w:p w14:paraId="63F5228B" w14:textId="0A8FCD76" w:rsidR="007F0F29" w:rsidRPr="00466021" w:rsidRDefault="007F0F29" w:rsidP="005948F5">
            <w:pPr>
              <w:rPr>
                <w:sz w:val="21"/>
                <w:szCs w:val="21"/>
              </w:rPr>
            </w:pPr>
            <w:r w:rsidRPr="00466021">
              <w:rPr>
                <w:sz w:val="21"/>
                <w:szCs w:val="21"/>
              </w:rPr>
              <w:t>Innovative Financing and Funding</w:t>
            </w:r>
          </w:p>
        </w:tc>
        <w:tc>
          <w:tcPr>
            <w:tcW w:w="6011" w:type="dxa"/>
          </w:tcPr>
          <w:p w14:paraId="4E3B0E07" w14:textId="1C14B008" w:rsidR="007F0F29" w:rsidRDefault="007F0F29" w:rsidP="005948F5">
            <w:pPr>
              <w:rPr>
                <w:sz w:val="21"/>
                <w:szCs w:val="21"/>
              </w:rPr>
            </w:pPr>
            <w:r>
              <w:rPr>
                <w:sz w:val="21"/>
                <w:szCs w:val="21"/>
              </w:rPr>
              <w:t xml:space="preserve">Financing and funding which </w:t>
            </w:r>
            <w:r w:rsidRPr="00466021">
              <w:rPr>
                <w:sz w:val="21"/>
                <w:szCs w:val="21"/>
              </w:rPr>
              <w:t>aims to catalyse and leverage private sector investment and/or alternate investment sources through market-based solutions.</w:t>
            </w:r>
          </w:p>
        </w:tc>
      </w:tr>
      <w:tr w:rsidR="007F0F29" w:rsidRPr="00466021" w14:paraId="4D00DF10" w14:textId="77777777" w:rsidTr="007F0F29">
        <w:trPr>
          <w:trHeight w:val="300"/>
        </w:trPr>
        <w:tc>
          <w:tcPr>
            <w:tcW w:w="3480" w:type="dxa"/>
            <w:hideMark/>
          </w:tcPr>
          <w:p w14:paraId="76184363" w14:textId="77777777" w:rsidR="007F0F29" w:rsidRPr="00466021" w:rsidRDefault="007F0F29" w:rsidP="005948F5">
            <w:pPr>
              <w:rPr>
                <w:sz w:val="21"/>
                <w:szCs w:val="21"/>
              </w:rPr>
            </w:pPr>
            <w:r w:rsidRPr="00466021">
              <w:rPr>
                <w:sz w:val="21"/>
                <w:szCs w:val="21"/>
              </w:rPr>
              <w:t>Sustainable Finance</w:t>
            </w:r>
          </w:p>
        </w:tc>
        <w:tc>
          <w:tcPr>
            <w:tcW w:w="6011" w:type="dxa"/>
            <w:hideMark/>
          </w:tcPr>
          <w:p w14:paraId="1BDE1F15" w14:textId="77777777" w:rsidR="007F0F29" w:rsidRPr="00466021" w:rsidRDefault="007F0F29" w:rsidP="005948F5">
            <w:pPr>
              <w:rPr>
                <w:sz w:val="21"/>
                <w:szCs w:val="21"/>
              </w:rPr>
            </w:pPr>
            <w:r w:rsidRPr="00466021">
              <w:rPr>
                <w:sz w:val="21"/>
                <w:szCs w:val="21"/>
              </w:rPr>
              <w:t>Category of finance that incorporates a broad array of environmental, social, and governance considerations into infrastructure investment decisions.</w:t>
            </w:r>
          </w:p>
        </w:tc>
      </w:tr>
      <w:tr w:rsidR="007F0F29" w:rsidRPr="00466021" w14:paraId="09B88751" w14:textId="77777777" w:rsidTr="007F0F29">
        <w:trPr>
          <w:trHeight w:val="300"/>
        </w:trPr>
        <w:tc>
          <w:tcPr>
            <w:tcW w:w="3480" w:type="dxa"/>
            <w:hideMark/>
          </w:tcPr>
          <w:p w14:paraId="357A3936" w14:textId="77777777" w:rsidR="007F0F29" w:rsidRPr="00466021" w:rsidRDefault="007F0F29" w:rsidP="005948F5">
            <w:pPr>
              <w:rPr>
                <w:sz w:val="21"/>
                <w:szCs w:val="21"/>
              </w:rPr>
            </w:pPr>
            <w:r w:rsidRPr="00466021">
              <w:rPr>
                <w:sz w:val="21"/>
                <w:szCs w:val="21"/>
              </w:rPr>
              <w:lastRenderedPageBreak/>
              <w:t>Sustainable Infrastructure</w:t>
            </w:r>
          </w:p>
        </w:tc>
        <w:tc>
          <w:tcPr>
            <w:tcW w:w="6011" w:type="dxa"/>
            <w:hideMark/>
          </w:tcPr>
          <w:p w14:paraId="2CF1A2A3" w14:textId="2C68D480" w:rsidR="007F0F29" w:rsidRPr="00466021" w:rsidRDefault="007F0F29" w:rsidP="005948F5">
            <w:pPr>
              <w:rPr>
                <w:sz w:val="21"/>
                <w:szCs w:val="21"/>
              </w:rPr>
            </w:pPr>
            <w:r w:rsidRPr="00466021">
              <w:rPr>
                <w:sz w:val="21"/>
                <w:szCs w:val="21"/>
              </w:rPr>
              <w:t>The planning, delivery, and maintenance of infrastructure that addresses both economic needs and meets the needs and expectations of local communities, including women, people with disabilities, and marginalized groups, while also contributing to low emissions and climate resilience</w:t>
            </w:r>
          </w:p>
        </w:tc>
      </w:tr>
      <w:tr w:rsidR="007F0F29" w:rsidRPr="00466021" w14:paraId="185211CC" w14:textId="77777777" w:rsidTr="007F0F29">
        <w:trPr>
          <w:trHeight w:val="300"/>
        </w:trPr>
        <w:tc>
          <w:tcPr>
            <w:tcW w:w="3480" w:type="dxa"/>
            <w:hideMark/>
          </w:tcPr>
          <w:p w14:paraId="072BE98C" w14:textId="77777777" w:rsidR="007F0F29" w:rsidRPr="00466021" w:rsidRDefault="007F0F29" w:rsidP="005948F5">
            <w:pPr>
              <w:rPr>
                <w:sz w:val="21"/>
                <w:szCs w:val="21"/>
              </w:rPr>
            </w:pPr>
            <w:r w:rsidRPr="00466021">
              <w:rPr>
                <w:sz w:val="21"/>
                <w:szCs w:val="21"/>
              </w:rPr>
              <w:t xml:space="preserve">Public Private Partnerships </w:t>
            </w:r>
          </w:p>
        </w:tc>
        <w:tc>
          <w:tcPr>
            <w:tcW w:w="6011" w:type="dxa"/>
            <w:hideMark/>
          </w:tcPr>
          <w:p w14:paraId="3AAB5F66" w14:textId="77777777" w:rsidR="007F0F29" w:rsidRPr="00466021" w:rsidRDefault="007F0F29" w:rsidP="005948F5">
            <w:pPr>
              <w:rPr>
                <w:sz w:val="21"/>
                <w:szCs w:val="21"/>
              </w:rPr>
            </w:pPr>
            <w:r w:rsidRPr="00466021">
              <w:rPr>
                <w:sz w:val="21"/>
                <w:szCs w:val="21"/>
              </w:rPr>
              <w:t>An infrastructure procurement method involving the use of private sector capital to wholly or partly fund an asset</w:t>
            </w:r>
          </w:p>
        </w:tc>
      </w:tr>
    </w:tbl>
    <w:p w14:paraId="77175E1A" w14:textId="77777777" w:rsidR="005B0BC3" w:rsidRDefault="005B0BC3">
      <w:pPr>
        <w:suppressAutoHyphens w:val="0"/>
        <w:spacing w:before="0" w:after="120" w:line="440" w:lineRule="atLeast"/>
        <w:rPr>
          <w:rFonts w:eastAsia="Times New Roman" w:cs="Times New Roman"/>
          <w:sz w:val="21"/>
          <w:szCs w:val="21"/>
        </w:rPr>
        <w:sectPr w:rsidR="005B0BC3" w:rsidSect="00373A9E">
          <w:pgSz w:w="11906" w:h="16838" w:code="9"/>
          <w:pgMar w:top="1418" w:right="1134" w:bottom="1418" w:left="1134" w:header="425" w:footer="493" w:gutter="0"/>
          <w:cols w:space="397"/>
          <w:titlePg/>
          <w:docGrid w:linePitch="360"/>
        </w:sectPr>
      </w:pPr>
    </w:p>
    <w:p w14:paraId="1B9C3522" w14:textId="77777777" w:rsidR="009A7F2A" w:rsidRPr="005250CE" w:rsidRDefault="009A7F2A" w:rsidP="005250CE">
      <w:pPr>
        <w:pStyle w:val="Heading1"/>
      </w:pPr>
      <w:bookmarkStart w:id="4" w:name="_Toc202869685"/>
      <w:bookmarkStart w:id="5" w:name="_Toc202869798"/>
      <w:bookmarkStart w:id="6" w:name="_Toc216270555"/>
      <w:bookmarkEnd w:id="4"/>
      <w:bookmarkEnd w:id="5"/>
      <w:r w:rsidRPr="005250CE">
        <w:lastRenderedPageBreak/>
        <w:t>Executive Summary</w:t>
      </w:r>
      <w:bookmarkEnd w:id="6"/>
    </w:p>
    <w:p w14:paraId="12993BEA" w14:textId="0704A9E4" w:rsidR="009A7F2A" w:rsidRDefault="009A7F2A" w:rsidP="004542B7">
      <w:pPr>
        <w:rPr>
          <w:sz w:val="21"/>
          <w:szCs w:val="21"/>
        </w:rPr>
      </w:pPr>
      <w:r w:rsidRPr="5F2A4B44">
        <w:rPr>
          <w:sz w:val="21"/>
          <w:szCs w:val="21"/>
        </w:rPr>
        <w:t>The Australia–Indonesia Climate</w:t>
      </w:r>
      <w:r w:rsidR="004416CC">
        <w:rPr>
          <w:sz w:val="21"/>
          <w:szCs w:val="21"/>
        </w:rPr>
        <w:t xml:space="preserve"> and Sustainable</w:t>
      </w:r>
      <w:r w:rsidRPr="5F2A4B44">
        <w:rPr>
          <w:sz w:val="21"/>
          <w:szCs w:val="21"/>
        </w:rPr>
        <w:t xml:space="preserve"> Infrastructure Partnership (“the KINETIK Partnership” or “KINETIK”) is a 10-year, up to AUD650 million investment. The Partnership will support Indonesia’s efforts to</w:t>
      </w:r>
      <w:r w:rsidR="006E2A21">
        <w:rPr>
          <w:sz w:val="21"/>
          <w:szCs w:val="21"/>
        </w:rPr>
        <w:t xml:space="preserve"> </w:t>
      </w:r>
      <w:r w:rsidR="006E2A21" w:rsidRPr="006E2A21">
        <w:rPr>
          <w:sz w:val="21"/>
          <w:szCs w:val="21"/>
        </w:rPr>
        <w:t>deliver sustainable infrastructure, drive green economic growth, and support low emissions and climate resilient development. </w:t>
      </w:r>
    </w:p>
    <w:p w14:paraId="454B26AE" w14:textId="2F44A10F" w:rsidR="003E18AD" w:rsidRPr="003E18AD" w:rsidRDefault="003E18AD" w:rsidP="004542B7">
      <w:pPr>
        <w:rPr>
          <w:sz w:val="21"/>
          <w:szCs w:val="21"/>
        </w:rPr>
      </w:pPr>
      <w:r w:rsidRPr="4E666B3A">
        <w:rPr>
          <w:sz w:val="21"/>
          <w:szCs w:val="21"/>
        </w:rPr>
        <w:t xml:space="preserve">The </w:t>
      </w:r>
      <w:r w:rsidR="00FE3340" w:rsidRPr="4E666B3A">
        <w:rPr>
          <w:sz w:val="21"/>
          <w:szCs w:val="21"/>
        </w:rPr>
        <w:t>Partnership</w:t>
      </w:r>
      <w:r w:rsidRPr="4E666B3A">
        <w:rPr>
          <w:sz w:val="21"/>
          <w:szCs w:val="21"/>
        </w:rPr>
        <w:t xml:space="preserve"> will </w:t>
      </w:r>
      <w:r w:rsidR="001D2696" w:rsidRPr="4E666B3A">
        <w:rPr>
          <w:sz w:val="21"/>
          <w:szCs w:val="21"/>
        </w:rPr>
        <w:t>support</w:t>
      </w:r>
      <w:r w:rsidRPr="4E666B3A">
        <w:rPr>
          <w:sz w:val="21"/>
          <w:szCs w:val="21"/>
        </w:rPr>
        <w:t xml:space="preserve"> the Government of Indonesia</w:t>
      </w:r>
      <w:r w:rsidR="00850E0E" w:rsidRPr="4E666B3A">
        <w:rPr>
          <w:sz w:val="21"/>
          <w:szCs w:val="21"/>
        </w:rPr>
        <w:t xml:space="preserve"> (GOI)</w:t>
      </w:r>
      <w:r w:rsidRPr="4E666B3A">
        <w:rPr>
          <w:sz w:val="21"/>
          <w:szCs w:val="21"/>
        </w:rPr>
        <w:t xml:space="preserve"> </w:t>
      </w:r>
      <w:r w:rsidR="001D2696" w:rsidRPr="4E666B3A">
        <w:rPr>
          <w:sz w:val="21"/>
          <w:szCs w:val="21"/>
        </w:rPr>
        <w:t xml:space="preserve">to achieve its objectives to </w:t>
      </w:r>
      <w:r w:rsidRPr="4E666B3A">
        <w:rPr>
          <w:sz w:val="21"/>
          <w:szCs w:val="21"/>
        </w:rPr>
        <w:t>access a broader mix of public, private and climate finance to respond to the country’s growing infrastructure</w:t>
      </w:r>
      <w:r w:rsidR="0075250B" w:rsidRPr="4E666B3A">
        <w:rPr>
          <w:sz w:val="21"/>
          <w:szCs w:val="21"/>
        </w:rPr>
        <w:t xml:space="preserve"> and climate resilience</w:t>
      </w:r>
      <w:r w:rsidRPr="4E666B3A">
        <w:rPr>
          <w:sz w:val="21"/>
          <w:szCs w:val="21"/>
        </w:rPr>
        <w:t xml:space="preserve"> needs. It will ensure </w:t>
      </w:r>
      <w:r w:rsidR="00283BE7" w:rsidRPr="4E666B3A">
        <w:rPr>
          <w:sz w:val="21"/>
          <w:szCs w:val="21"/>
        </w:rPr>
        <w:t>projects are</w:t>
      </w:r>
      <w:r w:rsidRPr="4E666B3A">
        <w:rPr>
          <w:sz w:val="21"/>
          <w:szCs w:val="21"/>
        </w:rPr>
        <w:t xml:space="preserve"> planned, delivered and maintained in ways that are inclusive of local communities </w:t>
      </w:r>
      <w:r w:rsidR="002C37EC" w:rsidRPr="4E666B3A">
        <w:rPr>
          <w:sz w:val="21"/>
          <w:szCs w:val="21"/>
        </w:rPr>
        <w:t>–</w:t>
      </w:r>
      <w:r w:rsidRPr="4E666B3A">
        <w:rPr>
          <w:sz w:val="21"/>
          <w:szCs w:val="21"/>
        </w:rPr>
        <w:t xml:space="preserve"> especially women, girls</w:t>
      </w:r>
      <w:r w:rsidR="00392163">
        <w:rPr>
          <w:sz w:val="21"/>
          <w:szCs w:val="21"/>
        </w:rPr>
        <w:t>,</w:t>
      </w:r>
      <w:r w:rsidRPr="4E666B3A">
        <w:rPr>
          <w:sz w:val="21"/>
          <w:szCs w:val="21"/>
        </w:rPr>
        <w:t xml:space="preserve"> and people with disability.</w:t>
      </w:r>
      <w:r w:rsidR="00B42BC4" w:rsidRPr="4E666B3A">
        <w:rPr>
          <w:sz w:val="21"/>
          <w:szCs w:val="21"/>
        </w:rPr>
        <w:t xml:space="preserve"> </w:t>
      </w:r>
      <w:r w:rsidRPr="4E666B3A">
        <w:rPr>
          <w:sz w:val="21"/>
          <w:szCs w:val="21"/>
        </w:rPr>
        <w:t>By supporting more sustainable and inclusive green growth in Indonesia, the Partnership will create new trade and investment opportunities and strengthen our shared economic future.</w:t>
      </w:r>
    </w:p>
    <w:p w14:paraId="098DB739" w14:textId="0ABB7FDC" w:rsidR="001F7C31" w:rsidRPr="003E18AD" w:rsidRDefault="1780E798" w:rsidP="004542B7">
      <w:pPr>
        <w:rPr>
          <w:rFonts w:ascii="Calibri Light" w:eastAsia="Calibri Light" w:hAnsi="Calibri Light" w:cs="Calibri Light"/>
          <w:sz w:val="21"/>
          <w:szCs w:val="21"/>
        </w:rPr>
      </w:pPr>
      <w:r w:rsidRPr="6348B7CD">
        <w:rPr>
          <w:sz w:val="21"/>
          <w:szCs w:val="21"/>
        </w:rPr>
        <w:t xml:space="preserve">The </w:t>
      </w:r>
      <w:r w:rsidR="483F5C58" w:rsidRPr="6348B7CD">
        <w:rPr>
          <w:sz w:val="21"/>
          <w:szCs w:val="21"/>
        </w:rPr>
        <w:t xml:space="preserve">Partnership </w:t>
      </w:r>
      <w:r w:rsidRPr="6348B7CD">
        <w:rPr>
          <w:sz w:val="21"/>
          <w:szCs w:val="21"/>
        </w:rPr>
        <w:t xml:space="preserve">builds upon successful predecessor investments including the </w:t>
      </w:r>
      <w:r w:rsidR="00B63476" w:rsidRPr="6348B7CD">
        <w:rPr>
          <w:sz w:val="21"/>
          <w:szCs w:val="21"/>
        </w:rPr>
        <w:t>Indonesia</w:t>
      </w:r>
      <w:r w:rsidR="00B63476">
        <w:rPr>
          <w:sz w:val="21"/>
          <w:szCs w:val="21"/>
        </w:rPr>
        <w:t>-</w:t>
      </w:r>
      <w:r w:rsidRPr="6348B7CD">
        <w:rPr>
          <w:sz w:val="21"/>
          <w:szCs w:val="21"/>
        </w:rPr>
        <w:t xml:space="preserve">Australia Partnership for Infrastructure (KIAT, </w:t>
      </w:r>
      <w:r w:rsidR="2F3F8A39" w:rsidRPr="6348B7CD">
        <w:rPr>
          <w:sz w:val="21"/>
          <w:szCs w:val="21"/>
        </w:rPr>
        <w:t>AUD</w:t>
      </w:r>
      <w:r w:rsidRPr="6348B7CD">
        <w:rPr>
          <w:sz w:val="21"/>
          <w:szCs w:val="21"/>
        </w:rPr>
        <w:t>300</w:t>
      </w:r>
      <w:r w:rsidR="00893B50">
        <w:rPr>
          <w:sz w:val="21"/>
          <w:szCs w:val="21"/>
        </w:rPr>
        <w:t xml:space="preserve"> </w:t>
      </w:r>
      <w:r w:rsidRPr="6348B7CD">
        <w:rPr>
          <w:sz w:val="21"/>
          <w:szCs w:val="21"/>
        </w:rPr>
        <w:t>m</w:t>
      </w:r>
      <w:r w:rsidR="00893B50">
        <w:rPr>
          <w:sz w:val="21"/>
          <w:szCs w:val="21"/>
        </w:rPr>
        <w:t>illion</w:t>
      </w:r>
      <w:r w:rsidRPr="6348B7CD">
        <w:rPr>
          <w:sz w:val="21"/>
          <w:szCs w:val="21"/>
        </w:rPr>
        <w:t xml:space="preserve">, 2016-2026), the Australia-Indonesia Partnership for Climate and Infrastructure (KINETIK, </w:t>
      </w:r>
      <w:r w:rsidR="2F3F8A39" w:rsidRPr="6348B7CD">
        <w:rPr>
          <w:sz w:val="21"/>
          <w:szCs w:val="21"/>
        </w:rPr>
        <w:t>AUD</w:t>
      </w:r>
      <w:r w:rsidRPr="6348B7CD">
        <w:rPr>
          <w:sz w:val="21"/>
          <w:szCs w:val="21"/>
        </w:rPr>
        <w:t>200</w:t>
      </w:r>
      <w:r w:rsidR="00893B50">
        <w:rPr>
          <w:sz w:val="21"/>
          <w:szCs w:val="21"/>
        </w:rPr>
        <w:t xml:space="preserve"> </w:t>
      </w:r>
      <w:r w:rsidRPr="6348B7CD">
        <w:rPr>
          <w:sz w:val="21"/>
          <w:szCs w:val="21"/>
        </w:rPr>
        <w:t>m</w:t>
      </w:r>
      <w:r w:rsidR="00893B50">
        <w:rPr>
          <w:sz w:val="21"/>
          <w:szCs w:val="21"/>
        </w:rPr>
        <w:t>illion</w:t>
      </w:r>
      <w:r w:rsidRPr="6348B7CD">
        <w:rPr>
          <w:sz w:val="21"/>
          <w:szCs w:val="21"/>
        </w:rPr>
        <w:t xml:space="preserve">, 2022-2027), and the Asian Development Bank-delivered Sustainable Infrastructure Assistance Program (SIAP2, </w:t>
      </w:r>
      <w:r w:rsidR="4929A3C5" w:rsidRPr="6348B7CD">
        <w:rPr>
          <w:sz w:val="21"/>
          <w:szCs w:val="21"/>
        </w:rPr>
        <w:t>AUD</w:t>
      </w:r>
      <w:r w:rsidRPr="6348B7CD">
        <w:rPr>
          <w:sz w:val="21"/>
          <w:szCs w:val="21"/>
        </w:rPr>
        <w:t>40</w:t>
      </w:r>
      <w:r w:rsidR="00893B50">
        <w:rPr>
          <w:sz w:val="21"/>
          <w:szCs w:val="21"/>
        </w:rPr>
        <w:t xml:space="preserve"> </w:t>
      </w:r>
      <w:r w:rsidRPr="6348B7CD">
        <w:rPr>
          <w:sz w:val="21"/>
          <w:szCs w:val="21"/>
        </w:rPr>
        <w:t>m</w:t>
      </w:r>
      <w:r w:rsidR="00893B50">
        <w:rPr>
          <w:sz w:val="21"/>
          <w:szCs w:val="21"/>
        </w:rPr>
        <w:t>illion</w:t>
      </w:r>
      <w:r w:rsidRPr="6348B7CD">
        <w:rPr>
          <w:sz w:val="21"/>
          <w:szCs w:val="21"/>
        </w:rPr>
        <w:t>, 2019-2025).</w:t>
      </w:r>
      <w:r w:rsidR="51805638" w:rsidRPr="6348B7CD">
        <w:rPr>
          <w:sz w:val="21"/>
          <w:szCs w:val="21"/>
        </w:rPr>
        <w:t xml:space="preserve"> T</w:t>
      </w:r>
      <w:r w:rsidR="51805638" w:rsidRPr="6348B7CD">
        <w:rPr>
          <w:rFonts w:ascii="Calibri Light" w:eastAsia="Calibri Light" w:hAnsi="Calibri Light" w:cs="Calibri Light"/>
          <w:sz w:val="21"/>
          <w:szCs w:val="21"/>
        </w:rPr>
        <w:t xml:space="preserve">he Partnership will absorb the final 18 months of </w:t>
      </w:r>
      <w:r w:rsidR="4D490B34" w:rsidRPr="6348B7CD">
        <w:rPr>
          <w:rFonts w:ascii="Calibri Light" w:eastAsia="Calibri Light" w:hAnsi="Calibri Light" w:cs="Calibri Light"/>
          <w:sz w:val="21"/>
          <w:szCs w:val="21"/>
        </w:rPr>
        <w:t xml:space="preserve">the current </w:t>
      </w:r>
      <w:r w:rsidR="51805638" w:rsidRPr="6348B7CD">
        <w:rPr>
          <w:rFonts w:ascii="Calibri Light" w:eastAsia="Calibri Light" w:hAnsi="Calibri Light" w:cs="Calibri Light"/>
          <w:sz w:val="21"/>
          <w:szCs w:val="21"/>
        </w:rPr>
        <w:t>KINETIK</w:t>
      </w:r>
      <w:r w:rsidR="069A1E86" w:rsidRPr="6348B7CD">
        <w:rPr>
          <w:rFonts w:ascii="Calibri Light" w:eastAsia="Calibri Light" w:hAnsi="Calibri Light" w:cs="Calibri Light"/>
          <w:sz w:val="21"/>
          <w:szCs w:val="21"/>
        </w:rPr>
        <w:t xml:space="preserve"> program’s</w:t>
      </w:r>
      <w:r w:rsidR="51805638" w:rsidRPr="6348B7CD">
        <w:rPr>
          <w:rFonts w:ascii="Calibri Light" w:eastAsia="Calibri Light" w:hAnsi="Calibri Light" w:cs="Calibri Light"/>
          <w:sz w:val="21"/>
          <w:szCs w:val="21"/>
        </w:rPr>
        <w:t xml:space="preserve"> climate finance investments in Australian Development Investments (ADI) and the Private Infrastructure Development Group (PIDG)</w:t>
      </w:r>
      <w:r w:rsidR="51805638" w:rsidRPr="6348B7CD">
        <w:rPr>
          <w:rFonts w:ascii="Calibri Light" w:eastAsia="Calibri Light" w:hAnsi="Calibri Light" w:cs="Calibri Light"/>
          <w:color w:val="495864"/>
          <w:sz w:val="21"/>
          <w:szCs w:val="21"/>
        </w:rPr>
        <w:t xml:space="preserve">, as well as the KINETIK Hub functions and some aspects of </w:t>
      </w:r>
      <w:r w:rsidR="004A4CEA" w:rsidRPr="6348B7CD">
        <w:rPr>
          <w:rFonts w:ascii="Calibri Light" w:eastAsia="Calibri Light" w:hAnsi="Calibri Light" w:cs="Calibri Light"/>
          <w:color w:val="495864"/>
          <w:sz w:val="21"/>
          <w:szCs w:val="21"/>
        </w:rPr>
        <w:t>KINETI</w:t>
      </w:r>
      <w:r w:rsidR="004A4CEA">
        <w:rPr>
          <w:rFonts w:ascii="Calibri Light" w:eastAsia="Calibri Light" w:hAnsi="Calibri Light" w:cs="Calibri Light"/>
          <w:color w:val="495864"/>
          <w:sz w:val="21"/>
          <w:szCs w:val="21"/>
        </w:rPr>
        <w:t>K</w:t>
      </w:r>
      <w:r w:rsidR="004A4CEA" w:rsidRPr="6348B7CD">
        <w:rPr>
          <w:rFonts w:ascii="Calibri Light" w:eastAsia="Calibri Light" w:hAnsi="Calibri Light" w:cs="Calibri Light"/>
          <w:color w:val="495864"/>
          <w:sz w:val="21"/>
          <w:szCs w:val="21"/>
        </w:rPr>
        <w:t xml:space="preserve">’s </w:t>
      </w:r>
      <w:r w:rsidR="40676471" w:rsidRPr="6348B7CD">
        <w:rPr>
          <w:rFonts w:ascii="Calibri Light" w:eastAsia="Calibri Light" w:hAnsi="Calibri Light" w:cs="Calibri Light"/>
          <w:color w:val="495864"/>
          <w:sz w:val="21"/>
          <w:szCs w:val="21"/>
        </w:rPr>
        <w:t>policy and regulatory reform wo</w:t>
      </w:r>
      <w:r w:rsidR="40676471" w:rsidRPr="6348B7CD">
        <w:rPr>
          <w:rFonts w:ascii="Calibri Light" w:eastAsia="Calibri Light" w:hAnsi="Calibri Light" w:cs="Calibri Light"/>
          <w:sz w:val="21"/>
          <w:szCs w:val="21"/>
        </w:rPr>
        <w:t xml:space="preserve">rk. </w:t>
      </w:r>
    </w:p>
    <w:p w14:paraId="74FD0288" w14:textId="78E207E6" w:rsidR="0076165C" w:rsidRPr="005250CE" w:rsidRDefault="0076165C" w:rsidP="005250CE">
      <w:pPr>
        <w:pStyle w:val="Heading2"/>
      </w:pPr>
      <w:bookmarkStart w:id="7" w:name="_Toc216260294"/>
      <w:bookmarkStart w:id="8" w:name="_Toc216269857"/>
      <w:bookmarkStart w:id="9" w:name="_Toc216270556"/>
      <w:r w:rsidRPr="005250CE">
        <w:t>End of Program Outcomes</w:t>
      </w:r>
      <w:bookmarkEnd w:id="7"/>
      <w:bookmarkEnd w:id="8"/>
      <w:bookmarkEnd w:id="9"/>
    </w:p>
    <w:p w14:paraId="1CBAC28D" w14:textId="25AF4708" w:rsidR="001F7C31" w:rsidRPr="003E18AD" w:rsidRDefault="001326BA" w:rsidP="004542B7">
      <w:pPr>
        <w:rPr>
          <w:sz w:val="21"/>
          <w:szCs w:val="21"/>
        </w:rPr>
      </w:pPr>
      <w:r w:rsidRPr="003E18AD">
        <w:rPr>
          <w:b/>
          <w:bCs/>
          <w:sz w:val="21"/>
          <w:szCs w:val="21"/>
        </w:rPr>
        <w:t>The investment has three inter-related</w:t>
      </w:r>
      <w:r w:rsidR="001F7C31" w:rsidRPr="003E18AD">
        <w:rPr>
          <w:b/>
          <w:bCs/>
          <w:sz w:val="21"/>
          <w:szCs w:val="21"/>
        </w:rPr>
        <w:t xml:space="preserve"> End of Program Outcomes:</w:t>
      </w:r>
    </w:p>
    <w:p w14:paraId="2EF81E1E" w14:textId="5854CC55" w:rsidR="001C71E3" w:rsidRPr="003712DA" w:rsidRDefault="7FA37213" w:rsidP="004542B7">
      <w:pPr>
        <w:pStyle w:val="Bullet2"/>
        <w:rPr>
          <w:b/>
          <w:bCs/>
          <w:sz w:val="21"/>
          <w:szCs w:val="21"/>
        </w:rPr>
      </w:pPr>
      <w:bookmarkStart w:id="10" w:name="_Toc216260295"/>
      <w:bookmarkStart w:id="11" w:name="_Toc216264010"/>
      <w:bookmarkStart w:id="12" w:name="_Toc216269858"/>
      <w:bookmarkStart w:id="13" w:name="_Toc216270557"/>
      <w:r w:rsidRPr="0076165C">
        <w:rPr>
          <w:rStyle w:val="Heading3Char"/>
        </w:rPr>
        <w:t>Climate resilience:</w:t>
      </w:r>
      <w:bookmarkEnd w:id="10"/>
      <w:bookmarkEnd w:id="11"/>
      <w:bookmarkEnd w:id="12"/>
      <w:bookmarkEnd w:id="13"/>
      <w:r w:rsidRPr="0076165C">
        <w:rPr>
          <w:rStyle w:val="Heading3Char"/>
        </w:rPr>
        <w:t xml:space="preserve"> </w:t>
      </w:r>
      <w:r w:rsidRPr="5A972D64">
        <w:rPr>
          <w:sz w:val="21"/>
          <w:szCs w:val="21"/>
        </w:rPr>
        <w:t>I</w:t>
      </w:r>
      <w:proofErr w:type="spellStart"/>
      <w:r w:rsidRPr="5A972D64">
        <w:rPr>
          <w:sz w:val="21"/>
          <w:szCs w:val="21"/>
          <w:lang w:val="en-GB"/>
        </w:rPr>
        <w:t>nvestments</w:t>
      </w:r>
      <w:proofErr w:type="spellEnd"/>
      <w:r w:rsidRPr="5A972D64">
        <w:rPr>
          <w:sz w:val="21"/>
          <w:szCs w:val="21"/>
          <w:lang w:val="en-GB"/>
        </w:rPr>
        <w:t xml:space="preserve"> from government, private and community actors increasingly contribute to</w:t>
      </w:r>
      <w:r w:rsidRPr="5A972D64">
        <w:rPr>
          <w:b/>
          <w:bCs/>
          <w:sz w:val="21"/>
          <w:szCs w:val="21"/>
          <w:lang w:val="en-GB"/>
        </w:rPr>
        <w:t xml:space="preserve"> </w:t>
      </w:r>
      <w:r w:rsidRPr="5A972D64">
        <w:rPr>
          <w:sz w:val="21"/>
          <w:szCs w:val="21"/>
          <w:lang w:val="en-GB"/>
        </w:rPr>
        <w:t>climate mitigation and adaptation in Indonesia.</w:t>
      </w:r>
      <w:r w:rsidRPr="5A972D64">
        <w:rPr>
          <w:b/>
          <w:bCs/>
          <w:sz w:val="21"/>
          <w:szCs w:val="21"/>
          <w:lang w:val="en-GB"/>
        </w:rPr>
        <w:t xml:space="preserve"> </w:t>
      </w:r>
    </w:p>
    <w:p w14:paraId="7FA825A2" w14:textId="482FC78C" w:rsidR="001C71E3" w:rsidRPr="00E167F7" w:rsidRDefault="001C71E3" w:rsidP="004542B7">
      <w:pPr>
        <w:pStyle w:val="Bullet2"/>
        <w:rPr>
          <w:sz w:val="21"/>
        </w:rPr>
      </w:pPr>
      <w:bookmarkStart w:id="14" w:name="_Toc216260296"/>
      <w:bookmarkStart w:id="15" w:name="_Toc216264011"/>
      <w:bookmarkStart w:id="16" w:name="_Toc216269859"/>
      <w:bookmarkStart w:id="17" w:name="_Toc216270558"/>
      <w:r w:rsidRPr="0076165C">
        <w:rPr>
          <w:rStyle w:val="Heading3Char"/>
        </w:rPr>
        <w:t>Innovative financing:</w:t>
      </w:r>
      <w:bookmarkEnd w:id="14"/>
      <w:bookmarkEnd w:id="15"/>
      <w:bookmarkEnd w:id="16"/>
      <w:bookmarkEnd w:id="17"/>
      <w:r w:rsidRPr="00E167F7">
        <w:rPr>
          <w:b/>
          <w:sz w:val="21"/>
        </w:rPr>
        <w:t xml:space="preserve"> </w:t>
      </w:r>
      <w:r w:rsidRPr="00E167F7">
        <w:rPr>
          <w:sz w:val="21"/>
        </w:rPr>
        <w:t xml:space="preserve">The </w:t>
      </w:r>
      <w:r w:rsidRPr="008F3C98">
        <w:rPr>
          <w:sz w:val="21"/>
          <w:szCs w:val="21"/>
        </w:rPr>
        <w:t>Government</w:t>
      </w:r>
      <w:r w:rsidRPr="00E167F7">
        <w:rPr>
          <w:sz w:val="21"/>
        </w:rPr>
        <w:t xml:space="preserve"> of Indonesia increasingly uses diverse, innovative and high-quality financing for investment that support Indonesia's </w:t>
      </w:r>
      <w:r w:rsidRPr="001418AD">
        <w:rPr>
          <w:sz w:val="21"/>
          <w:szCs w:val="21"/>
        </w:rPr>
        <w:t xml:space="preserve">inclusive, climate resilient </w:t>
      </w:r>
      <w:r w:rsidRPr="00E167F7">
        <w:rPr>
          <w:sz w:val="21"/>
        </w:rPr>
        <w:t>development.</w:t>
      </w:r>
    </w:p>
    <w:p w14:paraId="70B8B5A7" w14:textId="77777777" w:rsidR="001C71E3" w:rsidRPr="00E167F7" w:rsidRDefault="001C71E3" w:rsidP="004542B7">
      <w:pPr>
        <w:pStyle w:val="Bullet2"/>
        <w:rPr>
          <w:sz w:val="21"/>
        </w:rPr>
      </w:pPr>
      <w:r w:rsidRPr="00E167F7">
        <w:rPr>
          <w:b/>
          <w:sz w:val="21"/>
        </w:rPr>
        <w:t xml:space="preserve">Sustainable infrastructure: </w:t>
      </w:r>
      <w:r w:rsidRPr="00E167F7">
        <w:rPr>
          <w:sz w:val="21"/>
        </w:rPr>
        <w:t xml:space="preserve">The </w:t>
      </w:r>
      <w:r w:rsidRPr="008F3C98">
        <w:rPr>
          <w:sz w:val="21"/>
          <w:szCs w:val="21"/>
        </w:rPr>
        <w:t>Government</w:t>
      </w:r>
      <w:r w:rsidRPr="00E167F7">
        <w:rPr>
          <w:sz w:val="21"/>
        </w:rPr>
        <w:t xml:space="preserve"> of Indonesia delivers </w:t>
      </w:r>
      <w:r w:rsidRPr="003712DA">
        <w:rPr>
          <w:sz w:val="20"/>
          <w:szCs w:val="20"/>
        </w:rPr>
        <w:t>sustainable and resilient economic infrastructure</w:t>
      </w:r>
      <w:r w:rsidRPr="00E167F7">
        <w:rPr>
          <w:b/>
          <w:sz w:val="21"/>
        </w:rPr>
        <w:t xml:space="preserve"> </w:t>
      </w:r>
      <w:r w:rsidRPr="00E167F7">
        <w:rPr>
          <w:sz w:val="21"/>
        </w:rPr>
        <w:t>(particularly in water, transport and energy) that meets the needs and expectations of the communities, including women, people with disabilities and marginalised groups.</w:t>
      </w:r>
    </w:p>
    <w:p w14:paraId="17309032" w14:textId="06138F46" w:rsidR="001F7C31" w:rsidRPr="003E18AD" w:rsidRDefault="62C7D8EB" w:rsidP="004542B7">
      <w:pPr>
        <w:shd w:val="clear" w:color="auto" w:fill="FFFFFF" w:themeFill="background1"/>
        <w:spacing w:after="0"/>
        <w:rPr>
          <w:sz w:val="21"/>
          <w:szCs w:val="21"/>
        </w:rPr>
      </w:pPr>
      <w:r w:rsidRPr="1169CFB7">
        <w:rPr>
          <w:sz w:val="21"/>
          <w:szCs w:val="21"/>
        </w:rPr>
        <w:t xml:space="preserve">The </w:t>
      </w:r>
      <w:r w:rsidR="5D144FF5" w:rsidRPr="1169CFB7">
        <w:rPr>
          <w:sz w:val="21"/>
          <w:szCs w:val="21"/>
        </w:rPr>
        <w:t xml:space="preserve">Partnership </w:t>
      </w:r>
      <w:r w:rsidRPr="1169CFB7">
        <w:rPr>
          <w:sz w:val="21"/>
          <w:szCs w:val="21"/>
        </w:rPr>
        <w:t xml:space="preserve">operates through an integrated portfolio approach </w:t>
      </w:r>
      <w:r w:rsidR="7649E0E1" w:rsidRPr="1169CFB7">
        <w:rPr>
          <w:sz w:val="21"/>
          <w:szCs w:val="21"/>
        </w:rPr>
        <w:t>focusing on</w:t>
      </w:r>
      <w:r w:rsidRPr="1169CFB7">
        <w:rPr>
          <w:sz w:val="21"/>
          <w:szCs w:val="21"/>
        </w:rPr>
        <w:t xml:space="preserve"> three core sectors</w:t>
      </w:r>
      <w:r w:rsidR="5D144FF5" w:rsidRPr="1169CFB7">
        <w:rPr>
          <w:sz w:val="21"/>
          <w:szCs w:val="21"/>
        </w:rPr>
        <w:t xml:space="preserve"> for end-to-end engagement</w:t>
      </w:r>
      <w:r w:rsidRPr="1169CFB7">
        <w:rPr>
          <w:sz w:val="21"/>
          <w:szCs w:val="21"/>
        </w:rPr>
        <w:t xml:space="preserve">: </w:t>
      </w:r>
      <w:r w:rsidR="1F2EA507" w:rsidRPr="1169CFB7">
        <w:rPr>
          <w:sz w:val="21"/>
          <w:szCs w:val="21"/>
        </w:rPr>
        <w:t xml:space="preserve">clean </w:t>
      </w:r>
      <w:r w:rsidR="7649E0E1" w:rsidRPr="1169CFB7">
        <w:rPr>
          <w:sz w:val="21"/>
          <w:szCs w:val="21"/>
        </w:rPr>
        <w:t xml:space="preserve">energy transition; </w:t>
      </w:r>
      <w:r w:rsidRPr="1169CFB7">
        <w:rPr>
          <w:sz w:val="21"/>
          <w:szCs w:val="21"/>
        </w:rPr>
        <w:t xml:space="preserve">water, sanitation and waste management; </w:t>
      </w:r>
      <w:r w:rsidR="7649E0E1" w:rsidRPr="1169CFB7">
        <w:rPr>
          <w:sz w:val="21"/>
          <w:szCs w:val="21"/>
        </w:rPr>
        <w:t>and</w:t>
      </w:r>
      <w:r w:rsidR="4FB3882F" w:rsidRPr="1169CFB7">
        <w:rPr>
          <w:sz w:val="21"/>
          <w:szCs w:val="21"/>
        </w:rPr>
        <w:t xml:space="preserve"> sustainable</w:t>
      </w:r>
      <w:r w:rsidR="4FB3882F" w:rsidRPr="1169CFB7">
        <w:rPr>
          <w:rFonts w:ascii="Segoe UI" w:eastAsia="Segoe UI" w:hAnsi="Segoe UI" w:cs="Segoe UI"/>
          <w:color w:val="495864"/>
          <w:sz w:val="18"/>
          <w:szCs w:val="18"/>
        </w:rPr>
        <w:t xml:space="preserve"> </w:t>
      </w:r>
      <w:r w:rsidRPr="1169CFB7">
        <w:rPr>
          <w:sz w:val="21"/>
          <w:szCs w:val="21"/>
        </w:rPr>
        <w:t xml:space="preserve">transport (public transport, </w:t>
      </w:r>
      <w:r w:rsidR="31A87297" w:rsidRPr="1169CFB7">
        <w:rPr>
          <w:sz w:val="21"/>
          <w:szCs w:val="21"/>
        </w:rPr>
        <w:t>connectivity/</w:t>
      </w:r>
      <w:r w:rsidRPr="1169CFB7">
        <w:rPr>
          <w:sz w:val="21"/>
          <w:szCs w:val="21"/>
        </w:rPr>
        <w:t>multi-modal hubs)</w:t>
      </w:r>
      <w:r w:rsidR="7649E0E1" w:rsidRPr="1169CFB7">
        <w:rPr>
          <w:sz w:val="21"/>
          <w:szCs w:val="21"/>
        </w:rPr>
        <w:t xml:space="preserve">. Demand-driven and strategic activities </w:t>
      </w:r>
      <w:r w:rsidR="4422ABF7" w:rsidRPr="1169CFB7">
        <w:rPr>
          <w:sz w:val="21"/>
          <w:szCs w:val="21"/>
        </w:rPr>
        <w:t>can</w:t>
      </w:r>
      <w:r w:rsidR="7649E0E1" w:rsidRPr="1169CFB7">
        <w:rPr>
          <w:sz w:val="21"/>
          <w:szCs w:val="21"/>
        </w:rPr>
        <w:t xml:space="preserve"> be delivered beyond these focus sectors as they contribute to the objectives of the program.</w:t>
      </w:r>
      <w:r w:rsidR="25AEC871" w:rsidRPr="1169CFB7">
        <w:rPr>
          <w:sz w:val="21"/>
          <w:szCs w:val="21"/>
        </w:rPr>
        <w:t xml:space="preserve"> </w:t>
      </w:r>
      <w:r w:rsidR="4F1CE7B1" w:rsidRPr="1169CFB7">
        <w:rPr>
          <w:sz w:val="21"/>
          <w:szCs w:val="21"/>
        </w:rPr>
        <w:t xml:space="preserve">Two </w:t>
      </w:r>
      <w:r w:rsidRPr="1169CFB7">
        <w:rPr>
          <w:sz w:val="21"/>
          <w:szCs w:val="21"/>
        </w:rPr>
        <w:t xml:space="preserve">cross-cutting themes will be implemented across all activities: </w:t>
      </w:r>
      <w:r w:rsidR="083A0173" w:rsidRPr="1169CFB7">
        <w:rPr>
          <w:sz w:val="21"/>
          <w:szCs w:val="21"/>
        </w:rPr>
        <w:t>g</w:t>
      </w:r>
      <w:r w:rsidRPr="1169CFB7">
        <w:rPr>
          <w:sz w:val="21"/>
          <w:szCs w:val="21"/>
        </w:rPr>
        <w:t xml:space="preserve">ender and </w:t>
      </w:r>
      <w:r w:rsidR="0F529A42" w:rsidRPr="1169CFB7">
        <w:rPr>
          <w:sz w:val="21"/>
          <w:szCs w:val="21"/>
        </w:rPr>
        <w:t>d</w:t>
      </w:r>
      <w:r w:rsidRPr="1169CFB7">
        <w:rPr>
          <w:sz w:val="21"/>
          <w:szCs w:val="21"/>
        </w:rPr>
        <w:t>isability</w:t>
      </w:r>
      <w:r w:rsidR="60263F3C" w:rsidRPr="1169CFB7">
        <w:rPr>
          <w:sz w:val="21"/>
          <w:szCs w:val="21"/>
        </w:rPr>
        <w:t xml:space="preserve"> and social inclusion</w:t>
      </w:r>
      <w:r w:rsidR="0A6D819F" w:rsidRPr="1169CFB7">
        <w:rPr>
          <w:sz w:val="21"/>
          <w:szCs w:val="21"/>
        </w:rPr>
        <w:t xml:space="preserve">, </w:t>
      </w:r>
      <w:r w:rsidRPr="1169CFB7">
        <w:rPr>
          <w:sz w:val="21"/>
          <w:szCs w:val="21"/>
        </w:rPr>
        <w:t xml:space="preserve">and </w:t>
      </w:r>
      <w:r w:rsidR="63A5C709" w:rsidRPr="1169CFB7">
        <w:rPr>
          <w:sz w:val="21"/>
          <w:szCs w:val="21"/>
        </w:rPr>
        <w:t>a</w:t>
      </w:r>
      <w:r w:rsidRPr="1169CFB7">
        <w:rPr>
          <w:sz w:val="21"/>
          <w:szCs w:val="21"/>
        </w:rPr>
        <w:t xml:space="preserve">utomation and </w:t>
      </w:r>
      <w:r w:rsidR="3C22CC8C" w:rsidRPr="1169CFB7">
        <w:rPr>
          <w:sz w:val="21"/>
          <w:szCs w:val="21"/>
        </w:rPr>
        <w:t>d</w:t>
      </w:r>
      <w:r w:rsidRPr="1169CFB7">
        <w:rPr>
          <w:sz w:val="21"/>
          <w:szCs w:val="21"/>
        </w:rPr>
        <w:t>igitalisation.</w:t>
      </w:r>
      <w:r w:rsidR="00516D28">
        <w:rPr>
          <w:sz w:val="21"/>
          <w:szCs w:val="21"/>
        </w:rPr>
        <w:t xml:space="preserve"> </w:t>
      </w:r>
    </w:p>
    <w:p w14:paraId="3D1894D2" w14:textId="77777777" w:rsidR="001F7C31" w:rsidRPr="0062137F" w:rsidRDefault="001F7C31" w:rsidP="00D2498B">
      <w:pPr>
        <w:pStyle w:val="Heading2"/>
      </w:pPr>
      <w:bookmarkStart w:id="18" w:name="_Toc216260297"/>
      <w:bookmarkStart w:id="19" w:name="_Toc216269860"/>
      <w:bookmarkStart w:id="20" w:name="_Toc216270559"/>
      <w:r w:rsidRPr="0062137F">
        <w:t>Justification and Analysis</w:t>
      </w:r>
      <w:bookmarkEnd w:id="18"/>
      <w:bookmarkEnd w:id="19"/>
      <w:bookmarkEnd w:id="20"/>
    </w:p>
    <w:p w14:paraId="4EC992C9" w14:textId="6C072A90" w:rsidR="001F7C31" w:rsidRPr="003E18AD" w:rsidDel="0027630B" w:rsidRDefault="576529BB" w:rsidP="004542B7">
      <w:pPr>
        <w:rPr>
          <w:sz w:val="21"/>
          <w:szCs w:val="21"/>
        </w:rPr>
      </w:pPr>
      <w:bookmarkStart w:id="21" w:name="_Toc216260298"/>
      <w:bookmarkStart w:id="22" w:name="_Toc216264013"/>
      <w:bookmarkStart w:id="23" w:name="_Toc216269861"/>
      <w:bookmarkStart w:id="24" w:name="_Toc216270560"/>
      <w:r w:rsidRPr="0076165C">
        <w:rPr>
          <w:rStyle w:val="Heading3Char"/>
        </w:rPr>
        <w:t>Development Challenges</w:t>
      </w:r>
      <w:r w:rsidR="62C7D8EB" w:rsidRPr="0076165C">
        <w:rPr>
          <w:rStyle w:val="Heading3Char"/>
        </w:rPr>
        <w:t>:</w:t>
      </w:r>
      <w:bookmarkEnd w:id="21"/>
      <w:bookmarkEnd w:id="22"/>
      <w:bookmarkEnd w:id="23"/>
      <w:bookmarkEnd w:id="24"/>
      <w:r w:rsidR="62C7D8EB" w:rsidRPr="1169CFB7">
        <w:rPr>
          <w:sz w:val="21"/>
          <w:szCs w:val="21"/>
        </w:rPr>
        <w:t xml:space="preserve"> Indonesia faces a </w:t>
      </w:r>
      <w:r w:rsidR="00C22F6A">
        <w:rPr>
          <w:sz w:val="21"/>
          <w:szCs w:val="21"/>
        </w:rPr>
        <w:t>USD</w:t>
      </w:r>
      <w:r w:rsidR="62C7D8EB" w:rsidRPr="1169CFB7">
        <w:rPr>
          <w:sz w:val="21"/>
          <w:szCs w:val="21"/>
        </w:rPr>
        <w:t>1.3 trillion infrastructure investment gap by 2040</w:t>
      </w:r>
      <w:r w:rsidR="00B22DE3">
        <w:rPr>
          <w:rStyle w:val="FootnoteReference"/>
          <w:sz w:val="21"/>
          <w:szCs w:val="21"/>
        </w:rPr>
        <w:footnoteReference w:id="2"/>
      </w:r>
      <w:r w:rsidR="001A3A32">
        <w:rPr>
          <w:sz w:val="21"/>
          <w:szCs w:val="21"/>
        </w:rPr>
        <w:t>.</w:t>
      </w:r>
      <w:r w:rsidR="62C7D8EB" w:rsidRPr="1169CFB7">
        <w:rPr>
          <w:sz w:val="21"/>
          <w:szCs w:val="21"/>
        </w:rPr>
        <w:t xml:space="preserve"> </w:t>
      </w:r>
      <w:r w:rsidR="77F9121C" w:rsidRPr="1169CFB7">
        <w:rPr>
          <w:sz w:val="21"/>
          <w:szCs w:val="21"/>
        </w:rPr>
        <w:t>GOI’s</w:t>
      </w:r>
      <w:r w:rsidR="7E62A0EC" w:rsidRPr="1169CFB7">
        <w:rPr>
          <w:sz w:val="21"/>
          <w:szCs w:val="21"/>
        </w:rPr>
        <w:t xml:space="preserve"> ambitious goal of 8% GDP growth by 2029 requires </w:t>
      </w:r>
      <w:r w:rsidR="61AB722F" w:rsidRPr="1169CFB7">
        <w:rPr>
          <w:sz w:val="21"/>
          <w:szCs w:val="21"/>
        </w:rPr>
        <w:t xml:space="preserve">an </w:t>
      </w:r>
      <w:r w:rsidR="7E62A0EC" w:rsidRPr="1169CFB7">
        <w:rPr>
          <w:sz w:val="21"/>
          <w:szCs w:val="21"/>
        </w:rPr>
        <w:t>over 300% increase in infrastructure investment. The government is expected to contribute approximately 40% of total investment needs, with state-owned enterprises providing</w:t>
      </w:r>
      <w:r w:rsidR="5D144FF5" w:rsidRPr="1169CFB7">
        <w:rPr>
          <w:sz w:val="21"/>
          <w:szCs w:val="21"/>
        </w:rPr>
        <w:t xml:space="preserve"> an additional</w:t>
      </w:r>
      <w:r w:rsidR="7E62A0EC" w:rsidRPr="1169CFB7">
        <w:rPr>
          <w:sz w:val="21"/>
          <w:szCs w:val="21"/>
        </w:rPr>
        <w:t xml:space="preserve"> 30% and the private sector targeted to finance the remaining 30%. </w:t>
      </w:r>
      <w:r w:rsidR="3FC2DA0D" w:rsidRPr="1169CFB7">
        <w:rPr>
          <w:sz w:val="21"/>
          <w:szCs w:val="21"/>
        </w:rPr>
        <w:t xml:space="preserve"> GOI’s Indonesia Investment Authority (INA) and the newly established </w:t>
      </w:r>
      <w:proofErr w:type="spellStart"/>
      <w:r w:rsidR="3FC2DA0D" w:rsidRPr="00192A5A">
        <w:rPr>
          <w:sz w:val="21"/>
          <w:szCs w:val="21"/>
        </w:rPr>
        <w:t>Danantara</w:t>
      </w:r>
      <w:proofErr w:type="spellEnd"/>
      <w:r w:rsidR="3FC2DA0D" w:rsidRPr="1169CFB7">
        <w:rPr>
          <w:sz w:val="21"/>
          <w:szCs w:val="21"/>
        </w:rPr>
        <w:t xml:space="preserve"> Sovereign Wealth Fund are envisioned to play an important role in mobilising private sector investment in infrastructure through several investment platforms. However, while successive Indonesian governments have looked to the private sector to bridge the country’s significant infrastructure financing gap, these efforts have been less successful in meeting</w:t>
      </w:r>
      <w:r w:rsidR="4F668A10" w:rsidRPr="1169CFB7">
        <w:rPr>
          <w:sz w:val="21"/>
          <w:szCs w:val="21"/>
        </w:rPr>
        <w:t xml:space="preserve"> </w:t>
      </w:r>
      <w:r w:rsidR="3FC2DA0D" w:rsidRPr="1169CFB7">
        <w:rPr>
          <w:sz w:val="21"/>
          <w:szCs w:val="21"/>
        </w:rPr>
        <w:t xml:space="preserve">ambitious investment targets. </w:t>
      </w:r>
    </w:p>
    <w:p w14:paraId="1123BCF1" w14:textId="706F4BD7" w:rsidR="00573CBF" w:rsidRDefault="0A6D819F" w:rsidP="004542B7">
      <w:pPr>
        <w:rPr>
          <w:sz w:val="21"/>
          <w:szCs w:val="21"/>
        </w:rPr>
      </w:pPr>
      <w:r w:rsidRPr="1169CFB7">
        <w:rPr>
          <w:sz w:val="21"/>
          <w:szCs w:val="21"/>
        </w:rPr>
        <w:lastRenderedPageBreak/>
        <w:t>Indonesia is also the world's eighth-largest greenhouse gas emitter</w:t>
      </w:r>
      <w:r w:rsidR="00730406">
        <w:rPr>
          <w:sz w:val="21"/>
          <w:szCs w:val="21"/>
        </w:rPr>
        <w:t xml:space="preserve"> </w:t>
      </w:r>
      <w:r w:rsidR="00E35680">
        <w:rPr>
          <w:sz w:val="21"/>
          <w:szCs w:val="21"/>
        </w:rPr>
        <w:t>(</w:t>
      </w:r>
      <w:r w:rsidR="00730406">
        <w:rPr>
          <w:sz w:val="21"/>
          <w:szCs w:val="21"/>
        </w:rPr>
        <w:t>since 1990</w:t>
      </w:r>
      <w:r w:rsidR="00E35680">
        <w:rPr>
          <w:sz w:val="21"/>
          <w:szCs w:val="21"/>
        </w:rPr>
        <w:t>)</w:t>
      </w:r>
      <w:r w:rsidR="5247A567" w:rsidRPr="1169CFB7">
        <w:rPr>
          <w:sz w:val="21"/>
          <w:szCs w:val="21"/>
        </w:rPr>
        <w:t>, with high carbon emissions from the energy sector (</w:t>
      </w:r>
      <w:r w:rsidR="6C5E8C15" w:rsidRPr="1169CFB7">
        <w:rPr>
          <w:sz w:val="21"/>
          <w:szCs w:val="21"/>
        </w:rPr>
        <w:t>45</w:t>
      </w:r>
      <w:r w:rsidR="5247A567" w:rsidRPr="1169CFB7">
        <w:rPr>
          <w:sz w:val="21"/>
          <w:szCs w:val="21"/>
        </w:rPr>
        <w:t>%)</w:t>
      </w:r>
      <w:r w:rsidR="1A07459D" w:rsidRPr="1169CFB7">
        <w:rPr>
          <w:sz w:val="21"/>
          <w:szCs w:val="21"/>
        </w:rPr>
        <w:t xml:space="preserve"> and </w:t>
      </w:r>
      <w:r w:rsidR="5247A567" w:rsidRPr="1169CFB7">
        <w:rPr>
          <w:sz w:val="21"/>
          <w:szCs w:val="21"/>
        </w:rPr>
        <w:t>transport (2</w:t>
      </w:r>
      <w:r w:rsidR="3FE59881" w:rsidRPr="1169CFB7">
        <w:rPr>
          <w:sz w:val="21"/>
          <w:szCs w:val="21"/>
        </w:rPr>
        <w:t>3</w:t>
      </w:r>
      <w:r w:rsidR="5247A567" w:rsidRPr="1169CFB7">
        <w:rPr>
          <w:sz w:val="21"/>
          <w:szCs w:val="21"/>
        </w:rPr>
        <w:t>%)</w:t>
      </w:r>
      <w:r w:rsidR="004E4A86">
        <w:rPr>
          <w:rStyle w:val="FootnoteReference"/>
          <w:sz w:val="21"/>
          <w:szCs w:val="21"/>
        </w:rPr>
        <w:footnoteReference w:id="3"/>
      </w:r>
      <w:r w:rsidR="3475121F" w:rsidRPr="1169CFB7">
        <w:rPr>
          <w:sz w:val="21"/>
          <w:szCs w:val="21"/>
        </w:rPr>
        <w:t>.</w:t>
      </w:r>
    </w:p>
    <w:p w14:paraId="198E4EA7" w14:textId="69F8B4F2" w:rsidR="001F7C31" w:rsidRPr="003E18AD" w:rsidRDefault="2957116D" w:rsidP="004542B7">
      <w:pPr>
        <w:spacing w:before="0"/>
        <w:rPr>
          <w:sz w:val="21"/>
          <w:szCs w:val="21"/>
        </w:rPr>
      </w:pPr>
      <w:r w:rsidRPr="4E666B3A">
        <w:rPr>
          <w:sz w:val="21"/>
          <w:szCs w:val="21"/>
        </w:rPr>
        <w:t>Indonesia is also</w:t>
      </w:r>
      <w:r w:rsidR="00577947" w:rsidRPr="4E666B3A">
        <w:rPr>
          <w:sz w:val="21"/>
          <w:szCs w:val="21"/>
        </w:rPr>
        <w:t xml:space="preserve"> highly vulnerable to climate change impacts. </w:t>
      </w:r>
      <w:r w:rsidR="001F7C31" w:rsidRPr="4E666B3A">
        <w:rPr>
          <w:sz w:val="21"/>
          <w:szCs w:val="21"/>
        </w:rPr>
        <w:t>The country is ranked in the top</w:t>
      </w:r>
      <w:r w:rsidR="000F7782" w:rsidRPr="4E666B3A">
        <w:rPr>
          <w:sz w:val="21"/>
          <w:szCs w:val="21"/>
        </w:rPr>
        <w:t xml:space="preserve"> </w:t>
      </w:r>
      <w:r w:rsidR="001F7C31" w:rsidRPr="4E666B3A">
        <w:rPr>
          <w:sz w:val="21"/>
          <w:szCs w:val="21"/>
        </w:rPr>
        <w:t xml:space="preserve">third </w:t>
      </w:r>
      <w:r w:rsidR="006876AC" w:rsidRPr="4E666B3A">
        <w:rPr>
          <w:sz w:val="21"/>
          <w:szCs w:val="21"/>
        </w:rPr>
        <w:t xml:space="preserve">of countries </w:t>
      </w:r>
      <w:r w:rsidR="001F7C31" w:rsidRPr="4E666B3A">
        <w:rPr>
          <w:sz w:val="21"/>
          <w:szCs w:val="21"/>
        </w:rPr>
        <w:t xml:space="preserve">globally for climate risk </w:t>
      </w:r>
      <w:r w:rsidR="00FA3151" w:rsidRPr="4E666B3A">
        <w:rPr>
          <w:sz w:val="21"/>
          <w:szCs w:val="21"/>
        </w:rPr>
        <w:t>with</w:t>
      </w:r>
      <w:r w:rsidR="001F7C31" w:rsidRPr="4E666B3A">
        <w:rPr>
          <w:sz w:val="21"/>
          <w:szCs w:val="21"/>
        </w:rPr>
        <w:t xml:space="preserve"> over 300 </w:t>
      </w:r>
      <w:r w:rsidR="00FA3151" w:rsidRPr="4E666B3A">
        <w:rPr>
          <w:sz w:val="21"/>
          <w:szCs w:val="21"/>
        </w:rPr>
        <w:t xml:space="preserve">weather-related </w:t>
      </w:r>
      <w:r w:rsidR="001F7C31" w:rsidRPr="4E666B3A">
        <w:rPr>
          <w:sz w:val="21"/>
          <w:szCs w:val="21"/>
        </w:rPr>
        <w:t>disasters between 1990</w:t>
      </w:r>
      <w:r w:rsidR="007C69C6" w:rsidRPr="4E666B3A">
        <w:rPr>
          <w:sz w:val="21"/>
          <w:szCs w:val="21"/>
        </w:rPr>
        <w:t xml:space="preserve"> and </w:t>
      </w:r>
      <w:r w:rsidR="001F7C31" w:rsidRPr="4E666B3A">
        <w:rPr>
          <w:sz w:val="21"/>
          <w:szCs w:val="21"/>
        </w:rPr>
        <w:t xml:space="preserve">2021. Climate-related impacts are estimated to cost 1.24% of GDP by 2030, increasing to 6.97% by the 2060s under 3°C warming. Delivering on Indonesia's </w:t>
      </w:r>
      <w:r w:rsidR="26ACC25C" w:rsidRPr="4E666B3A">
        <w:rPr>
          <w:sz w:val="21"/>
          <w:szCs w:val="21"/>
        </w:rPr>
        <w:t xml:space="preserve">2030 </w:t>
      </w:r>
      <w:r w:rsidR="001F7C31" w:rsidRPr="4E666B3A">
        <w:rPr>
          <w:sz w:val="21"/>
          <w:szCs w:val="21"/>
        </w:rPr>
        <w:t>Nationally Determined Contribution</w:t>
      </w:r>
      <w:r w:rsidR="00E07780">
        <w:rPr>
          <w:sz w:val="21"/>
          <w:szCs w:val="21"/>
        </w:rPr>
        <w:t xml:space="preserve"> (NDC)</w:t>
      </w:r>
      <w:r w:rsidR="001F7C31" w:rsidRPr="4E666B3A">
        <w:rPr>
          <w:sz w:val="21"/>
          <w:szCs w:val="21"/>
        </w:rPr>
        <w:t xml:space="preserve"> targets requires </w:t>
      </w:r>
      <w:r w:rsidR="00D54895">
        <w:rPr>
          <w:sz w:val="21"/>
          <w:szCs w:val="21"/>
        </w:rPr>
        <w:t>USD</w:t>
      </w:r>
      <w:r w:rsidR="001F7C31" w:rsidRPr="4E666B3A">
        <w:rPr>
          <w:sz w:val="21"/>
          <w:szCs w:val="21"/>
        </w:rPr>
        <w:t>247.2 billion of investment.</w:t>
      </w:r>
      <w:r w:rsidR="000E76E5" w:rsidRPr="4E666B3A">
        <w:rPr>
          <w:sz w:val="21"/>
          <w:szCs w:val="21"/>
        </w:rPr>
        <w:t xml:space="preserve"> </w:t>
      </w:r>
      <w:r w:rsidR="00DF71C0" w:rsidRPr="4E666B3A">
        <w:rPr>
          <w:sz w:val="21"/>
          <w:szCs w:val="21"/>
        </w:rPr>
        <w:t xml:space="preserve">The infrastructure gap and </w:t>
      </w:r>
      <w:r w:rsidR="007C0A32" w:rsidRPr="4E666B3A">
        <w:rPr>
          <w:sz w:val="21"/>
          <w:szCs w:val="21"/>
        </w:rPr>
        <w:t>climate change dispropo</w:t>
      </w:r>
      <w:r w:rsidR="009621B3" w:rsidRPr="4E666B3A">
        <w:rPr>
          <w:sz w:val="21"/>
          <w:szCs w:val="21"/>
        </w:rPr>
        <w:t>rtionately impact women and marginalised communities.</w:t>
      </w:r>
    </w:p>
    <w:p w14:paraId="628D5BB5" w14:textId="722BBCBB" w:rsidR="002A19D1" w:rsidRDefault="001F7C31" w:rsidP="004542B7">
      <w:pPr>
        <w:rPr>
          <w:sz w:val="21"/>
          <w:szCs w:val="21"/>
        </w:rPr>
      </w:pPr>
      <w:bookmarkStart w:id="25" w:name="_Toc216260299"/>
      <w:bookmarkStart w:id="26" w:name="_Toc216264014"/>
      <w:bookmarkStart w:id="27" w:name="_Toc216269862"/>
      <w:bookmarkStart w:id="28" w:name="_Toc216270561"/>
      <w:r w:rsidRPr="0076165C">
        <w:rPr>
          <w:rStyle w:val="Heading3Char"/>
        </w:rPr>
        <w:t>Strategic Rationale:</w:t>
      </w:r>
      <w:bookmarkEnd w:id="25"/>
      <w:bookmarkEnd w:id="26"/>
      <w:bookmarkEnd w:id="27"/>
      <w:bookmarkEnd w:id="28"/>
      <w:r w:rsidRPr="003E18AD">
        <w:rPr>
          <w:sz w:val="21"/>
          <w:szCs w:val="21"/>
        </w:rPr>
        <w:t xml:space="preserve"> The </w:t>
      </w:r>
      <w:r w:rsidR="00F702BC">
        <w:rPr>
          <w:sz w:val="21"/>
          <w:szCs w:val="21"/>
        </w:rPr>
        <w:t>P</w:t>
      </w:r>
      <w:r w:rsidRPr="003E18AD">
        <w:rPr>
          <w:sz w:val="21"/>
          <w:szCs w:val="21"/>
        </w:rPr>
        <w:t>artnership responds to Indonesia's acute infrastructure financing challenges, climate vulnerability, and ambitions for economic transformation.</w:t>
      </w:r>
      <w:r w:rsidR="00F702BC">
        <w:rPr>
          <w:sz w:val="21"/>
          <w:szCs w:val="21"/>
        </w:rPr>
        <w:t xml:space="preserve"> It</w:t>
      </w:r>
      <w:r w:rsidRPr="003E18AD">
        <w:rPr>
          <w:sz w:val="21"/>
          <w:szCs w:val="21"/>
        </w:rPr>
        <w:t xml:space="preserve"> </w:t>
      </w:r>
      <w:r w:rsidR="00F702BC" w:rsidRPr="003E18AD">
        <w:rPr>
          <w:sz w:val="21"/>
          <w:szCs w:val="21"/>
        </w:rPr>
        <w:t xml:space="preserve">builds on Australia’s position as a trusted partner supporting Indonesia's transition to upper middle-income status while advancing regional stability and prosperity. </w:t>
      </w:r>
    </w:p>
    <w:p w14:paraId="796549FC" w14:textId="270644BC" w:rsidR="003575FE" w:rsidRPr="003E18AD" w:rsidRDefault="002A19D1" w:rsidP="004542B7">
      <w:pPr>
        <w:rPr>
          <w:sz w:val="21"/>
          <w:szCs w:val="21"/>
        </w:rPr>
      </w:pPr>
      <w:bookmarkStart w:id="29" w:name="_Toc216260300"/>
      <w:bookmarkStart w:id="30" w:name="_Toc216264015"/>
      <w:bookmarkStart w:id="31" w:name="_Toc216269863"/>
      <w:bookmarkStart w:id="32" w:name="_Toc216270562"/>
      <w:r w:rsidRPr="0076165C">
        <w:rPr>
          <w:rStyle w:val="Heading3Char"/>
        </w:rPr>
        <w:t>Approach:</w:t>
      </w:r>
      <w:bookmarkEnd w:id="29"/>
      <w:bookmarkEnd w:id="30"/>
      <w:bookmarkEnd w:id="31"/>
      <w:bookmarkEnd w:id="32"/>
      <w:r>
        <w:rPr>
          <w:b/>
          <w:bCs/>
          <w:sz w:val="21"/>
          <w:szCs w:val="21"/>
        </w:rPr>
        <w:t xml:space="preserve"> </w:t>
      </w:r>
      <w:r w:rsidR="00D719AF">
        <w:rPr>
          <w:sz w:val="21"/>
          <w:szCs w:val="21"/>
        </w:rPr>
        <w:t>Taking a partnership approach</w:t>
      </w:r>
      <w:r w:rsidR="00C476EE" w:rsidRPr="22F21565">
        <w:rPr>
          <w:sz w:val="21"/>
          <w:szCs w:val="21"/>
        </w:rPr>
        <w:t xml:space="preserve"> </w:t>
      </w:r>
      <w:r w:rsidR="2BDD6E08" w:rsidRPr="22F21565">
        <w:rPr>
          <w:sz w:val="21"/>
          <w:szCs w:val="21"/>
        </w:rPr>
        <w:t>with an integrated portfolio</w:t>
      </w:r>
      <w:r w:rsidR="00C476EE">
        <w:rPr>
          <w:sz w:val="21"/>
          <w:szCs w:val="21"/>
        </w:rPr>
        <w:t xml:space="preserve"> ensures </w:t>
      </w:r>
      <w:r w:rsidR="004A342C">
        <w:rPr>
          <w:sz w:val="21"/>
          <w:szCs w:val="21"/>
        </w:rPr>
        <w:t xml:space="preserve">Australia’s infrastructure and climate initiatives </w:t>
      </w:r>
      <w:r w:rsidR="00C476EE">
        <w:rPr>
          <w:sz w:val="21"/>
          <w:szCs w:val="21"/>
        </w:rPr>
        <w:t>are more than the sum of their parts, deepening DFAT’s p</w:t>
      </w:r>
      <w:r w:rsidR="005A576A">
        <w:rPr>
          <w:sz w:val="21"/>
          <w:szCs w:val="21"/>
        </w:rPr>
        <w:t>olicy and strategic coherence</w:t>
      </w:r>
      <w:r w:rsidR="00277759">
        <w:rPr>
          <w:sz w:val="21"/>
          <w:szCs w:val="21"/>
        </w:rPr>
        <w:t xml:space="preserve"> to create a shared vision across Australia’s </w:t>
      </w:r>
      <w:r w:rsidR="00313040">
        <w:rPr>
          <w:sz w:val="21"/>
          <w:szCs w:val="21"/>
        </w:rPr>
        <w:t>investment portfolio</w:t>
      </w:r>
      <w:r>
        <w:rPr>
          <w:sz w:val="21"/>
          <w:szCs w:val="21"/>
        </w:rPr>
        <w:t>.</w:t>
      </w:r>
      <w:r w:rsidR="00277759">
        <w:rPr>
          <w:sz w:val="21"/>
          <w:szCs w:val="21"/>
        </w:rPr>
        <w:t xml:space="preserve"> </w:t>
      </w:r>
      <w:r>
        <w:rPr>
          <w:sz w:val="21"/>
          <w:szCs w:val="21"/>
        </w:rPr>
        <w:t xml:space="preserve">Ensuring coordination and line of sight across the Partnership </w:t>
      </w:r>
      <w:r w:rsidR="004A2C5F">
        <w:rPr>
          <w:sz w:val="21"/>
          <w:szCs w:val="21"/>
        </w:rPr>
        <w:t>enhanc</w:t>
      </w:r>
      <w:r w:rsidR="008F62C6">
        <w:rPr>
          <w:sz w:val="21"/>
          <w:szCs w:val="21"/>
        </w:rPr>
        <w:t>e</w:t>
      </w:r>
      <w:r w:rsidR="007111EC">
        <w:rPr>
          <w:sz w:val="21"/>
          <w:szCs w:val="21"/>
        </w:rPr>
        <w:t>s</w:t>
      </w:r>
      <w:r w:rsidR="004A2C5F">
        <w:rPr>
          <w:sz w:val="21"/>
          <w:szCs w:val="21"/>
        </w:rPr>
        <w:t xml:space="preserve"> </w:t>
      </w:r>
      <w:r w:rsidR="00277759">
        <w:rPr>
          <w:sz w:val="21"/>
          <w:szCs w:val="21"/>
        </w:rPr>
        <w:t>effectiveness and improv</w:t>
      </w:r>
      <w:r w:rsidR="004A2C5F">
        <w:rPr>
          <w:sz w:val="21"/>
          <w:szCs w:val="21"/>
        </w:rPr>
        <w:t>es</w:t>
      </w:r>
      <w:r w:rsidR="00277759">
        <w:rPr>
          <w:sz w:val="21"/>
          <w:szCs w:val="21"/>
        </w:rPr>
        <w:t xml:space="preserve"> efficiency by </w:t>
      </w:r>
      <w:r w:rsidR="004A2C5F">
        <w:rPr>
          <w:sz w:val="21"/>
          <w:szCs w:val="21"/>
        </w:rPr>
        <w:t>reducing</w:t>
      </w:r>
      <w:r w:rsidR="00277759">
        <w:rPr>
          <w:sz w:val="21"/>
          <w:szCs w:val="21"/>
        </w:rPr>
        <w:t xml:space="preserve"> duplication.</w:t>
      </w:r>
      <w:r w:rsidRPr="002A19D1">
        <w:rPr>
          <w:sz w:val="21"/>
          <w:szCs w:val="21"/>
        </w:rPr>
        <w:t xml:space="preserve"> </w:t>
      </w:r>
      <w:r w:rsidR="003575FE" w:rsidRPr="003E18AD">
        <w:rPr>
          <w:sz w:val="21"/>
          <w:szCs w:val="21"/>
        </w:rPr>
        <w:t xml:space="preserve">The </w:t>
      </w:r>
      <w:r w:rsidR="003575FE">
        <w:rPr>
          <w:sz w:val="21"/>
          <w:szCs w:val="21"/>
        </w:rPr>
        <w:t>Partnership</w:t>
      </w:r>
      <w:r w:rsidR="003575FE" w:rsidRPr="003E18AD">
        <w:rPr>
          <w:sz w:val="21"/>
          <w:szCs w:val="21"/>
        </w:rPr>
        <w:t xml:space="preserve"> offers a system-wide approach to accelerating Indonesia's development and green growth transition through coordinated sovereign and private financing, policy dialogue, technical assistance, and capacity development.</w:t>
      </w:r>
    </w:p>
    <w:p w14:paraId="37FBECAC" w14:textId="1F1DF75C" w:rsidR="005A576A" w:rsidRDefault="04B619E9" w:rsidP="004542B7">
      <w:pPr>
        <w:rPr>
          <w:sz w:val="21"/>
          <w:szCs w:val="21"/>
        </w:rPr>
      </w:pPr>
      <w:r w:rsidRPr="1169CFB7">
        <w:rPr>
          <w:sz w:val="21"/>
          <w:szCs w:val="21"/>
        </w:rPr>
        <w:t>The Partnership uses a mix of financing modalities including blended finance through ADI and PIDG.</w:t>
      </w:r>
      <w:r w:rsidR="2E21751C" w:rsidRPr="1169CFB7">
        <w:rPr>
          <w:sz w:val="21"/>
          <w:szCs w:val="21"/>
        </w:rPr>
        <w:t xml:space="preserve"> </w:t>
      </w:r>
      <w:r w:rsidRPr="1169CFB7">
        <w:rPr>
          <w:sz w:val="21"/>
          <w:szCs w:val="21"/>
        </w:rPr>
        <w:t>It focuses on end-to-end engagement across the project lifecycle and building stakeholder coalitions to strengthen accountability and support long-term reform.</w:t>
      </w:r>
    </w:p>
    <w:p w14:paraId="549C04FD" w14:textId="3A1538D9" w:rsidR="42964604" w:rsidRDefault="42964604" w:rsidP="004542B7">
      <w:pPr>
        <w:rPr>
          <w:sz w:val="21"/>
          <w:szCs w:val="21"/>
        </w:rPr>
      </w:pPr>
      <w:r w:rsidRPr="7D75ECBC">
        <w:rPr>
          <w:sz w:val="21"/>
          <w:szCs w:val="21"/>
        </w:rPr>
        <w:t xml:space="preserve">Given the strong alignment between </w:t>
      </w:r>
      <w:r w:rsidR="00473832">
        <w:rPr>
          <w:sz w:val="21"/>
          <w:szCs w:val="21"/>
        </w:rPr>
        <w:t xml:space="preserve">the Australia-Indonesia Partnership </w:t>
      </w:r>
      <w:r w:rsidR="00115A90">
        <w:rPr>
          <w:sz w:val="21"/>
          <w:szCs w:val="21"/>
        </w:rPr>
        <w:t>for Economic Development (</w:t>
      </w:r>
      <w:r w:rsidRPr="00883756">
        <w:rPr>
          <w:caps/>
          <w:sz w:val="21"/>
          <w:szCs w:val="21"/>
        </w:rPr>
        <w:t>Prospera</w:t>
      </w:r>
      <w:r w:rsidR="00115A90">
        <w:rPr>
          <w:sz w:val="21"/>
          <w:szCs w:val="21"/>
        </w:rPr>
        <w:t>)</w:t>
      </w:r>
      <w:r w:rsidRPr="7D75ECBC">
        <w:rPr>
          <w:sz w:val="21"/>
          <w:szCs w:val="21"/>
        </w:rPr>
        <w:t xml:space="preserve"> and the Partnership’s work areas, there are significant opportunities for strategic collaboration, while requiring careful coordination to ensure complementary rather than duplicative efforts. DFAT will lead on facilitating formal coordination between these two programs to delimit roles and responsibilities</w:t>
      </w:r>
      <w:r w:rsidR="00C017D0">
        <w:rPr>
          <w:sz w:val="21"/>
          <w:szCs w:val="21"/>
        </w:rPr>
        <w:t xml:space="preserve">, avoid overlap and foster </w:t>
      </w:r>
      <w:r w:rsidRPr="7D75ECBC">
        <w:rPr>
          <w:sz w:val="21"/>
          <w:szCs w:val="21"/>
        </w:rPr>
        <w:t>collaboration.</w:t>
      </w:r>
    </w:p>
    <w:p w14:paraId="5FE97D94" w14:textId="5B32A4D6" w:rsidR="005C52A0" w:rsidRDefault="001F7C31" w:rsidP="004542B7">
      <w:pPr>
        <w:rPr>
          <w:sz w:val="21"/>
          <w:szCs w:val="21"/>
        </w:rPr>
      </w:pPr>
      <w:bookmarkStart w:id="33" w:name="_Toc216260301"/>
      <w:bookmarkStart w:id="34" w:name="_Toc216264016"/>
      <w:bookmarkStart w:id="35" w:name="_Toc216269864"/>
      <w:bookmarkStart w:id="36" w:name="_Toc216270563"/>
      <w:r w:rsidRPr="0076165C">
        <w:rPr>
          <w:rStyle w:val="Heading3Char"/>
        </w:rPr>
        <w:t>Innovation:</w:t>
      </w:r>
      <w:bookmarkEnd w:id="33"/>
      <w:bookmarkEnd w:id="34"/>
      <w:bookmarkEnd w:id="35"/>
      <w:bookmarkEnd w:id="36"/>
      <w:r w:rsidRPr="003E18AD">
        <w:rPr>
          <w:sz w:val="21"/>
          <w:szCs w:val="21"/>
        </w:rPr>
        <w:t xml:space="preserve"> The </w:t>
      </w:r>
      <w:r w:rsidR="0064245D">
        <w:rPr>
          <w:sz w:val="21"/>
          <w:szCs w:val="21"/>
        </w:rPr>
        <w:t>Partnership</w:t>
      </w:r>
      <w:r w:rsidR="0064245D" w:rsidRPr="003E18AD">
        <w:rPr>
          <w:sz w:val="21"/>
          <w:szCs w:val="21"/>
        </w:rPr>
        <w:t xml:space="preserve"> </w:t>
      </w:r>
      <w:r w:rsidRPr="003E18AD">
        <w:rPr>
          <w:sz w:val="21"/>
          <w:szCs w:val="21"/>
        </w:rPr>
        <w:t xml:space="preserve">adopts a demand-driven, adaptive design that embraces complexity and </w:t>
      </w:r>
      <w:r w:rsidR="345DDECA" w:rsidRPr="39E4E188">
        <w:rPr>
          <w:sz w:val="21"/>
          <w:szCs w:val="21"/>
        </w:rPr>
        <w:t xml:space="preserve">has a robust </w:t>
      </w:r>
      <w:r w:rsidRPr="39E4E188">
        <w:rPr>
          <w:sz w:val="21"/>
          <w:szCs w:val="21"/>
        </w:rPr>
        <w:t>risk</w:t>
      </w:r>
      <w:r w:rsidR="612A3D31" w:rsidRPr="39E4E188">
        <w:rPr>
          <w:sz w:val="21"/>
          <w:szCs w:val="21"/>
        </w:rPr>
        <w:t xml:space="preserve"> appetite for testing innovative approaches</w:t>
      </w:r>
      <w:r w:rsidR="00FE481C" w:rsidRPr="39E4E188">
        <w:rPr>
          <w:sz w:val="21"/>
          <w:szCs w:val="21"/>
        </w:rPr>
        <w:t>.</w:t>
      </w:r>
      <w:r w:rsidR="00FE481C">
        <w:rPr>
          <w:sz w:val="21"/>
          <w:szCs w:val="21"/>
        </w:rPr>
        <w:t xml:space="preserve"> </w:t>
      </w:r>
      <w:r w:rsidR="00076322">
        <w:rPr>
          <w:sz w:val="21"/>
          <w:szCs w:val="21"/>
        </w:rPr>
        <w:t>Taking a forward-leaning approach</w:t>
      </w:r>
      <w:r w:rsidR="005D0A5A">
        <w:rPr>
          <w:sz w:val="21"/>
          <w:szCs w:val="21"/>
        </w:rPr>
        <w:t>, the design builds in</w:t>
      </w:r>
      <w:r w:rsidR="0043240C">
        <w:rPr>
          <w:sz w:val="21"/>
          <w:szCs w:val="21"/>
        </w:rPr>
        <w:t xml:space="preserve"> </w:t>
      </w:r>
      <w:r w:rsidR="00FE481C">
        <w:rPr>
          <w:sz w:val="21"/>
          <w:szCs w:val="21"/>
        </w:rPr>
        <w:t xml:space="preserve">flexibility to leverage emerging Australian </w:t>
      </w:r>
      <w:r w:rsidR="008E40F8">
        <w:rPr>
          <w:sz w:val="21"/>
          <w:szCs w:val="21"/>
        </w:rPr>
        <w:t xml:space="preserve">or Indonesian </w:t>
      </w:r>
      <w:r w:rsidR="00FE481C">
        <w:rPr>
          <w:sz w:val="21"/>
          <w:szCs w:val="21"/>
        </w:rPr>
        <w:t xml:space="preserve">development financing </w:t>
      </w:r>
      <w:r w:rsidR="008E40F8">
        <w:rPr>
          <w:sz w:val="21"/>
          <w:szCs w:val="21"/>
        </w:rPr>
        <w:t>mechanisms</w:t>
      </w:r>
      <w:r w:rsidR="00FE481C">
        <w:rPr>
          <w:sz w:val="21"/>
          <w:szCs w:val="21"/>
        </w:rPr>
        <w:t xml:space="preserve"> over the life of the Partnership</w:t>
      </w:r>
      <w:r w:rsidR="00745659">
        <w:rPr>
          <w:sz w:val="21"/>
          <w:szCs w:val="21"/>
        </w:rPr>
        <w:t>.</w:t>
      </w:r>
      <w:r w:rsidR="00782A82">
        <w:rPr>
          <w:sz w:val="21"/>
          <w:szCs w:val="21"/>
        </w:rPr>
        <w:t xml:space="preserve"> This ensures the Partnership</w:t>
      </w:r>
      <w:r w:rsidR="007D7AE6">
        <w:rPr>
          <w:sz w:val="21"/>
          <w:szCs w:val="21"/>
        </w:rPr>
        <w:t xml:space="preserve"> closely </w:t>
      </w:r>
      <w:r w:rsidR="00FE481C">
        <w:rPr>
          <w:sz w:val="21"/>
          <w:szCs w:val="21"/>
        </w:rPr>
        <w:t>align</w:t>
      </w:r>
      <w:r w:rsidR="007D7AE6">
        <w:rPr>
          <w:sz w:val="21"/>
          <w:szCs w:val="21"/>
        </w:rPr>
        <w:t>s</w:t>
      </w:r>
      <w:r w:rsidR="00FE481C">
        <w:rPr>
          <w:sz w:val="21"/>
          <w:szCs w:val="21"/>
        </w:rPr>
        <w:t xml:space="preserve"> with Indonesia’s development trajectory</w:t>
      </w:r>
      <w:r w:rsidR="007D7AE6">
        <w:rPr>
          <w:sz w:val="21"/>
          <w:szCs w:val="21"/>
        </w:rPr>
        <w:t xml:space="preserve"> and Australia’s strategic and development priorities</w:t>
      </w:r>
      <w:r w:rsidR="002C6578">
        <w:rPr>
          <w:sz w:val="21"/>
          <w:szCs w:val="21"/>
        </w:rPr>
        <w:t xml:space="preserve"> over the next decade</w:t>
      </w:r>
      <w:r w:rsidR="00CE170A">
        <w:rPr>
          <w:sz w:val="21"/>
          <w:szCs w:val="21"/>
        </w:rPr>
        <w:t>, as well as position</w:t>
      </w:r>
      <w:r w:rsidR="00C017D0">
        <w:rPr>
          <w:sz w:val="21"/>
          <w:szCs w:val="21"/>
        </w:rPr>
        <w:t>ing</w:t>
      </w:r>
      <w:r w:rsidR="00CE170A">
        <w:rPr>
          <w:sz w:val="21"/>
          <w:szCs w:val="21"/>
        </w:rPr>
        <w:t xml:space="preserve"> </w:t>
      </w:r>
      <w:r w:rsidR="00CE170A" w:rsidRPr="003E18AD">
        <w:rPr>
          <w:sz w:val="21"/>
          <w:szCs w:val="21"/>
        </w:rPr>
        <w:t xml:space="preserve">Australia to </w:t>
      </w:r>
      <w:r w:rsidR="00CE170A">
        <w:rPr>
          <w:sz w:val="21"/>
          <w:szCs w:val="21"/>
        </w:rPr>
        <w:t>maintain deep engagement</w:t>
      </w:r>
      <w:r w:rsidR="00CE170A" w:rsidRPr="003E18AD">
        <w:rPr>
          <w:sz w:val="21"/>
          <w:szCs w:val="21"/>
        </w:rPr>
        <w:t xml:space="preserve"> with Indonesia </w:t>
      </w:r>
      <w:r w:rsidR="00CE170A">
        <w:rPr>
          <w:sz w:val="21"/>
          <w:szCs w:val="21"/>
        </w:rPr>
        <w:t xml:space="preserve">beyond traditional official development assistance. </w:t>
      </w:r>
      <w:r w:rsidRPr="003E18AD">
        <w:rPr>
          <w:sz w:val="21"/>
          <w:szCs w:val="21"/>
        </w:rPr>
        <w:t xml:space="preserve"> </w:t>
      </w:r>
    </w:p>
    <w:p w14:paraId="0241BBC7" w14:textId="77777777" w:rsidR="001F7C31" w:rsidRPr="0062137F" w:rsidRDefault="001F7C31" w:rsidP="00D2498B">
      <w:pPr>
        <w:pStyle w:val="Heading2"/>
      </w:pPr>
      <w:bookmarkStart w:id="37" w:name="_Toc216260302"/>
      <w:bookmarkStart w:id="38" w:name="_Toc216269865"/>
      <w:bookmarkStart w:id="39" w:name="_Toc216270564"/>
      <w:r w:rsidRPr="0062137F">
        <w:t>Governance and Management Arrangements</w:t>
      </w:r>
      <w:bookmarkEnd w:id="37"/>
      <w:bookmarkEnd w:id="38"/>
      <w:bookmarkEnd w:id="39"/>
    </w:p>
    <w:p w14:paraId="2ECD6902" w14:textId="4A40279B" w:rsidR="001F7C31" w:rsidRPr="003E18AD" w:rsidRDefault="001F7C31" w:rsidP="004542B7">
      <w:pPr>
        <w:rPr>
          <w:sz w:val="21"/>
          <w:szCs w:val="21"/>
        </w:rPr>
      </w:pPr>
      <w:bookmarkStart w:id="40" w:name="_Toc216260303"/>
      <w:bookmarkStart w:id="41" w:name="_Toc216264018"/>
      <w:bookmarkStart w:id="42" w:name="_Toc216269866"/>
      <w:bookmarkStart w:id="43" w:name="_Toc216270565"/>
      <w:r w:rsidRPr="0076165C">
        <w:rPr>
          <w:rStyle w:val="Heading3Char"/>
        </w:rPr>
        <w:t>Program-Level Governance:</w:t>
      </w:r>
      <w:bookmarkEnd w:id="40"/>
      <w:bookmarkEnd w:id="41"/>
      <w:bookmarkEnd w:id="42"/>
      <w:bookmarkEnd w:id="43"/>
      <w:r w:rsidRPr="0076165C">
        <w:rPr>
          <w:rStyle w:val="Heading3Char"/>
        </w:rPr>
        <w:t xml:space="preserve"> </w:t>
      </w:r>
      <w:r w:rsidRPr="003E18AD">
        <w:rPr>
          <w:sz w:val="21"/>
          <w:szCs w:val="21"/>
        </w:rPr>
        <w:t xml:space="preserve">A formal bilateral Program </w:t>
      </w:r>
      <w:r w:rsidR="16D7005D" w:rsidRPr="5F06E175">
        <w:rPr>
          <w:sz w:val="21"/>
          <w:szCs w:val="21"/>
        </w:rPr>
        <w:t>Steering</w:t>
      </w:r>
      <w:r w:rsidRPr="003E18AD">
        <w:rPr>
          <w:sz w:val="21"/>
          <w:szCs w:val="21"/>
        </w:rPr>
        <w:t xml:space="preserve"> Committee between Australia and Indonesia provides strategic and policy oversight.</w:t>
      </w:r>
    </w:p>
    <w:p w14:paraId="19422F8C" w14:textId="1570941F" w:rsidR="001F7C31" w:rsidRPr="003E18AD" w:rsidRDefault="001F7C31" w:rsidP="004542B7">
      <w:pPr>
        <w:rPr>
          <w:sz w:val="21"/>
          <w:szCs w:val="21"/>
        </w:rPr>
      </w:pPr>
      <w:bookmarkStart w:id="44" w:name="_Toc216260304"/>
      <w:bookmarkStart w:id="45" w:name="_Toc216264019"/>
      <w:bookmarkStart w:id="46" w:name="_Toc216269867"/>
      <w:bookmarkStart w:id="47" w:name="_Toc216270566"/>
      <w:r w:rsidRPr="0076165C">
        <w:rPr>
          <w:rStyle w:val="Heading3Char"/>
        </w:rPr>
        <w:t>Operational Governance:</w:t>
      </w:r>
      <w:bookmarkEnd w:id="44"/>
      <w:bookmarkEnd w:id="45"/>
      <w:bookmarkEnd w:id="46"/>
      <w:bookmarkEnd w:id="47"/>
      <w:r w:rsidRPr="003E18AD">
        <w:rPr>
          <w:sz w:val="21"/>
          <w:szCs w:val="21"/>
        </w:rPr>
        <w:t xml:space="preserve"> A multi-stakeholder Partnership </w:t>
      </w:r>
      <w:r w:rsidR="4F95D148" w:rsidRPr="05455A1D">
        <w:rPr>
          <w:sz w:val="21"/>
          <w:szCs w:val="21"/>
        </w:rPr>
        <w:t>Coordination</w:t>
      </w:r>
      <w:r w:rsidRPr="003E18AD">
        <w:rPr>
          <w:sz w:val="21"/>
          <w:szCs w:val="21"/>
        </w:rPr>
        <w:t xml:space="preserve"> Committee provides operational direction, planning, review and learning, </w:t>
      </w:r>
      <w:r w:rsidR="00492092">
        <w:rPr>
          <w:sz w:val="21"/>
          <w:szCs w:val="21"/>
        </w:rPr>
        <w:t xml:space="preserve">bringing together </w:t>
      </w:r>
      <w:r w:rsidRPr="003E18AD">
        <w:rPr>
          <w:sz w:val="21"/>
          <w:szCs w:val="21"/>
        </w:rPr>
        <w:t>senior representatives of all Delivery Partners bi-annually. The Primary Contractor functions as Secretariat, with Partners reporting on progress through endorsed Annual Plans and Reports under an agreed Partnership Charter.</w:t>
      </w:r>
    </w:p>
    <w:p w14:paraId="1B26D2B9" w14:textId="26879A9E" w:rsidR="001F7C31" w:rsidRPr="003E18AD" w:rsidRDefault="001F7C31" w:rsidP="004542B7">
      <w:pPr>
        <w:rPr>
          <w:sz w:val="21"/>
          <w:szCs w:val="21"/>
        </w:rPr>
      </w:pPr>
      <w:bookmarkStart w:id="48" w:name="_Toc216260305"/>
      <w:bookmarkStart w:id="49" w:name="_Toc216264020"/>
      <w:bookmarkStart w:id="50" w:name="_Toc216269868"/>
      <w:bookmarkStart w:id="51" w:name="_Toc216270567"/>
      <w:r w:rsidRPr="0076165C">
        <w:rPr>
          <w:rStyle w:val="Heading3Char"/>
        </w:rPr>
        <w:t>Delivery Partner Structure</w:t>
      </w:r>
      <w:bookmarkEnd w:id="48"/>
      <w:bookmarkEnd w:id="49"/>
      <w:bookmarkEnd w:id="50"/>
      <w:bookmarkEnd w:id="51"/>
      <w:r w:rsidR="004A2C5F">
        <w:rPr>
          <w:b/>
          <w:bCs/>
          <w:sz w:val="21"/>
          <w:szCs w:val="21"/>
        </w:rPr>
        <w:t xml:space="preserve"> </w:t>
      </w:r>
      <w:r w:rsidR="004A2C5F">
        <w:rPr>
          <w:sz w:val="21"/>
          <w:szCs w:val="21"/>
        </w:rPr>
        <w:t xml:space="preserve">(note: to be reviewed </w:t>
      </w:r>
      <w:r w:rsidR="3424008B" w:rsidRPr="1EEB1E3E">
        <w:rPr>
          <w:sz w:val="21"/>
          <w:szCs w:val="21"/>
        </w:rPr>
        <w:t xml:space="preserve">and adjusted as required </w:t>
      </w:r>
      <w:r w:rsidR="004A2C5F">
        <w:rPr>
          <w:sz w:val="21"/>
          <w:szCs w:val="21"/>
        </w:rPr>
        <w:t>over the life of the Partnership)</w:t>
      </w:r>
      <w:r w:rsidRPr="003E18AD">
        <w:rPr>
          <w:b/>
          <w:bCs/>
          <w:sz w:val="21"/>
          <w:szCs w:val="21"/>
        </w:rPr>
        <w:t>:</w:t>
      </w:r>
    </w:p>
    <w:p w14:paraId="3B6EB3E9" w14:textId="750D627E" w:rsidR="001F7C31" w:rsidRPr="003E18AD" w:rsidRDefault="001F7C31" w:rsidP="00686269">
      <w:pPr>
        <w:numPr>
          <w:ilvl w:val="0"/>
          <w:numId w:val="18"/>
        </w:numPr>
        <w:tabs>
          <w:tab w:val="clear" w:pos="720"/>
          <w:tab w:val="num" w:pos="567"/>
        </w:tabs>
        <w:spacing w:before="0"/>
        <w:ind w:left="567" w:hanging="357"/>
        <w:rPr>
          <w:sz w:val="21"/>
          <w:szCs w:val="21"/>
        </w:rPr>
      </w:pPr>
      <w:r w:rsidRPr="0076165C">
        <w:rPr>
          <w:rStyle w:val="Heading4Char"/>
        </w:rPr>
        <w:t>Primary Contractor:</w:t>
      </w:r>
      <w:r w:rsidRPr="003E18AD">
        <w:rPr>
          <w:sz w:val="21"/>
          <w:szCs w:val="21"/>
        </w:rPr>
        <w:t xml:space="preserve"> Overall portfolio and </w:t>
      </w:r>
      <w:r w:rsidR="00D44E9B">
        <w:rPr>
          <w:sz w:val="21"/>
          <w:szCs w:val="21"/>
        </w:rPr>
        <w:t>Partnership</w:t>
      </w:r>
      <w:r w:rsidRPr="003E18AD">
        <w:rPr>
          <w:sz w:val="21"/>
          <w:szCs w:val="21"/>
        </w:rPr>
        <w:t>-wide responsibilities, technical services, and advisory support</w:t>
      </w:r>
    </w:p>
    <w:p w14:paraId="20763884" w14:textId="1CCD19D1" w:rsidR="004A2C5F" w:rsidRPr="003E18AD" w:rsidRDefault="004A2C5F" w:rsidP="00686269">
      <w:pPr>
        <w:numPr>
          <w:ilvl w:val="0"/>
          <w:numId w:val="18"/>
        </w:numPr>
        <w:tabs>
          <w:tab w:val="clear" w:pos="720"/>
          <w:tab w:val="num" w:pos="567"/>
        </w:tabs>
        <w:spacing w:before="0"/>
        <w:ind w:left="567" w:hanging="357"/>
        <w:rPr>
          <w:sz w:val="21"/>
          <w:szCs w:val="21"/>
        </w:rPr>
      </w:pPr>
      <w:r w:rsidRPr="0076165C">
        <w:rPr>
          <w:rStyle w:val="Heading4Char"/>
        </w:rPr>
        <w:t>Financial Markets Advisory Partner and Lead NGO Partner:</w:t>
      </w:r>
      <w:r w:rsidRPr="003E18AD">
        <w:rPr>
          <w:sz w:val="21"/>
          <w:szCs w:val="21"/>
        </w:rPr>
        <w:t xml:space="preserve"> Specialist advisory and community engagement services </w:t>
      </w:r>
      <w:r w:rsidR="4CE436F4" w:rsidRPr="1EEB1E3E">
        <w:rPr>
          <w:sz w:val="21"/>
          <w:szCs w:val="21"/>
        </w:rPr>
        <w:t xml:space="preserve">to be subcontracted </w:t>
      </w:r>
      <w:r w:rsidRPr="003E18AD">
        <w:rPr>
          <w:sz w:val="21"/>
          <w:szCs w:val="21"/>
        </w:rPr>
        <w:t xml:space="preserve">under </w:t>
      </w:r>
      <w:r w:rsidR="00453A8A">
        <w:rPr>
          <w:sz w:val="21"/>
          <w:szCs w:val="21"/>
        </w:rPr>
        <w:t xml:space="preserve">the </w:t>
      </w:r>
      <w:r w:rsidR="00453A8A" w:rsidRPr="003E18AD">
        <w:rPr>
          <w:sz w:val="21"/>
          <w:szCs w:val="21"/>
        </w:rPr>
        <w:t>auspices</w:t>
      </w:r>
      <w:r w:rsidR="00453A8A">
        <w:rPr>
          <w:sz w:val="21"/>
          <w:szCs w:val="21"/>
        </w:rPr>
        <w:t xml:space="preserve"> of the</w:t>
      </w:r>
      <w:r w:rsidR="00453A8A" w:rsidRPr="003E18AD">
        <w:rPr>
          <w:sz w:val="21"/>
          <w:szCs w:val="21"/>
        </w:rPr>
        <w:t xml:space="preserve"> </w:t>
      </w:r>
      <w:r w:rsidRPr="003E18AD">
        <w:rPr>
          <w:sz w:val="21"/>
          <w:szCs w:val="21"/>
        </w:rPr>
        <w:t xml:space="preserve">Primary Contractor </w:t>
      </w:r>
    </w:p>
    <w:p w14:paraId="20F8CE09" w14:textId="6E63A67F" w:rsidR="001F7C31" w:rsidRPr="003E18AD" w:rsidRDefault="001F7C31" w:rsidP="00686269">
      <w:pPr>
        <w:numPr>
          <w:ilvl w:val="0"/>
          <w:numId w:val="18"/>
        </w:numPr>
        <w:tabs>
          <w:tab w:val="clear" w:pos="720"/>
          <w:tab w:val="num" w:pos="567"/>
        </w:tabs>
        <w:spacing w:before="0"/>
        <w:ind w:left="567" w:hanging="357"/>
        <w:rPr>
          <w:sz w:val="21"/>
          <w:szCs w:val="21"/>
        </w:rPr>
      </w:pPr>
      <w:r w:rsidRPr="0076165C">
        <w:rPr>
          <w:rStyle w:val="Heading4Char"/>
        </w:rPr>
        <w:t>Asian Development Bank</w:t>
      </w:r>
      <w:r w:rsidR="0080123E" w:rsidRPr="0076165C">
        <w:rPr>
          <w:rStyle w:val="Heading4Char"/>
        </w:rPr>
        <w:t xml:space="preserve"> (ADB)</w:t>
      </w:r>
      <w:r w:rsidRPr="0076165C">
        <w:rPr>
          <w:rStyle w:val="Heading4Char"/>
        </w:rPr>
        <w:t>:</w:t>
      </w:r>
      <w:r w:rsidRPr="003E18AD">
        <w:rPr>
          <w:sz w:val="21"/>
          <w:szCs w:val="21"/>
        </w:rPr>
        <w:t xml:space="preserve"> Technical, analytic and research services, and loan preparation in agreed sectors under direct Grant Agreement</w:t>
      </w:r>
    </w:p>
    <w:p w14:paraId="0404E153" w14:textId="60468578" w:rsidR="001F7C31" w:rsidRPr="003E18AD" w:rsidRDefault="3F4530FA" w:rsidP="00686269">
      <w:pPr>
        <w:numPr>
          <w:ilvl w:val="0"/>
          <w:numId w:val="18"/>
        </w:numPr>
        <w:tabs>
          <w:tab w:val="clear" w:pos="720"/>
          <w:tab w:val="num" w:pos="567"/>
        </w:tabs>
        <w:spacing w:before="0"/>
        <w:ind w:left="567" w:hanging="357"/>
        <w:rPr>
          <w:sz w:val="21"/>
          <w:szCs w:val="21"/>
        </w:rPr>
      </w:pPr>
      <w:r w:rsidRPr="0076165C">
        <w:rPr>
          <w:rStyle w:val="Heading4Char"/>
        </w:rPr>
        <w:lastRenderedPageBreak/>
        <w:t>World Bank</w:t>
      </w:r>
      <w:r w:rsidR="0080123E" w:rsidRPr="0076165C">
        <w:rPr>
          <w:rStyle w:val="Heading4Char"/>
        </w:rPr>
        <w:t xml:space="preserve"> (WB)</w:t>
      </w:r>
      <w:r w:rsidRPr="0076165C">
        <w:rPr>
          <w:rStyle w:val="Heading4Char"/>
        </w:rPr>
        <w:t>:</w:t>
      </w:r>
      <w:r w:rsidRPr="6348B7CD">
        <w:rPr>
          <w:sz w:val="21"/>
          <w:szCs w:val="21"/>
        </w:rPr>
        <w:t xml:space="preserve"> Complementary </w:t>
      </w:r>
      <w:r w:rsidR="6761A069" w:rsidRPr="6348B7CD">
        <w:rPr>
          <w:sz w:val="21"/>
          <w:szCs w:val="21"/>
        </w:rPr>
        <w:t xml:space="preserve">technical, analytic and research services, and loan preparation </w:t>
      </w:r>
      <w:r w:rsidRPr="6348B7CD">
        <w:rPr>
          <w:sz w:val="21"/>
          <w:szCs w:val="21"/>
        </w:rPr>
        <w:t>services</w:t>
      </w:r>
      <w:r w:rsidR="6761A069" w:rsidRPr="6348B7CD">
        <w:rPr>
          <w:sz w:val="21"/>
          <w:szCs w:val="21"/>
        </w:rPr>
        <w:t>,</w:t>
      </w:r>
      <w:r w:rsidRPr="6348B7CD">
        <w:rPr>
          <w:sz w:val="21"/>
          <w:szCs w:val="21"/>
        </w:rPr>
        <w:t xml:space="preserve"> </w:t>
      </w:r>
      <w:r w:rsidR="5BC20D0C" w:rsidRPr="6348B7CD">
        <w:rPr>
          <w:sz w:val="21"/>
          <w:szCs w:val="21"/>
        </w:rPr>
        <w:t xml:space="preserve">including </w:t>
      </w:r>
      <w:r w:rsidRPr="6348B7CD">
        <w:rPr>
          <w:sz w:val="21"/>
          <w:szCs w:val="21"/>
        </w:rPr>
        <w:t>under the Australia-Indonesia Partnership (ABIP) Agreement</w:t>
      </w:r>
      <w:r w:rsidR="5DF4C27F" w:rsidRPr="6348B7CD">
        <w:rPr>
          <w:sz w:val="21"/>
          <w:szCs w:val="21"/>
        </w:rPr>
        <w:t xml:space="preserve">, in addition to potential direct support for World Bank financing of </w:t>
      </w:r>
      <w:r w:rsidR="170D5924" w:rsidRPr="6348B7CD">
        <w:rPr>
          <w:sz w:val="21"/>
          <w:szCs w:val="21"/>
        </w:rPr>
        <w:t>priority climate initiatives</w:t>
      </w:r>
    </w:p>
    <w:p w14:paraId="4A44ED84" w14:textId="1AEF29B4" w:rsidR="001F7C31" w:rsidRPr="003E18AD" w:rsidRDefault="001F7C31" w:rsidP="00686269">
      <w:pPr>
        <w:numPr>
          <w:ilvl w:val="0"/>
          <w:numId w:val="18"/>
        </w:numPr>
        <w:tabs>
          <w:tab w:val="clear" w:pos="720"/>
          <w:tab w:val="num" w:pos="567"/>
        </w:tabs>
        <w:spacing w:before="0"/>
        <w:ind w:left="567" w:hanging="357"/>
        <w:rPr>
          <w:sz w:val="21"/>
          <w:szCs w:val="21"/>
        </w:rPr>
      </w:pPr>
      <w:r w:rsidRPr="0076165C">
        <w:rPr>
          <w:rStyle w:val="Heading4Char"/>
        </w:rPr>
        <w:t>Australian Development Investments (ADI)</w:t>
      </w:r>
      <w:r w:rsidR="43663DBA" w:rsidRPr="0076165C">
        <w:rPr>
          <w:rStyle w:val="Heading4Char"/>
        </w:rPr>
        <w:t xml:space="preserve">, </w:t>
      </w:r>
      <w:r w:rsidRPr="0076165C">
        <w:rPr>
          <w:rStyle w:val="Heading4Char"/>
        </w:rPr>
        <w:t>Private Infrastructure Development Group (PIDG)</w:t>
      </w:r>
      <w:r w:rsidR="118F85AE" w:rsidRPr="0076165C">
        <w:rPr>
          <w:rStyle w:val="Heading4Char"/>
        </w:rPr>
        <w:t xml:space="preserve"> and potentially other blended finance mechanisms</w:t>
      </w:r>
      <w:r w:rsidRPr="0076165C">
        <w:rPr>
          <w:rStyle w:val="Heading4Char"/>
        </w:rPr>
        <w:t>:</w:t>
      </w:r>
      <w:r w:rsidRPr="4E666B3A">
        <w:rPr>
          <w:sz w:val="21"/>
          <w:szCs w:val="21"/>
        </w:rPr>
        <w:t xml:space="preserve"> Investment and financing services </w:t>
      </w:r>
      <w:r w:rsidR="0067317F">
        <w:rPr>
          <w:sz w:val="21"/>
          <w:szCs w:val="21"/>
        </w:rPr>
        <w:t xml:space="preserve">for climate, green growth and sustainable infrastructure initiatives. </w:t>
      </w:r>
    </w:p>
    <w:p w14:paraId="03D69812" w14:textId="10C6DA91" w:rsidR="001326BA" w:rsidRPr="003E18AD" w:rsidRDefault="00DF4E71" w:rsidP="00686269">
      <w:pPr>
        <w:numPr>
          <w:ilvl w:val="0"/>
          <w:numId w:val="18"/>
        </w:numPr>
        <w:tabs>
          <w:tab w:val="clear" w:pos="720"/>
          <w:tab w:val="num" w:pos="567"/>
        </w:tabs>
        <w:spacing w:before="0"/>
        <w:ind w:left="567" w:hanging="357"/>
        <w:rPr>
          <w:sz w:val="21"/>
          <w:szCs w:val="21"/>
        </w:rPr>
      </w:pPr>
      <w:r w:rsidRPr="0076165C">
        <w:rPr>
          <w:rStyle w:val="Heading4Char"/>
        </w:rPr>
        <w:t>Australian Public Service (</w:t>
      </w:r>
      <w:r w:rsidR="001326BA" w:rsidRPr="0076165C">
        <w:rPr>
          <w:rStyle w:val="Heading4Char"/>
        </w:rPr>
        <w:t>APS</w:t>
      </w:r>
      <w:r w:rsidRPr="0076165C">
        <w:rPr>
          <w:rStyle w:val="Heading4Char"/>
        </w:rPr>
        <w:t>)</w:t>
      </w:r>
      <w:r w:rsidR="001326BA" w:rsidRPr="0076165C">
        <w:rPr>
          <w:rStyle w:val="Heading4Char"/>
        </w:rPr>
        <w:t xml:space="preserve"> Agencies:</w:t>
      </w:r>
      <w:r w:rsidR="001326BA" w:rsidRPr="003E18AD">
        <w:rPr>
          <w:sz w:val="21"/>
          <w:szCs w:val="21"/>
        </w:rPr>
        <w:t xml:space="preserve"> Department of Climate Change, Energy, the Environment and Water (DCCEEW) and others will contribute government</w:t>
      </w:r>
      <w:r w:rsidR="00B147B3">
        <w:rPr>
          <w:sz w:val="21"/>
          <w:szCs w:val="21"/>
        </w:rPr>
        <w:t>-</w:t>
      </w:r>
      <w:r w:rsidR="001326BA" w:rsidRPr="003E18AD">
        <w:rPr>
          <w:sz w:val="21"/>
          <w:szCs w:val="21"/>
        </w:rPr>
        <w:t>to</w:t>
      </w:r>
      <w:r w:rsidR="00B147B3">
        <w:rPr>
          <w:sz w:val="21"/>
          <w:szCs w:val="21"/>
        </w:rPr>
        <w:t>-</w:t>
      </w:r>
      <w:r w:rsidR="001326BA" w:rsidRPr="003E18AD">
        <w:rPr>
          <w:sz w:val="21"/>
          <w:szCs w:val="21"/>
        </w:rPr>
        <w:t>government linkages and expertise as requested by the GOI.</w:t>
      </w:r>
    </w:p>
    <w:p w14:paraId="542DED7A" w14:textId="45F4E7AE" w:rsidR="001F7C31" w:rsidRPr="003E18AD" w:rsidRDefault="1780E798" w:rsidP="00686269">
      <w:pPr>
        <w:numPr>
          <w:ilvl w:val="0"/>
          <w:numId w:val="18"/>
        </w:numPr>
        <w:tabs>
          <w:tab w:val="clear" w:pos="720"/>
          <w:tab w:val="num" w:pos="567"/>
        </w:tabs>
        <w:spacing w:before="0"/>
        <w:ind w:left="567" w:hanging="357"/>
        <w:rPr>
          <w:sz w:val="21"/>
          <w:szCs w:val="21"/>
        </w:rPr>
      </w:pPr>
      <w:r w:rsidRPr="0076165C">
        <w:rPr>
          <w:rStyle w:val="Heading4Char"/>
        </w:rPr>
        <w:t xml:space="preserve">Technical </w:t>
      </w:r>
      <w:r w:rsidR="2D4E996F" w:rsidRPr="0076165C">
        <w:rPr>
          <w:rStyle w:val="Heading4Char"/>
        </w:rPr>
        <w:t xml:space="preserve">Advisory </w:t>
      </w:r>
      <w:r w:rsidR="0067317F" w:rsidRPr="0076165C">
        <w:rPr>
          <w:rStyle w:val="Heading4Char"/>
        </w:rPr>
        <w:t>Group</w:t>
      </w:r>
      <w:r w:rsidR="00B0412E" w:rsidRPr="0076165C">
        <w:rPr>
          <w:rStyle w:val="Heading4Char"/>
        </w:rPr>
        <w:t xml:space="preserve"> </w:t>
      </w:r>
      <w:r w:rsidR="2D4E996F" w:rsidRPr="0076165C">
        <w:rPr>
          <w:rStyle w:val="Heading4Char"/>
        </w:rPr>
        <w:t>(TA</w:t>
      </w:r>
      <w:r w:rsidR="0067317F" w:rsidRPr="0076165C">
        <w:rPr>
          <w:rStyle w:val="Heading4Char"/>
        </w:rPr>
        <w:t>G</w:t>
      </w:r>
      <w:r w:rsidR="2D4E996F" w:rsidRPr="0076165C">
        <w:rPr>
          <w:rStyle w:val="Heading4Char"/>
        </w:rPr>
        <w:t>)</w:t>
      </w:r>
      <w:r w:rsidRPr="0076165C">
        <w:rPr>
          <w:rStyle w:val="Heading4Char"/>
        </w:rPr>
        <w:t>:</w:t>
      </w:r>
      <w:r w:rsidRPr="6348B7CD">
        <w:rPr>
          <w:sz w:val="21"/>
          <w:szCs w:val="21"/>
        </w:rPr>
        <w:t xml:space="preserve"> Direct advisory support to DFAT, shared with </w:t>
      </w:r>
      <w:r w:rsidR="38F9F7B2" w:rsidRPr="6348B7CD">
        <w:rPr>
          <w:sz w:val="21"/>
          <w:szCs w:val="21"/>
        </w:rPr>
        <w:t xml:space="preserve">the </w:t>
      </w:r>
      <w:r w:rsidRPr="6348B7CD">
        <w:rPr>
          <w:sz w:val="21"/>
          <w:szCs w:val="21"/>
        </w:rPr>
        <w:t xml:space="preserve">PROSPERA </w:t>
      </w:r>
      <w:r w:rsidR="00F755D2">
        <w:rPr>
          <w:sz w:val="21"/>
          <w:szCs w:val="21"/>
        </w:rPr>
        <w:t xml:space="preserve">and </w:t>
      </w:r>
      <w:r w:rsidR="00EB6384">
        <w:rPr>
          <w:sz w:val="21"/>
          <w:szCs w:val="21"/>
        </w:rPr>
        <w:t>KATALIS</w:t>
      </w:r>
      <w:r w:rsidR="00F755D2">
        <w:rPr>
          <w:sz w:val="21"/>
          <w:szCs w:val="21"/>
        </w:rPr>
        <w:t xml:space="preserve"> </w:t>
      </w:r>
      <w:r w:rsidRPr="6348B7CD">
        <w:rPr>
          <w:sz w:val="21"/>
          <w:szCs w:val="21"/>
        </w:rPr>
        <w:t>program</w:t>
      </w:r>
      <w:r w:rsidR="00F755D2">
        <w:rPr>
          <w:sz w:val="21"/>
          <w:szCs w:val="21"/>
        </w:rPr>
        <w:t>s.</w:t>
      </w:r>
    </w:p>
    <w:p w14:paraId="1A6B7D52" w14:textId="646E0433" w:rsidR="002A1431" w:rsidRDefault="001F7C31" w:rsidP="004542B7">
      <w:pPr>
        <w:rPr>
          <w:sz w:val="21"/>
          <w:szCs w:val="21"/>
        </w:rPr>
      </w:pPr>
      <w:bookmarkStart w:id="52" w:name="_Toc216260306"/>
      <w:bookmarkStart w:id="53" w:name="_Toc216264021"/>
      <w:bookmarkStart w:id="54" w:name="_Toc216269869"/>
      <w:bookmarkStart w:id="55" w:name="_Toc216270568"/>
      <w:r w:rsidRPr="0076165C">
        <w:rPr>
          <w:rStyle w:val="Heading3Char"/>
        </w:rPr>
        <w:t>Management Approach:</w:t>
      </w:r>
      <w:bookmarkEnd w:id="52"/>
      <w:bookmarkEnd w:id="53"/>
      <w:bookmarkEnd w:id="54"/>
      <w:bookmarkEnd w:id="55"/>
      <w:r w:rsidRPr="4E666B3A">
        <w:rPr>
          <w:sz w:val="21"/>
          <w:szCs w:val="21"/>
        </w:rPr>
        <w:t xml:space="preserve"> The Primary Contractor supports integration and coherence across the portfolio through common guidelines, standards, and monitoring systems. DFAT maintains policy and strategic oversight</w:t>
      </w:r>
      <w:r w:rsidR="00F17AB6">
        <w:rPr>
          <w:sz w:val="21"/>
          <w:szCs w:val="21"/>
        </w:rPr>
        <w:t xml:space="preserve">, including approval </w:t>
      </w:r>
      <w:r w:rsidR="00CA5434">
        <w:rPr>
          <w:sz w:val="21"/>
          <w:szCs w:val="21"/>
        </w:rPr>
        <w:t xml:space="preserve">of </w:t>
      </w:r>
      <w:r w:rsidRPr="4E666B3A">
        <w:rPr>
          <w:sz w:val="21"/>
          <w:szCs w:val="21"/>
        </w:rPr>
        <w:t>Activit</w:t>
      </w:r>
      <w:r w:rsidR="00CA5434">
        <w:rPr>
          <w:sz w:val="21"/>
          <w:szCs w:val="21"/>
        </w:rPr>
        <w:t>ies</w:t>
      </w:r>
      <w:r w:rsidRPr="4E666B3A">
        <w:rPr>
          <w:sz w:val="21"/>
          <w:szCs w:val="21"/>
        </w:rPr>
        <w:t xml:space="preserve"> and Project</w:t>
      </w:r>
      <w:r w:rsidR="00CA5434">
        <w:rPr>
          <w:sz w:val="21"/>
          <w:szCs w:val="21"/>
        </w:rPr>
        <w:t>s</w:t>
      </w:r>
      <w:r w:rsidRPr="4E666B3A">
        <w:rPr>
          <w:sz w:val="21"/>
          <w:szCs w:val="21"/>
        </w:rPr>
        <w:t xml:space="preserve"> within defined parameters. </w:t>
      </w:r>
    </w:p>
    <w:p w14:paraId="69A12C9B" w14:textId="6178988E" w:rsidR="001F7C31" w:rsidRPr="003E18AD" w:rsidRDefault="001F7C31" w:rsidP="004542B7">
      <w:pPr>
        <w:rPr>
          <w:sz w:val="21"/>
          <w:szCs w:val="21"/>
        </w:rPr>
      </w:pPr>
      <w:bookmarkStart w:id="56" w:name="_Toc216260307"/>
      <w:bookmarkStart w:id="57" w:name="_Toc216264022"/>
      <w:bookmarkStart w:id="58" w:name="_Toc216269870"/>
      <w:bookmarkStart w:id="59" w:name="_Toc216270569"/>
      <w:r w:rsidRPr="0076165C">
        <w:rPr>
          <w:rStyle w:val="Heading3Char"/>
        </w:rPr>
        <w:t>Activity Selection:</w:t>
      </w:r>
      <w:bookmarkEnd w:id="56"/>
      <w:bookmarkEnd w:id="57"/>
      <w:bookmarkEnd w:id="58"/>
      <w:bookmarkEnd w:id="59"/>
      <w:r w:rsidRPr="4E666B3A">
        <w:rPr>
          <w:sz w:val="21"/>
          <w:szCs w:val="21"/>
        </w:rPr>
        <w:t xml:space="preserve"> All Partners apply common minimum selection criteria including alignment with GOI development plans, primary climate change objectives (emissions reduction, adaptation, or resilience), opportunities for private sector financing, and </w:t>
      </w:r>
      <w:r w:rsidR="42EF93FD" w:rsidRPr="4E666B3A">
        <w:rPr>
          <w:sz w:val="21"/>
          <w:szCs w:val="21"/>
        </w:rPr>
        <w:t>g</w:t>
      </w:r>
      <w:r w:rsidRPr="4E666B3A">
        <w:rPr>
          <w:sz w:val="21"/>
          <w:szCs w:val="21"/>
        </w:rPr>
        <w:t xml:space="preserve">ender </w:t>
      </w:r>
      <w:r w:rsidR="5448C17F" w:rsidRPr="4E666B3A">
        <w:rPr>
          <w:sz w:val="21"/>
          <w:szCs w:val="21"/>
        </w:rPr>
        <w:t>e</w:t>
      </w:r>
      <w:r w:rsidRPr="4E666B3A">
        <w:rPr>
          <w:sz w:val="21"/>
          <w:szCs w:val="21"/>
        </w:rPr>
        <w:t xml:space="preserve">quality, </w:t>
      </w:r>
      <w:r w:rsidR="1833E305" w:rsidRPr="4E666B3A">
        <w:rPr>
          <w:sz w:val="21"/>
          <w:szCs w:val="21"/>
        </w:rPr>
        <w:t>d</w:t>
      </w:r>
      <w:r w:rsidRPr="4E666B3A">
        <w:rPr>
          <w:sz w:val="21"/>
          <w:szCs w:val="21"/>
        </w:rPr>
        <w:t xml:space="preserve">isability and </w:t>
      </w:r>
      <w:r w:rsidR="4ED23CD7" w:rsidRPr="4E666B3A">
        <w:rPr>
          <w:sz w:val="21"/>
          <w:szCs w:val="21"/>
        </w:rPr>
        <w:t>s</w:t>
      </w:r>
      <w:r w:rsidRPr="4E666B3A">
        <w:rPr>
          <w:sz w:val="21"/>
          <w:szCs w:val="21"/>
        </w:rPr>
        <w:t xml:space="preserve">ocial </w:t>
      </w:r>
      <w:r w:rsidR="03E4BE1E" w:rsidRPr="4E666B3A">
        <w:rPr>
          <w:sz w:val="21"/>
          <w:szCs w:val="21"/>
        </w:rPr>
        <w:t>i</w:t>
      </w:r>
      <w:r w:rsidRPr="4E666B3A">
        <w:rPr>
          <w:sz w:val="21"/>
          <w:szCs w:val="21"/>
        </w:rPr>
        <w:t xml:space="preserve">nclusion (GEDSI) outcomes. Partners have </w:t>
      </w:r>
      <w:r w:rsidR="00071922">
        <w:rPr>
          <w:sz w:val="21"/>
          <w:szCs w:val="21"/>
        </w:rPr>
        <w:t xml:space="preserve">some degree of </w:t>
      </w:r>
      <w:r w:rsidRPr="4E666B3A">
        <w:rPr>
          <w:sz w:val="21"/>
          <w:szCs w:val="21"/>
        </w:rPr>
        <w:t xml:space="preserve">delegated authority for individual Activities and Projects </w:t>
      </w:r>
      <w:r w:rsidR="00071922">
        <w:rPr>
          <w:sz w:val="21"/>
          <w:szCs w:val="21"/>
        </w:rPr>
        <w:t xml:space="preserve">(within defined parameters to be agreed during the Inception Phase) </w:t>
      </w:r>
      <w:r w:rsidRPr="4E666B3A">
        <w:rPr>
          <w:sz w:val="21"/>
          <w:szCs w:val="21"/>
        </w:rPr>
        <w:t>within annual funding allocations, except for high-risk initiatives requiring specific DFAT endorsement.</w:t>
      </w:r>
    </w:p>
    <w:p w14:paraId="673919F6" w14:textId="77777777" w:rsidR="001F7C31" w:rsidRPr="0062137F" w:rsidRDefault="001F7C31" w:rsidP="00D2498B">
      <w:pPr>
        <w:pStyle w:val="Heading2"/>
      </w:pPr>
      <w:bookmarkStart w:id="60" w:name="_Toc216260308"/>
      <w:bookmarkStart w:id="61" w:name="_Toc216269871"/>
      <w:bookmarkStart w:id="62" w:name="_Toc216270570"/>
      <w:r w:rsidRPr="0062137F">
        <w:t>Budget Summary</w:t>
      </w:r>
      <w:bookmarkEnd w:id="60"/>
      <w:bookmarkEnd w:id="61"/>
      <w:bookmarkEnd w:id="62"/>
    </w:p>
    <w:p w14:paraId="14A5EE00" w14:textId="6BA41368" w:rsidR="001F7C31" w:rsidRPr="003E18AD" w:rsidRDefault="62C7D8EB" w:rsidP="004542B7">
      <w:pPr>
        <w:rPr>
          <w:sz w:val="21"/>
          <w:szCs w:val="21"/>
        </w:rPr>
      </w:pPr>
      <w:bookmarkStart w:id="63" w:name="_Toc216260309"/>
      <w:bookmarkStart w:id="64" w:name="_Toc216264024"/>
      <w:bookmarkStart w:id="65" w:name="_Toc216269872"/>
      <w:bookmarkStart w:id="66" w:name="_Toc216270571"/>
      <w:r w:rsidRPr="0076165C">
        <w:rPr>
          <w:rStyle w:val="Heading3Char"/>
        </w:rPr>
        <w:t>Total Investment:</w:t>
      </w:r>
      <w:bookmarkEnd w:id="63"/>
      <w:bookmarkEnd w:id="64"/>
      <w:bookmarkEnd w:id="65"/>
      <w:bookmarkEnd w:id="66"/>
      <w:r w:rsidRPr="1169CFB7">
        <w:rPr>
          <w:sz w:val="21"/>
          <w:szCs w:val="21"/>
        </w:rPr>
        <w:t xml:space="preserve"> </w:t>
      </w:r>
      <w:r w:rsidR="07F0BE8E" w:rsidRPr="1169CFB7">
        <w:rPr>
          <w:sz w:val="21"/>
          <w:szCs w:val="21"/>
        </w:rPr>
        <w:t xml:space="preserve">Up to </w:t>
      </w:r>
      <w:r w:rsidRPr="1169CFB7">
        <w:rPr>
          <w:sz w:val="21"/>
          <w:szCs w:val="21"/>
        </w:rPr>
        <w:t>AUD</w:t>
      </w:r>
      <w:r w:rsidR="5FA9C2AD" w:rsidRPr="1169CFB7">
        <w:rPr>
          <w:sz w:val="21"/>
          <w:szCs w:val="21"/>
        </w:rPr>
        <w:t>6</w:t>
      </w:r>
      <w:r w:rsidRPr="1169CFB7">
        <w:rPr>
          <w:sz w:val="21"/>
          <w:szCs w:val="21"/>
        </w:rPr>
        <w:t>50 million over ten years (2026</w:t>
      </w:r>
      <w:r w:rsidR="5FA9C2AD" w:rsidRPr="1169CFB7">
        <w:rPr>
          <w:sz w:val="21"/>
          <w:szCs w:val="21"/>
        </w:rPr>
        <w:t>–</w:t>
      </w:r>
      <w:r w:rsidRPr="1169CFB7">
        <w:rPr>
          <w:sz w:val="21"/>
          <w:szCs w:val="21"/>
        </w:rPr>
        <w:t>2031 with</w:t>
      </w:r>
      <w:r w:rsidR="07F0BE8E" w:rsidRPr="1169CFB7">
        <w:rPr>
          <w:sz w:val="21"/>
          <w:szCs w:val="21"/>
        </w:rPr>
        <w:t xml:space="preserve"> an extension option</w:t>
      </w:r>
      <w:r w:rsidRPr="1169CFB7">
        <w:rPr>
          <w:sz w:val="21"/>
          <w:szCs w:val="21"/>
        </w:rPr>
        <w:t xml:space="preserve"> </w:t>
      </w:r>
      <w:r w:rsidR="55A89719" w:rsidRPr="1169CFB7">
        <w:rPr>
          <w:sz w:val="21"/>
          <w:szCs w:val="21"/>
        </w:rPr>
        <w:t xml:space="preserve">just under five years, from </w:t>
      </w:r>
      <w:r w:rsidRPr="1169CFB7">
        <w:rPr>
          <w:sz w:val="21"/>
          <w:szCs w:val="21"/>
        </w:rPr>
        <w:t>2031</w:t>
      </w:r>
      <w:r w:rsidR="5FA9C2AD" w:rsidRPr="1169CFB7">
        <w:rPr>
          <w:sz w:val="21"/>
          <w:szCs w:val="21"/>
        </w:rPr>
        <w:t>–</w:t>
      </w:r>
      <w:r w:rsidRPr="1169CFB7">
        <w:rPr>
          <w:sz w:val="21"/>
          <w:szCs w:val="21"/>
        </w:rPr>
        <w:t xml:space="preserve">2036), structured as </w:t>
      </w:r>
      <w:r w:rsidR="72094E57" w:rsidRPr="1169CFB7">
        <w:rPr>
          <w:sz w:val="21"/>
          <w:szCs w:val="21"/>
        </w:rPr>
        <w:t xml:space="preserve">approximately </w:t>
      </w:r>
      <w:r w:rsidR="07F0BE8E" w:rsidRPr="1169CFB7">
        <w:rPr>
          <w:sz w:val="21"/>
          <w:szCs w:val="21"/>
        </w:rPr>
        <w:t xml:space="preserve">AUD60 </w:t>
      </w:r>
      <w:r w:rsidRPr="1169CFB7">
        <w:rPr>
          <w:sz w:val="21"/>
          <w:szCs w:val="21"/>
        </w:rPr>
        <w:t>million annual allocation</w:t>
      </w:r>
      <w:r w:rsidR="754F220A" w:rsidRPr="1169CFB7">
        <w:rPr>
          <w:sz w:val="21"/>
          <w:szCs w:val="21"/>
        </w:rPr>
        <w:t xml:space="preserve"> </w:t>
      </w:r>
      <w:r w:rsidRPr="1169CFB7">
        <w:rPr>
          <w:sz w:val="21"/>
          <w:szCs w:val="21"/>
        </w:rPr>
        <w:t>including implementation costs for Activities and Projects across focus sectors</w:t>
      </w:r>
      <w:r w:rsidR="6B2081A0" w:rsidRPr="1169CFB7">
        <w:rPr>
          <w:sz w:val="21"/>
          <w:szCs w:val="21"/>
        </w:rPr>
        <w:t>, with scope to increase the annual allocation if additional funding sources become available</w:t>
      </w:r>
      <w:r w:rsidR="000D67E1">
        <w:rPr>
          <w:sz w:val="21"/>
          <w:szCs w:val="21"/>
        </w:rPr>
        <w:t>, or if for example</w:t>
      </w:r>
      <w:r w:rsidR="000D719E">
        <w:rPr>
          <w:sz w:val="21"/>
          <w:szCs w:val="21"/>
        </w:rPr>
        <w:t xml:space="preserve"> some</w:t>
      </w:r>
      <w:r w:rsidR="000D67E1">
        <w:rPr>
          <w:sz w:val="21"/>
          <w:szCs w:val="21"/>
        </w:rPr>
        <w:t xml:space="preserve"> investable capital or multilateral bank payments are frontloaded</w:t>
      </w:r>
      <w:r w:rsidR="009B5A7E">
        <w:rPr>
          <w:sz w:val="21"/>
          <w:szCs w:val="21"/>
        </w:rPr>
        <w:t xml:space="preserve"> to ensure impacts are known and measurable</w:t>
      </w:r>
      <w:r w:rsidR="00BF5795">
        <w:rPr>
          <w:sz w:val="21"/>
          <w:szCs w:val="21"/>
        </w:rPr>
        <w:t xml:space="preserve"> before</w:t>
      </w:r>
      <w:r w:rsidR="000D719E">
        <w:rPr>
          <w:sz w:val="21"/>
          <w:szCs w:val="21"/>
        </w:rPr>
        <w:t xml:space="preserve"> the extension option period</w:t>
      </w:r>
      <w:r w:rsidRPr="1169CFB7">
        <w:rPr>
          <w:sz w:val="21"/>
          <w:szCs w:val="21"/>
        </w:rPr>
        <w:t>.</w:t>
      </w:r>
    </w:p>
    <w:p w14:paraId="3CA8449A" w14:textId="5E7450FF" w:rsidR="001F7C31" w:rsidRPr="003E18AD" w:rsidRDefault="21A81676" w:rsidP="004542B7">
      <w:pPr>
        <w:rPr>
          <w:sz w:val="21"/>
          <w:szCs w:val="21"/>
        </w:rPr>
      </w:pPr>
      <w:r w:rsidRPr="1169CFB7">
        <w:rPr>
          <w:sz w:val="21"/>
          <w:szCs w:val="21"/>
        </w:rPr>
        <w:t>The indicative budget includes AUD</w:t>
      </w:r>
      <w:r w:rsidR="62C7D8EB" w:rsidRPr="1169CFB7">
        <w:rPr>
          <w:sz w:val="21"/>
          <w:szCs w:val="21"/>
        </w:rPr>
        <w:t xml:space="preserve">100 million to </w:t>
      </w:r>
      <w:r w:rsidR="59DDB6FF" w:rsidRPr="1169CFB7">
        <w:rPr>
          <w:sz w:val="21"/>
          <w:szCs w:val="21"/>
        </w:rPr>
        <w:t xml:space="preserve">be </w:t>
      </w:r>
      <w:r w:rsidR="62C7D8EB" w:rsidRPr="1169CFB7">
        <w:rPr>
          <w:sz w:val="21"/>
          <w:szCs w:val="21"/>
        </w:rPr>
        <w:t>channel</w:t>
      </w:r>
      <w:r w:rsidR="39B1074D" w:rsidRPr="1169CFB7">
        <w:rPr>
          <w:sz w:val="21"/>
          <w:szCs w:val="21"/>
        </w:rPr>
        <w:t>led</w:t>
      </w:r>
      <w:r w:rsidR="62C7D8EB" w:rsidRPr="1169CFB7">
        <w:rPr>
          <w:sz w:val="21"/>
          <w:szCs w:val="21"/>
        </w:rPr>
        <w:t xml:space="preserve"> through </w:t>
      </w:r>
      <w:r w:rsidR="60D05B7B" w:rsidRPr="1169CFB7">
        <w:rPr>
          <w:sz w:val="21"/>
          <w:szCs w:val="21"/>
        </w:rPr>
        <w:t xml:space="preserve">blended </w:t>
      </w:r>
      <w:r w:rsidR="62C7D8EB" w:rsidRPr="1169CFB7">
        <w:rPr>
          <w:sz w:val="21"/>
          <w:szCs w:val="21"/>
        </w:rPr>
        <w:t xml:space="preserve">financing mechanisms (PIDG, ADI, or others) to complement </w:t>
      </w:r>
      <w:r w:rsidR="5FA7C648" w:rsidRPr="1169CFB7">
        <w:rPr>
          <w:sz w:val="21"/>
          <w:szCs w:val="21"/>
        </w:rPr>
        <w:t xml:space="preserve">the </w:t>
      </w:r>
      <w:r w:rsidR="62C7D8EB" w:rsidRPr="1169CFB7">
        <w:rPr>
          <w:sz w:val="21"/>
          <w:szCs w:val="21"/>
        </w:rPr>
        <w:t xml:space="preserve">existing </w:t>
      </w:r>
      <w:r w:rsidR="07F0BE8E" w:rsidRPr="1169CFB7">
        <w:rPr>
          <w:sz w:val="21"/>
          <w:szCs w:val="21"/>
        </w:rPr>
        <w:t>AUD</w:t>
      </w:r>
      <w:r w:rsidR="62C7D8EB" w:rsidRPr="1169CFB7">
        <w:rPr>
          <w:sz w:val="21"/>
          <w:szCs w:val="21"/>
        </w:rPr>
        <w:t>100 million invested</w:t>
      </w:r>
      <w:r w:rsidR="41FA821F" w:rsidRPr="1169CFB7">
        <w:rPr>
          <w:sz w:val="21"/>
          <w:szCs w:val="21"/>
        </w:rPr>
        <w:t xml:space="preserve"> through PIDG and ADI</w:t>
      </w:r>
      <w:r w:rsidR="62C7D8EB" w:rsidRPr="1169CFB7">
        <w:rPr>
          <w:sz w:val="21"/>
          <w:szCs w:val="21"/>
        </w:rPr>
        <w:t xml:space="preserve"> </w:t>
      </w:r>
      <w:r w:rsidR="59E4A92B" w:rsidRPr="1169CFB7">
        <w:rPr>
          <w:sz w:val="21"/>
          <w:szCs w:val="21"/>
        </w:rPr>
        <w:t xml:space="preserve">under </w:t>
      </w:r>
      <w:r w:rsidR="370EFA48" w:rsidRPr="1169CFB7">
        <w:rPr>
          <w:sz w:val="21"/>
          <w:szCs w:val="21"/>
        </w:rPr>
        <w:t xml:space="preserve">the current </w:t>
      </w:r>
      <w:r w:rsidR="62C7D8EB" w:rsidRPr="1169CFB7">
        <w:rPr>
          <w:sz w:val="21"/>
          <w:szCs w:val="21"/>
        </w:rPr>
        <w:t>KINETIK</w:t>
      </w:r>
      <w:r w:rsidR="1F645001" w:rsidRPr="1169CFB7">
        <w:rPr>
          <w:sz w:val="21"/>
          <w:szCs w:val="21"/>
        </w:rPr>
        <w:t xml:space="preserve"> program</w:t>
      </w:r>
      <w:r w:rsidR="7AD15C3D" w:rsidRPr="1169CFB7">
        <w:rPr>
          <w:sz w:val="21"/>
          <w:szCs w:val="21"/>
        </w:rPr>
        <w:t>.</w:t>
      </w:r>
      <w:r w:rsidR="62C7D8EB" w:rsidRPr="1169CFB7">
        <w:rPr>
          <w:sz w:val="21"/>
          <w:szCs w:val="21"/>
        </w:rPr>
        <w:t xml:space="preserve"> </w:t>
      </w:r>
    </w:p>
    <w:p w14:paraId="48F52600" w14:textId="04EBA88A" w:rsidR="00B65090" w:rsidRDefault="6B8A256C" w:rsidP="004542B7">
      <w:pPr>
        <w:spacing w:after="0"/>
        <w:rPr>
          <w:sz w:val="21"/>
          <w:szCs w:val="21"/>
        </w:rPr>
      </w:pPr>
      <w:bookmarkStart w:id="67" w:name="_Toc216260310"/>
      <w:bookmarkStart w:id="68" w:name="_Toc216264025"/>
      <w:bookmarkStart w:id="69" w:name="_Toc216269873"/>
      <w:bookmarkStart w:id="70" w:name="_Toc216270572"/>
      <w:r w:rsidRPr="0076165C">
        <w:rPr>
          <w:rStyle w:val="Heading3Char"/>
        </w:rPr>
        <w:t>Indicative Activities</w:t>
      </w:r>
      <w:r w:rsidR="001F7C31" w:rsidRPr="0076165C">
        <w:rPr>
          <w:rStyle w:val="Heading3Char"/>
        </w:rPr>
        <w:t>:</w:t>
      </w:r>
      <w:bookmarkEnd w:id="67"/>
      <w:bookmarkEnd w:id="68"/>
      <w:bookmarkEnd w:id="69"/>
      <w:bookmarkEnd w:id="70"/>
      <w:r w:rsidR="001F7C31" w:rsidRPr="5A972D64">
        <w:rPr>
          <w:sz w:val="21"/>
          <w:szCs w:val="21"/>
        </w:rPr>
        <w:t xml:space="preserve"> The </w:t>
      </w:r>
      <w:r w:rsidR="2643BEE8" w:rsidRPr="5A972D64">
        <w:rPr>
          <w:sz w:val="21"/>
          <w:szCs w:val="21"/>
        </w:rPr>
        <w:t xml:space="preserve">annual </w:t>
      </w:r>
      <w:r w:rsidR="0D988FC6" w:rsidRPr="5A972D64">
        <w:rPr>
          <w:sz w:val="21"/>
          <w:szCs w:val="21"/>
        </w:rPr>
        <w:t xml:space="preserve">budget </w:t>
      </w:r>
      <w:r w:rsidR="001F7C31" w:rsidRPr="5A972D64">
        <w:rPr>
          <w:sz w:val="21"/>
          <w:szCs w:val="21"/>
        </w:rPr>
        <w:t xml:space="preserve">allocation </w:t>
      </w:r>
      <w:r w:rsidR="0D988FC6" w:rsidRPr="5A972D64">
        <w:rPr>
          <w:sz w:val="21"/>
          <w:szCs w:val="21"/>
        </w:rPr>
        <w:t xml:space="preserve">for the Partnership is estimated to </w:t>
      </w:r>
      <w:r w:rsidR="001F7C31" w:rsidRPr="5A972D64">
        <w:rPr>
          <w:sz w:val="21"/>
          <w:szCs w:val="21"/>
        </w:rPr>
        <w:t xml:space="preserve">enable delivery of </w:t>
      </w:r>
      <w:r w:rsidR="2643BEE8" w:rsidRPr="5A972D64">
        <w:rPr>
          <w:sz w:val="21"/>
          <w:szCs w:val="21"/>
        </w:rPr>
        <w:t>the following indicative activities in any given year (noting the optimal portfolio</w:t>
      </w:r>
      <w:r w:rsidR="6240ACD6" w:rsidRPr="5A972D64">
        <w:rPr>
          <w:sz w:val="21"/>
          <w:szCs w:val="21"/>
        </w:rPr>
        <w:t xml:space="preserve"> </w:t>
      </w:r>
      <w:r w:rsidR="5DECFF8E" w:rsidRPr="5A972D64">
        <w:rPr>
          <w:sz w:val="21"/>
          <w:szCs w:val="21"/>
        </w:rPr>
        <w:t xml:space="preserve">balance is likely to change over time and this is indicative only): </w:t>
      </w:r>
    </w:p>
    <w:p w14:paraId="4A0EF526" w14:textId="0C701E8B" w:rsidR="00B65090" w:rsidRDefault="00035227" w:rsidP="00686269">
      <w:pPr>
        <w:numPr>
          <w:ilvl w:val="0"/>
          <w:numId w:val="18"/>
        </w:numPr>
        <w:tabs>
          <w:tab w:val="clear" w:pos="720"/>
          <w:tab w:val="num" w:pos="567"/>
        </w:tabs>
        <w:spacing w:before="0"/>
        <w:ind w:left="567" w:hanging="357"/>
        <w:rPr>
          <w:sz w:val="21"/>
          <w:szCs w:val="21"/>
        </w:rPr>
      </w:pPr>
      <w:r>
        <w:rPr>
          <w:sz w:val="21"/>
          <w:szCs w:val="21"/>
        </w:rPr>
        <w:t>E</w:t>
      </w:r>
      <w:r w:rsidR="27A154A9" w:rsidRPr="00466044">
        <w:rPr>
          <w:sz w:val="21"/>
          <w:szCs w:val="21"/>
        </w:rPr>
        <w:t xml:space="preserve">nd-to-end </w:t>
      </w:r>
      <w:r w:rsidR="0D988FC6" w:rsidRPr="00466044">
        <w:rPr>
          <w:sz w:val="21"/>
          <w:szCs w:val="21"/>
        </w:rPr>
        <w:t xml:space="preserve">support to approximately </w:t>
      </w:r>
      <w:r w:rsidR="001F7C31" w:rsidRPr="00466044">
        <w:rPr>
          <w:sz w:val="21"/>
          <w:szCs w:val="21"/>
        </w:rPr>
        <w:t>1</w:t>
      </w:r>
      <w:r w:rsidR="3F88B5AF" w:rsidRPr="00466044">
        <w:rPr>
          <w:sz w:val="21"/>
          <w:szCs w:val="21"/>
        </w:rPr>
        <w:t>1</w:t>
      </w:r>
      <w:r w:rsidR="001F7C31" w:rsidRPr="00466044">
        <w:rPr>
          <w:sz w:val="21"/>
          <w:szCs w:val="21"/>
        </w:rPr>
        <w:t xml:space="preserve"> major projects across the </w:t>
      </w:r>
      <w:r w:rsidR="27A154A9" w:rsidRPr="00466044">
        <w:rPr>
          <w:sz w:val="21"/>
          <w:szCs w:val="21"/>
        </w:rPr>
        <w:t xml:space="preserve">project </w:t>
      </w:r>
      <w:r w:rsidR="001F7C31" w:rsidRPr="00466044">
        <w:rPr>
          <w:sz w:val="21"/>
          <w:szCs w:val="21"/>
        </w:rPr>
        <w:t xml:space="preserve">lifecycle </w:t>
      </w:r>
    </w:p>
    <w:p w14:paraId="7498B9AF" w14:textId="380948AC" w:rsidR="00466044" w:rsidRDefault="00035227" w:rsidP="00686269">
      <w:pPr>
        <w:numPr>
          <w:ilvl w:val="0"/>
          <w:numId w:val="18"/>
        </w:numPr>
        <w:tabs>
          <w:tab w:val="clear" w:pos="720"/>
          <w:tab w:val="num" w:pos="567"/>
        </w:tabs>
        <w:spacing w:before="0"/>
        <w:ind w:left="567" w:hanging="357"/>
        <w:rPr>
          <w:sz w:val="21"/>
          <w:szCs w:val="21"/>
        </w:rPr>
      </w:pPr>
      <w:r>
        <w:rPr>
          <w:sz w:val="21"/>
          <w:szCs w:val="21"/>
        </w:rPr>
        <w:t>I</w:t>
      </w:r>
      <w:r w:rsidR="27A154A9" w:rsidRPr="00466044">
        <w:rPr>
          <w:sz w:val="21"/>
          <w:szCs w:val="21"/>
        </w:rPr>
        <w:t xml:space="preserve">ndividual project advisory support for approximately </w:t>
      </w:r>
      <w:r w:rsidR="001F7C31" w:rsidRPr="00466044">
        <w:rPr>
          <w:sz w:val="21"/>
          <w:szCs w:val="21"/>
        </w:rPr>
        <w:t xml:space="preserve">8 major infrastructure projects </w:t>
      </w:r>
      <w:r w:rsidR="27A154A9" w:rsidRPr="00466044">
        <w:rPr>
          <w:sz w:val="21"/>
          <w:szCs w:val="21"/>
        </w:rPr>
        <w:t>during</w:t>
      </w:r>
      <w:r w:rsidR="001F7C31" w:rsidRPr="00466044">
        <w:rPr>
          <w:sz w:val="21"/>
          <w:szCs w:val="21"/>
        </w:rPr>
        <w:t xml:space="preserve"> implementation</w:t>
      </w:r>
      <w:r w:rsidR="27A154A9" w:rsidRPr="00466044">
        <w:rPr>
          <w:sz w:val="21"/>
          <w:szCs w:val="21"/>
        </w:rPr>
        <w:t>/delivery phase</w:t>
      </w:r>
    </w:p>
    <w:p w14:paraId="11F92A79" w14:textId="7DABE4B0" w:rsidR="001F7C31" w:rsidRPr="00466044" w:rsidRDefault="00466044" w:rsidP="00686269">
      <w:pPr>
        <w:numPr>
          <w:ilvl w:val="0"/>
          <w:numId w:val="18"/>
        </w:numPr>
        <w:tabs>
          <w:tab w:val="clear" w:pos="720"/>
          <w:tab w:val="num" w:pos="567"/>
        </w:tabs>
        <w:spacing w:before="0"/>
        <w:ind w:left="567" w:hanging="357"/>
        <w:rPr>
          <w:sz w:val="21"/>
          <w:szCs w:val="21"/>
        </w:rPr>
      </w:pPr>
      <w:r>
        <w:rPr>
          <w:sz w:val="21"/>
          <w:szCs w:val="21"/>
        </w:rPr>
        <w:t>D</w:t>
      </w:r>
      <w:r w:rsidR="27A154A9" w:rsidRPr="00466044">
        <w:rPr>
          <w:sz w:val="21"/>
          <w:szCs w:val="21"/>
        </w:rPr>
        <w:t>elivery of approximately 17 policy and analytical initiatives</w:t>
      </w:r>
      <w:r w:rsidR="4374D65E" w:rsidRPr="00466044">
        <w:rPr>
          <w:sz w:val="21"/>
          <w:szCs w:val="21"/>
        </w:rPr>
        <w:t>, 8 significant training events, 10 technical and advisory products, and enabling services for</w:t>
      </w:r>
      <w:r w:rsidR="001F7C31" w:rsidRPr="00466044">
        <w:rPr>
          <w:sz w:val="21"/>
          <w:szCs w:val="21"/>
        </w:rPr>
        <w:t xml:space="preserve"> 1</w:t>
      </w:r>
      <w:r w:rsidR="3F88B5AF" w:rsidRPr="00466044">
        <w:rPr>
          <w:sz w:val="21"/>
          <w:szCs w:val="21"/>
        </w:rPr>
        <w:t>5</w:t>
      </w:r>
      <w:r w:rsidR="001F7C31" w:rsidRPr="00466044">
        <w:rPr>
          <w:sz w:val="21"/>
          <w:szCs w:val="21"/>
        </w:rPr>
        <w:t xml:space="preserve"> SMEs and 12 C</w:t>
      </w:r>
      <w:r w:rsidR="35DA01C2" w:rsidRPr="00466044">
        <w:rPr>
          <w:sz w:val="21"/>
          <w:szCs w:val="21"/>
        </w:rPr>
        <w:t xml:space="preserve">ommunity </w:t>
      </w:r>
      <w:r w:rsidR="001F7C31" w:rsidRPr="00466044">
        <w:rPr>
          <w:sz w:val="21"/>
          <w:szCs w:val="21"/>
        </w:rPr>
        <w:t>B</w:t>
      </w:r>
      <w:r w:rsidR="1FE6CF8E" w:rsidRPr="00466044">
        <w:rPr>
          <w:sz w:val="21"/>
          <w:szCs w:val="21"/>
        </w:rPr>
        <w:t xml:space="preserve">ased </w:t>
      </w:r>
      <w:r w:rsidR="001F7C31" w:rsidRPr="00466044">
        <w:rPr>
          <w:sz w:val="21"/>
          <w:szCs w:val="21"/>
        </w:rPr>
        <w:t>O</w:t>
      </w:r>
      <w:r w:rsidR="572E1486" w:rsidRPr="00466044">
        <w:rPr>
          <w:sz w:val="21"/>
          <w:szCs w:val="21"/>
        </w:rPr>
        <w:t>rganisation</w:t>
      </w:r>
      <w:r w:rsidR="001F7C31" w:rsidRPr="00466044">
        <w:rPr>
          <w:sz w:val="21"/>
          <w:szCs w:val="21"/>
        </w:rPr>
        <w:t>s.</w:t>
      </w:r>
      <w:r w:rsidR="3F88B5AF" w:rsidRPr="00466044">
        <w:rPr>
          <w:rFonts w:eastAsia="Times New Roman" w:cs="Times New Roman"/>
          <w:sz w:val="21"/>
          <w:szCs w:val="21"/>
        </w:rPr>
        <w:t xml:space="preserve">  </w:t>
      </w:r>
    </w:p>
    <w:p w14:paraId="6E0900B6" w14:textId="65C1F577" w:rsidR="001F7C31" w:rsidRPr="00F93C5C" w:rsidRDefault="001F7C31" w:rsidP="00D2498B">
      <w:pPr>
        <w:pStyle w:val="Heading2"/>
      </w:pPr>
      <w:bookmarkStart w:id="71" w:name="_Toc216260311"/>
      <w:bookmarkStart w:id="72" w:name="_Toc216269874"/>
      <w:bookmarkStart w:id="73" w:name="_Toc216270573"/>
      <w:r w:rsidRPr="00F93C5C">
        <w:t>Risk Assessment and Management</w:t>
      </w:r>
      <w:bookmarkEnd w:id="71"/>
      <w:bookmarkEnd w:id="72"/>
      <w:bookmarkEnd w:id="73"/>
    </w:p>
    <w:p w14:paraId="6A6D3B01" w14:textId="31AB2EC4" w:rsidR="001F7C31" w:rsidRPr="00984EE9" w:rsidRDefault="001F7C31" w:rsidP="004542B7">
      <w:pPr>
        <w:rPr>
          <w:i/>
          <w:iCs/>
          <w:sz w:val="21"/>
          <w:szCs w:val="21"/>
        </w:rPr>
      </w:pPr>
      <w:bookmarkStart w:id="74" w:name="_Toc216260312"/>
      <w:bookmarkStart w:id="75" w:name="_Toc216264027"/>
      <w:bookmarkStart w:id="76" w:name="_Toc216269875"/>
      <w:bookmarkStart w:id="77" w:name="_Toc216270574"/>
      <w:bookmarkStart w:id="78" w:name="_Hlk207969409"/>
      <w:r w:rsidRPr="0076165C">
        <w:rPr>
          <w:rStyle w:val="Heading3Char"/>
        </w:rPr>
        <w:t>Overall Risk Rating:</w:t>
      </w:r>
      <w:bookmarkEnd w:id="74"/>
      <w:bookmarkEnd w:id="75"/>
      <w:bookmarkEnd w:id="76"/>
      <w:bookmarkEnd w:id="77"/>
      <w:r w:rsidRPr="003E18AD">
        <w:rPr>
          <w:sz w:val="21"/>
          <w:szCs w:val="21"/>
        </w:rPr>
        <w:t xml:space="preserve"> </w:t>
      </w:r>
      <w:r w:rsidR="00E131C6">
        <w:rPr>
          <w:sz w:val="21"/>
          <w:szCs w:val="21"/>
        </w:rPr>
        <w:t xml:space="preserve">This is an investment with </w:t>
      </w:r>
      <w:proofErr w:type="gramStart"/>
      <w:r w:rsidR="00E131C6">
        <w:rPr>
          <w:sz w:val="21"/>
          <w:szCs w:val="21"/>
        </w:rPr>
        <w:t>a number of</w:t>
      </w:r>
      <w:proofErr w:type="gramEnd"/>
      <w:r w:rsidR="00E131C6">
        <w:rPr>
          <w:sz w:val="21"/>
          <w:szCs w:val="21"/>
        </w:rPr>
        <w:t xml:space="preserve"> inherently high risks</w:t>
      </w:r>
      <w:r w:rsidR="00D07D27">
        <w:rPr>
          <w:sz w:val="21"/>
          <w:szCs w:val="21"/>
        </w:rPr>
        <w:t>, noting the</w:t>
      </w:r>
      <w:r w:rsidRPr="003E18AD">
        <w:rPr>
          <w:sz w:val="21"/>
          <w:szCs w:val="21"/>
        </w:rPr>
        <w:t xml:space="preserve"> high value </w:t>
      </w:r>
      <w:r w:rsidR="00D07D27">
        <w:rPr>
          <w:sz w:val="21"/>
          <w:szCs w:val="21"/>
        </w:rPr>
        <w:t xml:space="preserve">and </w:t>
      </w:r>
      <w:proofErr w:type="gramStart"/>
      <w:r w:rsidR="00770C56">
        <w:rPr>
          <w:sz w:val="21"/>
          <w:szCs w:val="21"/>
        </w:rPr>
        <w:t>long term</w:t>
      </w:r>
      <w:proofErr w:type="gramEnd"/>
      <w:r w:rsidR="00770C56">
        <w:rPr>
          <w:sz w:val="21"/>
          <w:szCs w:val="21"/>
        </w:rPr>
        <w:t xml:space="preserve"> implementation period for the Partnership, and </w:t>
      </w:r>
      <w:r w:rsidRPr="003E18AD">
        <w:rPr>
          <w:sz w:val="21"/>
          <w:szCs w:val="21"/>
        </w:rPr>
        <w:t>acknowledging the complex political economy environment and ambitious program scope</w:t>
      </w:r>
      <w:r w:rsidR="00770C56">
        <w:rPr>
          <w:sz w:val="21"/>
          <w:szCs w:val="21"/>
        </w:rPr>
        <w:t xml:space="preserve">. </w:t>
      </w:r>
      <w:r w:rsidR="00113036">
        <w:rPr>
          <w:sz w:val="21"/>
          <w:szCs w:val="21"/>
        </w:rPr>
        <w:t>T</w:t>
      </w:r>
      <w:r w:rsidR="00E131C6">
        <w:rPr>
          <w:sz w:val="21"/>
          <w:szCs w:val="21"/>
        </w:rPr>
        <w:t>he overall risk rating</w:t>
      </w:r>
      <w:r w:rsidR="00113036">
        <w:rPr>
          <w:sz w:val="21"/>
          <w:szCs w:val="21"/>
        </w:rPr>
        <w:t xml:space="preserve"> (following mitigations)</w:t>
      </w:r>
      <w:r w:rsidR="00E131C6">
        <w:rPr>
          <w:sz w:val="21"/>
          <w:szCs w:val="21"/>
        </w:rPr>
        <w:t xml:space="preserve"> is m</w:t>
      </w:r>
      <w:r w:rsidR="00E131C6" w:rsidRPr="003E18AD">
        <w:rPr>
          <w:sz w:val="21"/>
          <w:szCs w:val="21"/>
        </w:rPr>
        <w:t>edium</w:t>
      </w:r>
      <w:r w:rsidR="00E131C6">
        <w:rPr>
          <w:sz w:val="21"/>
          <w:szCs w:val="21"/>
        </w:rPr>
        <w:t xml:space="preserve">. </w:t>
      </w:r>
      <w:r w:rsidR="00770C56">
        <w:rPr>
          <w:sz w:val="21"/>
          <w:szCs w:val="21"/>
        </w:rPr>
        <w:t xml:space="preserve">The Partnership </w:t>
      </w:r>
      <w:r w:rsidR="0071198D" w:rsidRPr="00770C56">
        <w:rPr>
          <w:sz w:val="21"/>
          <w:szCs w:val="21"/>
        </w:rPr>
        <w:t xml:space="preserve">is not expected to </w:t>
      </w:r>
      <w:r w:rsidR="00770C56">
        <w:rPr>
          <w:sz w:val="21"/>
          <w:szCs w:val="21"/>
        </w:rPr>
        <w:t xml:space="preserve">directly </w:t>
      </w:r>
      <w:r w:rsidR="0071198D" w:rsidRPr="00770C56">
        <w:rPr>
          <w:sz w:val="21"/>
          <w:szCs w:val="21"/>
        </w:rPr>
        <w:t>deliver or direct</w:t>
      </w:r>
      <w:r w:rsidR="00770C56">
        <w:rPr>
          <w:sz w:val="21"/>
          <w:szCs w:val="21"/>
        </w:rPr>
        <w:t>ly</w:t>
      </w:r>
      <w:r w:rsidR="0071198D" w:rsidRPr="00770C56">
        <w:rPr>
          <w:sz w:val="21"/>
          <w:szCs w:val="21"/>
        </w:rPr>
        <w:t xml:space="preserve"> implement infrastructure projects or construction</w:t>
      </w:r>
      <w:r w:rsidR="00E131C6">
        <w:rPr>
          <w:sz w:val="21"/>
          <w:szCs w:val="21"/>
        </w:rPr>
        <w:t xml:space="preserve">.  The </w:t>
      </w:r>
      <w:r w:rsidR="006830AE">
        <w:rPr>
          <w:sz w:val="21"/>
          <w:szCs w:val="21"/>
        </w:rPr>
        <w:t xml:space="preserve">overall </w:t>
      </w:r>
      <w:r w:rsidR="005B03BC">
        <w:rPr>
          <w:sz w:val="21"/>
          <w:szCs w:val="21"/>
        </w:rPr>
        <w:t>risk rating</w:t>
      </w:r>
      <w:r w:rsidR="00E131C6">
        <w:rPr>
          <w:sz w:val="21"/>
          <w:szCs w:val="21"/>
        </w:rPr>
        <w:t xml:space="preserve"> of medium</w:t>
      </w:r>
      <w:r w:rsidR="005B03BC">
        <w:rPr>
          <w:sz w:val="21"/>
          <w:szCs w:val="21"/>
        </w:rPr>
        <w:t xml:space="preserve"> </w:t>
      </w:r>
      <w:r w:rsidR="00E131C6">
        <w:rPr>
          <w:sz w:val="21"/>
          <w:szCs w:val="21"/>
        </w:rPr>
        <w:t xml:space="preserve">(following mitigations) </w:t>
      </w:r>
      <w:r w:rsidR="005B03BC">
        <w:rPr>
          <w:sz w:val="21"/>
          <w:szCs w:val="21"/>
        </w:rPr>
        <w:t xml:space="preserve">reflects </w:t>
      </w:r>
      <w:r w:rsidR="00FC74A3">
        <w:rPr>
          <w:sz w:val="21"/>
          <w:szCs w:val="21"/>
        </w:rPr>
        <w:t xml:space="preserve">this </w:t>
      </w:r>
      <w:r w:rsidR="00E131C6">
        <w:rPr>
          <w:sz w:val="21"/>
          <w:szCs w:val="21"/>
        </w:rPr>
        <w:t xml:space="preserve">scope, as well as the comprehensive risk management approach embedded within this design. </w:t>
      </w:r>
      <w:r w:rsidR="00096916">
        <w:rPr>
          <w:sz w:val="21"/>
          <w:szCs w:val="21"/>
        </w:rPr>
        <w:t xml:space="preserve">The investment will be managed in accordance with DFAT’s Development Risk </w:t>
      </w:r>
      <w:r w:rsidR="00096916">
        <w:rPr>
          <w:sz w:val="21"/>
          <w:szCs w:val="21"/>
        </w:rPr>
        <w:lastRenderedPageBreak/>
        <w:t xml:space="preserve">Management policy </w:t>
      </w:r>
      <w:r w:rsidR="008331ED">
        <w:rPr>
          <w:sz w:val="21"/>
          <w:szCs w:val="21"/>
        </w:rPr>
        <w:t>and practice framework. The delegate will be advised of changes of risk profile occurring during implementation.</w:t>
      </w:r>
    </w:p>
    <w:p w14:paraId="7B7D7CFC" w14:textId="0A5F7EEC" w:rsidR="001F7C31" w:rsidRPr="0005608D" w:rsidRDefault="1780E798" w:rsidP="0076165C">
      <w:pPr>
        <w:pStyle w:val="Heading3"/>
        <w:numPr>
          <w:ilvl w:val="0"/>
          <w:numId w:val="0"/>
        </w:numPr>
      </w:pPr>
      <w:bookmarkStart w:id="79" w:name="_Toc216260313"/>
      <w:bookmarkStart w:id="80" w:name="_Toc216264028"/>
      <w:bookmarkStart w:id="81" w:name="_Toc216269876"/>
      <w:bookmarkStart w:id="82" w:name="_Toc216270575"/>
      <w:bookmarkEnd w:id="78"/>
      <w:r w:rsidRPr="0005608D">
        <w:t>Key Risk Categories</w:t>
      </w:r>
      <w:bookmarkEnd w:id="79"/>
      <w:bookmarkEnd w:id="80"/>
      <w:bookmarkEnd w:id="81"/>
      <w:bookmarkEnd w:id="82"/>
    </w:p>
    <w:p w14:paraId="0AA96B28" w14:textId="07CA0B3B" w:rsidR="001F7C31" w:rsidRPr="003E18AD" w:rsidRDefault="6A7AD89F" w:rsidP="004542B7">
      <w:pPr>
        <w:pStyle w:val="ListParagraph"/>
        <w:numPr>
          <w:ilvl w:val="0"/>
          <w:numId w:val="2"/>
        </w:numPr>
        <w:spacing w:before="0" w:after="0"/>
        <w:ind w:left="426"/>
        <w:rPr>
          <w:rFonts w:ascii="Calibri Light" w:eastAsia="Calibri Light" w:hAnsi="Calibri Light" w:cs="Calibri Light"/>
          <w:sz w:val="21"/>
          <w:szCs w:val="21"/>
        </w:rPr>
      </w:pPr>
      <w:r w:rsidRPr="0076165C">
        <w:rPr>
          <w:rStyle w:val="Heading4Char"/>
        </w:rPr>
        <w:t>Program Management Complexity:</w:t>
      </w:r>
      <w:r w:rsidRPr="6348B7CD">
        <w:rPr>
          <w:rFonts w:ascii="Calibri Light" w:eastAsia="Calibri Light" w:hAnsi="Calibri Light" w:cs="Calibri Light"/>
          <w:sz w:val="21"/>
          <w:szCs w:val="21"/>
        </w:rPr>
        <w:t xml:space="preserve"> Large-value, multi-partner programs present unique management challenges requiring robust governance, clear communication, and adaptive management approaches. Mitigation includes establishing clear vision and objectives, implementing strong governance processes, and fostering transparent communication between DFAT and delivery partners.</w:t>
      </w:r>
    </w:p>
    <w:p w14:paraId="105205BC" w14:textId="0DE33699" w:rsidR="001F7C31" w:rsidRPr="003E18AD" w:rsidRDefault="6A7AD89F" w:rsidP="004542B7">
      <w:pPr>
        <w:pStyle w:val="ListParagraph"/>
        <w:numPr>
          <w:ilvl w:val="0"/>
          <w:numId w:val="2"/>
        </w:numPr>
        <w:spacing w:before="60" w:after="0"/>
        <w:ind w:left="425" w:hanging="357"/>
        <w:contextualSpacing w:val="0"/>
        <w:rPr>
          <w:rFonts w:ascii="Calibri Light" w:eastAsia="Calibri Light" w:hAnsi="Calibri Light" w:cs="Calibri Light"/>
          <w:sz w:val="21"/>
          <w:szCs w:val="21"/>
        </w:rPr>
      </w:pPr>
      <w:r w:rsidRPr="0076165C">
        <w:rPr>
          <w:rStyle w:val="Heading4Char"/>
        </w:rPr>
        <w:t>Complexity of Political Economy and Institutional Context:</w:t>
      </w:r>
      <w:r w:rsidRPr="6348B7CD">
        <w:rPr>
          <w:rFonts w:ascii="Calibri Light" w:eastAsia="Calibri Light" w:hAnsi="Calibri Light" w:cs="Calibri Light"/>
          <w:sz w:val="21"/>
          <w:szCs w:val="21"/>
        </w:rPr>
        <w:t xml:space="preserve"> The political economy of the climate and energy transition, as well as infrastructure planning and delivery, under the new administration remains highly contested, with some initiatives discontinued and others reinvigorated. The GOI approach and institutional context related to climate and infrastructure issues may be characterised by policy and regulatory fragmentation and changing priorities over the life of the Partnership.  Mitigation includes maintaining formal and informal communications with government counterparts, as well as the responsive and adaptive programming approaches of the Partnership.</w:t>
      </w:r>
    </w:p>
    <w:p w14:paraId="5C36B33E" w14:textId="55406899" w:rsidR="001F7C31" w:rsidRPr="003E18AD" w:rsidRDefault="6A7AD89F" w:rsidP="004542B7">
      <w:pPr>
        <w:pStyle w:val="ListParagraph"/>
        <w:numPr>
          <w:ilvl w:val="0"/>
          <w:numId w:val="2"/>
        </w:numPr>
        <w:spacing w:before="60" w:after="0"/>
        <w:ind w:left="425" w:hanging="357"/>
        <w:contextualSpacing w:val="0"/>
        <w:rPr>
          <w:rFonts w:ascii="Calibri Light" w:eastAsia="Calibri Light" w:hAnsi="Calibri Light" w:cs="Calibri Light"/>
          <w:sz w:val="21"/>
          <w:szCs w:val="21"/>
        </w:rPr>
      </w:pPr>
      <w:r w:rsidRPr="0076165C">
        <w:rPr>
          <w:rStyle w:val="Heading4Char"/>
        </w:rPr>
        <w:t>Fraud and Corruption Control:</w:t>
      </w:r>
      <w:r w:rsidRPr="6348B7CD">
        <w:rPr>
          <w:rFonts w:ascii="Calibri Light" w:eastAsia="Calibri Light" w:hAnsi="Calibri Light" w:cs="Calibri Light"/>
          <w:sz w:val="21"/>
          <w:szCs w:val="21"/>
        </w:rPr>
        <w:t xml:space="preserve"> The program will work with many funding recipients </w:t>
      </w:r>
      <w:r w:rsidR="00E27C8A">
        <w:rPr>
          <w:rFonts w:ascii="Calibri Light" w:eastAsia="Calibri Light" w:hAnsi="Calibri Light" w:cs="Calibri Light"/>
          <w:sz w:val="21"/>
          <w:szCs w:val="21"/>
        </w:rPr>
        <w:t xml:space="preserve">and partners </w:t>
      </w:r>
      <w:r w:rsidRPr="6348B7CD">
        <w:rPr>
          <w:rFonts w:ascii="Calibri Light" w:eastAsia="Calibri Light" w:hAnsi="Calibri Light" w:cs="Calibri Light"/>
          <w:sz w:val="21"/>
          <w:szCs w:val="21"/>
        </w:rPr>
        <w:t xml:space="preserve">across </w:t>
      </w:r>
      <w:r w:rsidR="00E27C8A">
        <w:rPr>
          <w:rFonts w:ascii="Calibri Light" w:eastAsia="Calibri Light" w:hAnsi="Calibri Light" w:cs="Calibri Light"/>
          <w:sz w:val="21"/>
          <w:szCs w:val="21"/>
        </w:rPr>
        <w:t xml:space="preserve">a range of </w:t>
      </w:r>
      <w:r w:rsidRPr="6348B7CD">
        <w:rPr>
          <w:rFonts w:ascii="Calibri Light" w:eastAsia="Calibri Light" w:hAnsi="Calibri Light" w:cs="Calibri Light"/>
          <w:sz w:val="21"/>
          <w:szCs w:val="21"/>
        </w:rPr>
        <w:t xml:space="preserve">sectoral focus areas and geographic locations in Indonesia. Mitigation includes a strong fraud risk management approach including specialist fraud expertise, comprehensive fraud control strategy based on Commonwealth frameworks, due diligence assessments, and fit-for-purpose monitoring systems. Additionally, the adoption of integrated risk management approaches with regular DFAT-contractor risk discussions, shared risk registers, escalation pathways, and bi-weekly sector team meetings building on lessons from predecessor programs are measures to be adopted. </w:t>
      </w:r>
    </w:p>
    <w:p w14:paraId="3784D61F" w14:textId="026E9871" w:rsidR="001F7C31" w:rsidRPr="003E18AD" w:rsidRDefault="6A7AD89F" w:rsidP="004542B7">
      <w:pPr>
        <w:pStyle w:val="ListParagraph"/>
        <w:numPr>
          <w:ilvl w:val="0"/>
          <w:numId w:val="2"/>
        </w:numPr>
        <w:spacing w:before="60" w:after="0"/>
        <w:ind w:left="425" w:hanging="357"/>
        <w:contextualSpacing w:val="0"/>
        <w:rPr>
          <w:rFonts w:ascii="Calibri Light" w:eastAsia="Calibri Light" w:hAnsi="Calibri Light" w:cs="Calibri Light"/>
          <w:sz w:val="21"/>
          <w:szCs w:val="21"/>
        </w:rPr>
      </w:pPr>
      <w:r w:rsidRPr="0076165C">
        <w:rPr>
          <w:rStyle w:val="Heading4Char"/>
        </w:rPr>
        <w:t>Safeguards Risks:</w:t>
      </w:r>
      <w:r w:rsidRPr="6348B7CD">
        <w:rPr>
          <w:rFonts w:ascii="Calibri Light" w:eastAsia="Calibri Light" w:hAnsi="Calibri Light" w:cs="Calibri Light"/>
          <w:sz w:val="21"/>
          <w:szCs w:val="21"/>
        </w:rPr>
        <w:t xml:space="preserve"> The program operates in a complex risk environment requiring robust social safeguards including environmental and social safeguards policy based on DFAT and international standards, specialist Safeguards Adviser, annual partner policy adherence reviews, and activity screening protocols. For child protection, a moderate risk rating will require detailed risk assessment and appropriate minimum standards application, including personnel screening and partner policy compliance. Sexual Exploitation, Abuse and Harassment is assessed as high-risk requiring completion of minimum standards 1-5 of DFAT's PSEAH risk management guidance, with dedicated PSEAH Adviser, detailed protocols, and comprehensive training programs. A High-risk rating was applied due to the likelihood that partners will not have strong internal PSEAH leadership, policies and practices in place, and where there are policies in place they may not be applied to downstream partners and staff. All program activities and projects will need to be screened for their specific SEAH risks.</w:t>
      </w:r>
    </w:p>
    <w:p w14:paraId="242607E4" w14:textId="32C42F87" w:rsidR="0082216E" w:rsidRDefault="0071198D" w:rsidP="004542B7">
      <w:pPr>
        <w:rPr>
          <w:sz w:val="21"/>
          <w:szCs w:val="21"/>
        </w:rPr>
      </w:pPr>
      <w:r w:rsidRPr="003E18AD">
        <w:rPr>
          <w:sz w:val="21"/>
          <w:szCs w:val="21"/>
        </w:rPr>
        <w:t>Th</w:t>
      </w:r>
      <w:r>
        <w:rPr>
          <w:sz w:val="21"/>
          <w:szCs w:val="21"/>
        </w:rPr>
        <w:t>e</w:t>
      </w:r>
      <w:r w:rsidRPr="003E18AD">
        <w:rPr>
          <w:sz w:val="21"/>
          <w:szCs w:val="21"/>
        </w:rPr>
        <w:t xml:space="preserve"> </w:t>
      </w:r>
      <w:r>
        <w:rPr>
          <w:sz w:val="21"/>
          <w:szCs w:val="21"/>
        </w:rPr>
        <w:t>P</w:t>
      </w:r>
      <w:r w:rsidRPr="003E18AD">
        <w:rPr>
          <w:sz w:val="21"/>
          <w:szCs w:val="21"/>
        </w:rPr>
        <w:t>art</w:t>
      </w:r>
      <w:r w:rsidR="001F7C31" w:rsidRPr="003E18AD">
        <w:rPr>
          <w:sz w:val="21"/>
          <w:szCs w:val="21"/>
        </w:rPr>
        <w:t>nership represents a significant evolution in Australia-Indonesia development cooperation</w:t>
      </w:r>
      <w:r w:rsidR="008B16B9">
        <w:rPr>
          <w:sz w:val="21"/>
          <w:szCs w:val="21"/>
        </w:rPr>
        <w:t>. It</w:t>
      </w:r>
      <w:r w:rsidR="001F7C31" w:rsidRPr="003E18AD">
        <w:rPr>
          <w:sz w:val="21"/>
          <w:szCs w:val="21"/>
        </w:rPr>
        <w:t xml:space="preserve"> </w:t>
      </w:r>
      <w:r w:rsidR="008B16B9">
        <w:rPr>
          <w:sz w:val="21"/>
          <w:szCs w:val="21"/>
        </w:rPr>
        <w:t xml:space="preserve">marks the next phase in programming that </w:t>
      </w:r>
      <w:r w:rsidR="001F7C31" w:rsidRPr="003E18AD">
        <w:rPr>
          <w:sz w:val="21"/>
          <w:szCs w:val="21"/>
        </w:rPr>
        <w:t>transition</w:t>
      </w:r>
      <w:r w:rsidR="008B16B9">
        <w:rPr>
          <w:sz w:val="21"/>
          <w:szCs w:val="21"/>
        </w:rPr>
        <w:t>s</w:t>
      </w:r>
      <w:r w:rsidR="001F7C31" w:rsidRPr="003E18AD">
        <w:rPr>
          <w:sz w:val="21"/>
          <w:szCs w:val="21"/>
        </w:rPr>
        <w:t xml:space="preserve"> from traditional aid to innovative financing and investment approaches that support Indonesia's climate and development ambitions while creating mutual economic opportunities. Success depends on adaptive management, strong partnerships, and sustained commitment to addressing Indonesia's complex infrastructure and climate financing challenges.</w:t>
      </w:r>
    </w:p>
    <w:p w14:paraId="49036D6B" w14:textId="77777777" w:rsidR="00126856" w:rsidRPr="003E18AD" w:rsidRDefault="00126856" w:rsidP="004542B7">
      <w:pPr>
        <w:rPr>
          <w:sz w:val="21"/>
          <w:szCs w:val="21"/>
        </w:rPr>
      </w:pPr>
    </w:p>
    <w:p w14:paraId="1247CE15" w14:textId="77777777" w:rsidR="00D4355D" w:rsidRPr="00F44317" w:rsidRDefault="00D4355D" w:rsidP="00D2498B">
      <w:pPr>
        <w:pStyle w:val="Heading1"/>
      </w:pPr>
      <w:bookmarkStart w:id="83" w:name="_Toc202869687"/>
      <w:bookmarkStart w:id="84" w:name="_Toc202869800"/>
      <w:bookmarkStart w:id="85" w:name="_Toc216270576"/>
      <w:bookmarkEnd w:id="83"/>
      <w:bookmarkEnd w:id="84"/>
      <w:r w:rsidRPr="00F44317">
        <w:t>Introduction and background</w:t>
      </w:r>
      <w:bookmarkEnd w:id="85"/>
    </w:p>
    <w:p w14:paraId="580195EA" w14:textId="5FFA4F1A" w:rsidR="00D4355D" w:rsidRPr="005A0960" w:rsidRDefault="00D4355D" w:rsidP="004542B7">
      <w:pPr>
        <w:rPr>
          <w:sz w:val="21"/>
          <w:szCs w:val="21"/>
        </w:rPr>
      </w:pPr>
      <w:bookmarkStart w:id="86" w:name="_Toc216260315"/>
      <w:bookmarkStart w:id="87" w:name="_Toc216264030"/>
      <w:bookmarkStart w:id="88" w:name="_Toc216269878"/>
      <w:bookmarkStart w:id="89" w:name="_Toc216270577"/>
      <w:r w:rsidRPr="00A0534D">
        <w:rPr>
          <w:rStyle w:val="Heading3Char"/>
        </w:rPr>
        <w:t>Australia has a strong track record with Indonesia on infrastructure and more recently, climate and climate finance</w:t>
      </w:r>
      <w:bookmarkEnd w:id="86"/>
      <w:bookmarkEnd w:id="87"/>
      <w:bookmarkEnd w:id="88"/>
      <w:bookmarkEnd w:id="89"/>
      <w:r w:rsidRPr="0076165C">
        <w:rPr>
          <w:rStyle w:val="Heading2Char"/>
        </w:rPr>
        <w:t>.</w:t>
      </w:r>
      <w:r w:rsidRPr="005A0960">
        <w:rPr>
          <w:sz w:val="21"/>
          <w:szCs w:val="21"/>
        </w:rPr>
        <w:t xml:space="preserve"> Over several decades, Australia has worked with GOI to improve infrastructure planning, policy and delivery, underpinned by programs including the </w:t>
      </w:r>
      <w:r w:rsidR="00AE37D1" w:rsidRPr="005A0960">
        <w:rPr>
          <w:sz w:val="21"/>
          <w:szCs w:val="21"/>
        </w:rPr>
        <w:t>Indonesia-</w:t>
      </w:r>
      <w:r w:rsidRPr="005A0960">
        <w:rPr>
          <w:sz w:val="21"/>
          <w:szCs w:val="21"/>
        </w:rPr>
        <w:t xml:space="preserve">Australia Partnership for Infrastructure (KIAT, </w:t>
      </w:r>
      <w:r w:rsidR="008861F4" w:rsidRPr="005A0960">
        <w:rPr>
          <w:sz w:val="21"/>
          <w:szCs w:val="21"/>
        </w:rPr>
        <w:t>AUD</w:t>
      </w:r>
      <w:r w:rsidRPr="005A0960">
        <w:rPr>
          <w:sz w:val="21"/>
          <w:szCs w:val="21"/>
        </w:rPr>
        <w:t>300</w:t>
      </w:r>
      <w:r w:rsidR="005A0960">
        <w:rPr>
          <w:sz w:val="21"/>
          <w:szCs w:val="21"/>
        </w:rPr>
        <w:t xml:space="preserve"> </w:t>
      </w:r>
      <w:r w:rsidRPr="005A0960">
        <w:rPr>
          <w:sz w:val="21"/>
          <w:szCs w:val="21"/>
        </w:rPr>
        <w:t>m</w:t>
      </w:r>
      <w:r w:rsidR="005A0960">
        <w:rPr>
          <w:sz w:val="21"/>
          <w:szCs w:val="21"/>
        </w:rPr>
        <w:t>illion</w:t>
      </w:r>
      <w:r w:rsidRPr="005A0960">
        <w:rPr>
          <w:sz w:val="21"/>
          <w:szCs w:val="21"/>
        </w:rPr>
        <w:t xml:space="preserve">, 2016-2026), the Sustainable Infrastructure Assistance Program (SIAP2, </w:t>
      </w:r>
      <w:r w:rsidR="008861F4" w:rsidRPr="005A0960">
        <w:rPr>
          <w:sz w:val="21"/>
          <w:szCs w:val="21"/>
        </w:rPr>
        <w:t>AUD</w:t>
      </w:r>
      <w:r w:rsidRPr="005A0960">
        <w:rPr>
          <w:sz w:val="21"/>
          <w:szCs w:val="21"/>
        </w:rPr>
        <w:t>40</w:t>
      </w:r>
      <w:r w:rsidR="005A0960">
        <w:rPr>
          <w:sz w:val="21"/>
          <w:szCs w:val="21"/>
        </w:rPr>
        <w:t xml:space="preserve"> </w:t>
      </w:r>
      <w:r w:rsidRPr="005A0960">
        <w:rPr>
          <w:sz w:val="21"/>
          <w:szCs w:val="21"/>
        </w:rPr>
        <w:t>m</w:t>
      </w:r>
      <w:r w:rsidR="005A0960">
        <w:rPr>
          <w:sz w:val="21"/>
          <w:szCs w:val="21"/>
        </w:rPr>
        <w:t>illion</w:t>
      </w:r>
      <w:r w:rsidRPr="005A0960">
        <w:rPr>
          <w:sz w:val="21"/>
          <w:szCs w:val="21"/>
        </w:rPr>
        <w:t xml:space="preserve">, 2019-2025), and </w:t>
      </w:r>
      <w:r w:rsidR="00FF29A2" w:rsidRPr="005A0960">
        <w:rPr>
          <w:sz w:val="21"/>
          <w:szCs w:val="21"/>
        </w:rPr>
        <w:t xml:space="preserve">more recently, </w:t>
      </w:r>
      <w:r w:rsidRPr="005A0960">
        <w:rPr>
          <w:sz w:val="21"/>
          <w:szCs w:val="21"/>
        </w:rPr>
        <w:t>climate finance through the Australia–Indonesia Partnership for Climate</w:t>
      </w:r>
      <w:r w:rsidR="00080C6E">
        <w:rPr>
          <w:sz w:val="21"/>
          <w:szCs w:val="21"/>
        </w:rPr>
        <w:t xml:space="preserve"> </w:t>
      </w:r>
      <w:r w:rsidRPr="005A0960">
        <w:rPr>
          <w:sz w:val="21"/>
          <w:szCs w:val="21"/>
        </w:rPr>
        <w:t xml:space="preserve">and Infrastructure (KINETIK, </w:t>
      </w:r>
      <w:r w:rsidR="008861F4" w:rsidRPr="005A0960">
        <w:rPr>
          <w:sz w:val="21"/>
          <w:szCs w:val="21"/>
        </w:rPr>
        <w:t>AUD</w:t>
      </w:r>
      <w:r w:rsidRPr="005A0960">
        <w:rPr>
          <w:sz w:val="21"/>
          <w:szCs w:val="21"/>
        </w:rPr>
        <w:t>200</w:t>
      </w:r>
      <w:r w:rsidR="005A0960">
        <w:rPr>
          <w:sz w:val="21"/>
          <w:szCs w:val="21"/>
        </w:rPr>
        <w:t xml:space="preserve"> </w:t>
      </w:r>
      <w:r w:rsidRPr="005A0960">
        <w:rPr>
          <w:sz w:val="21"/>
          <w:szCs w:val="21"/>
        </w:rPr>
        <w:t>m</w:t>
      </w:r>
      <w:r w:rsidR="005A0960">
        <w:rPr>
          <w:sz w:val="21"/>
          <w:szCs w:val="21"/>
        </w:rPr>
        <w:t>illion</w:t>
      </w:r>
      <w:r w:rsidRPr="005A0960">
        <w:rPr>
          <w:sz w:val="21"/>
          <w:szCs w:val="21"/>
        </w:rPr>
        <w:t>, 2022-2027). These programs have improved infrastructure, leveraged finance, and tackled climate change.</w:t>
      </w:r>
    </w:p>
    <w:p w14:paraId="2003573B" w14:textId="77777777" w:rsidR="00130E34" w:rsidRPr="005A0960" w:rsidRDefault="00516D28" w:rsidP="004542B7">
      <w:pPr>
        <w:rPr>
          <w:sz w:val="21"/>
          <w:szCs w:val="21"/>
        </w:rPr>
      </w:pPr>
      <w:bookmarkStart w:id="90" w:name="_Toc216260316"/>
      <w:bookmarkStart w:id="91" w:name="_Toc216264031"/>
      <w:bookmarkStart w:id="92" w:name="_Toc216269879"/>
      <w:bookmarkStart w:id="93" w:name="_Toc216270578"/>
      <w:r w:rsidRPr="00A0534D">
        <w:rPr>
          <w:rStyle w:val="Heading3Char"/>
        </w:rPr>
        <w:t>The new Partnership brings these investments under a single, coherent portfolio.</w:t>
      </w:r>
      <w:bookmarkEnd w:id="90"/>
      <w:bookmarkEnd w:id="91"/>
      <w:bookmarkEnd w:id="92"/>
      <w:bookmarkEnd w:id="93"/>
      <w:r w:rsidRPr="005A0960">
        <w:rPr>
          <w:sz w:val="21"/>
          <w:szCs w:val="21"/>
        </w:rPr>
        <w:t xml:space="preserve"> By consolidating Australia’s flagship investments in climate, infrastructure and development financing, the Partnership ensures strategic alignment across programs, strengthens coordination with delivery partners and GOI, and positions Australia to </w:t>
      </w:r>
      <w:r w:rsidRPr="005A0960">
        <w:rPr>
          <w:sz w:val="21"/>
          <w:szCs w:val="21"/>
        </w:rPr>
        <w:lastRenderedPageBreak/>
        <w:t xml:space="preserve">deliver more integrated and impactful support. </w:t>
      </w:r>
      <w:r w:rsidR="0073706F" w:rsidRPr="005A0960">
        <w:rPr>
          <w:sz w:val="21"/>
          <w:szCs w:val="21"/>
        </w:rPr>
        <w:t xml:space="preserve">The Asian Development Bank (ADB) will continue to </w:t>
      </w:r>
      <w:r w:rsidR="4BC53935" w:rsidRPr="005A0960">
        <w:rPr>
          <w:sz w:val="21"/>
          <w:szCs w:val="21"/>
        </w:rPr>
        <w:t>be an important partner on infrastructure</w:t>
      </w:r>
      <w:r w:rsidR="0073706F" w:rsidRPr="005A0960">
        <w:rPr>
          <w:sz w:val="21"/>
          <w:szCs w:val="21"/>
        </w:rPr>
        <w:t>, contributing to shared outcomes under the broader Partnership.</w:t>
      </w:r>
      <w:r w:rsidRPr="005A0960">
        <w:rPr>
          <w:sz w:val="21"/>
          <w:szCs w:val="21"/>
        </w:rPr>
        <w:t xml:space="preserve"> </w:t>
      </w:r>
    </w:p>
    <w:p w14:paraId="1245F720" w14:textId="3E629E02" w:rsidR="0073706F" w:rsidRPr="005A0960" w:rsidRDefault="0073706F" w:rsidP="004542B7">
      <w:pPr>
        <w:rPr>
          <w:sz w:val="21"/>
          <w:szCs w:val="21"/>
        </w:rPr>
      </w:pPr>
      <w:bookmarkStart w:id="94" w:name="_Toc216260317"/>
      <w:bookmarkStart w:id="95" w:name="_Toc216264032"/>
      <w:bookmarkStart w:id="96" w:name="_Toc216269880"/>
      <w:bookmarkStart w:id="97" w:name="_Toc216270579"/>
      <w:r w:rsidRPr="00A0534D">
        <w:rPr>
          <w:rStyle w:val="Heading3Char"/>
        </w:rPr>
        <w:t>The Partnership is forward-looking, positioning Australia to work with Indonesia as it transitions towards a post–ODA context.</w:t>
      </w:r>
      <w:bookmarkEnd w:id="94"/>
      <w:bookmarkEnd w:id="95"/>
      <w:bookmarkEnd w:id="96"/>
      <w:bookmarkEnd w:id="97"/>
      <w:r w:rsidRPr="005A0960">
        <w:rPr>
          <w:sz w:val="21"/>
          <w:szCs w:val="21"/>
        </w:rPr>
        <w:t xml:space="preserve"> As Indonesia progresses along its development pathway, Australia is shifting its engagement to support better mobilisation of domestic resources, private capital and climate finance. This aligns with global Financing for Development priorities</w:t>
      </w:r>
      <w:r w:rsidR="00940FDB" w:rsidRPr="005A0960">
        <w:rPr>
          <w:rStyle w:val="FootnoteReference"/>
          <w:sz w:val="21"/>
          <w:szCs w:val="21"/>
        </w:rPr>
        <w:footnoteReference w:id="4"/>
      </w:r>
      <w:r w:rsidRPr="005A0960">
        <w:rPr>
          <w:sz w:val="21"/>
          <w:szCs w:val="21"/>
        </w:rPr>
        <w:t xml:space="preserve"> and enables Australia to support Indonesia’s economic transition in a way that reflects its growing capacity and ambition.</w:t>
      </w:r>
    </w:p>
    <w:p w14:paraId="525A1AA1" w14:textId="4D640CA5" w:rsidR="0073706F" w:rsidRPr="005A0960" w:rsidRDefault="0073706F" w:rsidP="005F1F7F">
      <w:pPr>
        <w:rPr>
          <w:sz w:val="21"/>
          <w:szCs w:val="21"/>
        </w:rPr>
      </w:pPr>
      <w:bookmarkStart w:id="98" w:name="_Toc216260318"/>
      <w:bookmarkStart w:id="99" w:name="_Toc216264033"/>
      <w:bookmarkStart w:id="100" w:name="_Toc216269881"/>
      <w:bookmarkStart w:id="101" w:name="_Toc216270580"/>
      <w:r w:rsidRPr="00A0534D">
        <w:rPr>
          <w:rStyle w:val="Heading3Char"/>
        </w:rPr>
        <w:t>The Partnership directly supports Indonesia’s national development priorities, including the Prabowo administration’s focus on food, water and energy security.</w:t>
      </w:r>
      <w:bookmarkEnd w:id="98"/>
      <w:bookmarkEnd w:id="99"/>
      <w:bookmarkEnd w:id="100"/>
      <w:bookmarkEnd w:id="101"/>
      <w:r w:rsidRPr="005A0960">
        <w:rPr>
          <w:sz w:val="21"/>
          <w:szCs w:val="21"/>
        </w:rPr>
        <w:t xml:space="preserve"> These priorities are core to Indonesia’s </w:t>
      </w:r>
      <w:r w:rsidR="000B1081" w:rsidRPr="005A0960">
        <w:rPr>
          <w:sz w:val="21"/>
          <w:szCs w:val="21"/>
        </w:rPr>
        <w:t xml:space="preserve">National </w:t>
      </w:r>
      <w:r w:rsidRPr="005A0960">
        <w:rPr>
          <w:sz w:val="21"/>
          <w:szCs w:val="21"/>
        </w:rPr>
        <w:t>Medium Term Development Plan (RPJMN)</w:t>
      </w:r>
      <w:r w:rsidR="00E63488" w:rsidRPr="005A0960">
        <w:rPr>
          <w:sz w:val="21"/>
          <w:szCs w:val="21"/>
        </w:rPr>
        <w:t xml:space="preserve"> 2025-2029</w:t>
      </w:r>
      <w:r w:rsidRPr="005A0960">
        <w:rPr>
          <w:sz w:val="21"/>
          <w:szCs w:val="21"/>
        </w:rPr>
        <w:t xml:space="preserve">, which emphasises climate-resilient infrastructure, the green economy, and the acceleration of the energy transition. </w:t>
      </w:r>
      <w:r w:rsidR="67BDF007" w:rsidRPr="005A0960">
        <w:rPr>
          <w:sz w:val="21"/>
          <w:szCs w:val="21"/>
        </w:rPr>
        <w:t>GOI</w:t>
      </w:r>
      <w:r w:rsidRPr="005A0960">
        <w:rPr>
          <w:sz w:val="21"/>
          <w:szCs w:val="21"/>
        </w:rPr>
        <w:t xml:space="preserve"> is pursuing economic growth through low-emissions pathways, including investments in renewable energy infrastructure, and improved access to sustainable finance.</w:t>
      </w:r>
    </w:p>
    <w:p w14:paraId="09359CF3" w14:textId="7BD9A7A5" w:rsidR="0073706F" w:rsidRPr="005A0960" w:rsidRDefault="0073706F" w:rsidP="005F1F7F">
      <w:pPr>
        <w:rPr>
          <w:sz w:val="21"/>
          <w:szCs w:val="21"/>
        </w:rPr>
      </w:pPr>
      <w:bookmarkStart w:id="102" w:name="_Toc216260319"/>
      <w:bookmarkStart w:id="103" w:name="_Toc216264034"/>
      <w:bookmarkStart w:id="104" w:name="_Toc216269882"/>
      <w:bookmarkStart w:id="105" w:name="_Toc216270581"/>
      <w:r w:rsidRPr="00A0534D">
        <w:rPr>
          <w:rStyle w:val="Heading3Char"/>
        </w:rPr>
        <w:t xml:space="preserve">Climate change </w:t>
      </w:r>
      <w:r w:rsidR="464FF943" w:rsidRPr="00A0534D">
        <w:rPr>
          <w:rStyle w:val="Heading3Char"/>
        </w:rPr>
        <w:t xml:space="preserve">resilience </w:t>
      </w:r>
      <w:r w:rsidRPr="00A0534D">
        <w:rPr>
          <w:rStyle w:val="Heading3Char"/>
        </w:rPr>
        <w:t>is central to the Partnership’s objectives, reflecting both Indonesia’s vulnerability and Australia’s commitment to climate-resilient development.</w:t>
      </w:r>
      <w:bookmarkEnd w:id="102"/>
      <w:bookmarkEnd w:id="103"/>
      <w:bookmarkEnd w:id="104"/>
      <w:bookmarkEnd w:id="105"/>
      <w:r w:rsidRPr="005A0960">
        <w:rPr>
          <w:sz w:val="21"/>
          <w:szCs w:val="21"/>
        </w:rPr>
        <w:t xml:space="preserve"> Indonesia ranks in the top third of countries in terms of climate risk, with over 300 weather-related disasters recorded between 1990 and 2021. The impacts are intensifying and disproportionately affect poor and vulnerable populations—including women, people with disability and </w:t>
      </w:r>
      <w:r w:rsidR="00FB39C9" w:rsidRPr="005A0960">
        <w:rPr>
          <w:sz w:val="21"/>
          <w:szCs w:val="21"/>
        </w:rPr>
        <w:t xml:space="preserve">indigenous </w:t>
      </w:r>
      <w:r w:rsidRPr="005A0960">
        <w:rPr>
          <w:sz w:val="21"/>
          <w:szCs w:val="21"/>
        </w:rPr>
        <w:t>communities. Indonesia’s Enhanced Nationally Determined Contribution (NDC) commit to reducing emissions by up to 43.2</w:t>
      </w:r>
      <w:r w:rsidR="00655AD5" w:rsidRPr="005A0960">
        <w:rPr>
          <w:sz w:val="21"/>
          <w:szCs w:val="21"/>
        </w:rPr>
        <w:t>%</w:t>
      </w:r>
      <w:r w:rsidRPr="005A0960">
        <w:rPr>
          <w:sz w:val="21"/>
          <w:szCs w:val="21"/>
        </w:rPr>
        <w:t xml:space="preserve"> by 2030 with international </w:t>
      </w:r>
      <w:proofErr w:type="gramStart"/>
      <w:r w:rsidRPr="005A0960">
        <w:rPr>
          <w:sz w:val="21"/>
          <w:szCs w:val="21"/>
        </w:rPr>
        <w:t>support, and</w:t>
      </w:r>
      <w:proofErr w:type="gramEnd"/>
      <w:r w:rsidRPr="005A0960">
        <w:rPr>
          <w:sz w:val="21"/>
          <w:szCs w:val="21"/>
        </w:rPr>
        <w:t xml:space="preserve"> achieving net zero emissions by 2060 or earlier. Achieving these goals will require an estimated USD247.2 billion in climate investment.</w:t>
      </w:r>
    </w:p>
    <w:p w14:paraId="796A8498" w14:textId="7D96D8DB" w:rsidR="0073706F" w:rsidRPr="005A0960" w:rsidRDefault="0073706F" w:rsidP="005F1F7F">
      <w:pPr>
        <w:rPr>
          <w:sz w:val="21"/>
          <w:szCs w:val="21"/>
        </w:rPr>
      </w:pPr>
      <w:bookmarkStart w:id="106" w:name="_Toc216260320"/>
      <w:bookmarkStart w:id="107" w:name="_Toc216264035"/>
      <w:bookmarkStart w:id="108" w:name="_Toc216269883"/>
      <w:bookmarkStart w:id="109" w:name="_Toc216270582"/>
      <w:r w:rsidRPr="00A0534D">
        <w:rPr>
          <w:rStyle w:val="Heading3Char"/>
        </w:rPr>
        <w:t>The Partnership leverages a mix of financing modalities to support Indonesia’s transition to net zero and inclusive green growth.</w:t>
      </w:r>
      <w:bookmarkEnd w:id="106"/>
      <w:bookmarkEnd w:id="107"/>
      <w:bookmarkEnd w:id="108"/>
      <w:bookmarkEnd w:id="109"/>
      <w:r w:rsidRPr="005A0960">
        <w:rPr>
          <w:sz w:val="21"/>
          <w:szCs w:val="21"/>
        </w:rPr>
        <w:t xml:space="preserve"> Through Australian Development Investments (ADI) and the Private Infrastructure Development Group (PIDG), the Partnership blends public and private finance to support infrastructure</w:t>
      </w:r>
      <w:r w:rsidR="7AEF0366" w:rsidRPr="005A0960">
        <w:rPr>
          <w:sz w:val="21"/>
          <w:szCs w:val="21"/>
        </w:rPr>
        <w:t xml:space="preserve"> and green growth</w:t>
      </w:r>
      <w:r w:rsidRPr="005A0960">
        <w:rPr>
          <w:sz w:val="21"/>
          <w:szCs w:val="21"/>
        </w:rPr>
        <w:t xml:space="preserve"> projects that reduce emissions and build climate resilience. It encourages innovation in financial instruments and will consider further capital contributions to </w:t>
      </w:r>
      <w:r w:rsidR="00FF29A2" w:rsidRPr="005A0960">
        <w:rPr>
          <w:sz w:val="21"/>
          <w:szCs w:val="21"/>
        </w:rPr>
        <w:t xml:space="preserve">other </w:t>
      </w:r>
      <w:r w:rsidRPr="005A0960">
        <w:rPr>
          <w:sz w:val="21"/>
          <w:szCs w:val="21"/>
        </w:rPr>
        <w:t>mechanisms that align with Indonesia’s climate and infrastructure priorities.</w:t>
      </w:r>
    </w:p>
    <w:p w14:paraId="066DA7F2" w14:textId="1E56A43D" w:rsidR="0073706F" w:rsidRPr="005A0960" w:rsidRDefault="67C64315" w:rsidP="005F1F7F">
      <w:pPr>
        <w:rPr>
          <w:sz w:val="21"/>
          <w:szCs w:val="21"/>
        </w:rPr>
      </w:pPr>
      <w:bookmarkStart w:id="110" w:name="_Toc216260321"/>
      <w:bookmarkStart w:id="111" w:name="_Toc216264036"/>
      <w:bookmarkStart w:id="112" w:name="_Toc216269884"/>
      <w:bookmarkStart w:id="113" w:name="_Toc216270583"/>
      <w:r w:rsidRPr="00A0534D">
        <w:rPr>
          <w:rStyle w:val="Heading3Char"/>
        </w:rPr>
        <w:t>The Partnership aligns with Australia’s International Development Policy and the Australia-Indonesia Development Partnership Plan.</w:t>
      </w:r>
      <w:bookmarkEnd w:id="110"/>
      <w:bookmarkEnd w:id="111"/>
      <w:bookmarkEnd w:id="112"/>
      <w:bookmarkEnd w:id="113"/>
      <w:r w:rsidRPr="005A0960">
        <w:rPr>
          <w:sz w:val="21"/>
          <w:szCs w:val="21"/>
        </w:rPr>
        <w:t xml:space="preserve"> The Partnership integrates gender</w:t>
      </w:r>
      <w:r w:rsidR="7A5F7CE3" w:rsidRPr="005A0960">
        <w:rPr>
          <w:sz w:val="21"/>
          <w:szCs w:val="21"/>
        </w:rPr>
        <w:t xml:space="preserve"> equality</w:t>
      </w:r>
      <w:r w:rsidRPr="005A0960">
        <w:rPr>
          <w:sz w:val="21"/>
          <w:szCs w:val="21"/>
        </w:rPr>
        <w:t>, disability and social equity</w:t>
      </w:r>
      <w:r w:rsidR="672EE095" w:rsidRPr="005A0960">
        <w:rPr>
          <w:sz w:val="21"/>
          <w:szCs w:val="21"/>
        </w:rPr>
        <w:t xml:space="preserve"> (GEDSI)</w:t>
      </w:r>
      <w:r w:rsidRPr="005A0960">
        <w:rPr>
          <w:sz w:val="21"/>
          <w:szCs w:val="21"/>
        </w:rPr>
        <w:t xml:space="preserve"> across all activities, recognising that climate impacts and the infrastructure gap are not felt equally. Women, people with disability, and </w:t>
      </w:r>
      <w:r w:rsidR="55123ACE" w:rsidRPr="005A0960">
        <w:rPr>
          <w:sz w:val="21"/>
          <w:szCs w:val="21"/>
        </w:rPr>
        <w:t>marginalised</w:t>
      </w:r>
      <w:r w:rsidRPr="005A0960">
        <w:rPr>
          <w:sz w:val="21"/>
          <w:szCs w:val="21"/>
        </w:rPr>
        <w:t xml:space="preserve"> communities—particularly in eastern Indonesia—face systemic barriers to participation in and benefit from green economic growth. The Partnership responds by investing in inclusive infrastructure, capacity building, and support</w:t>
      </w:r>
      <w:r w:rsidR="00FF29A2" w:rsidRPr="005A0960">
        <w:rPr>
          <w:sz w:val="21"/>
          <w:szCs w:val="21"/>
        </w:rPr>
        <w:t>ing</w:t>
      </w:r>
      <w:r w:rsidRPr="005A0960">
        <w:rPr>
          <w:sz w:val="21"/>
          <w:szCs w:val="21"/>
        </w:rPr>
        <w:t xml:space="preserve"> local climate-positive enterprise</w:t>
      </w:r>
      <w:r w:rsidR="0030448A" w:rsidRPr="005A0960">
        <w:rPr>
          <w:sz w:val="21"/>
          <w:szCs w:val="21"/>
        </w:rPr>
        <w:t>s</w:t>
      </w:r>
      <w:r w:rsidRPr="005A0960">
        <w:rPr>
          <w:sz w:val="21"/>
          <w:szCs w:val="21"/>
        </w:rPr>
        <w:t>.</w:t>
      </w:r>
      <w:r w:rsidR="00E35680" w:rsidRPr="005A0960">
        <w:rPr>
          <w:sz w:val="21"/>
          <w:szCs w:val="21"/>
        </w:rPr>
        <w:t xml:space="preserve">  The investment demonstrates a </w:t>
      </w:r>
      <w:r w:rsidR="00E35680" w:rsidRPr="005A0960">
        <w:rPr>
          <w:b/>
          <w:bCs/>
          <w:sz w:val="21"/>
          <w:szCs w:val="21"/>
        </w:rPr>
        <w:t>commitment to localisation</w:t>
      </w:r>
      <w:r w:rsidR="00E35680" w:rsidRPr="005A0960">
        <w:rPr>
          <w:sz w:val="21"/>
          <w:szCs w:val="21"/>
        </w:rPr>
        <w:t xml:space="preserve"> through </w:t>
      </w:r>
      <w:r w:rsidR="00FF29A2" w:rsidRPr="005A0960">
        <w:rPr>
          <w:sz w:val="21"/>
          <w:szCs w:val="21"/>
        </w:rPr>
        <w:t xml:space="preserve">empowering leadership of </w:t>
      </w:r>
      <w:r w:rsidR="00E35680" w:rsidRPr="005A0960">
        <w:rPr>
          <w:sz w:val="21"/>
          <w:szCs w:val="21"/>
        </w:rPr>
        <w:t xml:space="preserve">local partners and actors, building local institutional capability, networks and coalitions for sustainability. </w:t>
      </w:r>
    </w:p>
    <w:p w14:paraId="593839EA" w14:textId="1A33BED6" w:rsidR="00851786" w:rsidRPr="005A0960" w:rsidRDefault="0073706F" w:rsidP="005F1F7F">
      <w:pPr>
        <w:rPr>
          <w:sz w:val="21"/>
          <w:szCs w:val="21"/>
        </w:rPr>
      </w:pPr>
      <w:bookmarkStart w:id="114" w:name="_Toc216260322"/>
      <w:bookmarkStart w:id="115" w:name="_Toc216264037"/>
      <w:bookmarkStart w:id="116" w:name="_Toc216269885"/>
      <w:bookmarkStart w:id="117" w:name="_Toc216270584"/>
      <w:r w:rsidRPr="00A0534D">
        <w:rPr>
          <w:rStyle w:val="Heading3Char"/>
        </w:rPr>
        <w:t>Th</w:t>
      </w:r>
      <w:r w:rsidR="00726D20" w:rsidRPr="00A0534D">
        <w:rPr>
          <w:rStyle w:val="Heading3Char"/>
        </w:rPr>
        <w:t>e</w:t>
      </w:r>
      <w:r w:rsidRPr="00A0534D">
        <w:rPr>
          <w:rStyle w:val="Heading3Char"/>
        </w:rPr>
        <w:t xml:space="preserve"> Partnership is a significant contribution to the Comprehensive Strategic Partnership between Australia and Indonesia.</w:t>
      </w:r>
      <w:bookmarkEnd w:id="114"/>
      <w:bookmarkEnd w:id="115"/>
      <w:bookmarkEnd w:id="116"/>
      <w:bookmarkEnd w:id="117"/>
      <w:r w:rsidRPr="005A0960">
        <w:rPr>
          <w:sz w:val="21"/>
          <w:szCs w:val="21"/>
        </w:rPr>
        <w:t xml:space="preserve"> It strengthens bilateral cooperation, supports sustainable and inclusive economic growth, and deepens engagement in areas of shared strategic interest—including climate resilience, infrastructure connectivity and regional stability. The scale of climate risk impacts and mitigation challenges in Indonesia highlights the importance of the nexus between infrastructure, financing and climate. It also creates significant opportunities for private sector engagement, complementing the work of other DFAT investments and the work of Australia’s trade and investment focused ‘Deal Teams’ in Jakarta.</w:t>
      </w:r>
      <w:r w:rsidR="62A3C6F1" w:rsidRPr="005A0960">
        <w:rPr>
          <w:sz w:val="21"/>
          <w:szCs w:val="21"/>
        </w:rPr>
        <w:t xml:space="preserve"> </w:t>
      </w:r>
    </w:p>
    <w:p w14:paraId="2E384753" w14:textId="29053496" w:rsidR="00CD2092" w:rsidRPr="003E18AD" w:rsidRDefault="000C7609" w:rsidP="005F1F7F">
      <w:pPr>
        <w:rPr>
          <w:color w:val="485864"/>
          <w:sz w:val="21"/>
          <w:szCs w:val="21"/>
        </w:rPr>
      </w:pPr>
      <w:bookmarkStart w:id="118" w:name="_Toc216260323"/>
      <w:bookmarkStart w:id="119" w:name="_Toc216264038"/>
      <w:bookmarkStart w:id="120" w:name="_Toc216269886"/>
      <w:bookmarkStart w:id="121" w:name="_Toc216270585"/>
      <w:r w:rsidRPr="00A0534D">
        <w:rPr>
          <w:rStyle w:val="Heading3Char"/>
        </w:rPr>
        <w:t>C</w:t>
      </w:r>
      <w:r w:rsidR="00D15727" w:rsidRPr="00A0534D">
        <w:rPr>
          <w:rStyle w:val="Heading3Char"/>
        </w:rPr>
        <w:t xml:space="preserve">omprehensive </w:t>
      </w:r>
      <w:r w:rsidR="00CD2092" w:rsidRPr="00A0534D">
        <w:rPr>
          <w:rStyle w:val="Heading3Char"/>
        </w:rPr>
        <w:t xml:space="preserve">consultations </w:t>
      </w:r>
      <w:r w:rsidR="00D4537A" w:rsidRPr="00A0534D">
        <w:rPr>
          <w:rStyle w:val="Heading3Char"/>
        </w:rPr>
        <w:t>confirmed stakeholder</w:t>
      </w:r>
      <w:r w:rsidR="1D4FE12A" w:rsidRPr="00A0534D">
        <w:rPr>
          <w:rStyle w:val="Heading3Char"/>
        </w:rPr>
        <w:t xml:space="preserve"> demand for the Partnership’s</w:t>
      </w:r>
      <w:r w:rsidR="00D4537A" w:rsidRPr="00A0534D">
        <w:rPr>
          <w:rStyle w:val="Heading3Char"/>
        </w:rPr>
        <w:t xml:space="preserve"> focus on climate, infrastructure, and finance, </w:t>
      </w:r>
      <w:r w:rsidR="46D0D0F3" w:rsidRPr="00A0534D">
        <w:rPr>
          <w:rStyle w:val="Heading3Char"/>
        </w:rPr>
        <w:t xml:space="preserve">its </w:t>
      </w:r>
      <w:r w:rsidR="00D4537A" w:rsidRPr="00A0534D">
        <w:rPr>
          <w:rStyle w:val="Heading3Char"/>
        </w:rPr>
        <w:t>market driven implementation approach, and governance arrangements.</w:t>
      </w:r>
      <w:bookmarkEnd w:id="118"/>
      <w:bookmarkEnd w:id="119"/>
      <w:bookmarkEnd w:id="120"/>
      <w:bookmarkEnd w:id="121"/>
      <w:r w:rsidR="008E3390" w:rsidRPr="255CEF80">
        <w:rPr>
          <w:sz w:val="21"/>
          <w:szCs w:val="21"/>
        </w:rPr>
        <w:t xml:space="preserve"> </w:t>
      </w:r>
      <w:r w:rsidR="00FF29A2">
        <w:rPr>
          <w:sz w:val="21"/>
          <w:szCs w:val="21"/>
        </w:rPr>
        <w:t>C</w:t>
      </w:r>
      <w:r w:rsidR="00CD2092" w:rsidRPr="255CEF80">
        <w:rPr>
          <w:sz w:val="21"/>
          <w:szCs w:val="21"/>
        </w:rPr>
        <w:t>onsultations</w:t>
      </w:r>
      <w:r w:rsidR="00516D28">
        <w:rPr>
          <w:sz w:val="21"/>
          <w:szCs w:val="21"/>
        </w:rPr>
        <w:t xml:space="preserve"> with over 200 stakeholders through multiple in-country missions</w:t>
      </w:r>
      <w:r w:rsidR="00CD2092" w:rsidRPr="255CEF80">
        <w:rPr>
          <w:sz w:val="21"/>
          <w:szCs w:val="21"/>
        </w:rPr>
        <w:t xml:space="preserve"> </w:t>
      </w:r>
      <w:r w:rsidR="00FD5E13" w:rsidRPr="255CEF80">
        <w:rPr>
          <w:sz w:val="21"/>
          <w:szCs w:val="21"/>
        </w:rPr>
        <w:t>have</w:t>
      </w:r>
      <w:r w:rsidR="00176AAE" w:rsidRPr="255CEF80">
        <w:rPr>
          <w:sz w:val="21"/>
          <w:szCs w:val="21"/>
        </w:rPr>
        <w:t xml:space="preserve"> shaped</w:t>
      </w:r>
      <w:r w:rsidR="00CD2092" w:rsidRPr="255CEF80">
        <w:rPr>
          <w:sz w:val="21"/>
          <w:szCs w:val="21"/>
        </w:rPr>
        <w:t xml:space="preserve"> the design of </w:t>
      </w:r>
      <w:r w:rsidR="00AD0A93" w:rsidRPr="255CEF80">
        <w:rPr>
          <w:sz w:val="21"/>
          <w:szCs w:val="21"/>
        </w:rPr>
        <w:t xml:space="preserve">the </w:t>
      </w:r>
      <w:r w:rsidR="00176AAE" w:rsidRPr="255CEF80">
        <w:rPr>
          <w:sz w:val="21"/>
          <w:szCs w:val="21"/>
        </w:rPr>
        <w:t>Partnership</w:t>
      </w:r>
      <w:r w:rsidR="00715DCD" w:rsidRPr="255CEF80">
        <w:rPr>
          <w:sz w:val="21"/>
          <w:szCs w:val="21"/>
        </w:rPr>
        <w:t>,</w:t>
      </w:r>
      <w:r w:rsidR="00CD2092" w:rsidRPr="255CEF80">
        <w:rPr>
          <w:sz w:val="21"/>
          <w:szCs w:val="21"/>
        </w:rPr>
        <w:t xml:space="preserve"> including</w:t>
      </w:r>
      <w:r w:rsidR="0034184A" w:rsidRPr="255CEF80">
        <w:rPr>
          <w:sz w:val="21"/>
          <w:szCs w:val="21"/>
        </w:rPr>
        <w:t xml:space="preserve"> </w:t>
      </w:r>
      <w:r w:rsidR="00715DCD" w:rsidRPr="255CEF80">
        <w:rPr>
          <w:sz w:val="21"/>
          <w:szCs w:val="21"/>
        </w:rPr>
        <w:t xml:space="preserve">its focus on </w:t>
      </w:r>
      <w:r w:rsidR="000360CD">
        <w:rPr>
          <w:sz w:val="21"/>
          <w:szCs w:val="21"/>
        </w:rPr>
        <w:t xml:space="preserve">complementarity </w:t>
      </w:r>
      <w:r w:rsidR="0034184A" w:rsidRPr="255CEF80">
        <w:rPr>
          <w:sz w:val="21"/>
          <w:szCs w:val="21"/>
        </w:rPr>
        <w:t xml:space="preserve">with </w:t>
      </w:r>
      <w:r w:rsidR="0034184A" w:rsidRPr="00006115">
        <w:rPr>
          <w:caps/>
          <w:sz w:val="21"/>
          <w:szCs w:val="21"/>
        </w:rPr>
        <w:t>Prospera</w:t>
      </w:r>
      <w:r w:rsidR="00715DCD" w:rsidRPr="255CEF80">
        <w:rPr>
          <w:sz w:val="21"/>
          <w:szCs w:val="21"/>
        </w:rPr>
        <w:t xml:space="preserve">. </w:t>
      </w:r>
      <w:r w:rsidR="000360CD" w:rsidRPr="255CEF80">
        <w:rPr>
          <w:sz w:val="21"/>
          <w:szCs w:val="21"/>
        </w:rPr>
        <w:t xml:space="preserve">Consultations were conducted with Jakarta Post, GOI, SOEs including those with financing responsibilities, Indonesian private sector representatives, other donors and development finance institutions, CSOs, Australia’s financing mechanisms, key bilateral program teams, and DFAT’s design section. </w:t>
      </w:r>
      <w:r w:rsidR="00715DCD" w:rsidRPr="255CEF80">
        <w:rPr>
          <w:sz w:val="21"/>
          <w:szCs w:val="21"/>
        </w:rPr>
        <w:t>Consultations confirmed that key</w:t>
      </w:r>
      <w:r w:rsidR="0034184A" w:rsidRPr="255CEF80">
        <w:rPr>
          <w:sz w:val="21"/>
          <w:szCs w:val="21"/>
        </w:rPr>
        <w:t xml:space="preserve"> constraints to infrastructure development, </w:t>
      </w:r>
      <w:r w:rsidR="0034184A" w:rsidRPr="255CEF80">
        <w:rPr>
          <w:sz w:val="21"/>
          <w:szCs w:val="21"/>
        </w:rPr>
        <w:lastRenderedPageBreak/>
        <w:t>growth and financing</w:t>
      </w:r>
      <w:r w:rsidR="00E03276" w:rsidRPr="255CEF80">
        <w:rPr>
          <w:sz w:val="21"/>
          <w:szCs w:val="21"/>
        </w:rPr>
        <w:t xml:space="preserve"> in Indonesia</w:t>
      </w:r>
      <w:r w:rsidR="0034184A" w:rsidRPr="255CEF80">
        <w:rPr>
          <w:sz w:val="21"/>
          <w:szCs w:val="21"/>
        </w:rPr>
        <w:t xml:space="preserve"> are </w:t>
      </w:r>
      <w:r w:rsidR="00E03276" w:rsidRPr="255CEF80">
        <w:rPr>
          <w:sz w:val="21"/>
          <w:szCs w:val="21"/>
        </w:rPr>
        <w:t xml:space="preserve">largely </w:t>
      </w:r>
      <w:r w:rsidR="0034184A" w:rsidRPr="255CEF80">
        <w:rPr>
          <w:sz w:val="21"/>
          <w:szCs w:val="21"/>
        </w:rPr>
        <w:t>political economy challenges</w:t>
      </w:r>
      <w:r w:rsidR="00E03276" w:rsidRPr="255CEF80">
        <w:rPr>
          <w:sz w:val="21"/>
          <w:szCs w:val="21"/>
        </w:rPr>
        <w:t xml:space="preserve">. </w:t>
      </w:r>
      <w:r w:rsidR="005600D9" w:rsidRPr="255CEF80">
        <w:rPr>
          <w:sz w:val="21"/>
          <w:szCs w:val="21"/>
        </w:rPr>
        <w:t>T</w:t>
      </w:r>
      <w:r w:rsidR="0034184A" w:rsidRPr="255CEF80">
        <w:rPr>
          <w:sz w:val="21"/>
          <w:szCs w:val="21"/>
        </w:rPr>
        <w:t xml:space="preserve">he </w:t>
      </w:r>
      <w:r w:rsidR="005600D9" w:rsidRPr="255CEF80">
        <w:rPr>
          <w:sz w:val="21"/>
          <w:szCs w:val="21"/>
        </w:rPr>
        <w:t xml:space="preserve">Partnership’s </w:t>
      </w:r>
      <w:r w:rsidR="0034184A" w:rsidRPr="255CEF80">
        <w:rPr>
          <w:sz w:val="21"/>
          <w:szCs w:val="21"/>
        </w:rPr>
        <w:t>emphasis on coalition building and working across the system to foster reform</w:t>
      </w:r>
      <w:r w:rsidR="00410BCF" w:rsidRPr="255CEF80">
        <w:rPr>
          <w:sz w:val="21"/>
          <w:szCs w:val="21"/>
        </w:rPr>
        <w:t xml:space="preserve"> responds directly to this feedback</w:t>
      </w:r>
      <w:r w:rsidR="0034184A" w:rsidRPr="255CEF80">
        <w:rPr>
          <w:sz w:val="21"/>
          <w:szCs w:val="21"/>
        </w:rPr>
        <w:t>.</w:t>
      </w:r>
    </w:p>
    <w:p w14:paraId="6F77BBE3" w14:textId="4C547720" w:rsidR="00C94032" w:rsidRDefault="00303DF4" w:rsidP="005F1F7F">
      <w:pPr>
        <w:rPr>
          <w:sz w:val="21"/>
          <w:szCs w:val="21"/>
        </w:rPr>
      </w:pPr>
      <w:bookmarkStart w:id="122" w:name="_Toc216260324"/>
      <w:bookmarkStart w:id="123" w:name="_Toc216264039"/>
      <w:bookmarkStart w:id="124" w:name="_Toc216269887"/>
      <w:bookmarkStart w:id="125" w:name="_Toc216270586"/>
      <w:r w:rsidRPr="00A0534D">
        <w:rPr>
          <w:rStyle w:val="Heading3Char"/>
        </w:rPr>
        <w:t xml:space="preserve">The Partnership </w:t>
      </w:r>
      <w:r w:rsidR="00ED0E31" w:rsidRPr="00A0534D">
        <w:rPr>
          <w:rStyle w:val="Heading3Char"/>
        </w:rPr>
        <w:t xml:space="preserve">must carefully balance centralised strategic direction </w:t>
      </w:r>
      <w:r w:rsidR="000360CD" w:rsidRPr="00A0534D">
        <w:rPr>
          <w:rStyle w:val="Heading3Char"/>
        </w:rPr>
        <w:t xml:space="preserve">and coordination </w:t>
      </w:r>
      <w:r w:rsidR="00ED0E31" w:rsidRPr="00A0534D">
        <w:rPr>
          <w:rStyle w:val="Heading3Char"/>
        </w:rPr>
        <w:t xml:space="preserve">with </w:t>
      </w:r>
      <w:r w:rsidR="00F31694" w:rsidRPr="00A0534D">
        <w:rPr>
          <w:rStyle w:val="Heading3Char"/>
        </w:rPr>
        <w:t xml:space="preserve">enabling </w:t>
      </w:r>
      <w:r w:rsidR="005C59A6" w:rsidRPr="00A0534D">
        <w:rPr>
          <w:rStyle w:val="Heading3Char"/>
        </w:rPr>
        <w:t xml:space="preserve">the right balance of </w:t>
      </w:r>
      <w:r w:rsidR="00ED0E31" w:rsidRPr="00A0534D">
        <w:rPr>
          <w:rStyle w:val="Heading3Char"/>
        </w:rPr>
        <w:t>partner-level responsiveness</w:t>
      </w:r>
      <w:r w:rsidR="005C59A6" w:rsidRPr="00A0534D">
        <w:rPr>
          <w:rStyle w:val="Heading3Char"/>
        </w:rPr>
        <w:t xml:space="preserve"> and autonomy</w:t>
      </w:r>
      <w:r w:rsidR="00ED0E31" w:rsidRPr="00A0534D">
        <w:rPr>
          <w:rStyle w:val="Heading3Char"/>
        </w:rPr>
        <w:t>.</w:t>
      </w:r>
      <w:bookmarkEnd w:id="122"/>
      <w:bookmarkEnd w:id="123"/>
      <w:bookmarkEnd w:id="124"/>
      <w:bookmarkEnd w:id="125"/>
      <w:r w:rsidR="00ED0E31" w:rsidRPr="255CEF80">
        <w:rPr>
          <w:sz w:val="21"/>
          <w:szCs w:val="21"/>
        </w:rPr>
        <w:t xml:space="preserve"> </w:t>
      </w:r>
      <w:r w:rsidR="00B02378" w:rsidRPr="255CEF80">
        <w:rPr>
          <w:sz w:val="21"/>
          <w:szCs w:val="21"/>
        </w:rPr>
        <w:t xml:space="preserve">A key </w:t>
      </w:r>
      <w:r w:rsidR="32C5CDA9" w:rsidRPr="255CEF80">
        <w:rPr>
          <w:sz w:val="21"/>
          <w:szCs w:val="21"/>
        </w:rPr>
        <w:t xml:space="preserve">implementation </w:t>
      </w:r>
      <w:r w:rsidR="00B02378" w:rsidRPr="255CEF80">
        <w:rPr>
          <w:sz w:val="21"/>
          <w:szCs w:val="21"/>
        </w:rPr>
        <w:t xml:space="preserve">challenge is </w:t>
      </w:r>
      <w:r w:rsidR="2F7FB3E9" w:rsidRPr="255CEF80">
        <w:rPr>
          <w:sz w:val="21"/>
          <w:szCs w:val="21"/>
        </w:rPr>
        <w:t>establishing the right</w:t>
      </w:r>
      <w:r w:rsidR="00B02378" w:rsidRPr="255CEF80">
        <w:rPr>
          <w:sz w:val="21"/>
          <w:szCs w:val="21"/>
        </w:rPr>
        <w:t xml:space="preserve"> </w:t>
      </w:r>
      <w:r w:rsidR="00B1004C" w:rsidRPr="255CEF80">
        <w:rPr>
          <w:sz w:val="21"/>
          <w:szCs w:val="21"/>
        </w:rPr>
        <w:t>internal operating environment</w:t>
      </w:r>
      <w:r w:rsidR="003C054D" w:rsidRPr="255CEF80">
        <w:rPr>
          <w:sz w:val="21"/>
          <w:szCs w:val="21"/>
        </w:rPr>
        <w:t xml:space="preserve">, </w:t>
      </w:r>
      <w:r w:rsidR="00B02378" w:rsidRPr="255CEF80">
        <w:rPr>
          <w:sz w:val="21"/>
          <w:szCs w:val="21"/>
        </w:rPr>
        <w:t xml:space="preserve">with DFAT </w:t>
      </w:r>
      <w:r w:rsidR="00AF0B98" w:rsidRPr="255CEF80">
        <w:rPr>
          <w:sz w:val="21"/>
          <w:szCs w:val="21"/>
        </w:rPr>
        <w:t>holding</w:t>
      </w:r>
      <w:r w:rsidR="00B02378" w:rsidRPr="255CEF80">
        <w:rPr>
          <w:sz w:val="21"/>
          <w:szCs w:val="21"/>
        </w:rPr>
        <w:t xml:space="preserve"> </w:t>
      </w:r>
      <w:r w:rsidR="00C84DDB" w:rsidRPr="255CEF80">
        <w:rPr>
          <w:sz w:val="21"/>
          <w:szCs w:val="21"/>
        </w:rPr>
        <w:t xml:space="preserve">responsibility for principles-based </w:t>
      </w:r>
      <w:r w:rsidR="00B02378" w:rsidRPr="255CEF80">
        <w:rPr>
          <w:sz w:val="21"/>
          <w:szCs w:val="21"/>
        </w:rPr>
        <w:t xml:space="preserve">management and governance </w:t>
      </w:r>
      <w:r w:rsidR="00C84DDB" w:rsidRPr="255CEF80">
        <w:rPr>
          <w:sz w:val="21"/>
          <w:szCs w:val="21"/>
        </w:rPr>
        <w:t>arrangements that will be</w:t>
      </w:r>
      <w:r w:rsidR="00B02378" w:rsidRPr="255CEF80">
        <w:rPr>
          <w:sz w:val="21"/>
          <w:szCs w:val="21"/>
        </w:rPr>
        <w:t xml:space="preserve"> applied across multiple delivery partners. </w:t>
      </w:r>
      <w:r w:rsidR="00C84DDB" w:rsidRPr="255CEF80">
        <w:rPr>
          <w:sz w:val="21"/>
          <w:szCs w:val="21"/>
        </w:rPr>
        <w:t>Additionally, DFAT will need to carefully defin</w:t>
      </w:r>
      <w:r w:rsidR="00D518F4" w:rsidRPr="255CEF80">
        <w:rPr>
          <w:sz w:val="21"/>
          <w:szCs w:val="21"/>
        </w:rPr>
        <w:t>e the</w:t>
      </w:r>
      <w:r w:rsidR="00B02378" w:rsidRPr="255CEF80">
        <w:rPr>
          <w:sz w:val="21"/>
          <w:szCs w:val="21"/>
        </w:rPr>
        <w:t xml:space="preserve"> parameters and processes</w:t>
      </w:r>
      <w:r w:rsidR="00B26B72" w:rsidRPr="255CEF80">
        <w:rPr>
          <w:sz w:val="21"/>
          <w:szCs w:val="21"/>
        </w:rPr>
        <w:t xml:space="preserve"> </w:t>
      </w:r>
      <w:r w:rsidR="00B02378" w:rsidRPr="255CEF80">
        <w:rPr>
          <w:sz w:val="21"/>
          <w:szCs w:val="21"/>
        </w:rPr>
        <w:t>that</w:t>
      </w:r>
      <w:r w:rsidR="00C84DDB" w:rsidRPr="255CEF80">
        <w:rPr>
          <w:sz w:val="21"/>
          <w:szCs w:val="21"/>
        </w:rPr>
        <w:t xml:space="preserve"> </w:t>
      </w:r>
      <w:r w:rsidR="00D518F4" w:rsidRPr="255CEF80">
        <w:rPr>
          <w:sz w:val="21"/>
          <w:szCs w:val="21"/>
        </w:rPr>
        <w:t>will drive a</w:t>
      </w:r>
      <w:r w:rsidR="00C84DDB" w:rsidRPr="255CEF80">
        <w:rPr>
          <w:sz w:val="21"/>
          <w:szCs w:val="21"/>
        </w:rPr>
        <w:t xml:space="preserve"> </w:t>
      </w:r>
      <w:r w:rsidR="00B02378" w:rsidRPr="255CEF80">
        <w:rPr>
          <w:sz w:val="21"/>
          <w:szCs w:val="21"/>
        </w:rPr>
        <w:t xml:space="preserve">strategic portfolio </w:t>
      </w:r>
      <w:r w:rsidR="00C84DDB" w:rsidRPr="255CEF80">
        <w:rPr>
          <w:sz w:val="21"/>
          <w:szCs w:val="21"/>
        </w:rPr>
        <w:t>of Projects and Activities</w:t>
      </w:r>
      <w:r w:rsidR="00B02378" w:rsidRPr="255CEF80">
        <w:rPr>
          <w:sz w:val="21"/>
          <w:szCs w:val="21"/>
        </w:rPr>
        <w:t>.</w:t>
      </w:r>
      <w:r w:rsidR="00914490" w:rsidRPr="255CEF80">
        <w:rPr>
          <w:sz w:val="21"/>
          <w:szCs w:val="21"/>
        </w:rPr>
        <w:t xml:space="preserve"> The design provides guidance </w:t>
      </w:r>
      <w:r w:rsidR="00D518F4" w:rsidRPr="255CEF80">
        <w:rPr>
          <w:sz w:val="21"/>
          <w:szCs w:val="21"/>
        </w:rPr>
        <w:t>for this</w:t>
      </w:r>
      <w:r w:rsidR="006105EB">
        <w:rPr>
          <w:sz w:val="21"/>
          <w:szCs w:val="21"/>
        </w:rPr>
        <w:t>;</w:t>
      </w:r>
      <w:r w:rsidR="00D518F4" w:rsidRPr="255CEF80">
        <w:rPr>
          <w:sz w:val="21"/>
          <w:szCs w:val="21"/>
        </w:rPr>
        <w:t xml:space="preserve"> </w:t>
      </w:r>
      <w:r w:rsidR="00914490" w:rsidRPr="255CEF80">
        <w:rPr>
          <w:sz w:val="21"/>
          <w:szCs w:val="21"/>
        </w:rPr>
        <w:t>however</w:t>
      </w:r>
      <w:r w:rsidR="006105EB">
        <w:rPr>
          <w:sz w:val="21"/>
          <w:szCs w:val="21"/>
        </w:rPr>
        <w:t>,</w:t>
      </w:r>
      <w:r w:rsidR="00914490" w:rsidRPr="255CEF80">
        <w:rPr>
          <w:sz w:val="21"/>
          <w:szCs w:val="21"/>
        </w:rPr>
        <w:t xml:space="preserve"> DFAT will </w:t>
      </w:r>
      <w:r w:rsidR="00605095" w:rsidRPr="255CEF80">
        <w:rPr>
          <w:sz w:val="21"/>
          <w:szCs w:val="21"/>
        </w:rPr>
        <w:t xml:space="preserve">need to </w:t>
      </w:r>
      <w:r w:rsidR="00914490" w:rsidRPr="255CEF80">
        <w:rPr>
          <w:sz w:val="21"/>
          <w:szCs w:val="21"/>
        </w:rPr>
        <w:t>undertake</w:t>
      </w:r>
      <w:r w:rsidR="00605095" w:rsidRPr="255CEF80">
        <w:rPr>
          <w:sz w:val="21"/>
          <w:szCs w:val="21"/>
        </w:rPr>
        <w:t xml:space="preserve"> further work to build</w:t>
      </w:r>
      <w:r w:rsidR="00914490" w:rsidRPr="255CEF80">
        <w:rPr>
          <w:sz w:val="21"/>
          <w:szCs w:val="21"/>
        </w:rPr>
        <w:t xml:space="preserve"> internal capabilities to manage the size and ambition of the </w:t>
      </w:r>
      <w:r w:rsidR="00605095" w:rsidRPr="255CEF80">
        <w:rPr>
          <w:sz w:val="21"/>
          <w:szCs w:val="21"/>
        </w:rPr>
        <w:t>Partnership.</w:t>
      </w:r>
      <w:r w:rsidR="00914490" w:rsidRPr="255CEF80">
        <w:rPr>
          <w:sz w:val="21"/>
          <w:szCs w:val="21"/>
        </w:rPr>
        <w:t xml:space="preserve"> </w:t>
      </w:r>
    </w:p>
    <w:p w14:paraId="60886B0B" w14:textId="77777777" w:rsidR="00C94032" w:rsidRDefault="00C94032" w:rsidP="005F1F7F">
      <w:pPr>
        <w:rPr>
          <w:sz w:val="21"/>
          <w:szCs w:val="21"/>
        </w:rPr>
      </w:pPr>
    </w:p>
    <w:p w14:paraId="164DBF14" w14:textId="77777777" w:rsidR="00D2498B" w:rsidRDefault="00D2498B" w:rsidP="00D2498B">
      <w:pPr>
        <w:pStyle w:val="Heading1"/>
      </w:pPr>
      <w:bookmarkStart w:id="126" w:name="_Toc216270587"/>
      <w:r w:rsidRPr="00D2498B">
        <w:t>Development context and situational analysis (what problem are we addressing?)</w:t>
      </w:r>
      <w:bookmarkEnd w:id="126"/>
    </w:p>
    <w:p w14:paraId="5E62F55B" w14:textId="057F2A68" w:rsidR="005E0666" w:rsidRPr="00D2498B" w:rsidRDefault="005E0666" w:rsidP="00D2498B">
      <w:pPr>
        <w:pStyle w:val="Heading2"/>
      </w:pPr>
      <w:bookmarkStart w:id="127" w:name="_Toc216264041"/>
      <w:bookmarkStart w:id="128" w:name="_Toc216269889"/>
      <w:bookmarkStart w:id="129" w:name="_Toc216270588"/>
      <w:r w:rsidRPr="00D2498B">
        <w:t>Economic and regional context</w:t>
      </w:r>
      <w:bookmarkEnd w:id="127"/>
      <w:bookmarkEnd w:id="128"/>
      <w:bookmarkEnd w:id="129"/>
    </w:p>
    <w:p w14:paraId="636DBE24" w14:textId="24AF5636" w:rsidR="00D13019" w:rsidRDefault="00CA3E7C" w:rsidP="005F1F7F">
      <w:pPr>
        <w:rPr>
          <w:sz w:val="21"/>
          <w:szCs w:val="21"/>
        </w:rPr>
      </w:pPr>
      <w:bookmarkStart w:id="130" w:name="_Toc216260327"/>
      <w:bookmarkStart w:id="131" w:name="_Toc216264042"/>
      <w:bookmarkStart w:id="132" w:name="_Toc216269890"/>
      <w:bookmarkStart w:id="133" w:name="_Toc216270589"/>
      <w:r w:rsidRPr="0076165C">
        <w:rPr>
          <w:rStyle w:val="Heading3Char"/>
        </w:rPr>
        <w:t>Indonesia</w:t>
      </w:r>
      <w:r w:rsidR="00E62E01" w:rsidRPr="0076165C">
        <w:rPr>
          <w:rStyle w:val="Heading3Char"/>
        </w:rPr>
        <w:t>’s</w:t>
      </w:r>
      <w:r w:rsidRPr="0076165C">
        <w:rPr>
          <w:rStyle w:val="Heading3Char"/>
        </w:rPr>
        <w:t xml:space="preserve"> increasing importan</w:t>
      </w:r>
      <w:r w:rsidR="00E62E01" w:rsidRPr="0076165C">
        <w:rPr>
          <w:rStyle w:val="Heading3Char"/>
        </w:rPr>
        <w:t>ce as an</w:t>
      </w:r>
      <w:r w:rsidRPr="0076165C">
        <w:rPr>
          <w:rStyle w:val="Heading3Char"/>
        </w:rPr>
        <w:t xml:space="preserve"> economic partner for Australia </w:t>
      </w:r>
      <w:r w:rsidR="007F0134" w:rsidRPr="0076165C">
        <w:rPr>
          <w:rStyle w:val="Heading3Char"/>
        </w:rPr>
        <w:t xml:space="preserve">presents </w:t>
      </w:r>
      <w:r w:rsidR="00720111" w:rsidRPr="0076165C">
        <w:rPr>
          <w:rStyle w:val="Heading3Char"/>
        </w:rPr>
        <w:t>the opportunity and imperative for deeper, more strategic engagement</w:t>
      </w:r>
      <w:r w:rsidRPr="0076165C">
        <w:rPr>
          <w:rStyle w:val="Heading3Char"/>
        </w:rPr>
        <w:t>.</w:t>
      </w:r>
      <w:bookmarkEnd w:id="130"/>
      <w:bookmarkEnd w:id="131"/>
      <w:bookmarkEnd w:id="132"/>
      <w:bookmarkEnd w:id="133"/>
      <w:r w:rsidR="00C92510" w:rsidRPr="3F2563DF">
        <w:rPr>
          <w:b/>
          <w:bCs/>
          <w:sz w:val="21"/>
          <w:szCs w:val="21"/>
        </w:rPr>
        <w:t xml:space="preserve"> </w:t>
      </w:r>
      <w:r w:rsidR="00720111" w:rsidRPr="3F2563DF">
        <w:rPr>
          <w:sz w:val="21"/>
          <w:szCs w:val="21"/>
        </w:rPr>
        <w:t>With a population of</w:t>
      </w:r>
      <w:r w:rsidR="00A25AC6" w:rsidRPr="3F2563DF">
        <w:rPr>
          <w:sz w:val="21"/>
          <w:szCs w:val="21"/>
        </w:rPr>
        <w:t xml:space="preserve"> </w:t>
      </w:r>
      <w:r w:rsidR="5B206D9E" w:rsidRPr="3F2563DF">
        <w:rPr>
          <w:sz w:val="21"/>
          <w:szCs w:val="21"/>
        </w:rPr>
        <w:t>around</w:t>
      </w:r>
      <w:r w:rsidR="00720111" w:rsidRPr="3F2563DF">
        <w:rPr>
          <w:sz w:val="21"/>
          <w:szCs w:val="21"/>
        </w:rPr>
        <w:t xml:space="preserve"> </w:t>
      </w:r>
      <w:r w:rsidR="56B24F8B" w:rsidRPr="3F2563DF">
        <w:rPr>
          <w:sz w:val="21"/>
          <w:szCs w:val="21"/>
        </w:rPr>
        <w:t>2</w:t>
      </w:r>
      <w:r w:rsidR="00720111" w:rsidRPr="3F2563DF">
        <w:rPr>
          <w:sz w:val="21"/>
          <w:szCs w:val="21"/>
        </w:rPr>
        <w:t>90 million</w:t>
      </w:r>
      <w:r w:rsidR="00A25AC6" w:rsidRPr="3F2563DF">
        <w:rPr>
          <w:sz w:val="21"/>
          <w:szCs w:val="21"/>
        </w:rPr>
        <w:t xml:space="preserve"> and an average annual growth rate of 5</w:t>
      </w:r>
      <w:r w:rsidR="004F3618">
        <w:rPr>
          <w:sz w:val="21"/>
          <w:szCs w:val="21"/>
        </w:rPr>
        <w:t>%</w:t>
      </w:r>
      <w:r w:rsidR="00720111" w:rsidRPr="3F2563DF">
        <w:rPr>
          <w:sz w:val="21"/>
          <w:szCs w:val="21"/>
        </w:rPr>
        <w:t xml:space="preserve">, Indonesia is an important </w:t>
      </w:r>
      <w:r w:rsidR="004D74B1" w:rsidRPr="3F2563DF">
        <w:rPr>
          <w:sz w:val="21"/>
          <w:szCs w:val="21"/>
        </w:rPr>
        <w:t>economic partner</w:t>
      </w:r>
      <w:r w:rsidR="00720111" w:rsidRPr="3F2563DF">
        <w:rPr>
          <w:sz w:val="21"/>
          <w:szCs w:val="21"/>
        </w:rPr>
        <w:t xml:space="preserve"> for Australia. </w:t>
      </w:r>
      <w:r w:rsidR="009B3417" w:rsidRPr="3F2563DF">
        <w:rPr>
          <w:sz w:val="21"/>
          <w:szCs w:val="21"/>
        </w:rPr>
        <w:t>Indonesia’s</w:t>
      </w:r>
      <w:r w:rsidRPr="3F2563DF">
        <w:rPr>
          <w:sz w:val="21"/>
          <w:szCs w:val="21"/>
        </w:rPr>
        <w:t xml:space="preserve"> </w:t>
      </w:r>
      <w:r w:rsidR="55FDA6BC" w:rsidRPr="3F2563DF">
        <w:rPr>
          <w:sz w:val="21"/>
          <w:szCs w:val="21"/>
        </w:rPr>
        <w:t>Long</w:t>
      </w:r>
      <w:r w:rsidR="005C66B6" w:rsidRPr="3F2563DF">
        <w:rPr>
          <w:sz w:val="21"/>
          <w:szCs w:val="21"/>
        </w:rPr>
        <w:t>-Term</w:t>
      </w:r>
      <w:r w:rsidRPr="3F2563DF">
        <w:rPr>
          <w:sz w:val="21"/>
          <w:szCs w:val="21"/>
        </w:rPr>
        <w:t xml:space="preserve"> Development Plan (R</w:t>
      </w:r>
      <w:r w:rsidR="00A32EE0">
        <w:rPr>
          <w:sz w:val="21"/>
          <w:szCs w:val="21"/>
        </w:rPr>
        <w:t>P</w:t>
      </w:r>
      <w:r w:rsidRPr="3F2563DF">
        <w:rPr>
          <w:sz w:val="21"/>
          <w:szCs w:val="21"/>
        </w:rPr>
        <w:t xml:space="preserve">JPN 2025-2045) outlines a vision </w:t>
      </w:r>
      <w:r w:rsidR="009F5037" w:rsidRPr="3F2563DF">
        <w:rPr>
          <w:sz w:val="21"/>
          <w:szCs w:val="21"/>
        </w:rPr>
        <w:t xml:space="preserve">for achieving </w:t>
      </w:r>
      <w:r w:rsidRPr="3F2563DF">
        <w:rPr>
          <w:sz w:val="21"/>
          <w:szCs w:val="21"/>
        </w:rPr>
        <w:t xml:space="preserve">upper </w:t>
      </w:r>
      <w:r w:rsidR="005C66B6" w:rsidRPr="3F2563DF">
        <w:rPr>
          <w:sz w:val="21"/>
          <w:szCs w:val="21"/>
        </w:rPr>
        <w:t>middle-income</w:t>
      </w:r>
      <w:r w:rsidRPr="3F2563DF">
        <w:rPr>
          <w:sz w:val="21"/>
          <w:szCs w:val="21"/>
        </w:rPr>
        <w:t xml:space="preserve"> status, creating </w:t>
      </w:r>
      <w:r w:rsidR="009E25EC" w:rsidRPr="3F2563DF">
        <w:rPr>
          <w:sz w:val="21"/>
          <w:szCs w:val="21"/>
        </w:rPr>
        <w:t xml:space="preserve">demand </w:t>
      </w:r>
      <w:r w:rsidRPr="3F2563DF">
        <w:rPr>
          <w:sz w:val="21"/>
          <w:szCs w:val="21"/>
        </w:rPr>
        <w:t xml:space="preserve">for employment, </w:t>
      </w:r>
      <w:r w:rsidR="009E25EC" w:rsidRPr="3F2563DF">
        <w:rPr>
          <w:sz w:val="21"/>
          <w:szCs w:val="21"/>
        </w:rPr>
        <w:t xml:space="preserve">infrastructure, clean energy and resilient </w:t>
      </w:r>
      <w:r w:rsidRPr="3F2563DF">
        <w:rPr>
          <w:sz w:val="21"/>
          <w:szCs w:val="21"/>
        </w:rPr>
        <w:t>services</w:t>
      </w:r>
      <w:r w:rsidR="00D13019" w:rsidRPr="3F2563DF">
        <w:rPr>
          <w:sz w:val="21"/>
          <w:szCs w:val="21"/>
        </w:rPr>
        <w:t xml:space="preserve">. </w:t>
      </w:r>
      <w:r w:rsidR="00997CE4" w:rsidRPr="3F2563DF">
        <w:rPr>
          <w:sz w:val="21"/>
          <w:szCs w:val="21"/>
        </w:rPr>
        <w:t>Working with Indonesia helps shape a more stable, prosperous and climate resilient region</w:t>
      </w:r>
      <w:r w:rsidR="009044BF" w:rsidRPr="3F2563DF">
        <w:rPr>
          <w:sz w:val="21"/>
          <w:szCs w:val="21"/>
        </w:rPr>
        <w:t>, while supporting inclusive growt</w:t>
      </w:r>
      <w:r w:rsidR="00AB41C8" w:rsidRPr="3F2563DF">
        <w:rPr>
          <w:sz w:val="21"/>
          <w:szCs w:val="21"/>
        </w:rPr>
        <w:t>h.</w:t>
      </w:r>
    </w:p>
    <w:p w14:paraId="4BF4B182" w14:textId="71EB8F42" w:rsidR="00CA3E7C" w:rsidRDefault="2CCF0182" w:rsidP="005F1F7F">
      <w:pPr>
        <w:rPr>
          <w:sz w:val="21"/>
          <w:szCs w:val="21"/>
        </w:rPr>
      </w:pPr>
      <w:bookmarkStart w:id="134" w:name="_Toc216260328"/>
      <w:bookmarkStart w:id="135" w:name="_Toc216264043"/>
      <w:bookmarkStart w:id="136" w:name="_Toc216269891"/>
      <w:bookmarkStart w:id="137" w:name="_Toc216270590"/>
      <w:r w:rsidRPr="0076165C">
        <w:rPr>
          <w:rStyle w:val="Heading3Char"/>
        </w:rPr>
        <w:t>Indonesia</w:t>
      </w:r>
      <w:r w:rsidR="3F7CDADA" w:rsidRPr="0076165C">
        <w:rPr>
          <w:rStyle w:val="Heading3Char"/>
        </w:rPr>
        <w:t xml:space="preserve"> actively engages in both bilateral and regional trade agreements, and its leadership in ASEAN highlights its important </w:t>
      </w:r>
      <w:r w:rsidRPr="0076165C">
        <w:rPr>
          <w:rStyle w:val="Heading3Char"/>
        </w:rPr>
        <w:t>contribution to regional stability and economic integration.</w:t>
      </w:r>
      <w:bookmarkEnd w:id="134"/>
      <w:bookmarkEnd w:id="135"/>
      <w:bookmarkEnd w:id="136"/>
      <w:bookmarkEnd w:id="137"/>
      <w:r w:rsidRPr="1169CFB7">
        <w:rPr>
          <w:sz w:val="21"/>
          <w:szCs w:val="21"/>
        </w:rPr>
        <w:t xml:space="preserve"> </w:t>
      </w:r>
      <w:r w:rsidR="33ED6E2E" w:rsidRPr="1169CFB7">
        <w:rPr>
          <w:sz w:val="21"/>
          <w:szCs w:val="21"/>
        </w:rPr>
        <w:t xml:space="preserve">Indonesia is also pursuing membership of both the OECD and the CPTPP.  </w:t>
      </w:r>
      <w:r w:rsidR="782F5960" w:rsidRPr="1169CFB7">
        <w:rPr>
          <w:sz w:val="21"/>
          <w:szCs w:val="21"/>
        </w:rPr>
        <w:t xml:space="preserve">Indonesia’s commitment to open, fair, and free trade is important for the prosperity of Southeast Asia </w:t>
      </w:r>
      <w:r w:rsidR="2BEDB98D" w:rsidRPr="1169CFB7">
        <w:rPr>
          <w:sz w:val="21"/>
          <w:szCs w:val="21"/>
        </w:rPr>
        <w:t xml:space="preserve">and </w:t>
      </w:r>
      <w:r w:rsidR="782F5960" w:rsidRPr="1169CFB7">
        <w:rPr>
          <w:sz w:val="21"/>
          <w:szCs w:val="21"/>
        </w:rPr>
        <w:t>directly benefits Australia by ensuring predictable, mutually advantageous access to markets</w:t>
      </w:r>
      <w:r w:rsidR="232FF35C" w:rsidRPr="1169CFB7">
        <w:rPr>
          <w:sz w:val="21"/>
          <w:szCs w:val="21"/>
        </w:rPr>
        <w:t xml:space="preserve">, </w:t>
      </w:r>
      <w:r w:rsidR="782F5960" w:rsidRPr="1169CFB7">
        <w:rPr>
          <w:sz w:val="21"/>
          <w:szCs w:val="21"/>
        </w:rPr>
        <w:t>upholding the rules-based order that underpins regional and global trade.</w:t>
      </w:r>
      <w:r w:rsidR="25AEC871" w:rsidRPr="1169CFB7">
        <w:rPr>
          <w:sz w:val="21"/>
          <w:szCs w:val="21"/>
        </w:rPr>
        <w:t xml:space="preserve"> </w:t>
      </w:r>
      <w:r w:rsidR="782F5960" w:rsidRPr="1169CFB7">
        <w:rPr>
          <w:sz w:val="21"/>
          <w:szCs w:val="21"/>
        </w:rPr>
        <w:t xml:space="preserve">Australia has a strategic interest in </w:t>
      </w:r>
      <w:r w:rsidR="0078608B">
        <w:rPr>
          <w:sz w:val="21"/>
          <w:szCs w:val="21"/>
        </w:rPr>
        <w:t xml:space="preserve">deepening </w:t>
      </w:r>
      <w:r w:rsidR="782F5960" w:rsidRPr="1169CFB7">
        <w:rPr>
          <w:sz w:val="21"/>
          <w:szCs w:val="21"/>
        </w:rPr>
        <w:t>its relationship with Indonesia through increased investment in infrastructure from Australian and other international sources. Such investment creates mutually beneficial trade and commercial opportunities that enhance the Indonesia</w:t>
      </w:r>
      <w:r w:rsidR="0078608B">
        <w:rPr>
          <w:sz w:val="21"/>
          <w:szCs w:val="21"/>
        </w:rPr>
        <w:t>-</w:t>
      </w:r>
      <w:r w:rsidR="782F5960" w:rsidRPr="1169CFB7">
        <w:rPr>
          <w:sz w:val="21"/>
          <w:szCs w:val="21"/>
        </w:rPr>
        <w:t>Australia economic partnership while contributing to regional development.</w:t>
      </w:r>
    </w:p>
    <w:p w14:paraId="04624E55" w14:textId="47BF1E55" w:rsidR="00662FA0" w:rsidRPr="003E18AD" w:rsidRDefault="00662FA0" w:rsidP="005F1F7F">
      <w:pPr>
        <w:rPr>
          <w:sz w:val="21"/>
          <w:szCs w:val="21"/>
        </w:rPr>
      </w:pPr>
      <w:bookmarkStart w:id="138" w:name="_Toc216260329"/>
      <w:bookmarkStart w:id="139" w:name="_Toc216264044"/>
      <w:bookmarkStart w:id="140" w:name="_Toc216269892"/>
      <w:bookmarkStart w:id="141" w:name="_Toc216270591"/>
      <w:r w:rsidRPr="0076165C">
        <w:rPr>
          <w:rStyle w:val="Heading3Char"/>
        </w:rPr>
        <w:t>Indonesia’s economy is diverse and dynamic, comprising three main sectors: agriculture, manufacturing (industry), and services.</w:t>
      </w:r>
      <w:bookmarkEnd w:id="138"/>
      <w:bookmarkEnd w:id="139"/>
      <w:bookmarkEnd w:id="140"/>
      <w:bookmarkEnd w:id="141"/>
      <w:r w:rsidRPr="003E18AD">
        <w:rPr>
          <w:sz w:val="21"/>
          <w:szCs w:val="21"/>
        </w:rPr>
        <w:t xml:space="preserve"> The services sector, which includes trade, tourism, finance, and information technology, accounts for over 45% of GDP and is a key driver of growth and employment</w:t>
      </w:r>
      <w:r w:rsidRPr="003E18AD">
        <w:rPr>
          <w:rStyle w:val="FootnoteReference"/>
          <w:rFonts w:ascii="Calibri" w:hAnsi="Calibri" w:cs="Calibri"/>
          <w:sz w:val="21"/>
          <w:szCs w:val="21"/>
        </w:rPr>
        <w:footnoteReference w:id="5"/>
      </w:r>
      <w:r w:rsidRPr="003E18AD">
        <w:rPr>
          <w:sz w:val="21"/>
          <w:szCs w:val="21"/>
        </w:rPr>
        <w:t>. Manufacturing mak</w:t>
      </w:r>
      <w:r w:rsidRPr="32935978">
        <w:rPr>
          <w:sz w:val="21"/>
          <w:szCs w:val="21"/>
        </w:rPr>
        <w:t xml:space="preserve">es </w:t>
      </w:r>
      <w:r w:rsidRPr="003E18AD">
        <w:rPr>
          <w:sz w:val="21"/>
          <w:szCs w:val="21"/>
        </w:rPr>
        <w:t xml:space="preserve">up around 20%of GDP, </w:t>
      </w:r>
      <w:r w:rsidRPr="32935978">
        <w:rPr>
          <w:sz w:val="21"/>
          <w:szCs w:val="21"/>
        </w:rPr>
        <w:t xml:space="preserve">led by </w:t>
      </w:r>
      <w:r w:rsidRPr="003E18AD">
        <w:rPr>
          <w:sz w:val="21"/>
          <w:szCs w:val="21"/>
        </w:rPr>
        <w:t>industries such as textiles, automotive, electronics, and food processing</w:t>
      </w:r>
      <w:r w:rsidRPr="003E18AD">
        <w:rPr>
          <w:rStyle w:val="FootnoteReference"/>
          <w:rFonts w:ascii="Calibri" w:hAnsi="Calibri" w:cs="Calibri"/>
          <w:sz w:val="21"/>
          <w:szCs w:val="21"/>
        </w:rPr>
        <w:footnoteReference w:id="6"/>
      </w:r>
      <w:r w:rsidRPr="003E18AD">
        <w:rPr>
          <w:sz w:val="21"/>
          <w:szCs w:val="21"/>
        </w:rPr>
        <w:t xml:space="preserve">. Agriculture, while a smaller share </w:t>
      </w:r>
      <w:r w:rsidRPr="32935978">
        <w:rPr>
          <w:sz w:val="21"/>
          <w:szCs w:val="21"/>
        </w:rPr>
        <w:t xml:space="preserve">of </w:t>
      </w:r>
      <w:r w:rsidRPr="003E18AD">
        <w:rPr>
          <w:sz w:val="21"/>
          <w:szCs w:val="21"/>
        </w:rPr>
        <w:t xml:space="preserve">GDP (about 13%), </w:t>
      </w:r>
      <w:r w:rsidRPr="32935978">
        <w:rPr>
          <w:sz w:val="21"/>
          <w:szCs w:val="21"/>
        </w:rPr>
        <w:t>remains essential for employment</w:t>
      </w:r>
      <w:r w:rsidRPr="003E18AD">
        <w:rPr>
          <w:sz w:val="21"/>
          <w:szCs w:val="21"/>
        </w:rPr>
        <w:t>, particularly in rural areas, and is vital for livelihoods and food security</w:t>
      </w:r>
      <w:r w:rsidRPr="003E18AD">
        <w:rPr>
          <w:rStyle w:val="FootnoteReference"/>
          <w:rFonts w:ascii="Calibri" w:hAnsi="Calibri" w:cs="Calibri"/>
          <w:sz w:val="21"/>
          <w:szCs w:val="21"/>
        </w:rPr>
        <w:footnoteReference w:id="7"/>
      </w:r>
      <w:r w:rsidRPr="32935978">
        <w:rPr>
          <w:sz w:val="21"/>
          <w:szCs w:val="21"/>
        </w:rPr>
        <w:t>. Climate resilient infrastructure supports growth across these sectors, creating new trade, investment and supply chain opportunities.</w:t>
      </w:r>
    </w:p>
    <w:p w14:paraId="4A63B652" w14:textId="77777777" w:rsidR="00662FA0" w:rsidRPr="00296C1F" w:rsidRDefault="00662FA0" w:rsidP="005F1F7F">
      <w:bookmarkStart w:id="142" w:name="_Toc216260330"/>
      <w:bookmarkStart w:id="143" w:name="_Toc216264045"/>
      <w:bookmarkStart w:id="144" w:name="_Toc216269893"/>
      <w:bookmarkStart w:id="145" w:name="_Toc216270592"/>
      <w:r w:rsidRPr="0076165C">
        <w:rPr>
          <w:rStyle w:val="Heading3Char"/>
        </w:rPr>
        <w:t>Small and medium enterprises (SMEs) are the engine of Indonesia’s economy, but face barriers to growth, innovation and inclusion.</w:t>
      </w:r>
      <w:bookmarkEnd w:id="142"/>
      <w:bookmarkEnd w:id="143"/>
      <w:bookmarkEnd w:id="144"/>
      <w:bookmarkEnd w:id="145"/>
      <w:r>
        <w:rPr>
          <w:sz w:val="21"/>
          <w:szCs w:val="21"/>
        </w:rPr>
        <w:t xml:space="preserve"> Most SMEs are </w:t>
      </w:r>
      <w:r w:rsidRPr="00331118">
        <w:rPr>
          <w:sz w:val="21"/>
          <w:szCs w:val="21"/>
        </w:rPr>
        <w:t>led by women who face entrenched gender barriers. These SMEs play vital roles in the informal economy and community level climate resilience. Supporting women-led SMEs fosters a shift towards climate-positive enterprises and goals.</w:t>
      </w:r>
    </w:p>
    <w:p w14:paraId="20BDA6AF" w14:textId="1132338E" w:rsidR="00A452F1" w:rsidRPr="005250CE" w:rsidRDefault="00CA3E7C" w:rsidP="005250CE">
      <w:pPr>
        <w:rPr>
          <w:sz w:val="21"/>
          <w:szCs w:val="21"/>
        </w:rPr>
      </w:pPr>
      <w:bookmarkStart w:id="146" w:name="_Toc216260331"/>
      <w:bookmarkStart w:id="147" w:name="_Toc216264046"/>
      <w:bookmarkStart w:id="148" w:name="_Toc216269894"/>
      <w:bookmarkStart w:id="149" w:name="_Toc216270593"/>
      <w:r w:rsidRPr="0076165C">
        <w:rPr>
          <w:rStyle w:val="Heading3Char"/>
        </w:rPr>
        <w:t xml:space="preserve">The </w:t>
      </w:r>
      <w:r w:rsidR="00E867E5" w:rsidRPr="0076165C">
        <w:rPr>
          <w:rStyle w:val="Heading3Char"/>
        </w:rPr>
        <w:t xml:space="preserve">global environment presents </w:t>
      </w:r>
      <w:r w:rsidRPr="0076165C">
        <w:rPr>
          <w:rStyle w:val="Heading3Char"/>
        </w:rPr>
        <w:t>uncertain</w:t>
      </w:r>
      <w:r w:rsidR="00E867E5" w:rsidRPr="0076165C">
        <w:rPr>
          <w:rStyle w:val="Heading3Char"/>
        </w:rPr>
        <w:t>ty</w:t>
      </w:r>
      <w:r w:rsidR="00AD1530" w:rsidRPr="0076165C">
        <w:rPr>
          <w:rStyle w:val="Heading3Char"/>
        </w:rPr>
        <w:t>, but also opportunities for reform.</w:t>
      </w:r>
      <w:bookmarkEnd w:id="146"/>
      <w:bookmarkEnd w:id="147"/>
      <w:bookmarkEnd w:id="148"/>
      <w:bookmarkEnd w:id="149"/>
      <w:r w:rsidR="00F9623C">
        <w:rPr>
          <w:b/>
          <w:bCs/>
          <w:sz w:val="21"/>
          <w:szCs w:val="21"/>
        </w:rPr>
        <w:t xml:space="preserve"> </w:t>
      </w:r>
      <w:r w:rsidR="00A45E50">
        <w:rPr>
          <w:sz w:val="21"/>
          <w:szCs w:val="21"/>
        </w:rPr>
        <w:t>Ge</w:t>
      </w:r>
      <w:r w:rsidR="003A6B9C">
        <w:rPr>
          <w:sz w:val="21"/>
          <w:szCs w:val="21"/>
        </w:rPr>
        <w:t>opolitical headwinds, climate change</w:t>
      </w:r>
      <w:r w:rsidR="00781593">
        <w:rPr>
          <w:sz w:val="21"/>
          <w:szCs w:val="21"/>
        </w:rPr>
        <w:t xml:space="preserve"> pressures</w:t>
      </w:r>
      <w:r w:rsidR="00CA6069">
        <w:rPr>
          <w:sz w:val="21"/>
          <w:szCs w:val="21"/>
        </w:rPr>
        <w:t>,</w:t>
      </w:r>
      <w:r w:rsidR="00781593">
        <w:rPr>
          <w:sz w:val="21"/>
          <w:szCs w:val="21"/>
        </w:rPr>
        <w:t xml:space="preserve"> and financial volatility create the urgency for structural reform</w:t>
      </w:r>
      <w:r w:rsidR="000B75FB">
        <w:rPr>
          <w:sz w:val="21"/>
          <w:szCs w:val="21"/>
        </w:rPr>
        <w:t>.</w:t>
      </w:r>
      <w:r w:rsidRPr="003E18AD">
        <w:rPr>
          <w:sz w:val="21"/>
          <w:szCs w:val="21"/>
        </w:rPr>
        <w:t xml:space="preserve"> While the unclear outlook makes definitive planning inappropriate, </w:t>
      </w:r>
      <w:r w:rsidR="009448E4">
        <w:rPr>
          <w:sz w:val="21"/>
          <w:szCs w:val="21"/>
        </w:rPr>
        <w:t xml:space="preserve">the Partnership </w:t>
      </w:r>
      <w:r w:rsidRPr="003E18AD">
        <w:rPr>
          <w:sz w:val="21"/>
          <w:szCs w:val="21"/>
        </w:rPr>
        <w:t>can leverage</w:t>
      </w:r>
      <w:r w:rsidR="009448E4">
        <w:rPr>
          <w:sz w:val="21"/>
          <w:szCs w:val="21"/>
        </w:rPr>
        <w:t xml:space="preserve"> opportunities</w:t>
      </w:r>
      <w:r w:rsidRPr="003E18AD">
        <w:rPr>
          <w:sz w:val="21"/>
          <w:szCs w:val="21"/>
        </w:rPr>
        <w:t xml:space="preserve"> through smart and agile actions taken with the right stakeholders in a timely manner.</w:t>
      </w:r>
      <w:r w:rsidR="00B752EA">
        <w:rPr>
          <w:sz w:val="21"/>
          <w:szCs w:val="21"/>
        </w:rPr>
        <w:t xml:space="preserve"> Supporting Indonesia</w:t>
      </w:r>
      <w:r w:rsidR="00050A35">
        <w:rPr>
          <w:sz w:val="21"/>
          <w:szCs w:val="21"/>
        </w:rPr>
        <w:t xml:space="preserve"> to</w:t>
      </w:r>
      <w:r w:rsidR="00E219E2">
        <w:rPr>
          <w:sz w:val="21"/>
          <w:szCs w:val="21"/>
        </w:rPr>
        <w:t xml:space="preserve"> address</w:t>
      </w:r>
      <w:r w:rsidR="00302093">
        <w:rPr>
          <w:sz w:val="21"/>
          <w:szCs w:val="21"/>
        </w:rPr>
        <w:t xml:space="preserve"> climate and </w:t>
      </w:r>
      <w:r w:rsidR="00302093">
        <w:rPr>
          <w:sz w:val="21"/>
          <w:szCs w:val="21"/>
        </w:rPr>
        <w:lastRenderedPageBreak/>
        <w:t xml:space="preserve">infrastructure </w:t>
      </w:r>
      <w:r w:rsidR="009E0864">
        <w:rPr>
          <w:sz w:val="21"/>
          <w:szCs w:val="21"/>
        </w:rPr>
        <w:t xml:space="preserve">issues </w:t>
      </w:r>
      <w:r w:rsidR="00A64B34">
        <w:rPr>
          <w:sz w:val="21"/>
          <w:szCs w:val="21"/>
        </w:rPr>
        <w:t>reinforces Australia’s reputation as a trusted partner, expands opportunities for climate-aligned investment</w:t>
      </w:r>
      <w:r w:rsidR="00503CD2">
        <w:rPr>
          <w:sz w:val="21"/>
          <w:szCs w:val="21"/>
        </w:rPr>
        <w:t xml:space="preserve"> and </w:t>
      </w:r>
      <w:r w:rsidR="00B97F5B">
        <w:rPr>
          <w:sz w:val="21"/>
          <w:szCs w:val="21"/>
        </w:rPr>
        <w:t>bolsters regional stability.</w:t>
      </w:r>
    </w:p>
    <w:p w14:paraId="3455E3D3" w14:textId="43EF0CF4" w:rsidR="00700FB4" w:rsidRPr="003E18AD" w:rsidRDefault="00226C64" w:rsidP="005250CE">
      <w:pPr>
        <w:pStyle w:val="Heading2"/>
      </w:pPr>
      <w:bookmarkStart w:id="150" w:name="_Toc216270594"/>
      <w:r>
        <w:t xml:space="preserve">Indonesia’s </w:t>
      </w:r>
      <w:r w:rsidR="00B10243">
        <w:t xml:space="preserve">low emissions </w:t>
      </w:r>
      <w:r w:rsidR="008F6888">
        <w:t xml:space="preserve">transition </w:t>
      </w:r>
      <w:r>
        <w:t>demands coordinated, inclusive and scal</w:t>
      </w:r>
      <w:r w:rsidR="004746A2">
        <w:t>able action</w:t>
      </w:r>
      <w:bookmarkEnd w:id="150"/>
    </w:p>
    <w:p w14:paraId="39B1DF13" w14:textId="4A0CDD18" w:rsidR="007570A2" w:rsidRPr="007570A2" w:rsidRDefault="1FFC1EF4" w:rsidP="00414EE8">
      <w:pPr>
        <w:rPr>
          <w:sz w:val="21"/>
          <w:szCs w:val="21"/>
        </w:rPr>
      </w:pPr>
      <w:bookmarkStart w:id="151" w:name="_Toc216260333"/>
      <w:bookmarkStart w:id="152" w:name="_Toc216264048"/>
      <w:bookmarkStart w:id="153" w:name="_Toc216269896"/>
      <w:bookmarkStart w:id="154" w:name="_Toc216270595"/>
      <w:r w:rsidRPr="0076165C">
        <w:rPr>
          <w:rStyle w:val="Heading3Char"/>
        </w:rPr>
        <w:t>Indonesia is entering a critical decade in its transition to green growth, but fragmentation, financing gaps and policy inconsistency undermine delivery.</w:t>
      </w:r>
      <w:bookmarkEnd w:id="151"/>
      <w:bookmarkEnd w:id="152"/>
      <w:bookmarkEnd w:id="153"/>
      <w:bookmarkEnd w:id="154"/>
      <w:r w:rsidRPr="1169CFB7">
        <w:rPr>
          <w:sz w:val="21"/>
          <w:szCs w:val="21"/>
        </w:rPr>
        <w:t xml:space="preserve"> GOI has prioritised green growth in its RPJMN 2025–2029, including a scale-up of renewable energy, and investment in sustainable infrastructure. Indonesia’s abundant natural endowments, including critical minerals like nickel, vast biodiversity, and carbon sinks, position the country to become a global supplier in decarbonisation markets and a hub for green industrialisation, including battery and electric vehicle production. These emerging sectors </w:t>
      </w:r>
      <w:r w:rsidR="00296C1F">
        <w:rPr>
          <w:sz w:val="21"/>
          <w:szCs w:val="21"/>
        </w:rPr>
        <w:t xml:space="preserve">require enabling </w:t>
      </w:r>
      <w:r w:rsidRPr="1169CFB7">
        <w:rPr>
          <w:sz w:val="21"/>
          <w:szCs w:val="21"/>
        </w:rPr>
        <w:t>policy and regulatory ecosystems</w:t>
      </w:r>
      <w:r w:rsidR="6AEBABAF" w:rsidRPr="1169CFB7">
        <w:rPr>
          <w:sz w:val="21"/>
          <w:szCs w:val="21"/>
        </w:rPr>
        <w:t>, as well as a shift in labour market skills and education systems.</w:t>
      </w:r>
    </w:p>
    <w:p w14:paraId="148B256E" w14:textId="02EEB864" w:rsidR="009C553E" w:rsidRPr="007070B8" w:rsidRDefault="007570A2" w:rsidP="005F1F7F">
      <w:pPr>
        <w:rPr>
          <w:sz w:val="21"/>
          <w:szCs w:val="21"/>
        </w:rPr>
      </w:pPr>
      <w:r w:rsidRPr="007070B8">
        <w:rPr>
          <w:sz w:val="21"/>
          <w:szCs w:val="21"/>
        </w:rPr>
        <w:t>Supporting systemic reform through coherent infrastructure, climate and financing offers a powerful pathway to help Indonesia realise its green growth ambition, while fostering long-term trade, investment and strategic opportunities.</w:t>
      </w:r>
    </w:p>
    <w:p w14:paraId="1AF4011B" w14:textId="77777777" w:rsidR="000126C5" w:rsidRDefault="000126C5" w:rsidP="005F1F7F">
      <w:pPr>
        <w:pStyle w:val="IDD2"/>
        <w:spacing w:before="0"/>
      </w:pPr>
    </w:p>
    <w:p w14:paraId="23C7A297" w14:textId="60B85725" w:rsidR="009C553E" w:rsidRPr="002A6CFA" w:rsidRDefault="008F6888" w:rsidP="005250CE">
      <w:pPr>
        <w:pStyle w:val="Heading2"/>
      </w:pPr>
      <w:bookmarkStart w:id="155" w:name="_Toc216269897"/>
      <w:bookmarkStart w:id="156" w:name="_Toc216270596"/>
      <w:r w:rsidRPr="002A6CFA">
        <w:t>Infrastructure gaps and uneven access undermine inclusive,</w:t>
      </w:r>
      <w:r w:rsidR="00052D6E" w:rsidRPr="002A6CFA">
        <w:t xml:space="preserve"> </w:t>
      </w:r>
      <w:r w:rsidRPr="002A6CFA">
        <w:t xml:space="preserve">climate resilient </w:t>
      </w:r>
      <w:r w:rsidR="00052D6E" w:rsidRPr="002A6CFA">
        <w:t>development</w:t>
      </w:r>
      <w:bookmarkEnd w:id="155"/>
      <w:bookmarkEnd w:id="156"/>
    </w:p>
    <w:p w14:paraId="40B42321" w14:textId="1DDDE976" w:rsidR="00D34AAB" w:rsidRPr="00D34AAB" w:rsidRDefault="00D34AAB" w:rsidP="005F1F7F">
      <w:pPr>
        <w:rPr>
          <w:sz w:val="21"/>
          <w:szCs w:val="21"/>
        </w:rPr>
      </w:pPr>
      <w:bookmarkStart w:id="157" w:name="_Toc216260335"/>
      <w:bookmarkStart w:id="158" w:name="_Toc216264050"/>
      <w:bookmarkStart w:id="159" w:name="_Toc216269898"/>
      <w:bookmarkStart w:id="160" w:name="_Toc216270597"/>
      <w:r w:rsidRPr="0076165C">
        <w:rPr>
          <w:rStyle w:val="Heading3Char"/>
        </w:rPr>
        <w:t>President Prabowo has called for the private sector to play a larger role in the national economy, including taking the lead in infrastructure development.</w:t>
      </w:r>
      <w:bookmarkEnd w:id="157"/>
      <w:bookmarkEnd w:id="158"/>
      <w:bookmarkEnd w:id="159"/>
      <w:bookmarkEnd w:id="160"/>
      <w:r w:rsidRPr="00D34AAB">
        <w:rPr>
          <w:b/>
          <w:bCs/>
          <w:sz w:val="21"/>
          <w:szCs w:val="21"/>
        </w:rPr>
        <w:t xml:space="preserve"> </w:t>
      </w:r>
      <w:r w:rsidRPr="00D34AAB">
        <w:rPr>
          <w:sz w:val="21"/>
          <w:szCs w:val="21"/>
        </w:rPr>
        <w:t xml:space="preserve">Closing </w:t>
      </w:r>
      <w:r w:rsidRPr="7E58168B">
        <w:rPr>
          <w:sz w:val="21"/>
          <w:szCs w:val="21"/>
        </w:rPr>
        <w:t>th</w:t>
      </w:r>
      <w:r w:rsidR="1FBBC6CC" w:rsidRPr="7E58168B">
        <w:rPr>
          <w:sz w:val="21"/>
          <w:szCs w:val="21"/>
        </w:rPr>
        <w:t>e</w:t>
      </w:r>
      <w:r w:rsidRPr="00D34AAB">
        <w:rPr>
          <w:sz w:val="21"/>
          <w:szCs w:val="21"/>
        </w:rPr>
        <w:t xml:space="preserve"> infrastructure gap requires a mix of conventional and innovative approaches to effectively mobilise government and private sector financing. The GOI estimates that reaching 8% GDP growth by 2029 will require an over 300% increase in infrastructure investment compared to the previous five-year period. The government is expected to contribute approximately 40% of total investment needs while SOEs are anticipated to provide 30%. GOI is targeting the private sector to finance the remaining 30% through multiple schemes including PPPs, B2B deals and joint ventures, blended finance and asset recycling. In addition, the GOI’s Indonesia Investment Authority (INA) and the newly established </w:t>
      </w:r>
      <w:proofErr w:type="spellStart"/>
      <w:r w:rsidRPr="00A95093">
        <w:rPr>
          <w:sz w:val="21"/>
          <w:szCs w:val="21"/>
        </w:rPr>
        <w:t>Danantara</w:t>
      </w:r>
      <w:proofErr w:type="spellEnd"/>
      <w:r w:rsidRPr="00D34AAB">
        <w:rPr>
          <w:sz w:val="21"/>
          <w:szCs w:val="21"/>
        </w:rPr>
        <w:t xml:space="preserve"> Sovereign Wealth Fund are envisioned to play an important role in mobilising private sector investment in infrastructure through several investment platforms. </w:t>
      </w:r>
      <w:r w:rsidR="004917E9" w:rsidRPr="00E22C64">
        <w:rPr>
          <w:sz w:val="21"/>
          <w:szCs w:val="21"/>
        </w:rPr>
        <w:t>Successive Indonesia</w:t>
      </w:r>
      <w:r w:rsidR="004917E9">
        <w:rPr>
          <w:sz w:val="21"/>
          <w:szCs w:val="21"/>
        </w:rPr>
        <w:t xml:space="preserve">n </w:t>
      </w:r>
      <w:r w:rsidR="03277E81" w:rsidRPr="29FD2D98">
        <w:rPr>
          <w:sz w:val="21"/>
          <w:szCs w:val="21"/>
        </w:rPr>
        <w:t>g</w:t>
      </w:r>
      <w:r w:rsidR="004917E9">
        <w:rPr>
          <w:sz w:val="21"/>
          <w:szCs w:val="21"/>
        </w:rPr>
        <w:t>overnments</w:t>
      </w:r>
      <w:r w:rsidR="004917E9" w:rsidRPr="00E22C64">
        <w:rPr>
          <w:sz w:val="21"/>
          <w:szCs w:val="21"/>
        </w:rPr>
        <w:t xml:space="preserve"> have looked to the private sector to bridge the country’s significant infrastructure financing gap but have been less successful in meeting </w:t>
      </w:r>
      <w:r w:rsidR="004917E9" w:rsidRPr="00EF05C3">
        <w:rPr>
          <w:sz w:val="21"/>
          <w:szCs w:val="21"/>
        </w:rPr>
        <w:t>overly ambitious</w:t>
      </w:r>
      <w:r w:rsidR="004917E9" w:rsidRPr="00E22C64">
        <w:rPr>
          <w:sz w:val="21"/>
          <w:szCs w:val="21"/>
        </w:rPr>
        <w:t xml:space="preserve"> five-year investment targets</w:t>
      </w:r>
      <w:r w:rsidR="004917E9" w:rsidRPr="00974376">
        <w:rPr>
          <w:sz w:val="21"/>
          <w:szCs w:val="21"/>
        </w:rPr>
        <w:t>.</w:t>
      </w:r>
    </w:p>
    <w:p w14:paraId="59B4757D" w14:textId="77777777" w:rsidR="00D34AAB" w:rsidRPr="00D34AAB" w:rsidRDefault="00D34AAB" w:rsidP="00000286">
      <w:pPr>
        <w:rPr>
          <w:sz w:val="21"/>
          <w:szCs w:val="21"/>
        </w:rPr>
      </w:pPr>
      <w:bookmarkStart w:id="161" w:name="_Toc216260336"/>
      <w:bookmarkStart w:id="162" w:name="_Toc216264051"/>
      <w:bookmarkStart w:id="163" w:name="_Toc216269899"/>
      <w:bookmarkStart w:id="164" w:name="_Toc216270598"/>
      <w:r w:rsidRPr="0076165C">
        <w:rPr>
          <w:rStyle w:val="Heading3Char"/>
        </w:rPr>
        <w:t>Indonesia’s infrastructure deficit is a persistent development challenge and a structural barrier to achieving its green growth targets.</w:t>
      </w:r>
      <w:bookmarkEnd w:id="161"/>
      <w:bookmarkEnd w:id="162"/>
      <w:bookmarkEnd w:id="163"/>
      <w:bookmarkEnd w:id="164"/>
      <w:r w:rsidRPr="00D34AAB">
        <w:rPr>
          <w:sz w:val="21"/>
          <w:szCs w:val="21"/>
        </w:rPr>
        <w:t xml:space="preserve"> Connectivity, logistics and access to basic infrastructure remain major constraints—particularly in eastern Indonesia and other off-Java regions. With 16 cities with populations greater than one million and an annual urbanisation growth rate of 1.8%, the effective provision of urban infrastructure and services is even more challenging. Even as Indonesia’s population growth rate has slowed, increased urbanisation and expectations for improved living standards have resulted in increasing infrastructure demands. Key sectors requiring significant infrastructure-related investment include transportation and urban mobility, renewable energy, water and sanitation, waste management, housing, health, education, food security, industrial estates and Special Economic Zones, and digitalisation. </w:t>
      </w:r>
    </w:p>
    <w:p w14:paraId="1C5C28CB" w14:textId="3779A2BF" w:rsidR="00D34AAB" w:rsidRPr="00D34AAB" w:rsidRDefault="00D34AAB" w:rsidP="005F1F7F">
      <w:pPr>
        <w:rPr>
          <w:sz w:val="21"/>
          <w:szCs w:val="21"/>
        </w:rPr>
      </w:pPr>
      <w:bookmarkStart w:id="165" w:name="_Toc216260337"/>
      <w:bookmarkStart w:id="166" w:name="_Toc216264052"/>
      <w:bookmarkStart w:id="167" w:name="_Toc216269900"/>
      <w:bookmarkStart w:id="168" w:name="_Toc216270599"/>
      <w:r w:rsidRPr="0076165C">
        <w:rPr>
          <w:rStyle w:val="Heading3Char"/>
        </w:rPr>
        <w:t>Infrastructure is impacted by, but also contributes to</w:t>
      </w:r>
      <w:r w:rsidR="001876D2" w:rsidRPr="0076165C">
        <w:rPr>
          <w:rStyle w:val="Heading3Char"/>
        </w:rPr>
        <w:t xml:space="preserve"> </w:t>
      </w:r>
      <w:r w:rsidRPr="0076165C">
        <w:rPr>
          <w:rStyle w:val="Heading3Char"/>
        </w:rPr>
        <w:t>addressing</w:t>
      </w:r>
      <w:r w:rsidR="001876D2" w:rsidRPr="0076165C">
        <w:rPr>
          <w:rStyle w:val="Heading3Char"/>
        </w:rPr>
        <w:t>,</w:t>
      </w:r>
      <w:r w:rsidRPr="0076165C">
        <w:rPr>
          <w:rStyle w:val="Heading3Char"/>
        </w:rPr>
        <w:t xml:space="preserve"> climate and disaster risks and impacts for communities and vulnerable populations in Indonesia.</w:t>
      </w:r>
      <w:bookmarkEnd w:id="165"/>
      <w:bookmarkEnd w:id="166"/>
      <w:bookmarkEnd w:id="167"/>
      <w:bookmarkEnd w:id="168"/>
      <w:r w:rsidRPr="00D34AAB">
        <w:rPr>
          <w:sz w:val="21"/>
          <w:szCs w:val="21"/>
        </w:rPr>
        <w:t xml:space="preserve"> Low-income communities, women, people with disability and remote populations continue to experience limited access to essential services. These groups also face disproportionate climate risks, including from flooding, heatwaves, and infrastructure failure. Every </w:t>
      </w:r>
      <w:r w:rsidR="00784EEA">
        <w:rPr>
          <w:sz w:val="21"/>
          <w:szCs w:val="21"/>
        </w:rPr>
        <w:t>USD</w:t>
      </w:r>
      <w:r w:rsidRPr="00D34AAB">
        <w:rPr>
          <w:sz w:val="21"/>
          <w:szCs w:val="21"/>
        </w:rPr>
        <w:t xml:space="preserve">1 invested in resilient infrastructure yields </w:t>
      </w:r>
      <w:r w:rsidR="00784EEA">
        <w:rPr>
          <w:sz w:val="21"/>
          <w:szCs w:val="21"/>
        </w:rPr>
        <w:t>USD</w:t>
      </w:r>
      <w:r w:rsidRPr="00D34AAB">
        <w:rPr>
          <w:sz w:val="21"/>
          <w:szCs w:val="21"/>
        </w:rPr>
        <w:t>4 in avoided losses (</w:t>
      </w:r>
      <w:r w:rsidR="003D106F">
        <w:rPr>
          <w:sz w:val="21"/>
          <w:szCs w:val="21"/>
        </w:rPr>
        <w:t>W</w:t>
      </w:r>
      <w:r w:rsidR="00192A5A">
        <w:rPr>
          <w:sz w:val="21"/>
          <w:szCs w:val="21"/>
        </w:rPr>
        <w:t xml:space="preserve">orld </w:t>
      </w:r>
      <w:r w:rsidR="003D106F">
        <w:rPr>
          <w:sz w:val="21"/>
          <w:szCs w:val="21"/>
        </w:rPr>
        <w:t>B</w:t>
      </w:r>
      <w:r w:rsidR="00192A5A">
        <w:rPr>
          <w:sz w:val="21"/>
          <w:szCs w:val="21"/>
        </w:rPr>
        <w:t>ank</w:t>
      </w:r>
      <w:r w:rsidRPr="00D34AAB">
        <w:rPr>
          <w:sz w:val="21"/>
          <w:szCs w:val="21"/>
        </w:rPr>
        <w:t xml:space="preserve"> 2019) and every </w:t>
      </w:r>
      <w:r w:rsidR="00784EEA">
        <w:rPr>
          <w:sz w:val="21"/>
          <w:szCs w:val="21"/>
        </w:rPr>
        <w:t>USD</w:t>
      </w:r>
      <w:r w:rsidRPr="00D34AAB">
        <w:rPr>
          <w:sz w:val="21"/>
          <w:szCs w:val="21"/>
        </w:rPr>
        <w:t xml:space="preserve">1 on climate adaptation yields over </w:t>
      </w:r>
      <w:r w:rsidR="00784EEA">
        <w:rPr>
          <w:sz w:val="21"/>
          <w:szCs w:val="21"/>
        </w:rPr>
        <w:t>USD</w:t>
      </w:r>
      <w:r w:rsidRPr="00D34AAB">
        <w:rPr>
          <w:sz w:val="21"/>
          <w:szCs w:val="21"/>
        </w:rPr>
        <w:t xml:space="preserve">10.5 of benefit over 10 years and 20-27% annual returns (WRI 2025). Reducing emissions and </w:t>
      </w:r>
      <w:r w:rsidRPr="00D34AAB">
        <w:rPr>
          <w:sz w:val="21"/>
          <w:szCs w:val="21"/>
        </w:rPr>
        <w:lastRenderedPageBreak/>
        <w:t>managing climate and disaster risks for infrastructure will require improvements across the infrastructure lifecycle.</w:t>
      </w:r>
    </w:p>
    <w:p w14:paraId="28EDB94E" w14:textId="33A4D110" w:rsidR="006F7791" w:rsidRDefault="66CE744E" w:rsidP="005F1F7F">
      <w:pPr>
        <w:rPr>
          <w:sz w:val="21"/>
          <w:szCs w:val="21"/>
        </w:rPr>
      </w:pPr>
      <w:r w:rsidRPr="007070B8">
        <w:rPr>
          <w:sz w:val="21"/>
          <w:szCs w:val="21"/>
        </w:rPr>
        <w:t>For Australia, taking a systems approach to investing in inclusive infrastructure will support better institutional reform, project preparation, financing</w:t>
      </w:r>
      <w:r w:rsidR="413F1BB3" w:rsidRPr="007070B8">
        <w:rPr>
          <w:sz w:val="21"/>
          <w:szCs w:val="21"/>
        </w:rPr>
        <w:t>,</w:t>
      </w:r>
      <w:r w:rsidRPr="007070B8">
        <w:rPr>
          <w:sz w:val="21"/>
          <w:szCs w:val="21"/>
        </w:rPr>
        <w:t xml:space="preserve"> and delivery, to help close Indonesia’s infrastructure gap and respond to the challenges and opportunities of climate change.</w:t>
      </w:r>
    </w:p>
    <w:p w14:paraId="554B8B90" w14:textId="77777777" w:rsidR="00A452F1" w:rsidRPr="007070B8" w:rsidRDefault="00A452F1" w:rsidP="005F1F7F">
      <w:pPr>
        <w:rPr>
          <w:sz w:val="21"/>
          <w:szCs w:val="21"/>
        </w:rPr>
      </w:pPr>
    </w:p>
    <w:p w14:paraId="7F1B9FE9" w14:textId="735862D5" w:rsidR="3219CE2D" w:rsidRPr="002A6CFA" w:rsidRDefault="3219CE2D" w:rsidP="005250CE">
      <w:pPr>
        <w:pStyle w:val="Heading2"/>
      </w:pPr>
      <w:bookmarkStart w:id="169" w:name="_Toc216270600"/>
      <w:r w:rsidRPr="002A6CFA">
        <w:t>Climate finance and private investment provide untapped opportunities, but significant work is required</w:t>
      </w:r>
      <w:bookmarkEnd w:id="169"/>
    </w:p>
    <w:p w14:paraId="1F01A84A" w14:textId="3AFC6097" w:rsidR="00D203F5" w:rsidRPr="00D203F5" w:rsidRDefault="00D203F5" w:rsidP="005F1F7F">
      <w:pPr>
        <w:rPr>
          <w:sz w:val="21"/>
          <w:szCs w:val="21"/>
        </w:rPr>
      </w:pPr>
      <w:bookmarkStart w:id="170" w:name="_Toc216260339"/>
      <w:bookmarkStart w:id="171" w:name="_Toc216264054"/>
      <w:bookmarkStart w:id="172" w:name="_Toc216269902"/>
      <w:bookmarkStart w:id="173" w:name="_Toc216270601"/>
      <w:r w:rsidRPr="00A0534D">
        <w:rPr>
          <w:rStyle w:val="Heading3Char"/>
        </w:rPr>
        <w:t xml:space="preserve">Indonesia faces a major climate financing </w:t>
      </w:r>
      <w:proofErr w:type="gramStart"/>
      <w:r w:rsidRPr="00A0534D">
        <w:rPr>
          <w:rStyle w:val="Heading3Char"/>
        </w:rPr>
        <w:t>gap</w:t>
      </w:r>
      <w:proofErr w:type="gramEnd"/>
      <w:r w:rsidR="00A462B4" w:rsidRPr="00A0534D">
        <w:rPr>
          <w:rStyle w:val="Heading3Char"/>
        </w:rPr>
        <w:t xml:space="preserve"> </w:t>
      </w:r>
      <w:r w:rsidRPr="00A0534D">
        <w:rPr>
          <w:rStyle w:val="Heading3Char"/>
        </w:rPr>
        <w:t>and the domestic financial sector is not yet positioned to close it.</w:t>
      </w:r>
      <w:bookmarkEnd w:id="170"/>
      <w:bookmarkEnd w:id="171"/>
      <w:bookmarkEnd w:id="172"/>
      <w:bookmarkEnd w:id="173"/>
      <w:r w:rsidRPr="00A0534D">
        <w:rPr>
          <w:rStyle w:val="Heading3Char"/>
        </w:rPr>
        <w:t xml:space="preserve"> </w:t>
      </w:r>
      <w:r w:rsidRPr="00D203F5">
        <w:rPr>
          <w:sz w:val="21"/>
          <w:szCs w:val="21"/>
        </w:rPr>
        <w:t>The Ministry of Finance estimates the cost of achieving net zero by 2060 at USD40-60 billion annually from 2030. However, current public and private climate finance flows are less than USD2 billion per year. Part of the gap must be filled with quality international and private sources, aligned with strict sustainable finance standards. While progress has been made, including the launch of a sustainable finance taxonomy and ESG frameworks, banks and financial institutions are generally risk-averse and ill-equipped to provide the patient, risk-tolerant capital needed to emerging low-carbon sectors.</w:t>
      </w:r>
    </w:p>
    <w:p w14:paraId="5B5F072C" w14:textId="5EFC5954" w:rsidR="00BD3B34" w:rsidRPr="00A452F1" w:rsidRDefault="00D203F5" w:rsidP="00A452F1">
      <w:pPr>
        <w:rPr>
          <w:sz w:val="21"/>
          <w:szCs w:val="21"/>
        </w:rPr>
      </w:pPr>
      <w:bookmarkStart w:id="174" w:name="_Toc216260340"/>
      <w:bookmarkStart w:id="175" w:name="_Toc216264055"/>
      <w:bookmarkStart w:id="176" w:name="_Toc216269903"/>
      <w:bookmarkStart w:id="177" w:name="_Toc216270602"/>
      <w:r w:rsidRPr="00A0534D">
        <w:rPr>
          <w:rStyle w:val="Heading3Char"/>
        </w:rPr>
        <w:t xml:space="preserve">Indonesia’s enabling environment for private investment </w:t>
      </w:r>
      <w:r w:rsidR="0E358FE1" w:rsidRPr="00A0534D">
        <w:rPr>
          <w:rStyle w:val="Heading3Char"/>
        </w:rPr>
        <w:t>could be strengthened</w:t>
      </w:r>
      <w:r w:rsidRPr="00A0534D">
        <w:rPr>
          <w:rStyle w:val="Heading3Char"/>
        </w:rPr>
        <w:t>.</w:t>
      </w:r>
      <w:bookmarkEnd w:id="174"/>
      <w:bookmarkEnd w:id="175"/>
      <w:bookmarkEnd w:id="176"/>
      <w:bookmarkEnd w:id="177"/>
      <w:r w:rsidRPr="1CA76B63">
        <w:rPr>
          <w:sz w:val="21"/>
          <w:szCs w:val="21"/>
        </w:rPr>
        <w:t xml:space="preserve"> Persistent barriers include inconsistent regulation, weak project screening, limited risk-sharing instruments, and opaque institutional processes. Australian and international investors frequently cite the limited pipeline of investible projects, an uncompetitive risk-reward ratio, lack of market visibility, and difficulty navigating the bureaucracy. Projects with clear climate objectives remain in short supply, and the policy incentives to prioritise climate-aligned investments are underdeveloped.</w:t>
      </w:r>
    </w:p>
    <w:p w14:paraId="63BC88D8" w14:textId="609BFDA8" w:rsidR="00D203F5" w:rsidRPr="00D203F5" w:rsidRDefault="00D203F5" w:rsidP="00000286">
      <w:pPr>
        <w:spacing w:before="0"/>
        <w:rPr>
          <w:sz w:val="21"/>
          <w:szCs w:val="21"/>
        </w:rPr>
      </w:pPr>
      <w:bookmarkStart w:id="178" w:name="_Toc216260341"/>
      <w:bookmarkStart w:id="179" w:name="_Toc216264056"/>
      <w:bookmarkStart w:id="180" w:name="_Toc216269904"/>
      <w:bookmarkStart w:id="181" w:name="_Toc216270603"/>
      <w:r w:rsidRPr="00A0534D">
        <w:rPr>
          <w:rStyle w:val="Heading3Char"/>
        </w:rPr>
        <w:t>Significant opportunities exist to improve access to innovative private capital, including over USD1.3 trillion of global climate finance flows.</w:t>
      </w:r>
      <w:bookmarkEnd w:id="178"/>
      <w:bookmarkEnd w:id="179"/>
      <w:bookmarkEnd w:id="180"/>
      <w:bookmarkEnd w:id="181"/>
      <w:r w:rsidRPr="00D203F5">
        <w:rPr>
          <w:sz w:val="21"/>
          <w:szCs w:val="21"/>
        </w:rPr>
        <w:t xml:space="preserve"> Embedding climate change mitigation, adaptation, disaster risk reduction and resilience will enable GOI to realise the social, environmental and economic benefits, including from expanding </w:t>
      </w:r>
      <w:r w:rsidR="0005336B">
        <w:rPr>
          <w:sz w:val="21"/>
          <w:szCs w:val="21"/>
        </w:rPr>
        <w:t xml:space="preserve">the </w:t>
      </w:r>
      <w:r w:rsidRPr="00D203F5">
        <w:rPr>
          <w:sz w:val="21"/>
          <w:szCs w:val="21"/>
        </w:rPr>
        <w:t>green and sustainable finance sector. International investors are looking to apply green innovations and transfer their experience to new industries and sectors. Flexibility to respond to new subsectors, where they align to the Partnership’s investment criteria and principles, can create the ability to respond when niche windows for action emerge through policy and private sector interests.</w:t>
      </w:r>
    </w:p>
    <w:p w14:paraId="52DAA447" w14:textId="712B8BA5" w:rsidR="00D203F5" w:rsidRPr="00D203F5" w:rsidRDefault="00D203F5" w:rsidP="005F1F7F">
      <w:pPr>
        <w:rPr>
          <w:sz w:val="21"/>
          <w:szCs w:val="21"/>
        </w:rPr>
      </w:pPr>
      <w:bookmarkStart w:id="182" w:name="_Toc216260342"/>
      <w:bookmarkStart w:id="183" w:name="_Toc216264057"/>
      <w:bookmarkStart w:id="184" w:name="_Toc216269905"/>
      <w:bookmarkStart w:id="185" w:name="_Toc216270604"/>
      <w:r w:rsidRPr="00A0534D">
        <w:rPr>
          <w:rStyle w:val="Heading3Char"/>
        </w:rPr>
        <w:t>Key sectors (water and sanitation, urban connectivity, and energy) can leverage alternative sources of financing while contributing to Indonesia’s efforts to address climate change.</w:t>
      </w:r>
      <w:bookmarkEnd w:id="182"/>
      <w:bookmarkEnd w:id="183"/>
      <w:bookmarkEnd w:id="184"/>
      <w:bookmarkEnd w:id="185"/>
      <w:r w:rsidRPr="00D203F5">
        <w:rPr>
          <w:sz w:val="21"/>
          <w:szCs w:val="21"/>
        </w:rPr>
        <w:t xml:space="preserve"> Projects that have a primary climate objective (adaptation or mitigation) and align with emerging global green and sustainable finance taxonomies are in demand, but projects, business models and policy are rarely aligned and investment ready. In water, sanitation and waste management there are opportunities for significant reform to the operations of SOEs to privatise operations and ownership of water utilities, and to develop models for financially viable waste management systems. In urban connectivity (transport) there is scope for public transport and multi-modal hubs, unrealised productivity gains from digitalisation and automation in operations, and opportunities to extend electric vehicle public transport systems in growing urban centres. There are opportunities to prepare for scaled energy transitions and the renewable energy and integration capacity required to be ready for future market conditions and private investment</w:t>
      </w:r>
      <w:r w:rsidR="00BE1A75">
        <w:rPr>
          <w:sz w:val="21"/>
          <w:szCs w:val="21"/>
        </w:rPr>
        <w:t>, as well as</w:t>
      </w:r>
      <w:r w:rsidRPr="00D203F5">
        <w:rPr>
          <w:sz w:val="21"/>
          <w:szCs w:val="21"/>
        </w:rPr>
        <w:t xml:space="preserve"> to develop alternative electricity systems at medium and large scale while the energy grid transitions from reliance on fossil fuels. </w:t>
      </w:r>
    </w:p>
    <w:p w14:paraId="28DD2185" w14:textId="5949356B" w:rsidR="00D203F5" w:rsidRPr="00D203F5" w:rsidRDefault="00D203F5" w:rsidP="005F1F7F">
      <w:pPr>
        <w:rPr>
          <w:sz w:val="21"/>
          <w:szCs w:val="21"/>
        </w:rPr>
      </w:pPr>
      <w:bookmarkStart w:id="186" w:name="_Toc216260343"/>
      <w:bookmarkStart w:id="187" w:name="_Toc216264058"/>
      <w:bookmarkStart w:id="188" w:name="_Toc216269906"/>
      <w:bookmarkStart w:id="189" w:name="_Toc216270605"/>
      <w:r w:rsidRPr="00A0534D">
        <w:rPr>
          <w:rStyle w:val="Heading3Char"/>
        </w:rPr>
        <w:t xml:space="preserve">SMEs, which make up over 97% of Indonesian businesses, </w:t>
      </w:r>
      <w:r w:rsidR="532239A9" w:rsidRPr="00A0534D">
        <w:rPr>
          <w:rStyle w:val="Heading3Char"/>
        </w:rPr>
        <w:t xml:space="preserve">are </w:t>
      </w:r>
      <w:r w:rsidRPr="00A0534D">
        <w:rPr>
          <w:rStyle w:val="Heading3Char"/>
        </w:rPr>
        <w:t>emerging in Indonesia to take advantage of these opportunities, many of them women-led businesses.</w:t>
      </w:r>
      <w:bookmarkEnd w:id="186"/>
      <w:bookmarkEnd w:id="187"/>
      <w:bookmarkEnd w:id="188"/>
      <w:bookmarkEnd w:id="189"/>
      <w:r w:rsidRPr="00D203F5">
        <w:rPr>
          <w:b/>
          <w:bCs/>
          <w:sz w:val="21"/>
          <w:szCs w:val="21"/>
        </w:rPr>
        <w:t xml:space="preserve"> </w:t>
      </w:r>
      <w:r w:rsidRPr="00D203F5">
        <w:rPr>
          <w:sz w:val="21"/>
          <w:szCs w:val="21"/>
        </w:rPr>
        <w:t>Australian capital investments through PIDG and ADI have been exploring avenues that promote investment and influence the financial system to leverage these opportunities. Supporting inclusive, gender-responsive enterprise development—particularly for women-led SMEs, will deliver strong development outcomes.</w:t>
      </w:r>
    </w:p>
    <w:p w14:paraId="6FFD1F26" w14:textId="5CA0EC8A" w:rsidR="00A452F1" w:rsidRDefault="00D203F5" w:rsidP="005F1F7F">
      <w:pPr>
        <w:rPr>
          <w:sz w:val="21"/>
          <w:szCs w:val="21"/>
        </w:rPr>
      </w:pPr>
      <w:bookmarkStart w:id="190" w:name="_Toc216260344"/>
      <w:bookmarkStart w:id="191" w:name="_Toc216264059"/>
      <w:bookmarkStart w:id="192" w:name="_Toc216269907"/>
      <w:bookmarkStart w:id="193" w:name="_Toc216270606"/>
      <w:r w:rsidRPr="00A0534D">
        <w:rPr>
          <w:rStyle w:val="Heading3Char"/>
        </w:rPr>
        <w:t>Australia is well-placed to help unlock climate-aligned finance in Indonesia.</w:t>
      </w:r>
      <w:bookmarkEnd w:id="190"/>
      <w:bookmarkEnd w:id="191"/>
      <w:bookmarkEnd w:id="192"/>
      <w:bookmarkEnd w:id="193"/>
      <w:r w:rsidRPr="00A0534D">
        <w:rPr>
          <w:rStyle w:val="Heading3Char"/>
        </w:rPr>
        <w:t xml:space="preserve"> </w:t>
      </w:r>
      <w:r w:rsidRPr="00D203F5">
        <w:rPr>
          <w:sz w:val="21"/>
          <w:szCs w:val="21"/>
        </w:rPr>
        <w:t>Through targeted investments</w:t>
      </w:r>
      <w:r w:rsidR="00D46E95">
        <w:rPr>
          <w:sz w:val="21"/>
          <w:szCs w:val="21"/>
        </w:rPr>
        <w:t xml:space="preserve"> across the project lifecycle</w:t>
      </w:r>
      <w:r w:rsidRPr="00D203F5">
        <w:rPr>
          <w:sz w:val="21"/>
          <w:szCs w:val="21"/>
        </w:rPr>
        <w:t xml:space="preserve">, blended finance tools (such as PIDG and ADI), and policy dialogue </w:t>
      </w:r>
      <w:r w:rsidR="00AC06E8">
        <w:rPr>
          <w:sz w:val="21"/>
          <w:szCs w:val="21"/>
        </w:rPr>
        <w:t xml:space="preserve">and support </w:t>
      </w:r>
      <w:r w:rsidR="00D46E95">
        <w:rPr>
          <w:sz w:val="21"/>
          <w:szCs w:val="21"/>
        </w:rPr>
        <w:t xml:space="preserve">for </w:t>
      </w:r>
      <w:r w:rsidR="00D46E95">
        <w:rPr>
          <w:sz w:val="21"/>
          <w:szCs w:val="21"/>
        </w:rPr>
        <w:lastRenderedPageBreak/>
        <w:t xml:space="preserve">reforms </w:t>
      </w:r>
      <w:r w:rsidRPr="00D203F5">
        <w:rPr>
          <w:sz w:val="21"/>
          <w:szCs w:val="21"/>
        </w:rPr>
        <w:t xml:space="preserve">that strengthen the enabling environment, Australia can strengthen its long-term economic partnership with Indonesia. </w:t>
      </w:r>
    </w:p>
    <w:p w14:paraId="0E86678B" w14:textId="77777777" w:rsidR="00A452F1" w:rsidRPr="003E18AD" w:rsidRDefault="00A452F1" w:rsidP="005F1F7F">
      <w:pPr>
        <w:rPr>
          <w:sz w:val="21"/>
          <w:szCs w:val="21"/>
        </w:rPr>
      </w:pPr>
    </w:p>
    <w:p w14:paraId="3459C2C5" w14:textId="4C833A24" w:rsidR="00B1004C" w:rsidRPr="002A6CFA" w:rsidRDefault="6C5984BA" w:rsidP="005250CE">
      <w:pPr>
        <w:pStyle w:val="Heading2"/>
      </w:pPr>
      <w:bookmarkStart w:id="194" w:name="_Toc216270607"/>
      <w:r w:rsidRPr="002A6CFA">
        <w:t>Gender</w:t>
      </w:r>
      <w:r w:rsidR="084D88F7" w:rsidRPr="002A6CFA">
        <w:t xml:space="preserve"> equality</w:t>
      </w:r>
      <w:r w:rsidRPr="002A6CFA">
        <w:t>, disability and social inclusion</w:t>
      </w:r>
      <w:bookmarkEnd w:id="194"/>
    </w:p>
    <w:p w14:paraId="71122136" w14:textId="7A2CF91D" w:rsidR="00B1004C" w:rsidRPr="003E18AD" w:rsidRDefault="0C52AC00" w:rsidP="005F1F7F">
      <w:pPr>
        <w:rPr>
          <w:sz w:val="21"/>
          <w:szCs w:val="21"/>
        </w:rPr>
      </w:pPr>
      <w:bookmarkStart w:id="195" w:name="_Toc216260346"/>
      <w:bookmarkStart w:id="196" w:name="_Toc216264061"/>
      <w:bookmarkStart w:id="197" w:name="_Toc216269909"/>
      <w:bookmarkStart w:id="198" w:name="_Toc216270608"/>
      <w:r w:rsidRPr="00A0534D">
        <w:rPr>
          <w:rStyle w:val="Heading3Char"/>
        </w:rPr>
        <w:t>Indonesia has</w:t>
      </w:r>
      <w:r w:rsidR="5E8894AE" w:rsidRPr="00A0534D">
        <w:rPr>
          <w:rStyle w:val="Heading3Char"/>
        </w:rPr>
        <w:t xml:space="preserve"> a supportive policy environment for GEDSI in infrastructure </w:t>
      </w:r>
      <w:r w:rsidR="73120BFA" w:rsidRPr="00A0534D">
        <w:rPr>
          <w:rStyle w:val="Heading3Char"/>
        </w:rPr>
        <w:t>and climate</w:t>
      </w:r>
      <w:r w:rsidR="5E8894AE" w:rsidRPr="00A0534D">
        <w:rPr>
          <w:rStyle w:val="Heading3Char"/>
        </w:rPr>
        <w:t>, but good practice and meaningful engagement</w:t>
      </w:r>
      <w:r w:rsidR="75A1C656" w:rsidRPr="00A0534D">
        <w:rPr>
          <w:rStyle w:val="Heading3Char"/>
        </w:rPr>
        <w:t xml:space="preserve"> in implementation – critical to financial viability – is </w:t>
      </w:r>
      <w:r w:rsidR="5E8894AE" w:rsidRPr="00A0534D">
        <w:rPr>
          <w:rStyle w:val="Heading3Char"/>
        </w:rPr>
        <w:t>often lacking</w:t>
      </w:r>
      <w:bookmarkEnd w:id="195"/>
      <w:bookmarkEnd w:id="196"/>
      <w:bookmarkEnd w:id="197"/>
      <w:bookmarkEnd w:id="198"/>
      <w:r w:rsidR="5E8894AE" w:rsidRPr="1169CFB7">
        <w:rPr>
          <w:sz w:val="21"/>
          <w:szCs w:val="21"/>
        </w:rPr>
        <w:t>.</w:t>
      </w:r>
      <w:r w:rsidR="25AEC871" w:rsidRPr="1169CFB7">
        <w:rPr>
          <w:sz w:val="21"/>
          <w:szCs w:val="21"/>
        </w:rPr>
        <w:t xml:space="preserve"> </w:t>
      </w:r>
      <w:r w:rsidR="00037AEB" w:rsidRPr="003E18AD">
        <w:rPr>
          <w:sz w:val="21"/>
          <w:szCs w:val="21"/>
        </w:rPr>
        <w:t>E</w:t>
      </w:r>
      <w:r w:rsidR="00B70DF0" w:rsidRPr="003E18AD">
        <w:rPr>
          <w:sz w:val="21"/>
          <w:szCs w:val="21"/>
        </w:rPr>
        <w:t xml:space="preserve">ffective translation of central </w:t>
      </w:r>
      <w:r w:rsidR="00037AEB" w:rsidRPr="003E18AD">
        <w:rPr>
          <w:sz w:val="21"/>
          <w:szCs w:val="21"/>
        </w:rPr>
        <w:t xml:space="preserve">GEDSI </w:t>
      </w:r>
      <w:r w:rsidR="00B70DF0" w:rsidRPr="003E18AD">
        <w:rPr>
          <w:sz w:val="21"/>
          <w:szCs w:val="21"/>
        </w:rPr>
        <w:t>policies into local policies and guidance remains weak due to several barriers. Key challenges include lack of knowledge among government staff, poor sociali</w:t>
      </w:r>
      <w:r w:rsidR="00932CD5" w:rsidRPr="003E18AD">
        <w:rPr>
          <w:sz w:val="21"/>
          <w:szCs w:val="21"/>
        </w:rPr>
        <w:t>s</w:t>
      </w:r>
      <w:r w:rsidR="00B70DF0" w:rsidRPr="003E18AD">
        <w:rPr>
          <w:sz w:val="21"/>
          <w:szCs w:val="21"/>
        </w:rPr>
        <w:t>ation of national regulations</w:t>
      </w:r>
      <w:r w:rsidR="00B25AC9" w:rsidRPr="003E18AD">
        <w:rPr>
          <w:sz w:val="21"/>
          <w:szCs w:val="21"/>
        </w:rPr>
        <w:t xml:space="preserve"> and polices</w:t>
      </w:r>
      <w:r w:rsidR="00B70DF0" w:rsidRPr="003E18AD">
        <w:rPr>
          <w:sz w:val="21"/>
          <w:szCs w:val="21"/>
        </w:rPr>
        <w:t>, limited political will and capacity at local levels,</w:t>
      </w:r>
      <w:r w:rsidR="00B25AC9" w:rsidRPr="003E18AD">
        <w:rPr>
          <w:sz w:val="21"/>
          <w:szCs w:val="21"/>
        </w:rPr>
        <w:t xml:space="preserve"> </w:t>
      </w:r>
      <w:r w:rsidR="00B70DF0" w:rsidRPr="003E18AD">
        <w:rPr>
          <w:sz w:val="21"/>
          <w:szCs w:val="21"/>
        </w:rPr>
        <w:t xml:space="preserve">insufficient resources including budget allocation, high staff turnover rates, and poor coordination between different levels of government. These factors collectively result in poor application of GEDSI policies at the local implementation level, where </w:t>
      </w:r>
      <w:r w:rsidR="00FA52F9">
        <w:rPr>
          <w:sz w:val="21"/>
          <w:szCs w:val="21"/>
        </w:rPr>
        <w:t>climate</w:t>
      </w:r>
      <w:r w:rsidR="00135932">
        <w:rPr>
          <w:sz w:val="21"/>
          <w:szCs w:val="21"/>
        </w:rPr>
        <w:t xml:space="preserve"> and </w:t>
      </w:r>
      <w:r w:rsidR="00FA52F9">
        <w:rPr>
          <w:sz w:val="21"/>
          <w:szCs w:val="21"/>
        </w:rPr>
        <w:t xml:space="preserve">infrastructure </w:t>
      </w:r>
      <w:r w:rsidR="00B70DF0" w:rsidRPr="003E18AD">
        <w:rPr>
          <w:sz w:val="21"/>
          <w:szCs w:val="21"/>
        </w:rPr>
        <w:t xml:space="preserve">projects </w:t>
      </w:r>
      <w:r w:rsidR="00B25AC9" w:rsidRPr="003E18AD">
        <w:rPr>
          <w:sz w:val="21"/>
          <w:szCs w:val="21"/>
        </w:rPr>
        <w:t>take</w:t>
      </w:r>
      <w:r w:rsidR="00B70DF0" w:rsidRPr="003E18AD">
        <w:rPr>
          <w:sz w:val="21"/>
          <w:szCs w:val="21"/>
        </w:rPr>
        <w:t xml:space="preserve"> place and where the impacts on communities are most directly felt.</w:t>
      </w:r>
      <w:r w:rsidR="00B1004C" w:rsidRPr="003E18AD">
        <w:rPr>
          <w:sz w:val="21"/>
          <w:szCs w:val="21"/>
        </w:rPr>
        <w:tab/>
      </w:r>
      <w:r w:rsidR="00B1004C" w:rsidRPr="003E18AD">
        <w:rPr>
          <w:sz w:val="21"/>
          <w:szCs w:val="21"/>
        </w:rPr>
        <w:tab/>
      </w:r>
    </w:p>
    <w:p w14:paraId="13C32131" w14:textId="4EB68DD5" w:rsidR="00E53703" w:rsidRPr="00A452F1" w:rsidRDefault="5E8894AE" w:rsidP="00A452F1">
      <w:pPr>
        <w:spacing w:after="0"/>
        <w:rPr>
          <w:sz w:val="21"/>
          <w:szCs w:val="21"/>
        </w:rPr>
      </w:pPr>
      <w:bookmarkStart w:id="199" w:name="_Toc216260347"/>
      <w:bookmarkStart w:id="200" w:name="_Toc216264062"/>
      <w:bookmarkStart w:id="201" w:name="_Toc216269910"/>
      <w:bookmarkStart w:id="202" w:name="_Toc216270609"/>
      <w:r w:rsidRPr="00A0534D">
        <w:rPr>
          <w:rStyle w:val="Heading3Char"/>
        </w:rPr>
        <w:t>Civil society organi</w:t>
      </w:r>
      <w:r w:rsidR="0B71C9C6" w:rsidRPr="00A0534D">
        <w:rPr>
          <w:rStyle w:val="Heading3Char"/>
        </w:rPr>
        <w:t>s</w:t>
      </w:r>
      <w:r w:rsidRPr="00A0534D">
        <w:rPr>
          <w:rStyle w:val="Heading3Char"/>
        </w:rPr>
        <w:t>ations (CSOs) and disabled persons' organi</w:t>
      </w:r>
      <w:r w:rsidR="7370786A" w:rsidRPr="00A0534D">
        <w:rPr>
          <w:rStyle w:val="Heading3Char"/>
        </w:rPr>
        <w:t>s</w:t>
      </w:r>
      <w:r w:rsidRPr="00A0534D">
        <w:rPr>
          <w:rStyle w:val="Heading3Char"/>
        </w:rPr>
        <w:t>ations (O</w:t>
      </w:r>
      <w:r w:rsidR="0096754F" w:rsidRPr="00A0534D">
        <w:rPr>
          <w:rStyle w:val="Heading3Char"/>
        </w:rPr>
        <w:t>PD</w:t>
      </w:r>
      <w:r w:rsidRPr="00A0534D">
        <w:rPr>
          <w:rStyle w:val="Heading3Char"/>
        </w:rPr>
        <w:t>s) play a crucial role in bridging the gap between communities and government</w:t>
      </w:r>
      <w:r w:rsidR="429E5AC5" w:rsidRPr="00A0534D">
        <w:rPr>
          <w:rStyle w:val="Heading3Char"/>
        </w:rPr>
        <w:t xml:space="preserve"> but</w:t>
      </w:r>
      <w:r w:rsidRPr="00A0534D">
        <w:rPr>
          <w:rStyle w:val="Heading3Char"/>
        </w:rPr>
        <w:t xml:space="preserve"> face significant constraints to engagement.</w:t>
      </w:r>
      <w:bookmarkEnd w:id="199"/>
      <w:bookmarkEnd w:id="200"/>
      <w:bookmarkEnd w:id="201"/>
      <w:bookmarkEnd w:id="202"/>
      <w:r w:rsidRPr="1169CFB7">
        <w:rPr>
          <w:sz w:val="21"/>
          <w:szCs w:val="21"/>
        </w:rPr>
        <w:t xml:space="preserve"> Many CSOs and </w:t>
      </w:r>
      <w:r w:rsidR="658723FD" w:rsidRPr="1169CFB7">
        <w:rPr>
          <w:sz w:val="21"/>
          <w:szCs w:val="21"/>
        </w:rPr>
        <w:t>OPDs</w:t>
      </w:r>
      <w:r w:rsidRPr="1169CFB7">
        <w:rPr>
          <w:sz w:val="21"/>
          <w:szCs w:val="21"/>
        </w:rPr>
        <w:t xml:space="preserve"> report that consultation processes with the government and development partners </w:t>
      </w:r>
      <w:r w:rsidR="00525AFC">
        <w:rPr>
          <w:sz w:val="21"/>
          <w:szCs w:val="21"/>
        </w:rPr>
        <w:t xml:space="preserve">on energy transition and infrastructure issues </w:t>
      </w:r>
      <w:r w:rsidRPr="1169CFB7">
        <w:rPr>
          <w:sz w:val="21"/>
          <w:szCs w:val="21"/>
        </w:rPr>
        <w:t>are often transactional, occurring only once during project inception with no further meaningful engagement throughout the implementation phase. Organi</w:t>
      </w:r>
      <w:r w:rsidR="7F286989" w:rsidRPr="1169CFB7">
        <w:rPr>
          <w:sz w:val="21"/>
          <w:szCs w:val="21"/>
        </w:rPr>
        <w:t>s</w:t>
      </w:r>
      <w:r w:rsidRPr="1169CFB7">
        <w:rPr>
          <w:sz w:val="21"/>
          <w:szCs w:val="21"/>
        </w:rPr>
        <w:t xml:space="preserve">ations representing people with disabilities specifically seek greater opportunities to understand energy transition and infrastructure issues, including access to technical terminology and knowledge, so they can participate meaningfully in dialogues where they are invited but lack the tools to effectively engage. Despite these constraints, there are significant opportunities for civil society engagement. Lessons from KINETIK emphasise building inclusive ecosystems and strengthening networks, particularly focusing on mentorship and skills training programs that can help CSOs and </w:t>
      </w:r>
      <w:r w:rsidR="007F49EB">
        <w:rPr>
          <w:sz w:val="21"/>
          <w:szCs w:val="21"/>
        </w:rPr>
        <w:t>OPD</w:t>
      </w:r>
      <w:r w:rsidR="007F49EB" w:rsidRPr="1169CFB7">
        <w:rPr>
          <w:sz w:val="21"/>
          <w:szCs w:val="21"/>
        </w:rPr>
        <w:t xml:space="preserve">s </w:t>
      </w:r>
      <w:r w:rsidRPr="1169CFB7">
        <w:rPr>
          <w:sz w:val="21"/>
          <w:szCs w:val="21"/>
        </w:rPr>
        <w:t xml:space="preserve">overcome these engagement barriers and create sustainable partnerships between CSOs, </w:t>
      </w:r>
      <w:r w:rsidR="007F49EB">
        <w:rPr>
          <w:sz w:val="21"/>
          <w:szCs w:val="21"/>
        </w:rPr>
        <w:t>OPD</w:t>
      </w:r>
      <w:r w:rsidR="007F49EB" w:rsidRPr="1169CFB7">
        <w:rPr>
          <w:sz w:val="21"/>
          <w:szCs w:val="21"/>
        </w:rPr>
        <w:t>s</w:t>
      </w:r>
      <w:r w:rsidRPr="1169CFB7">
        <w:rPr>
          <w:sz w:val="21"/>
          <w:szCs w:val="21"/>
        </w:rPr>
        <w:t>, local government, and private sector actors.</w:t>
      </w:r>
      <w:r w:rsidR="00A0534D">
        <w:rPr>
          <w:sz w:val="21"/>
          <w:szCs w:val="21"/>
        </w:rPr>
        <w:br/>
      </w:r>
    </w:p>
    <w:p w14:paraId="22E2467E" w14:textId="411668E6" w:rsidR="0000542C" w:rsidRPr="003E18AD" w:rsidRDefault="00B638E7" w:rsidP="00000286">
      <w:pPr>
        <w:spacing w:before="0"/>
        <w:rPr>
          <w:sz w:val="21"/>
          <w:szCs w:val="21"/>
        </w:rPr>
      </w:pPr>
      <w:bookmarkStart w:id="203" w:name="_Toc216260348"/>
      <w:bookmarkStart w:id="204" w:name="_Toc216264063"/>
      <w:bookmarkStart w:id="205" w:name="_Toc216269911"/>
      <w:bookmarkStart w:id="206" w:name="_Toc216270610"/>
      <w:r w:rsidRPr="00A0534D">
        <w:rPr>
          <w:rStyle w:val="Heading3Char"/>
        </w:rPr>
        <w:t>Climate change exacerbates existing inequalities, disproportionately affecting women, persons with disabilities, and marginali</w:t>
      </w:r>
      <w:r w:rsidR="00520D91" w:rsidRPr="00A0534D">
        <w:rPr>
          <w:rStyle w:val="Heading3Char"/>
        </w:rPr>
        <w:t>s</w:t>
      </w:r>
      <w:r w:rsidRPr="00A0534D">
        <w:rPr>
          <w:rStyle w:val="Heading3Char"/>
        </w:rPr>
        <w:t>ed communities, while also offering opportunities to advance inclusion through climate action.</w:t>
      </w:r>
      <w:bookmarkEnd w:id="203"/>
      <w:bookmarkEnd w:id="204"/>
      <w:bookmarkEnd w:id="205"/>
      <w:bookmarkEnd w:id="206"/>
      <w:r w:rsidRPr="00A0534D">
        <w:rPr>
          <w:rStyle w:val="Heading3Char"/>
        </w:rPr>
        <w:t xml:space="preserve"> </w:t>
      </w:r>
      <w:r w:rsidR="004509CD" w:rsidRPr="003E18AD">
        <w:rPr>
          <w:sz w:val="21"/>
          <w:szCs w:val="21"/>
        </w:rPr>
        <w:t>Infrastructure, energy, and water systems are deeply intertwined with climate change, gender equality, and social inclusion. Infrastructure contributes significantly to emissions and faces mounting climate risks, yet often excludes the needs of women, people with disabilities, and marginali</w:t>
      </w:r>
      <w:r w:rsidR="00E945E6" w:rsidRPr="003E18AD">
        <w:rPr>
          <w:sz w:val="21"/>
          <w:szCs w:val="21"/>
        </w:rPr>
        <w:t>s</w:t>
      </w:r>
      <w:r w:rsidR="004509CD" w:rsidRPr="003E18AD">
        <w:rPr>
          <w:sz w:val="21"/>
          <w:szCs w:val="21"/>
        </w:rPr>
        <w:t>ed communities due to unequal decision-making and poor inclusive design. Clean energy access can improve health, safety, and economic opportunities for women and people with disabilities but often remains limited by affordability, discriminatory policies, and lack of representation. To address these challenges, actions must include integrating gender and disability perspectives in infrastructure and energy planning, embedding universal design and climate</w:t>
      </w:r>
      <w:r w:rsidR="00A156F1" w:rsidRPr="003E18AD">
        <w:rPr>
          <w:sz w:val="21"/>
          <w:szCs w:val="21"/>
        </w:rPr>
        <w:t xml:space="preserve"> and disaster</w:t>
      </w:r>
      <w:r w:rsidR="004509CD" w:rsidRPr="003E18AD">
        <w:rPr>
          <w:sz w:val="21"/>
          <w:szCs w:val="21"/>
        </w:rPr>
        <w:t xml:space="preserve"> risk assessments, supporting women-led enterprises through procurement, investing in off-grid and inclusive clean energy solutions, and ensuring equitable access to safe, affordable WASH services for all.</w:t>
      </w:r>
      <w:r w:rsidR="007421BE" w:rsidRPr="003E18AD">
        <w:rPr>
          <w:sz w:val="21"/>
          <w:szCs w:val="21"/>
        </w:rPr>
        <w:t xml:space="preserve"> </w:t>
      </w:r>
      <w:r w:rsidR="007421BE" w:rsidRPr="007070B8">
        <w:rPr>
          <w:sz w:val="21"/>
          <w:szCs w:val="21"/>
        </w:rPr>
        <w:t xml:space="preserve">Women </w:t>
      </w:r>
      <w:r w:rsidR="00E0734B" w:rsidRPr="007070B8">
        <w:rPr>
          <w:sz w:val="21"/>
          <w:szCs w:val="21"/>
        </w:rPr>
        <w:t>and persons with disabilities</w:t>
      </w:r>
      <w:r w:rsidR="007421BE" w:rsidRPr="007070B8">
        <w:rPr>
          <w:sz w:val="21"/>
          <w:szCs w:val="21"/>
        </w:rPr>
        <w:t xml:space="preserve"> are already engaged in climate action. More women in national parliaments leads to more-ambitious climate change policies and lower emissions</w:t>
      </w:r>
      <w:r w:rsidR="00E0734B" w:rsidRPr="007070B8">
        <w:rPr>
          <w:sz w:val="21"/>
          <w:szCs w:val="21"/>
        </w:rPr>
        <w:t>, whilst di</w:t>
      </w:r>
      <w:r w:rsidR="007421BE" w:rsidRPr="007070B8">
        <w:rPr>
          <w:sz w:val="21"/>
          <w:szCs w:val="21"/>
        </w:rPr>
        <w:t>verse women’s leadership in disaster risk reduction enhances community buy-in, improves information flow and enables better-targeted programs.</w:t>
      </w:r>
    </w:p>
    <w:p w14:paraId="08BC6E67" w14:textId="658C6C79" w:rsidR="005809BB" w:rsidRDefault="005809BB" w:rsidP="005F1F7F">
      <w:pPr>
        <w:rPr>
          <w:sz w:val="21"/>
          <w:szCs w:val="21"/>
        </w:rPr>
      </w:pPr>
      <w:bookmarkStart w:id="207" w:name="_Toc216260349"/>
      <w:bookmarkStart w:id="208" w:name="_Toc216264064"/>
      <w:bookmarkStart w:id="209" w:name="_Toc216269912"/>
      <w:bookmarkStart w:id="210" w:name="_Toc216270611"/>
      <w:r w:rsidRPr="00A0534D">
        <w:rPr>
          <w:rStyle w:val="Heading3Char"/>
        </w:rPr>
        <w:t>Community engagement</w:t>
      </w:r>
      <w:r w:rsidR="00037AEB" w:rsidRPr="00A0534D">
        <w:rPr>
          <w:rStyle w:val="Heading3Char"/>
        </w:rPr>
        <w:t>, social capital</w:t>
      </w:r>
      <w:r w:rsidRPr="00A0534D">
        <w:rPr>
          <w:rStyle w:val="Heading3Char"/>
        </w:rPr>
        <w:t xml:space="preserve"> and willingness to pay are essential components of feasibility analysis and project viability in Indonesia, especially for social development projects.</w:t>
      </w:r>
      <w:bookmarkEnd w:id="207"/>
      <w:bookmarkEnd w:id="208"/>
      <w:bookmarkEnd w:id="209"/>
      <w:bookmarkEnd w:id="210"/>
      <w:r w:rsidRPr="00A0534D">
        <w:rPr>
          <w:rStyle w:val="Heading3Char"/>
        </w:rPr>
        <w:t xml:space="preserve"> </w:t>
      </w:r>
      <w:r w:rsidRPr="003E18AD">
        <w:rPr>
          <w:sz w:val="21"/>
          <w:szCs w:val="21"/>
        </w:rPr>
        <w:t xml:space="preserve">Engaging communities in the design and implementation of projects ensures that interventions are tailored to local needs and priorities, leading to higher adoption rates and greater sustainability. Willingness to pay, whether through financial contributions or in-kind support, serves as a key indicator of community ownership and long-term sustainability. Projects that secure community investment are less likely to rely solely on external funding and more likely to achieve cost recovery, as seen in community-managed renewable energy initiatives in rural Indonesia. Early and meaningful engagement also helps identify potential cultural or economic barriers, allowing for risk mitigation and the development of appropriate support mechanisms. </w:t>
      </w:r>
    </w:p>
    <w:p w14:paraId="69CF4425" w14:textId="1003A317" w:rsidR="00126856" w:rsidRDefault="00D44AD9" w:rsidP="005F1F7F">
      <w:pPr>
        <w:rPr>
          <w:sz w:val="21"/>
          <w:szCs w:val="21"/>
        </w:rPr>
      </w:pPr>
      <w:bookmarkStart w:id="211" w:name="_Toc216260350"/>
      <w:bookmarkStart w:id="212" w:name="_Toc216264065"/>
      <w:bookmarkStart w:id="213" w:name="_Toc216269913"/>
      <w:bookmarkStart w:id="214" w:name="_Toc216270612"/>
      <w:r w:rsidRPr="00A0534D">
        <w:rPr>
          <w:rStyle w:val="Heading3Char"/>
        </w:rPr>
        <w:lastRenderedPageBreak/>
        <w:t>The intersection of gender and finance highlights both a major gap and a transformational opportunity.</w:t>
      </w:r>
      <w:bookmarkEnd w:id="211"/>
      <w:bookmarkEnd w:id="212"/>
      <w:bookmarkEnd w:id="213"/>
      <w:bookmarkEnd w:id="214"/>
      <w:r w:rsidRPr="007070B8">
        <w:rPr>
          <w:b/>
          <w:bCs/>
          <w:sz w:val="21"/>
          <w:szCs w:val="21"/>
        </w:rPr>
        <w:t xml:space="preserve"> </w:t>
      </w:r>
      <w:r w:rsidRPr="00D44AD9">
        <w:rPr>
          <w:sz w:val="21"/>
          <w:szCs w:val="21"/>
        </w:rPr>
        <w:t>Women own nearly 60% of micro, small and medium enterprises in Indonesia, yet their businesses are often smaller, more informal, and have less access to finance than those owned by men. Systemic barriers</w:t>
      </w:r>
      <w:r w:rsidR="00270AB8">
        <w:rPr>
          <w:sz w:val="21"/>
          <w:szCs w:val="21"/>
        </w:rPr>
        <w:t>, i</w:t>
      </w:r>
      <w:r w:rsidRPr="00D44AD9">
        <w:rPr>
          <w:sz w:val="21"/>
          <w:szCs w:val="21"/>
        </w:rPr>
        <w:t>ncluding cultural norms, caregiving responsibilities, and lack of collateral</w:t>
      </w:r>
      <w:r w:rsidR="00270AB8">
        <w:rPr>
          <w:sz w:val="21"/>
          <w:szCs w:val="21"/>
        </w:rPr>
        <w:t xml:space="preserve">, </w:t>
      </w:r>
      <w:r w:rsidRPr="00D44AD9">
        <w:rPr>
          <w:sz w:val="21"/>
          <w:szCs w:val="21"/>
        </w:rPr>
        <w:t>limit women’s ability to scale climate-positive enterprises. While government programs provide some support to microenterprises, there is a pronounced financing gap for women-led small and medium-sized businesses, especially in the green economy.</w:t>
      </w:r>
    </w:p>
    <w:p w14:paraId="6DE8D9A6" w14:textId="536F2CCE" w:rsidR="00290210" w:rsidRPr="002A6CFA" w:rsidRDefault="00290210" w:rsidP="005250CE">
      <w:pPr>
        <w:pStyle w:val="Heading2"/>
      </w:pPr>
      <w:bookmarkStart w:id="215" w:name="_Toc216270613"/>
      <w:r w:rsidRPr="002A6CFA">
        <w:t>Automation and digitalisation</w:t>
      </w:r>
      <w:bookmarkEnd w:id="215"/>
    </w:p>
    <w:p w14:paraId="610B7B64" w14:textId="3FB47BD2" w:rsidR="00662FA0" w:rsidRPr="00662FA0" w:rsidRDefault="001F60E3" w:rsidP="005F1F7F">
      <w:r w:rsidRPr="00695EC1">
        <w:rPr>
          <w:sz w:val="21"/>
          <w:szCs w:val="21"/>
        </w:rPr>
        <w:t xml:space="preserve">The </w:t>
      </w:r>
      <w:r w:rsidR="00717D38" w:rsidRPr="00695EC1">
        <w:rPr>
          <w:sz w:val="21"/>
          <w:szCs w:val="21"/>
        </w:rPr>
        <w:t xml:space="preserve">GOI </w:t>
      </w:r>
      <w:r w:rsidR="00662FA0" w:rsidRPr="00695EC1">
        <w:rPr>
          <w:sz w:val="21"/>
          <w:szCs w:val="21"/>
        </w:rPr>
        <w:t xml:space="preserve">is acutely aware of the opportunities emerging for the use of automation and artificial intelligence to drive efficiency and productivity improvements in the economy and in service delivery.  Innovations in microgrids, early warning systems for climate-related health risks, and monitoring of forests and natural resources using new technologies have </w:t>
      </w:r>
      <w:r w:rsidR="00F65852" w:rsidRPr="00695EC1">
        <w:rPr>
          <w:sz w:val="21"/>
          <w:szCs w:val="21"/>
        </w:rPr>
        <w:t xml:space="preserve">already </w:t>
      </w:r>
      <w:r w:rsidR="00662FA0" w:rsidRPr="00695EC1">
        <w:rPr>
          <w:sz w:val="21"/>
          <w:szCs w:val="21"/>
        </w:rPr>
        <w:t>been implemented successfully. Indonesia</w:t>
      </w:r>
      <w:r w:rsidR="00F65852" w:rsidRPr="00695EC1">
        <w:rPr>
          <w:sz w:val="21"/>
          <w:szCs w:val="21"/>
        </w:rPr>
        <w:t xml:space="preserve"> is looking to exploit opportunities by attracting investors (such as Microsoft and Nvidia) to build </w:t>
      </w:r>
      <w:r w:rsidR="00130154" w:rsidRPr="00695EC1">
        <w:rPr>
          <w:sz w:val="21"/>
          <w:szCs w:val="21"/>
        </w:rPr>
        <w:t xml:space="preserve">digital and </w:t>
      </w:r>
      <w:r w:rsidR="00F65852" w:rsidRPr="00695EC1">
        <w:rPr>
          <w:sz w:val="21"/>
          <w:szCs w:val="21"/>
        </w:rPr>
        <w:t xml:space="preserve">AI infrastructure and train local workers. The government has developed a </w:t>
      </w:r>
      <w:r w:rsidR="00662FA0" w:rsidRPr="00695EC1">
        <w:rPr>
          <w:sz w:val="21"/>
          <w:szCs w:val="21"/>
        </w:rPr>
        <w:t>national AI strategy</w:t>
      </w:r>
      <w:r w:rsidR="00F65852" w:rsidRPr="00695EC1">
        <w:rPr>
          <w:rStyle w:val="FootnoteReference"/>
          <w:sz w:val="21"/>
          <w:szCs w:val="21"/>
        </w:rPr>
        <w:footnoteReference w:id="8"/>
      </w:r>
      <w:r w:rsidR="00662FA0" w:rsidRPr="00662FA0">
        <w:t xml:space="preserve"> </w:t>
      </w:r>
      <w:r w:rsidR="00F65852" w:rsidRPr="00695EC1">
        <w:rPr>
          <w:sz w:val="21"/>
          <w:szCs w:val="21"/>
        </w:rPr>
        <w:t>and incorporating strategies in policy and planning frameworks</w:t>
      </w:r>
      <w:r w:rsidR="00662FA0" w:rsidRPr="00695EC1">
        <w:rPr>
          <w:sz w:val="21"/>
          <w:szCs w:val="21"/>
        </w:rPr>
        <w:t>.</w:t>
      </w:r>
    </w:p>
    <w:p w14:paraId="2F743F40" w14:textId="1CD874C4" w:rsidR="00FC6353" w:rsidRPr="002A6CFA" w:rsidRDefault="00FC6353" w:rsidP="005250CE">
      <w:pPr>
        <w:pStyle w:val="Heading2"/>
      </w:pPr>
      <w:bookmarkStart w:id="216" w:name="_Toc216269915"/>
      <w:bookmarkStart w:id="217" w:name="_Toc216270614"/>
      <w:r w:rsidRPr="002A6CFA">
        <w:t>Lessons learned</w:t>
      </w:r>
      <w:bookmarkEnd w:id="216"/>
      <w:bookmarkEnd w:id="217"/>
      <w:r w:rsidRPr="002A6CFA">
        <w:t xml:space="preserve"> </w:t>
      </w:r>
    </w:p>
    <w:p w14:paraId="50F4945F" w14:textId="56A0E960" w:rsidR="00FC6353" w:rsidRPr="003E18AD" w:rsidRDefault="6A686BDD" w:rsidP="005F1F7F">
      <w:pPr>
        <w:rPr>
          <w:sz w:val="21"/>
          <w:szCs w:val="21"/>
        </w:rPr>
      </w:pPr>
      <w:r w:rsidRPr="1169CFB7">
        <w:rPr>
          <w:b/>
          <w:bCs/>
          <w:sz w:val="21"/>
          <w:szCs w:val="21"/>
        </w:rPr>
        <w:t xml:space="preserve">Australia has built a strong reputation and capacity in infrastructure, climate and financing through investments </w:t>
      </w:r>
      <w:r w:rsidR="001F60E3">
        <w:rPr>
          <w:b/>
          <w:bCs/>
          <w:sz w:val="21"/>
          <w:szCs w:val="21"/>
        </w:rPr>
        <w:t>such as</w:t>
      </w:r>
      <w:r w:rsidRPr="1169CFB7">
        <w:rPr>
          <w:b/>
          <w:bCs/>
          <w:sz w:val="21"/>
          <w:szCs w:val="21"/>
        </w:rPr>
        <w:t xml:space="preserve"> KIAT, KINETIK, SIAP2</w:t>
      </w:r>
      <w:r w:rsidR="00717344">
        <w:rPr>
          <w:b/>
          <w:bCs/>
          <w:sz w:val="21"/>
          <w:szCs w:val="21"/>
        </w:rPr>
        <w:t>,</w:t>
      </w:r>
      <w:r w:rsidRPr="1169CFB7">
        <w:rPr>
          <w:b/>
          <w:bCs/>
          <w:sz w:val="21"/>
          <w:szCs w:val="21"/>
        </w:rPr>
        <w:t xml:space="preserve"> and </w:t>
      </w:r>
      <w:r w:rsidR="5051EAB5" w:rsidRPr="1169CFB7">
        <w:rPr>
          <w:b/>
          <w:bCs/>
          <w:sz w:val="21"/>
          <w:szCs w:val="21"/>
        </w:rPr>
        <w:t>the Australia-Indonesia Partnership on Disaster Ris</w:t>
      </w:r>
      <w:r w:rsidR="0D40AEC3" w:rsidRPr="1169CFB7">
        <w:rPr>
          <w:b/>
          <w:bCs/>
          <w:sz w:val="21"/>
          <w:szCs w:val="21"/>
        </w:rPr>
        <w:t>k</w:t>
      </w:r>
      <w:r w:rsidR="5051EAB5" w:rsidRPr="1169CFB7">
        <w:rPr>
          <w:b/>
          <w:bCs/>
          <w:sz w:val="21"/>
          <w:szCs w:val="21"/>
        </w:rPr>
        <w:t xml:space="preserve"> Management (SIAP </w:t>
      </w:r>
      <w:r w:rsidRPr="1169CFB7">
        <w:rPr>
          <w:b/>
          <w:bCs/>
          <w:sz w:val="21"/>
          <w:szCs w:val="21"/>
        </w:rPr>
        <w:t>SIAGA</w:t>
      </w:r>
      <w:r w:rsidR="5051EAB5" w:rsidRPr="1169CFB7">
        <w:rPr>
          <w:b/>
          <w:bCs/>
          <w:sz w:val="21"/>
          <w:szCs w:val="21"/>
        </w:rPr>
        <w:t>)</w:t>
      </w:r>
      <w:r w:rsidRPr="1169CFB7">
        <w:rPr>
          <w:b/>
          <w:bCs/>
          <w:sz w:val="21"/>
          <w:szCs w:val="21"/>
        </w:rPr>
        <w:t>.</w:t>
      </w:r>
      <w:r w:rsidR="25AEC871" w:rsidRPr="1169CFB7">
        <w:rPr>
          <w:b/>
          <w:bCs/>
          <w:sz w:val="21"/>
          <w:szCs w:val="21"/>
        </w:rPr>
        <w:t xml:space="preserve"> </w:t>
      </w:r>
      <w:r w:rsidRPr="1169CFB7">
        <w:rPr>
          <w:b/>
          <w:bCs/>
          <w:sz w:val="21"/>
          <w:szCs w:val="21"/>
        </w:rPr>
        <w:t>Australia is regarded as a critical adviser, supporting the GOI in developing and implementing its own priorities and policies.</w:t>
      </w:r>
      <w:r w:rsidR="25AEC871" w:rsidRPr="1169CFB7">
        <w:rPr>
          <w:sz w:val="21"/>
          <w:szCs w:val="21"/>
        </w:rPr>
        <w:t xml:space="preserve"> </w:t>
      </w:r>
      <w:r w:rsidRPr="1169CFB7">
        <w:rPr>
          <w:sz w:val="21"/>
          <w:szCs w:val="21"/>
        </w:rPr>
        <w:t>Adopting a demand-driven and respons</w:t>
      </w:r>
      <w:r w:rsidR="62455342" w:rsidRPr="1169CFB7">
        <w:rPr>
          <w:sz w:val="21"/>
          <w:szCs w:val="21"/>
        </w:rPr>
        <w:t>ive</w:t>
      </w:r>
      <w:r w:rsidRPr="1169CFB7">
        <w:rPr>
          <w:sz w:val="21"/>
          <w:szCs w:val="21"/>
        </w:rPr>
        <w:t xml:space="preserve"> mechanism has been critical to this approach, enabling responses to emerging issues and politically important priorities, with operational and public diplomacy benefits to both governments.</w:t>
      </w:r>
      <w:r w:rsidR="25AEC871" w:rsidRPr="1169CFB7">
        <w:rPr>
          <w:sz w:val="21"/>
          <w:szCs w:val="21"/>
        </w:rPr>
        <w:t xml:space="preserve"> </w:t>
      </w:r>
      <w:r w:rsidRPr="1169CFB7">
        <w:rPr>
          <w:sz w:val="21"/>
          <w:szCs w:val="21"/>
        </w:rPr>
        <w:t xml:space="preserve">Key lessons include the importance of working across government agencies and levels to strengthen communication and coordination, </w:t>
      </w:r>
      <w:r w:rsidR="00024794">
        <w:rPr>
          <w:sz w:val="21"/>
          <w:szCs w:val="21"/>
        </w:rPr>
        <w:t xml:space="preserve">and </w:t>
      </w:r>
      <w:r w:rsidRPr="1169CFB7">
        <w:rPr>
          <w:sz w:val="21"/>
          <w:szCs w:val="21"/>
        </w:rPr>
        <w:t>the strength of demonstrating impact of individual reforms through end-to-end engagement across the project lifecycle.</w:t>
      </w:r>
      <w:r w:rsidR="00247F15">
        <w:rPr>
          <w:sz w:val="21"/>
          <w:szCs w:val="21"/>
        </w:rPr>
        <w:t xml:space="preserve"> The GOI has expressed strongly the value it places on the policy, technical and capacity building support provided by KIAT over many years to unblock internal regulatory and systems constraints.</w:t>
      </w:r>
      <w:r w:rsidR="25AEC871" w:rsidRPr="1169CFB7">
        <w:rPr>
          <w:sz w:val="21"/>
          <w:szCs w:val="21"/>
        </w:rPr>
        <w:t xml:space="preserve"> </w:t>
      </w:r>
      <w:r w:rsidRPr="1169CFB7">
        <w:rPr>
          <w:sz w:val="21"/>
          <w:szCs w:val="21"/>
        </w:rPr>
        <w:t xml:space="preserve">Australia has also benefited from the complementary support of other actors (such as the </w:t>
      </w:r>
      <w:r w:rsidR="005903B9">
        <w:rPr>
          <w:sz w:val="21"/>
          <w:szCs w:val="21"/>
        </w:rPr>
        <w:t>ADB</w:t>
      </w:r>
      <w:r w:rsidRPr="1169CFB7">
        <w:rPr>
          <w:sz w:val="21"/>
          <w:szCs w:val="21"/>
        </w:rPr>
        <w:t xml:space="preserve"> </w:t>
      </w:r>
      <w:r w:rsidR="00024794">
        <w:rPr>
          <w:sz w:val="21"/>
          <w:szCs w:val="21"/>
        </w:rPr>
        <w:t xml:space="preserve">and </w:t>
      </w:r>
      <w:r w:rsidR="003D106F">
        <w:rPr>
          <w:sz w:val="21"/>
          <w:szCs w:val="21"/>
        </w:rPr>
        <w:t>W</w:t>
      </w:r>
      <w:r w:rsidR="002C13D1">
        <w:rPr>
          <w:sz w:val="21"/>
          <w:szCs w:val="21"/>
        </w:rPr>
        <w:t xml:space="preserve">orld </w:t>
      </w:r>
      <w:r w:rsidR="003D106F">
        <w:rPr>
          <w:sz w:val="21"/>
          <w:szCs w:val="21"/>
        </w:rPr>
        <w:t>B</w:t>
      </w:r>
      <w:r w:rsidR="002C13D1">
        <w:rPr>
          <w:sz w:val="21"/>
          <w:szCs w:val="21"/>
        </w:rPr>
        <w:t>ank</w:t>
      </w:r>
      <w:r w:rsidRPr="1169CFB7">
        <w:rPr>
          <w:sz w:val="21"/>
          <w:szCs w:val="21"/>
        </w:rPr>
        <w:t xml:space="preserve">) acting in concert </w:t>
      </w:r>
      <w:r w:rsidR="001244C0">
        <w:rPr>
          <w:sz w:val="21"/>
          <w:szCs w:val="21"/>
        </w:rPr>
        <w:t xml:space="preserve">and leveraging </w:t>
      </w:r>
      <w:r w:rsidRPr="1169CFB7">
        <w:rPr>
          <w:sz w:val="21"/>
          <w:szCs w:val="21"/>
        </w:rPr>
        <w:t xml:space="preserve">different </w:t>
      </w:r>
      <w:r w:rsidR="001244C0">
        <w:rPr>
          <w:sz w:val="21"/>
          <w:szCs w:val="21"/>
        </w:rPr>
        <w:t xml:space="preserve">strengths in </w:t>
      </w:r>
      <w:r w:rsidRPr="1169CFB7">
        <w:rPr>
          <w:sz w:val="21"/>
          <w:szCs w:val="21"/>
        </w:rPr>
        <w:t xml:space="preserve">convening power and access. </w:t>
      </w:r>
    </w:p>
    <w:p w14:paraId="68C0F63A" w14:textId="6BC69850" w:rsidR="00037AEB" w:rsidRPr="003E18AD" w:rsidRDefault="00037AEB" w:rsidP="005F1F7F">
      <w:pPr>
        <w:rPr>
          <w:color w:val="ED0000"/>
          <w:sz w:val="21"/>
          <w:szCs w:val="21"/>
        </w:rPr>
      </w:pPr>
      <w:r w:rsidRPr="007070B8">
        <w:rPr>
          <w:b/>
          <w:bCs/>
          <w:sz w:val="21"/>
          <w:szCs w:val="21"/>
        </w:rPr>
        <w:t>Australia has observed that large</w:t>
      </w:r>
      <w:r w:rsidR="0082216E" w:rsidRPr="007070B8">
        <w:rPr>
          <w:b/>
          <w:bCs/>
          <w:sz w:val="21"/>
          <w:szCs w:val="21"/>
        </w:rPr>
        <w:t>-</w:t>
      </w:r>
      <w:r w:rsidRPr="007070B8">
        <w:rPr>
          <w:b/>
          <w:bCs/>
          <w:sz w:val="21"/>
          <w:szCs w:val="21"/>
        </w:rPr>
        <w:t>scale, impactful reform happens in Indonesia through multiple stakeholder coalitions working in concert, taking advantage of critical junctures, mutual interests and moments where political will is cemented.</w:t>
      </w:r>
      <w:r w:rsidRPr="003E18AD">
        <w:rPr>
          <w:sz w:val="21"/>
          <w:szCs w:val="21"/>
        </w:rPr>
        <w:t xml:space="preserve"> Stakeholder coalitions consisting of champions from government, universities, civil society and private sector groups (such as professional and industry associations, and Chambers of Commerce), provide alternative sources of policy ideas, approaches, and advocacy on specific issues and in the process influence legislative processes, government regulation and social change. In Indonesia coalitions of actors have strengthened women's rights, environmental protections, and transparency in government. The current level of uncertainty in the global environment, while challenging, also creates opportunity for change.</w:t>
      </w:r>
    </w:p>
    <w:p w14:paraId="71A3C1E0" w14:textId="76945C01" w:rsidR="00126856" w:rsidRPr="003E18AD" w:rsidRDefault="00037AEB" w:rsidP="005F1F7F">
      <w:pPr>
        <w:rPr>
          <w:sz w:val="21"/>
          <w:szCs w:val="21"/>
        </w:rPr>
      </w:pPr>
      <w:r w:rsidRPr="007070B8">
        <w:rPr>
          <w:b/>
          <w:bCs/>
          <w:sz w:val="21"/>
          <w:szCs w:val="21"/>
        </w:rPr>
        <w:t>Australia's investments have focused heavily on supply-side efforts (building government capacity and institutions) without sufficiently tapping into demand-side opportunities for change.</w:t>
      </w:r>
      <w:r w:rsidRPr="003E18AD">
        <w:rPr>
          <w:sz w:val="21"/>
          <w:szCs w:val="21"/>
        </w:rPr>
        <w:t xml:space="preserve"> Traditional approaches have prioritised strengthening formal structures and capabilities within government but have missed opportunities to harness the momentum and pressure that comes from engaged civil society and private sector actors, where their interests align, and who are seeking improved outcomes. Innovation through new finance mechanisms (</w:t>
      </w:r>
      <w:r w:rsidR="00C16859" w:rsidRPr="003E18AD">
        <w:rPr>
          <w:sz w:val="21"/>
          <w:szCs w:val="21"/>
        </w:rPr>
        <w:t xml:space="preserve">e.g. </w:t>
      </w:r>
      <w:r w:rsidRPr="003E18AD">
        <w:rPr>
          <w:sz w:val="21"/>
          <w:szCs w:val="21"/>
        </w:rPr>
        <w:t>under KINETI</w:t>
      </w:r>
      <w:r w:rsidR="00C16859" w:rsidRPr="003E18AD">
        <w:rPr>
          <w:sz w:val="21"/>
          <w:szCs w:val="21"/>
        </w:rPr>
        <w:t>K</w:t>
      </w:r>
      <w:r w:rsidRPr="003E18AD">
        <w:rPr>
          <w:sz w:val="21"/>
          <w:szCs w:val="21"/>
        </w:rPr>
        <w:t>) takes time to establish and yield returns and requires specialist expertise internally (within DFAT and externally, but is creating new, impactful ways to leverage market</w:t>
      </w:r>
      <w:r w:rsidR="00CC4B40">
        <w:rPr>
          <w:sz w:val="21"/>
          <w:szCs w:val="21"/>
        </w:rPr>
        <w:t>-</w:t>
      </w:r>
      <w:r w:rsidRPr="003E18AD">
        <w:rPr>
          <w:sz w:val="21"/>
          <w:szCs w:val="21"/>
        </w:rPr>
        <w:t>based approaches and has potential to expand. Learning from successful coalition models observed across Indonesia's reform landscape, this new program can strategically leverage multi-stakeholder partnerships</w:t>
      </w:r>
      <w:r w:rsidR="00DD404F">
        <w:rPr>
          <w:sz w:val="21"/>
          <w:szCs w:val="21"/>
        </w:rPr>
        <w:t>, particularly</w:t>
      </w:r>
      <w:r w:rsidR="00CA7BC2">
        <w:rPr>
          <w:sz w:val="21"/>
          <w:szCs w:val="21"/>
        </w:rPr>
        <w:t xml:space="preserve"> with</w:t>
      </w:r>
      <w:r w:rsidR="00DD404F">
        <w:rPr>
          <w:sz w:val="21"/>
          <w:szCs w:val="21"/>
        </w:rPr>
        <w:t xml:space="preserve"> </w:t>
      </w:r>
      <w:proofErr w:type="gramStart"/>
      <w:r w:rsidR="00DD404F">
        <w:rPr>
          <w:sz w:val="21"/>
          <w:szCs w:val="21"/>
        </w:rPr>
        <w:t>locally-led</w:t>
      </w:r>
      <w:proofErr w:type="gramEnd"/>
      <w:r w:rsidR="00DD404F">
        <w:rPr>
          <w:sz w:val="21"/>
          <w:szCs w:val="21"/>
        </w:rPr>
        <w:t xml:space="preserve"> organisations,</w:t>
      </w:r>
      <w:r w:rsidRPr="003E18AD">
        <w:rPr>
          <w:sz w:val="21"/>
          <w:szCs w:val="21"/>
        </w:rPr>
        <w:t xml:space="preserve"> to drive accountability, create pressure for reform, and capitali</w:t>
      </w:r>
      <w:r w:rsidR="003714BA" w:rsidRPr="003E18AD">
        <w:rPr>
          <w:sz w:val="21"/>
          <w:szCs w:val="21"/>
        </w:rPr>
        <w:t>s</w:t>
      </w:r>
      <w:r w:rsidRPr="003E18AD">
        <w:rPr>
          <w:sz w:val="21"/>
          <w:szCs w:val="21"/>
        </w:rPr>
        <w:t xml:space="preserve">e on moments of political opportunity. </w:t>
      </w:r>
    </w:p>
    <w:p w14:paraId="5B082CC2" w14:textId="77777777" w:rsidR="00A32858" w:rsidRPr="00F44317" w:rsidRDefault="675EC150" w:rsidP="00D2498B">
      <w:pPr>
        <w:pStyle w:val="Heading1"/>
      </w:pPr>
      <w:bookmarkStart w:id="218" w:name="_Toc216270615"/>
      <w:r w:rsidRPr="00F44317">
        <w:lastRenderedPageBreak/>
        <w:t>Strategic Intent and Rationale (Why?)</w:t>
      </w:r>
      <w:bookmarkEnd w:id="218"/>
    </w:p>
    <w:p w14:paraId="63A9E28B" w14:textId="37C2E841" w:rsidR="00A32858" w:rsidRPr="00D2498B" w:rsidRDefault="00A32858" w:rsidP="00D2498B">
      <w:pPr>
        <w:pStyle w:val="Heading2"/>
      </w:pPr>
      <w:bookmarkStart w:id="219" w:name="_Toc216270616"/>
      <w:r w:rsidRPr="00D2498B">
        <w:t xml:space="preserve">Strategic </w:t>
      </w:r>
      <w:r w:rsidR="00AB112C" w:rsidRPr="00D2498B">
        <w:t>s</w:t>
      </w:r>
      <w:r w:rsidRPr="00D2498B">
        <w:t xml:space="preserve">etting and </w:t>
      </w:r>
      <w:r w:rsidR="00AB112C" w:rsidRPr="00D2498B">
        <w:t>r</w:t>
      </w:r>
      <w:r w:rsidRPr="00D2498B">
        <w:t xml:space="preserve">ationale for Australian/DFAT </w:t>
      </w:r>
      <w:r w:rsidR="00AB112C" w:rsidRPr="00D2498B">
        <w:t>e</w:t>
      </w:r>
      <w:r w:rsidRPr="00D2498B">
        <w:t>ngagement</w:t>
      </w:r>
      <w:bookmarkEnd w:id="219"/>
    </w:p>
    <w:p w14:paraId="735ECFC3" w14:textId="60B318AA" w:rsidR="007070B8" w:rsidRDefault="007070B8" w:rsidP="005F1F7F">
      <w:pPr>
        <w:rPr>
          <w:sz w:val="21"/>
          <w:szCs w:val="21"/>
        </w:rPr>
      </w:pPr>
      <w:r w:rsidRPr="002327B3">
        <w:rPr>
          <w:b/>
          <w:bCs/>
          <w:sz w:val="21"/>
          <w:szCs w:val="21"/>
        </w:rPr>
        <w:t>Australia has a strong and growing interest to continue supporting Indonesia’s sustainable and inclusive economic transformation.</w:t>
      </w:r>
      <w:r w:rsidRPr="007070B8">
        <w:rPr>
          <w:sz w:val="21"/>
          <w:szCs w:val="21"/>
        </w:rPr>
        <w:t xml:space="preserve"> By working together on </w:t>
      </w:r>
      <w:r w:rsidR="000D1C0D">
        <w:rPr>
          <w:sz w:val="21"/>
          <w:szCs w:val="21"/>
        </w:rPr>
        <w:t xml:space="preserve">climate, </w:t>
      </w:r>
      <w:r w:rsidRPr="007070B8">
        <w:rPr>
          <w:sz w:val="21"/>
          <w:szCs w:val="21"/>
        </w:rPr>
        <w:t>infrastructure and energy transition</w:t>
      </w:r>
      <w:r w:rsidR="000D1C0D">
        <w:rPr>
          <w:sz w:val="21"/>
          <w:szCs w:val="21"/>
        </w:rPr>
        <w:t xml:space="preserve"> issues</w:t>
      </w:r>
      <w:r w:rsidRPr="007070B8">
        <w:rPr>
          <w:sz w:val="21"/>
          <w:szCs w:val="21"/>
        </w:rPr>
        <w:t>, Indonesia and Australia can deepen economic ties while realising Indonesia’s development ambitions and increasing resilience. Indonesia’s investments in infrastructure and the energy transition may create significant private sector investment opportunities for Australia. Infrastructure financing and climate and energy transition are at the centre of strategic competition in the region. In Indonesia, the past decade has seen the exponential growth and variable quality of foreign direct investment (FDI), while over the same period US investment in Indonesia has stagnated and investment from Japan, Australia and Europe has declined. Indonesia wants to access high quality infrastructure finance from a diverse range of investors, including Australia.</w:t>
      </w:r>
      <w:r>
        <w:rPr>
          <w:sz w:val="21"/>
          <w:szCs w:val="21"/>
        </w:rPr>
        <w:t xml:space="preserve"> </w:t>
      </w:r>
    </w:p>
    <w:p w14:paraId="43CA0C5F" w14:textId="13FDA479" w:rsidR="007070B8" w:rsidRPr="007070B8" w:rsidRDefault="007070B8" w:rsidP="005F1F7F">
      <w:pPr>
        <w:rPr>
          <w:sz w:val="21"/>
          <w:szCs w:val="21"/>
        </w:rPr>
      </w:pPr>
      <w:r w:rsidRPr="002327B3">
        <w:rPr>
          <w:b/>
          <w:bCs/>
          <w:sz w:val="21"/>
          <w:szCs w:val="21"/>
        </w:rPr>
        <w:t xml:space="preserve">This investment advances Australia's strategic policy objectives under the </w:t>
      </w:r>
      <w:r w:rsidRPr="002327B3">
        <w:rPr>
          <w:b/>
          <w:bCs/>
          <w:i/>
          <w:iCs/>
          <w:sz w:val="21"/>
          <w:szCs w:val="21"/>
        </w:rPr>
        <w:t>Australia-Indonesia Comprehensive Strategic Partnership</w:t>
      </w:r>
      <w:r w:rsidRPr="002327B3">
        <w:rPr>
          <w:b/>
          <w:bCs/>
          <w:sz w:val="21"/>
          <w:szCs w:val="21"/>
        </w:rPr>
        <w:t xml:space="preserve">, </w:t>
      </w:r>
      <w:r w:rsidRPr="003E18AD">
        <w:rPr>
          <w:sz w:val="21"/>
          <w:szCs w:val="21"/>
        </w:rPr>
        <w:t xml:space="preserve">which seeks to enhance economic and development partnerships for mutual prosperity and sustainable growth. The investment aligns with DFAT policy frameworks, including the </w:t>
      </w:r>
      <w:r w:rsidRPr="0067154A">
        <w:rPr>
          <w:i/>
          <w:iCs/>
          <w:sz w:val="21"/>
          <w:szCs w:val="21"/>
        </w:rPr>
        <w:t>Australia-Indonesia Development Partnership Plan 2024-2028,</w:t>
      </w:r>
      <w:r w:rsidRPr="003E18AD">
        <w:rPr>
          <w:sz w:val="21"/>
          <w:szCs w:val="21"/>
        </w:rPr>
        <w:t xml:space="preserve"> which prioritises climate resilient communities, clean energy transition, and quality infrastructure development.</w:t>
      </w:r>
    </w:p>
    <w:p w14:paraId="027C6A43" w14:textId="748C2162" w:rsidR="007070B8" w:rsidRPr="007070B8" w:rsidRDefault="007070B8" w:rsidP="005F1F7F">
      <w:pPr>
        <w:rPr>
          <w:sz w:val="21"/>
          <w:szCs w:val="21"/>
        </w:rPr>
      </w:pPr>
      <w:r w:rsidRPr="002327B3">
        <w:rPr>
          <w:b/>
          <w:bCs/>
          <w:sz w:val="21"/>
          <w:szCs w:val="21"/>
        </w:rPr>
        <w:t>Supporting Indonesia's accession to the OECD is a priority for the Australian Government</w:t>
      </w:r>
      <w:r w:rsidRPr="007070B8">
        <w:rPr>
          <w:sz w:val="21"/>
          <w:szCs w:val="21"/>
        </w:rPr>
        <w:t>.</w:t>
      </w:r>
      <w:r w:rsidR="002327B3">
        <w:rPr>
          <w:sz w:val="21"/>
          <w:szCs w:val="21"/>
        </w:rPr>
        <w:t xml:space="preserve"> </w:t>
      </w:r>
      <w:r w:rsidRPr="007070B8">
        <w:rPr>
          <w:sz w:val="21"/>
          <w:szCs w:val="21"/>
        </w:rPr>
        <w:t>‘Investment in quality infrastructure in a transparent, accountable and inclusive way’ is one of the seven key policy areas which will undergo in-depth review by OECD as part of Indonesia’s Roadmap for OECD Accession. This investment will be well placed to support Indonesia to meet the OECD standards required for membership. </w:t>
      </w:r>
      <w:r w:rsidR="00247F15">
        <w:rPr>
          <w:sz w:val="21"/>
          <w:szCs w:val="21"/>
        </w:rPr>
        <w:t xml:space="preserve">The design anticipates </w:t>
      </w:r>
      <w:r w:rsidR="00811CEA">
        <w:rPr>
          <w:sz w:val="21"/>
          <w:szCs w:val="21"/>
        </w:rPr>
        <w:t xml:space="preserve">potential </w:t>
      </w:r>
      <w:r w:rsidR="00247F15">
        <w:rPr>
          <w:sz w:val="21"/>
          <w:szCs w:val="21"/>
        </w:rPr>
        <w:t>use of non-ODA funds to continue and extend the partnership in future years.</w:t>
      </w:r>
    </w:p>
    <w:p w14:paraId="3D008BD9" w14:textId="3ED2D3B9" w:rsidR="006948CC" w:rsidRPr="003E18AD" w:rsidRDefault="006948CC" w:rsidP="005F1F7F">
      <w:pPr>
        <w:rPr>
          <w:sz w:val="21"/>
          <w:szCs w:val="21"/>
        </w:rPr>
      </w:pPr>
      <w:r w:rsidRPr="002327B3">
        <w:rPr>
          <w:b/>
          <w:bCs/>
          <w:sz w:val="21"/>
          <w:szCs w:val="21"/>
        </w:rPr>
        <w:t xml:space="preserve">The investment supports </w:t>
      </w:r>
      <w:r w:rsidRPr="002327B3">
        <w:rPr>
          <w:b/>
          <w:bCs/>
          <w:i/>
          <w:iCs/>
          <w:sz w:val="21"/>
          <w:szCs w:val="21"/>
        </w:rPr>
        <w:t>Australia's International Development Policy</w:t>
      </w:r>
      <w:r w:rsidRPr="002327B3">
        <w:rPr>
          <w:b/>
          <w:bCs/>
          <w:sz w:val="21"/>
          <w:szCs w:val="21"/>
        </w:rPr>
        <w:t xml:space="preserve"> emphasis on increasing climate investment, better addressing climate risks and locally led development</w:t>
      </w:r>
      <w:r w:rsidR="007070B8" w:rsidRPr="002327B3">
        <w:rPr>
          <w:b/>
          <w:bCs/>
          <w:sz w:val="21"/>
          <w:szCs w:val="21"/>
        </w:rPr>
        <w:t>.</w:t>
      </w:r>
      <w:r w:rsidR="007070B8">
        <w:rPr>
          <w:sz w:val="21"/>
          <w:szCs w:val="21"/>
        </w:rPr>
        <w:t xml:space="preserve"> It </w:t>
      </w:r>
      <w:r w:rsidRPr="003E18AD">
        <w:rPr>
          <w:sz w:val="21"/>
          <w:szCs w:val="21"/>
        </w:rPr>
        <w:t xml:space="preserve">contributes to the implementation of </w:t>
      </w:r>
      <w:r w:rsidRPr="007070B8">
        <w:rPr>
          <w:i/>
          <w:iCs/>
          <w:sz w:val="21"/>
          <w:szCs w:val="21"/>
        </w:rPr>
        <w:t>Invested: Australia's Southeast Asia Economic Strategy to 2040</w:t>
      </w:r>
      <w:r w:rsidRPr="003E18AD">
        <w:rPr>
          <w:sz w:val="21"/>
          <w:szCs w:val="21"/>
        </w:rPr>
        <w:t xml:space="preserve">, particularly in catalysing early-stage project preparation, unlocking private capital, and supporting the clean energy transition. The Partnership also advances </w:t>
      </w:r>
      <w:r w:rsidRPr="00F65852">
        <w:rPr>
          <w:i/>
          <w:iCs/>
          <w:sz w:val="21"/>
          <w:szCs w:val="21"/>
        </w:rPr>
        <w:t>Australia's Gender Equality and Women's Empowerment Strategy</w:t>
      </w:r>
      <w:r w:rsidRPr="003E18AD">
        <w:rPr>
          <w:sz w:val="21"/>
          <w:szCs w:val="21"/>
        </w:rPr>
        <w:t xml:space="preserve"> priority to deliver gender equitable climate action and humanitarian assistance and promoting inclusive infrastructure that benefits all users while creating meaningful leadership, employment, and business opportunities for women and under-represented groups in infrastructure planning and decision-making. </w:t>
      </w:r>
      <w:r w:rsidR="00DD404F">
        <w:rPr>
          <w:sz w:val="21"/>
          <w:szCs w:val="21"/>
        </w:rPr>
        <w:t>The partnership will work with local actors and organisations to pursue localisation as part of Australia’s development policy.</w:t>
      </w:r>
    </w:p>
    <w:p w14:paraId="74F67932" w14:textId="25CBC795" w:rsidR="00B96529" w:rsidRPr="003E18AD" w:rsidRDefault="004D04E9" w:rsidP="005F1F7F">
      <w:pPr>
        <w:rPr>
          <w:sz w:val="21"/>
          <w:szCs w:val="21"/>
        </w:rPr>
      </w:pPr>
      <w:r w:rsidRPr="002327B3">
        <w:rPr>
          <w:b/>
          <w:bCs/>
          <w:sz w:val="21"/>
          <w:szCs w:val="21"/>
        </w:rPr>
        <w:t>The program</w:t>
      </w:r>
      <w:r w:rsidR="00F83264" w:rsidRPr="002327B3">
        <w:rPr>
          <w:b/>
          <w:bCs/>
          <w:sz w:val="21"/>
          <w:szCs w:val="21"/>
        </w:rPr>
        <w:t xml:space="preserve"> </w:t>
      </w:r>
      <w:r w:rsidR="001421BD" w:rsidRPr="002327B3">
        <w:rPr>
          <w:b/>
          <w:bCs/>
          <w:sz w:val="21"/>
          <w:szCs w:val="21"/>
        </w:rPr>
        <w:t xml:space="preserve">supports Indonesia’s </w:t>
      </w:r>
      <w:r w:rsidR="001421BD" w:rsidRPr="002327B3">
        <w:rPr>
          <w:b/>
          <w:bCs/>
          <w:i/>
          <w:iCs/>
          <w:sz w:val="21"/>
          <w:szCs w:val="21"/>
        </w:rPr>
        <w:t>Long Term Development Strategy 2025–2045 (RPJPN)</w:t>
      </w:r>
      <w:r w:rsidR="001421BD" w:rsidRPr="002327B3">
        <w:rPr>
          <w:b/>
          <w:bCs/>
          <w:sz w:val="21"/>
          <w:szCs w:val="21"/>
        </w:rPr>
        <w:t xml:space="preserve"> and Indonesia’s ambition to achieve high-income status while addressing its </w:t>
      </w:r>
      <w:r w:rsidR="00384287">
        <w:rPr>
          <w:b/>
          <w:bCs/>
          <w:sz w:val="21"/>
          <w:szCs w:val="21"/>
        </w:rPr>
        <w:t>USD</w:t>
      </w:r>
      <w:r w:rsidR="001421BD" w:rsidRPr="002327B3">
        <w:rPr>
          <w:b/>
          <w:bCs/>
          <w:sz w:val="21"/>
          <w:szCs w:val="21"/>
        </w:rPr>
        <w:t>1.3 trillion infrastructure investment gap by 2040.</w:t>
      </w:r>
      <w:r w:rsidR="001421BD" w:rsidRPr="003E18AD">
        <w:rPr>
          <w:sz w:val="21"/>
          <w:szCs w:val="21"/>
        </w:rPr>
        <w:t xml:space="preserve"> It responds to Indonesia’s acute infrastructure </w:t>
      </w:r>
      <w:r w:rsidR="00EB16E1">
        <w:rPr>
          <w:sz w:val="21"/>
          <w:szCs w:val="21"/>
        </w:rPr>
        <w:t xml:space="preserve">and climate </w:t>
      </w:r>
      <w:r w:rsidR="001421BD" w:rsidRPr="003E18AD">
        <w:rPr>
          <w:sz w:val="21"/>
          <w:szCs w:val="21"/>
        </w:rPr>
        <w:t xml:space="preserve">financing challenges, climate vulnerability, and ambitions for economic transformation. Indonesia is the world’s </w:t>
      </w:r>
      <w:r w:rsidR="00AC38DD">
        <w:rPr>
          <w:sz w:val="21"/>
          <w:szCs w:val="21"/>
        </w:rPr>
        <w:t>eighth</w:t>
      </w:r>
      <w:r w:rsidR="001421BD" w:rsidRPr="003E18AD">
        <w:rPr>
          <w:sz w:val="21"/>
          <w:szCs w:val="21"/>
        </w:rPr>
        <w:t xml:space="preserve">-largest greenhouse gas emitter, and its infrastructure development remains heavily reliant on state-owned enterprises, with limited private sector participation due to market constraints. </w:t>
      </w:r>
      <w:r w:rsidR="001E589B" w:rsidRPr="003E18AD">
        <w:rPr>
          <w:sz w:val="21"/>
          <w:szCs w:val="21"/>
        </w:rPr>
        <w:t>The program</w:t>
      </w:r>
      <w:r w:rsidR="001421BD" w:rsidRPr="003E18AD">
        <w:rPr>
          <w:sz w:val="21"/>
          <w:szCs w:val="21"/>
        </w:rPr>
        <w:t xml:space="preserve"> will help address these challenges by building a stronger enabling environment for private investment, mobilising diverse financing sources, and supporting energy transition. The investment will deliver development outcomes across economic growth, poverty reduction, climate</w:t>
      </w:r>
      <w:r w:rsidR="000A22C3" w:rsidRPr="003E18AD">
        <w:rPr>
          <w:sz w:val="21"/>
          <w:szCs w:val="21"/>
        </w:rPr>
        <w:t xml:space="preserve"> change adaptation and</w:t>
      </w:r>
      <w:r w:rsidR="001421BD" w:rsidRPr="003E18AD">
        <w:rPr>
          <w:sz w:val="21"/>
          <w:szCs w:val="21"/>
        </w:rPr>
        <w:t xml:space="preserve"> </w:t>
      </w:r>
      <w:r w:rsidR="00037AEB" w:rsidRPr="003E18AD">
        <w:rPr>
          <w:sz w:val="21"/>
          <w:szCs w:val="21"/>
        </w:rPr>
        <w:t>mitigation</w:t>
      </w:r>
      <w:r w:rsidR="001421BD" w:rsidRPr="003E18AD">
        <w:rPr>
          <w:sz w:val="21"/>
          <w:szCs w:val="21"/>
        </w:rPr>
        <w:t xml:space="preserve">, improved governance, and inclusive service delivery. </w:t>
      </w:r>
      <w:r w:rsidR="00A24BB7" w:rsidRPr="003E18AD">
        <w:rPr>
          <w:sz w:val="21"/>
          <w:szCs w:val="21"/>
        </w:rPr>
        <w:t>The investment will support activit</w:t>
      </w:r>
      <w:r w:rsidR="009C553E" w:rsidRPr="003E18AD">
        <w:rPr>
          <w:sz w:val="21"/>
          <w:szCs w:val="21"/>
        </w:rPr>
        <w:t>i</w:t>
      </w:r>
      <w:r w:rsidR="00A24BB7" w:rsidRPr="003E18AD">
        <w:rPr>
          <w:sz w:val="21"/>
          <w:szCs w:val="21"/>
        </w:rPr>
        <w:t xml:space="preserve">es with a primary climate change objective and </w:t>
      </w:r>
      <w:r w:rsidR="00C0171B">
        <w:rPr>
          <w:sz w:val="21"/>
          <w:szCs w:val="21"/>
        </w:rPr>
        <w:t>will</w:t>
      </w:r>
      <w:r w:rsidR="002E294C">
        <w:rPr>
          <w:sz w:val="21"/>
          <w:szCs w:val="21"/>
        </w:rPr>
        <w:t xml:space="preserve"> also</w:t>
      </w:r>
      <w:r w:rsidR="00C0171B">
        <w:rPr>
          <w:sz w:val="21"/>
          <w:szCs w:val="21"/>
        </w:rPr>
        <w:t xml:space="preserve"> </w:t>
      </w:r>
      <w:r w:rsidR="00A24BB7" w:rsidRPr="003E18AD">
        <w:rPr>
          <w:sz w:val="21"/>
          <w:szCs w:val="21"/>
        </w:rPr>
        <w:t>integrate low emissions</w:t>
      </w:r>
      <w:r w:rsidR="002E294C">
        <w:rPr>
          <w:sz w:val="21"/>
          <w:szCs w:val="21"/>
        </w:rPr>
        <w:t xml:space="preserve"> approaches</w:t>
      </w:r>
      <w:r w:rsidR="00A24BB7" w:rsidRPr="003E18AD">
        <w:rPr>
          <w:sz w:val="21"/>
          <w:szCs w:val="21"/>
        </w:rPr>
        <w:t>,</w:t>
      </w:r>
      <w:r w:rsidR="00C92510" w:rsidRPr="003E18AD">
        <w:rPr>
          <w:sz w:val="21"/>
          <w:szCs w:val="21"/>
        </w:rPr>
        <w:t xml:space="preserve"> </w:t>
      </w:r>
      <w:r w:rsidR="00A24BB7" w:rsidRPr="003E18AD">
        <w:rPr>
          <w:sz w:val="21"/>
          <w:szCs w:val="21"/>
        </w:rPr>
        <w:t>climate and disaster risk resilience and co-benefits (i</w:t>
      </w:r>
      <w:r w:rsidR="00AC38DD">
        <w:rPr>
          <w:sz w:val="21"/>
          <w:szCs w:val="21"/>
        </w:rPr>
        <w:t>.</w:t>
      </w:r>
      <w:r w:rsidR="00A24BB7" w:rsidRPr="003E18AD">
        <w:rPr>
          <w:sz w:val="21"/>
          <w:szCs w:val="21"/>
        </w:rPr>
        <w:t xml:space="preserve">e. </w:t>
      </w:r>
      <w:r w:rsidR="009C553E" w:rsidRPr="003E18AD">
        <w:rPr>
          <w:sz w:val="21"/>
          <w:szCs w:val="21"/>
        </w:rPr>
        <w:t>nature</w:t>
      </w:r>
      <w:r w:rsidR="005E79AF">
        <w:rPr>
          <w:sz w:val="21"/>
          <w:szCs w:val="21"/>
        </w:rPr>
        <w:t>-</w:t>
      </w:r>
      <w:r w:rsidR="009C553E" w:rsidRPr="003E18AD">
        <w:rPr>
          <w:sz w:val="21"/>
          <w:szCs w:val="21"/>
        </w:rPr>
        <w:t>based solutions</w:t>
      </w:r>
      <w:r w:rsidR="00A24BB7" w:rsidRPr="003E18AD">
        <w:rPr>
          <w:sz w:val="21"/>
          <w:szCs w:val="21"/>
        </w:rPr>
        <w:t xml:space="preserve">) </w:t>
      </w:r>
      <w:r w:rsidR="002E294C">
        <w:rPr>
          <w:sz w:val="21"/>
          <w:szCs w:val="21"/>
        </w:rPr>
        <w:t>across the portfolio</w:t>
      </w:r>
      <w:r w:rsidR="00A24BB7" w:rsidRPr="003E18AD">
        <w:rPr>
          <w:sz w:val="21"/>
          <w:szCs w:val="21"/>
        </w:rPr>
        <w:t xml:space="preserve">. </w:t>
      </w:r>
      <w:r w:rsidR="001421BD" w:rsidRPr="003E18AD">
        <w:rPr>
          <w:sz w:val="21"/>
          <w:szCs w:val="21"/>
        </w:rPr>
        <w:t xml:space="preserve">It will foster equitable access to infrastructure services, create leadership and employment opportunities for women and marginalised groups, and ensure climate and social </w:t>
      </w:r>
      <w:r w:rsidR="00037AEB" w:rsidRPr="003E18AD">
        <w:rPr>
          <w:sz w:val="21"/>
          <w:szCs w:val="21"/>
        </w:rPr>
        <w:t xml:space="preserve">and environmental </w:t>
      </w:r>
      <w:r w:rsidR="001421BD" w:rsidRPr="003E18AD">
        <w:rPr>
          <w:sz w:val="21"/>
          <w:szCs w:val="21"/>
        </w:rPr>
        <w:t>safeguards are integrated into project design and financing decisions</w:t>
      </w:r>
      <w:r w:rsidR="00B96529" w:rsidRPr="003E18AD">
        <w:rPr>
          <w:sz w:val="21"/>
          <w:szCs w:val="21"/>
        </w:rPr>
        <w:t>.</w:t>
      </w:r>
    </w:p>
    <w:p w14:paraId="4678EF4B" w14:textId="40E195B2" w:rsidR="00EC4A11" w:rsidRPr="003E18AD" w:rsidRDefault="4809C420" w:rsidP="00D2498B">
      <w:pPr>
        <w:pStyle w:val="Heading2"/>
      </w:pPr>
      <w:bookmarkStart w:id="220" w:name="_Toc216270617"/>
      <w:r>
        <w:lastRenderedPageBreak/>
        <w:t xml:space="preserve">Coherence with bilateral and regional </w:t>
      </w:r>
      <w:r w:rsidR="5FC2F0BD">
        <w:t>programs</w:t>
      </w:r>
      <w:bookmarkEnd w:id="220"/>
      <w:r w:rsidR="5FC2F0BD">
        <w:t xml:space="preserve"> </w:t>
      </w:r>
    </w:p>
    <w:p w14:paraId="60EA981A" w14:textId="040C70B8" w:rsidR="001E4E8F" w:rsidRPr="003E18AD" w:rsidRDefault="79D0687C" w:rsidP="00000286">
      <w:pPr>
        <w:rPr>
          <w:sz w:val="21"/>
          <w:szCs w:val="21"/>
        </w:rPr>
      </w:pPr>
      <w:r w:rsidRPr="0CBA0F42">
        <w:rPr>
          <w:b/>
          <w:bCs/>
          <w:sz w:val="21"/>
          <w:szCs w:val="21"/>
        </w:rPr>
        <w:t xml:space="preserve">The </w:t>
      </w:r>
      <w:r w:rsidR="247234D9" w:rsidRPr="0CBA0F42">
        <w:rPr>
          <w:b/>
          <w:bCs/>
          <w:sz w:val="21"/>
          <w:szCs w:val="21"/>
        </w:rPr>
        <w:t xml:space="preserve">Partnership </w:t>
      </w:r>
      <w:r w:rsidR="4164B702" w:rsidRPr="0CBA0F42">
        <w:rPr>
          <w:b/>
          <w:bCs/>
          <w:sz w:val="21"/>
          <w:szCs w:val="21"/>
        </w:rPr>
        <w:t>will collaborate with other DFAT programs</w:t>
      </w:r>
      <w:r w:rsidRPr="0CBA0F42">
        <w:rPr>
          <w:b/>
          <w:bCs/>
          <w:sz w:val="21"/>
          <w:szCs w:val="21"/>
        </w:rPr>
        <w:t xml:space="preserve"> </w:t>
      </w:r>
      <w:r w:rsidR="4164B702" w:rsidRPr="0CBA0F42">
        <w:rPr>
          <w:b/>
          <w:bCs/>
          <w:sz w:val="21"/>
          <w:szCs w:val="21"/>
        </w:rPr>
        <w:t>to amplify impact.</w:t>
      </w:r>
      <w:r w:rsidR="215E1CFB" w:rsidRPr="0CBA0F42">
        <w:rPr>
          <w:sz w:val="21"/>
          <w:szCs w:val="21"/>
        </w:rPr>
        <w:t xml:space="preserve"> Given the strong alignment between </w:t>
      </w:r>
      <w:r w:rsidR="215E1CFB" w:rsidRPr="0020576E">
        <w:rPr>
          <w:caps/>
          <w:sz w:val="21"/>
          <w:szCs w:val="21"/>
        </w:rPr>
        <w:t>Prospera</w:t>
      </w:r>
      <w:r w:rsidR="215E1CFB" w:rsidRPr="0CBA0F42">
        <w:rPr>
          <w:sz w:val="21"/>
          <w:szCs w:val="21"/>
        </w:rPr>
        <w:t xml:space="preserve"> and </w:t>
      </w:r>
      <w:r w:rsidR="27838572" w:rsidRPr="0CBA0F42">
        <w:rPr>
          <w:sz w:val="21"/>
          <w:szCs w:val="21"/>
        </w:rPr>
        <w:t xml:space="preserve">the </w:t>
      </w:r>
      <w:r w:rsidR="1751F36B" w:rsidRPr="0CBA0F42">
        <w:rPr>
          <w:sz w:val="21"/>
          <w:szCs w:val="21"/>
        </w:rPr>
        <w:t>Partnership</w:t>
      </w:r>
      <w:r w:rsidR="27838572" w:rsidRPr="0CBA0F42">
        <w:rPr>
          <w:sz w:val="21"/>
          <w:szCs w:val="21"/>
        </w:rPr>
        <w:t xml:space="preserve">’s </w:t>
      </w:r>
      <w:r w:rsidR="215E1CFB" w:rsidRPr="0CBA0F42">
        <w:rPr>
          <w:sz w:val="21"/>
          <w:szCs w:val="21"/>
        </w:rPr>
        <w:t>work areas, these programs offer significant opportunities for strategic collaboration while requiring careful coordination to ensure complementary rather than duplicative efforts.</w:t>
      </w:r>
    </w:p>
    <w:p w14:paraId="74ACE9A6" w14:textId="15B46BB5" w:rsidR="001E4E8F" w:rsidRPr="00FE0714" w:rsidRDefault="57591064" w:rsidP="00000286">
      <w:pPr>
        <w:rPr>
          <w:sz w:val="21"/>
          <w:szCs w:val="21"/>
          <w:lang w:val="en-GB"/>
        </w:rPr>
      </w:pPr>
      <w:r w:rsidRPr="00FE0714">
        <w:rPr>
          <w:rFonts w:eastAsiaTheme="minorEastAsia"/>
          <w:sz w:val="21"/>
          <w:szCs w:val="21"/>
          <w:lang w:val="en-US"/>
        </w:rPr>
        <w:t xml:space="preserve">The new </w:t>
      </w:r>
      <w:r w:rsidRPr="0020576E">
        <w:rPr>
          <w:rFonts w:eastAsiaTheme="minorEastAsia"/>
          <w:caps/>
          <w:sz w:val="21"/>
          <w:szCs w:val="21"/>
          <w:lang w:val="en-US"/>
        </w:rPr>
        <w:t>Prospera</w:t>
      </w:r>
      <w:r w:rsidRPr="00FE0714">
        <w:rPr>
          <w:rFonts w:eastAsiaTheme="minorEastAsia"/>
          <w:sz w:val="21"/>
          <w:szCs w:val="21"/>
          <w:lang w:val="en-US"/>
        </w:rPr>
        <w:t xml:space="preserve"> program will complement </w:t>
      </w:r>
      <w:r w:rsidR="00484387">
        <w:rPr>
          <w:rFonts w:eastAsiaTheme="minorEastAsia"/>
          <w:sz w:val="21"/>
          <w:szCs w:val="21"/>
          <w:lang w:val="en-US"/>
        </w:rPr>
        <w:t>the Partnership</w:t>
      </w:r>
      <w:r w:rsidR="00484387" w:rsidRPr="00FE0714">
        <w:rPr>
          <w:rFonts w:eastAsiaTheme="minorEastAsia"/>
          <w:sz w:val="21"/>
          <w:szCs w:val="21"/>
          <w:lang w:val="en-US"/>
        </w:rPr>
        <w:t xml:space="preserve"> </w:t>
      </w:r>
      <w:r w:rsidRPr="00FE0714">
        <w:rPr>
          <w:rFonts w:eastAsiaTheme="minorEastAsia"/>
          <w:sz w:val="21"/>
          <w:szCs w:val="21"/>
          <w:lang w:val="en-US"/>
        </w:rPr>
        <w:t>by working with Indonesia’s central economic agencies to promote green fiscal policies that help build an enabling environment conducive to green investment. This will include leading on policy and regulatory reform relating to sustainable finance and carbon markets and pricing.</w:t>
      </w:r>
      <w:r w:rsidRPr="0CBA0F42">
        <w:rPr>
          <w:rFonts w:eastAsiaTheme="minorEastAsia"/>
          <w:sz w:val="21"/>
          <w:szCs w:val="21"/>
          <w:lang w:val="en-GB"/>
        </w:rPr>
        <w:t xml:space="preserve"> </w:t>
      </w:r>
    </w:p>
    <w:p w14:paraId="32E4DB33" w14:textId="15993A1C" w:rsidR="001E4E8F" w:rsidRPr="003E18AD" w:rsidRDefault="4840E5F3" w:rsidP="005F1F7F">
      <w:pPr>
        <w:rPr>
          <w:sz w:val="21"/>
          <w:szCs w:val="21"/>
        </w:rPr>
      </w:pPr>
      <w:r w:rsidRPr="00FE0714">
        <w:rPr>
          <w:rFonts w:eastAsiaTheme="minorEastAsia"/>
          <w:sz w:val="21"/>
          <w:szCs w:val="21"/>
          <w:lang w:val="en-GB"/>
        </w:rPr>
        <w:t xml:space="preserve">Synergies </w:t>
      </w:r>
      <w:r w:rsidR="79154551" w:rsidRPr="0CBA0F42">
        <w:rPr>
          <w:rFonts w:eastAsiaTheme="minorEastAsia"/>
          <w:sz w:val="21"/>
          <w:szCs w:val="21"/>
          <w:lang w:val="en-GB"/>
        </w:rPr>
        <w:t xml:space="preserve">and opportunities for collaboration between </w:t>
      </w:r>
      <w:r w:rsidR="00484387">
        <w:rPr>
          <w:rFonts w:eastAsiaTheme="minorEastAsia"/>
          <w:sz w:val="21"/>
          <w:szCs w:val="21"/>
          <w:lang w:val="en-GB"/>
        </w:rPr>
        <w:t>the Partnership</w:t>
      </w:r>
      <w:r w:rsidR="00484387" w:rsidRPr="0CBA0F42">
        <w:rPr>
          <w:rFonts w:eastAsiaTheme="minorEastAsia"/>
          <w:sz w:val="21"/>
          <w:szCs w:val="21"/>
          <w:lang w:val="en-GB"/>
        </w:rPr>
        <w:t xml:space="preserve"> </w:t>
      </w:r>
      <w:r w:rsidR="79154551" w:rsidRPr="0CBA0F42">
        <w:rPr>
          <w:rFonts w:eastAsiaTheme="minorEastAsia"/>
          <w:sz w:val="21"/>
          <w:szCs w:val="21"/>
          <w:lang w:val="en-GB"/>
        </w:rPr>
        <w:t>and PROSPERA are incentivised through connection between</w:t>
      </w:r>
      <w:r w:rsidRPr="00FE0714">
        <w:rPr>
          <w:rFonts w:eastAsiaTheme="minorEastAsia"/>
          <w:sz w:val="21"/>
          <w:szCs w:val="21"/>
          <w:lang w:val="en-GB"/>
        </w:rPr>
        <w:t xml:space="preserve"> </w:t>
      </w:r>
      <w:r w:rsidR="00484387">
        <w:rPr>
          <w:rFonts w:eastAsiaTheme="minorEastAsia"/>
          <w:sz w:val="21"/>
          <w:szCs w:val="21"/>
          <w:lang w:val="en-GB"/>
        </w:rPr>
        <w:t>the Partnership</w:t>
      </w:r>
      <w:r w:rsidR="00484387" w:rsidRPr="00FE0714">
        <w:rPr>
          <w:rFonts w:eastAsiaTheme="minorEastAsia"/>
          <w:sz w:val="21"/>
          <w:szCs w:val="21"/>
          <w:lang w:val="en-GB"/>
        </w:rPr>
        <w:t xml:space="preserve">’s </w:t>
      </w:r>
      <w:r w:rsidRPr="00FE0714">
        <w:rPr>
          <w:rFonts w:eastAsiaTheme="minorEastAsia"/>
          <w:sz w:val="21"/>
          <w:szCs w:val="21"/>
          <w:lang w:val="en-GB"/>
        </w:rPr>
        <w:t xml:space="preserve">IO4 and </w:t>
      </w:r>
      <w:r w:rsidRPr="0021724B">
        <w:rPr>
          <w:rFonts w:eastAsiaTheme="minorEastAsia"/>
          <w:caps/>
          <w:sz w:val="21"/>
          <w:szCs w:val="21"/>
          <w:lang w:val="en-GB"/>
        </w:rPr>
        <w:t>Prospera</w:t>
      </w:r>
      <w:r w:rsidRPr="00FE0714">
        <w:rPr>
          <w:rFonts w:eastAsiaTheme="minorEastAsia"/>
          <w:sz w:val="21"/>
          <w:szCs w:val="21"/>
          <w:lang w:val="en-GB"/>
        </w:rPr>
        <w:t>’s IO5</w:t>
      </w:r>
      <w:r w:rsidR="368A8430" w:rsidRPr="0CBA0F42">
        <w:rPr>
          <w:rFonts w:eastAsiaTheme="minorEastAsia"/>
          <w:sz w:val="21"/>
          <w:szCs w:val="21"/>
          <w:lang w:val="en-GB"/>
        </w:rPr>
        <w:t xml:space="preserve"> (</w:t>
      </w:r>
      <w:r w:rsidR="368A8430" w:rsidRPr="00FE0714">
        <w:rPr>
          <w:rFonts w:eastAsiaTheme="minorEastAsia"/>
          <w:sz w:val="21"/>
          <w:szCs w:val="21"/>
          <w:lang w:val="en-US"/>
        </w:rPr>
        <w:t xml:space="preserve">Partner </w:t>
      </w:r>
      <w:r w:rsidR="0021724B" w:rsidRPr="00FE0714">
        <w:rPr>
          <w:rFonts w:eastAsiaTheme="minorEastAsia"/>
          <w:sz w:val="21"/>
          <w:szCs w:val="21"/>
          <w:lang w:val="en-US"/>
        </w:rPr>
        <w:t>G</w:t>
      </w:r>
      <w:r w:rsidR="0021724B">
        <w:rPr>
          <w:rFonts w:eastAsiaTheme="minorEastAsia"/>
          <w:sz w:val="21"/>
          <w:szCs w:val="21"/>
          <w:lang w:val="en-US"/>
        </w:rPr>
        <w:t>O</w:t>
      </w:r>
      <w:r w:rsidR="0021724B" w:rsidRPr="00FE0714">
        <w:rPr>
          <w:rFonts w:eastAsiaTheme="minorEastAsia"/>
          <w:sz w:val="21"/>
          <w:szCs w:val="21"/>
          <w:lang w:val="en-US"/>
        </w:rPr>
        <w:t xml:space="preserve">I </w:t>
      </w:r>
      <w:r w:rsidR="368A8430" w:rsidRPr="00FE0714">
        <w:rPr>
          <w:rFonts w:eastAsiaTheme="minorEastAsia"/>
          <w:sz w:val="21"/>
          <w:szCs w:val="21"/>
          <w:lang w:val="en-US"/>
        </w:rPr>
        <w:t>agencies increasingly promote, adopt and implement economic climate policies that enable Indonesia, including the private sector, to seize the opportunities of the green economy and energy transition)</w:t>
      </w:r>
      <w:r w:rsidRPr="00FE0714">
        <w:rPr>
          <w:rFonts w:eastAsiaTheme="minorEastAsia"/>
          <w:sz w:val="21"/>
          <w:szCs w:val="21"/>
          <w:lang w:val="en-GB"/>
        </w:rPr>
        <w:t xml:space="preserve">. </w:t>
      </w:r>
      <w:r w:rsidR="59AC2192" w:rsidRPr="0CBA0F42">
        <w:rPr>
          <w:sz w:val="21"/>
          <w:szCs w:val="21"/>
        </w:rPr>
        <w:t xml:space="preserve">DFAT will lead on facilitating formal coordination between the two programs to identify </w:t>
      </w:r>
      <w:r w:rsidR="296E7C44" w:rsidRPr="0CBA0F42">
        <w:rPr>
          <w:sz w:val="21"/>
          <w:szCs w:val="21"/>
        </w:rPr>
        <w:t xml:space="preserve">potential overlap </w:t>
      </w:r>
      <w:r w:rsidR="215E1CFB" w:rsidRPr="0CBA0F42">
        <w:rPr>
          <w:sz w:val="21"/>
          <w:szCs w:val="21"/>
        </w:rPr>
        <w:t xml:space="preserve">(and </w:t>
      </w:r>
      <w:r w:rsidR="296E7C44" w:rsidRPr="0CBA0F42">
        <w:rPr>
          <w:sz w:val="21"/>
          <w:szCs w:val="21"/>
        </w:rPr>
        <w:t>delimit roles and responsibilities</w:t>
      </w:r>
      <w:r w:rsidR="215E1CFB" w:rsidRPr="0CBA0F42">
        <w:rPr>
          <w:sz w:val="21"/>
          <w:szCs w:val="21"/>
        </w:rPr>
        <w:t xml:space="preserve">) </w:t>
      </w:r>
      <w:r w:rsidR="1F267297" w:rsidRPr="0CBA0F42">
        <w:rPr>
          <w:sz w:val="21"/>
          <w:szCs w:val="21"/>
        </w:rPr>
        <w:t>and</w:t>
      </w:r>
      <w:r w:rsidR="215E1CFB" w:rsidRPr="0CBA0F42">
        <w:rPr>
          <w:sz w:val="21"/>
          <w:szCs w:val="21"/>
        </w:rPr>
        <w:t xml:space="preserve"> areas for collaboration. </w:t>
      </w:r>
      <w:r w:rsidR="00512D1E">
        <w:rPr>
          <w:sz w:val="21"/>
          <w:szCs w:val="21"/>
        </w:rPr>
        <w:t xml:space="preserve">Close </w:t>
      </w:r>
      <w:r w:rsidR="4F18C0B3" w:rsidRPr="0CBA0F42">
        <w:rPr>
          <w:rFonts w:eastAsiaTheme="minorEastAsia"/>
          <w:sz w:val="21"/>
          <w:szCs w:val="21"/>
          <w:lang w:val="en-GB"/>
        </w:rPr>
        <w:t xml:space="preserve">coordination on </w:t>
      </w:r>
      <w:r w:rsidR="00484387" w:rsidRPr="0CBA0F42">
        <w:rPr>
          <w:rFonts w:eastAsiaTheme="minorEastAsia"/>
          <w:sz w:val="21"/>
          <w:szCs w:val="21"/>
          <w:lang w:val="en-GB"/>
        </w:rPr>
        <w:t>G</w:t>
      </w:r>
      <w:r w:rsidR="00484387">
        <w:rPr>
          <w:rFonts w:eastAsiaTheme="minorEastAsia"/>
          <w:sz w:val="21"/>
          <w:szCs w:val="21"/>
          <w:lang w:val="en-GB"/>
        </w:rPr>
        <w:t>O</w:t>
      </w:r>
      <w:r w:rsidR="00484387" w:rsidRPr="0CBA0F42">
        <w:rPr>
          <w:rFonts w:eastAsiaTheme="minorEastAsia"/>
          <w:sz w:val="21"/>
          <w:szCs w:val="21"/>
          <w:lang w:val="en-GB"/>
        </w:rPr>
        <w:t xml:space="preserve">I </w:t>
      </w:r>
      <w:r w:rsidR="4F18C0B3" w:rsidRPr="0CBA0F42">
        <w:rPr>
          <w:rFonts w:eastAsiaTheme="minorEastAsia"/>
          <w:sz w:val="21"/>
          <w:szCs w:val="21"/>
          <w:lang w:val="en-GB"/>
        </w:rPr>
        <w:t>partner</w:t>
      </w:r>
      <w:r w:rsidR="00D160F1">
        <w:rPr>
          <w:rFonts w:eastAsiaTheme="minorEastAsia"/>
          <w:sz w:val="21"/>
          <w:szCs w:val="21"/>
          <w:lang w:val="en-GB"/>
        </w:rPr>
        <w:t>’s</w:t>
      </w:r>
      <w:r w:rsidR="4F18C0B3" w:rsidRPr="0CBA0F42">
        <w:rPr>
          <w:rFonts w:eastAsiaTheme="minorEastAsia"/>
          <w:sz w:val="21"/>
          <w:szCs w:val="21"/>
          <w:lang w:val="en-GB"/>
        </w:rPr>
        <w:t xml:space="preserve"> asks will be vital. Contract incentives will facilitate collaboration, </w:t>
      </w:r>
      <w:r w:rsidR="00D1148F">
        <w:rPr>
          <w:rFonts w:eastAsiaTheme="minorEastAsia"/>
          <w:sz w:val="21"/>
          <w:szCs w:val="21"/>
          <w:lang w:val="en-GB"/>
        </w:rPr>
        <w:t xml:space="preserve">and a </w:t>
      </w:r>
      <w:r w:rsidR="4F18C0B3" w:rsidRPr="0CBA0F42">
        <w:rPr>
          <w:rFonts w:eastAsiaTheme="minorEastAsia"/>
          <w:sz w:val="21"/>
          <w:szCs w:val="21"/>
          <w:lang w:val="en-GB"/>
        </w:rPr>
        <w:t xml:space="preserve">strategic engagement and alignment workshop will be used </w:t>
      </w:r>
      <w:r w:rsidR="00D1148F">
        <w:rPr>
          <w:rFonts w:eastAsiaTheme="minorEastAsia"/>
          <w:sz w:val="21"/>
          <w:szCs w:val="21"/>
          <w:lang w:val="en-GB"/>
        </w:rPr>
        <w:t xml:space="preserve">in the Inception Phase </w:t>
      </w:r>
      <w:r w:rsidR="4F18C0B3" w:rsidRPr="0CBA0F42">
        <w:rPr>
          <w:rFonts w:eastAsiaTheme="minorEastAsia"/>
          <w:sz w:val="21"/>
          <w:szCs w:val="21"/>
          <w:lang w:val="en-GB"/>
        </w:rPr>
        <w:t xml:space="preserve">to clarify intersections, including with shared </w:t>
      </w:r>
      <w:r w:rsidR="00BD1D88" w:rsidRPr="0CBA0F42">
        <w:rPr>
          <w:rFonts w:eastAsiaTheme="minorEastAsia"/>
          <w:sz w:val="21"/>
          <w:szCs w:val="21"/>
          <w:lang w:val="en-GB"/>
        </w:rPr>
        <w:t>G</w:t>
      </w:r>
      <w:r w:rsidR="00BD1D88">
        <w:rPr>
          <w:rFonts w:eastAsiaTheme="minorEastAsia"/>
          <w:sz w:val="21"/>
          <w:szCs w:val="21"/>
          <w:lang w:val="en-GB"/>
        </w:rPr>
        <w:t>O</w:t>
      </w:r>
      <w:r w:rsidR="00BD1D88" w:rsidRPr="0CBA0F42">
        <w:rPr>
          <w:rFonts w:eastAsiaTheme="minorEastAsia"/>
          <w:sz w:val="21"/>
          <w:szCs w:val="21"/>
          <w:lang w:val="en-GB"/>
        </w:rPr>
        <w:t xml:space="preserve">I </w:t>
      </w:r>
      <w:r w:rsidR="4F18C0B3" w:rsidRPr="0CBA0F42">
        <w:rPr>
          <w:rFonts w:eastAsiaTheme="minorEastAsia"/>
          <w:sz w:val="21"/>
          <w:szCs w:val="21"/>
          <w:lang w:val="en-GB"/>
        </w:rPr>
        <w:t>partners, and tools to manage these. For instance, a joint G2G Support and Collaboration Framework may be useful.</w:t>
      </w:r>
      <w:r w:rsidR="4F18C0B3" w:rsidRPr="0CBA0F42">
        <w:rPr>
          <w:rFonts w:eastAsiaTheme="minorEastAsia"/>
          <w:sz w:val="21"/>
          <w:szCs w:val="21"/>
          <w:lang w:val="en-US"/>
        </w:rPr>
        <w:t xml:space="preserve"> </w:t>
      </w:r>
      <w:r w:rsidR="4F18C0B3" w:rsidRPr="0CBA0F42">
        <w:rPr>
          <w:rFonts w:ascii="Calibri Light" w:eastAsia="Calibri Light" w:hAnsi="Calibri Light" w:cs="Calibri Light"/>
          <w:sz w:val="21"/>
          <w:szCs w:val="21"/>
        </w:rPr>
        <w:t xml:space="preserve"> </w:t>
      </w:r>
      <w:r w:rsidR="4F18C0B3" w:rsidRPr="0CBA0F42">
        <w:rPr>
          <w:sz w:val="21"/>
          <w:szCs w:val="21"/>
        </w:rPr>
        <w:t xml:space="preserve"> </w:t>
      </w:r>
      <w:r w:rsidR="43DDF870" w:rsidRPr="0CBA0F42">
        <w:rPr>
          <w:sz w:val="21"/>
          <w:szCs w:val="21"/>
        </w:rPr>
        <w:t>D</w:t>
      </w:r>
      <w:r w:rsidR="70C08F10" w:rsidRPr="0CBA0F42">
        <w:rPr>
          <w:sz w:val="21"/>
          <w:szCs w:val="21"/>
        </w:rPr>
        <w:t>uring implementation</w:t>
      </w:r>
      <w:r w:rsidR="00D1148F">
        <w:rPr>
          <w:sz w:val="21"/>
          <w:szCs w:val="21"/>
        </w:rPr>
        <w:t>,</w:t>
      </w:r>
      <w:r w:rsidR="70C08F10" w:rsidRPr="0CBA0F42">
        <w:rPr>
          <w:sz w:val="21"/>
          <w:szCs w:val="21"/>
        </w:rPr>
        <w:t xml:space="preserve"> </w:t>
      </w:r>
      <w:r w:rsidR="56FF4524" w:rsidRPr="0CBA0F42">
        <w:rPr>
          <w:sz w:val="21"/>
          <w:szCs w:val="21"/>
        </w:rPr>
        <w:t>the T</w:t>
      </w:r>
      <w:r w:rsidR="532F0BB1" w:rsidRPr="0CBA0F42">
        <w:rPr>
          <w:sz w:val="21"/>
          <w:szCs w:val="21"/>
        </w:rPr>
        <w:t>A</w:t>
      </w:r>
      <w:r w:rsidR="00D1148F">
        <w:rPr>
          <w:sz w:val="21"/>
          <w:szCs w:val="21"/>
        </w:rPr>
        <w:t>G</w:t>
      </w:r>
      <w:r w:rsidR="56FF4524" w:rsidRPr="0CBA0F42">
        <w:rPr>
          <w:sz w:val="21"/>
          <w:szCs w:val="21"/>
        </w:rPr>
        <w:t xml:space="preserve"> will support DFAT to ensure alignment and</w:t>
      </w:r>
      <w:r w:rsidR="00D1148F">
        <w:rPr>
          <w:sz w:val="21"/>
          <w:szCs w:val="21"/>
        </w:rPr>
        <w:t xml:space="preserve"> complementarity</w:t>
      </w:r>
      <w:r w:rsidR="56FF4524" w:rsidRPr="0CBA0F42">
        <w:rPr>
          <w:sz w:val="21"/>
          <w:szCs w:val="21"/>
        </w:rPr>
        <w:t xml:space="preserve">, and </w:t>
      </w:r>
      <w:r w:rsidR="70C08F10" w:rsidRPr="0CBA0F42">
        <w:rPr>
          <w:sz w:val="21"/>
          <w:szCs w:val="21"/>
        </w:rPr>
        <w:t>there may be opportunities for</w:t>
      </w:r>
      <w:r w:rsidR="59AC2192" w:rsidRPr="0CBA0F42">
        <w:rPr>
          <w:sz w:val="21"/>
          <w:szCs w:val="21"/>
        </w:rPr>
        <w:t xml:space="preserve"> </w:t>
      </w:r>
      <w:r w:rsidR="59AC2192" w:rsidRPr="00B72D9F">
        <w:rPr>
          <w:caps/>
          <w:sz w:val="21"/>
          <w:szCs w:val="21"/>
        </w:rPr>
        <w:t>Prospera</w:t>
      </w:r>
      <w:r w:rsidR="59AC2192" w:rsidRPr="0CBA0F42">
        <w:rPr>
          <w:sz w:val="21"/>
          <w:szCs w:val="21"/>
        </w:rPr>
        <w:t xml:space="preserve"> and </w:t>
      </w:r>
      <w:r w:rsidR="79D0687C" w:rsidRPr="0CBA0F42">
        <w:rPr>
          <w:sz w:val="21"/>
          <w:szCs w:val="21"/>
        </w:rPr>
        <w:t xml:space="preserve">the </w:t>
      </w:r>
      <w:r w:rsidR="6860915C" w:rsidRPr="0CBA0F42">
        <w:rPr>
          <w:sz w:val="21"/>
          <w:szCs w:val="21"/>
        </w:rPr>
        <w:t xml:space="preserve">Partnership </w:t>
      </w:r>
      <w:r w:rsidR="59AC2192" w:rsidRPr="0CBA0F42">
        <w:rPr>
          <w:sz w:val="21"/>
          <w:szCs w:val="21"/>
        </w:rPr>
        <w:t xml:space="preserve">to </w:t>
      </w:r>
      <w:r w:rsidR="70C08F10" w:rsidRPr="0CBA0F42">
        <w:rPr>
          <w:sz w:val="21"/>
          <w:szCs w:val="21"/>
        </w:rPr>
        <w:t xml:space="preserve">co-fund consultant expertise, research and analysis </w:t>
      </w:r>
      <w:r w:rsidR="59AC2192" w:rsidRPr="0CBA0F42">
        <w:rPr>
          <w:sz w:val="21"/>
          <w:szCs w:val="21"/>
        </w:rPr>
        <w:t xml:space="preserve">or other inputs </w:t>
      </w:r>
      <w:r w:rsidR="215E1CFB" w:rsidRPr="0CBA0F42">
        <w:rPr>
          <w:sz w:val="21"/>
          <w:szCs w:val="21"/>
        </w:rPr>
        <w:t xml:space="preserve">in areas </w:t>
      </w:r>
      <w:r w:rsidR="59AC2192" w:rsidRPr="0CBA0F42">
        <w:rPr>
          <w:sz w:val="21"/>
          <w:szCs w:val="21"/>
        </w:rPr>
        <w:t>where there is mutual benefit.</w:t>
      </w:r>
      <w:r w:rsidR="25AEC871" w:rsidRPr="0CBA0F42">
        <w:rPr>
          <w:sz w:val="21"/>
          <w:szCs w:val="21"/>
        </w:rPr>
        <w:t xml:space="preserve"> </w:t>
      </w:r>
    </w:p>
    <w:p w14:paraId="6EF81ADE" w14:textId="22937083" w:rsidR="000A435A" w:rsidRDefault="000A435A" w:rsidP="005F1F7F">
      <w:pPr>
        <w:rPr>
          <w:sz w:val="21"/>
          <w:szCs w:val="21"/>
        </w:rPr>
      </w:pPr>
      <w:r w:rsidRPr="5A972D64">
        <w:rPr>
          <w:sz w:val="21"/>
          <w:szCs w:val="21"/>
        </w:rPr>
        <w:t xml:space="preserve">There are also potential intersections with programs such as </w:t>
      </w:r>
      <w:r w:rsidR="00106B45" w:rsidRPr="5A972D64">
        <w:rPr>
          <w:sz w:val="21"/>
          <w:szCs w:val="21"/>
        </w:rPr>
        <w:t>SIAP SIAGA</w:t>
      </w:r>
      <w:r w:rsidR="00FF738F" w:rsidRPr="5A972D64">
        <w:rPr>
          <w:sz w:val="21"/>
          <w:szCs w:val="21"/>
        </w:rPr>
        <w:t>,</w:t>
      </w:r>
      <w:r w:rsidRPr="5A972D64">
        <w:rPr>
          <w:sz w:val="21"/>
          <w:szCs w:val="21"/>
        </w:rPr>
        <w:t xml:space="preserve"> SKALA</w:t>
      </w:r>
      <w:r w:rsidR="006C6F3A" w:rsidRPr="5A972D64">
        <w:rPr>
          <w:sz w:val="21"/>
          <w:szCs w:val="21"/>
        </w:rPr>
        <w:t xml:space="preserve"> (Synergies and Collaboration for Basic</w:t>
      </w:r>
      <w:r w:rsidR="00C53B96" w:rsidRPr="5A972D64">
        <w:rPr>
          <w:sz w:val="21"/>
          <w:szCs w:val="21"/>
        </w:rPr>
        <w:t xml:space="preserve"> Service Delivery Acceleration)</w:t>
      </w:r>
      <w:r w:rsidR="007D49D5" w:rsidRPr="5A972D64">
        <w:rPr>
          <w:sz w:val="21"/>
          <w:szCs w:val="21"/>
        </w:rPr>
        <w:t>,</w:t>
      </w:r>
      <w:r w:rsidRPr="5A972D64">
        <w:rPr>
          <w:sz w:val="21"/>
          <w:szCs w:val="21"/>
        </w:rPr>
        <w:t xml:space="preserve"> and INKLUSI </w:t>
      </w:r>
      <w:r w:rsidR="00C53B96" w:rsidRPr="5A972D64">
        <w:rPr>
          <w:sz w:val="21"/>
          <w:szCs w:val="21"/>
        </w:rPr>
        <w:t xml:space="preserve">(Australia-Indonesia Partnership Towards an Inclusive Society) </w:t>
      </w:r>
      <w:r w:rsidRPr="5A972D64">
        <w:rPr>
          <w:sz w:val="21"/>
          <w:szCs w:val="21"/>
        </w:rPr>
        <w:t xml:space="preserve">which work at the local level with potential to intersect with the program’s support for local level planning, financing and funding of infrastructure projects. Potential areas for coordination and/or collaboration with </w:t>
      </w:r>
      <w:r w:rsidR="008238D5">
        <w:rPr>
          <w:sz w:val="21"/>
          <w:szCs w:val="21"/>
        </w:rPr>
        <w:t xml:space="preserve">SIAP SIAGA, </w:t>
      </w:r>
      <w:r w:rsidRPr="5A972D64">
        <w:rPr>
          <w:sz w:val="21"/>
          <w:szCs w:val="21"/>
        </w:rPr>
        <w:t>SKALA and INKLUSI will be identified on a case-by-case basis through DFAT’s internal program management structures.</w:t>
      </w:r>
      <w:r w:rsidR="00C92510" w:rsidRPr="5A972D64">
        <w:rPr>
          <w:sz w:val="21"/>
          <w:szCs w:val="21"/>
        </w:rPr>
        <w:t xml:space="preserve"> </w:t>
      </w:r>
      <w:r w:rsidR="00DA2F1C" w:rsidRPr="5A972D64">
        <w:rPr>
          <w:sz w:val="21"/>
          <w:szCs w:val="21"/>
        </w:rPr>
        <w:t xml:space="preserve"> </w:t>
      </w:r>
    </w:p>
    <w:p w14:paraId="3C70F32E" w14:textId="71A4F2D7" w:rsidR="00F0478D" w:rsidRPr="00126856" w:rsidRDefault="00523796" w:rsidP="00126856">
      <w:pPr>
        <w:rPr>
          <w:sz w:val="21"/>
          <w:szCs w:val="21"/>
        </w:rPr>
      </w:pPr>
      <w:r w:rsidRPr="002327B3">
        <w:rPr>
          <w:sz w:val="21"/>
          <w:szCs w:val="21"/>
        </w:rPr>
        <w:t>Regionally, the Partnership will explore opportunities to leverage Australia’s Partnerships for Infrastructure Phase 2 (P4I-2) program</w:t>
      </w:r>
      <w:r w:rsidRPr="00523796">
        <w:rPr>
          <w:sz w:val="21"/>
          <w:szCs w:val="21"/>
        </w:rPr>
        <w:t xml:space="preserve"> on regional and intra-ASEAN infrastructure, connectivity, and climate. This includes P4I’s expertise in regional market sounding and demand-driven approach to government-to-government and business-to-government partnerships.</w:t>
      </w:r>
    </w:p>
    <w:p w14:paraId="4C9981BC" w14:textId="269BA761" w:rsidR="000A435A" w:rsidRPr="00523796" w:rsidRDefault="0AC098C9" w:rsidP="00D2498B">
      <w:pPr>
        <w:pStyle w:val="Heading2"/>
      </w:pPr>
      <w:bookmarkStart w:id="221" w:name="_Toc216270618"/>
      <w:r w:rsidRPr="00523796">
        <w:t>U</w:t>
      </w:r>
      <w:r w:rsidR="364D9B39" w:rsidRPr="00523796">
        <w:t xml:space="preserve">sing </w:t>
      </w:r>
      <w:r w:rsidR="786985CC" w:rsidRPr="00523796">
        <w:t xml:space="preserve">Australia’s </w:t>
      </w:r>
      <w:r w:rsidR="086D3F3C" w:rsidRPr="00523796">
        <w:t>development finance toolkit</w:t>
      </w:r>
      <w:r w:rsidRPr="00523796">
        <w:t xml:space="preserve"> to create end-to-end </w:t>
      </w:r>
      <w:r w:rsidR="27D3AFFD" w:rsidRPr="00523796">
        <w:t>solutions</w:t>
      </w:r>
      <w:bookmarkEnd w:id="221"/>
    </w:p>
    <w:p w14:paraId="58A24201" w14:textId="3256F660" w:rsidR="00523796" w:rsidRPr="00523796" w:rsidRDefault="00523796" w:rsidP="00523796">
      <w:pPr>
        <w:rPr>
          <w:sz w:val="21"/>
          <w:szCs w:val="21"/>
        </w:rPr>
      </w:pPr>
      <w:r w:rsidRPr="00523796">
        <w:rPr>
          <w:b/>
          <w:bCs/>
          <w:sz w:val="21"/>
          <w:szCs w:val="21"/>
        </w:rPr>
        <w:t>Meeting Indonesia’s development needs requires a combination of financing tools as its development challenges, investment climate, and financial markets evolve, and domestic public resources remain limited.</w:t>
      </w:r>
      <w:r w:rsidRPr="00523796">
        <w:rPr>
          <w:sz w:val="21"/>
          <w:szCs w:val="21"/>
        </w:rPr>
        <w:t xml:space="preserve"> Blended finance helps to bridge market gaps including lack of collateral, lack of demonstrated history of investment returns, large minimum investment size, long investment time horizons, and high information asymmetry, risk, or transaction costs. </w:t>
      </w:r>
    </w:p>
    <w:p w14:paraId="63CB0E22" w14:textId="411F8412" w:rsidR="00523796" w:rsidRPr="00523796" w:rsidRDefault="00523796" w:rsidP="00523796">
      <w:pPr>
        <w:rPr>
          <w:sz w:val="21"/>
          <w:szCs w:val="21"/>
        </w:rPr>
      </w:pPr>
      <w:r w:rsidRPr="00523796">
        <w:rPr>
          <w:b/>
          <w:bCs/>
          <w:sz w:val="21"/>
          <w:szCs w:val="21"/>
        </w:rPr>
        <w:t>The Partnership draws on Australia’s portfolio of development finance mechanisms to address challenges that cannot be solved through grants alone.</w:t>
      </w:r>
      <w:r w:rsidRPr="00523796">
        <w:rPr>
          <w:sz w:val="21"/>
          <w:szCs w:val="21"/>
        </w:rPr>
        <w:t xml:space="preserve"> This includes </w:t>
      </w:r>
      <w:r w:rsidR="00B12E38">
        <w:rPr>
          <w:sz w:val="21"/>
          <w:szCs w:val="21"/>
        </w:rPr>
        <w:t xml:space="preserve">bringing </w:t>
      </w:r>
      <w:r w:rsidRPr="00523796">
        <w:rPr>
          <w:sz w:val="21"/>
          <w:szCs w:val="21"/>
        </w:rPr>
        <w:t xml:space="preserve">current arrangements with Australian Development Investments (ADI) and the Private Infrastructure Development Group (PIDG) </w:t>
      </w:r>
      <w:r w:rsidR="00B12E38">
        <w:rPr>
          <w:sz w:val="21"/>
          <w:szCs w:val="21"/>
        </w:rPr>
        <w:t xml:space="preserve">under the governance mechanisms of </w:t>
      </w:r>
      <w:r w:rsidRPr="00523796">
        <w:rPr>
          <w:sz w:val="21"/>
          <w:szCs w:val="21"/>
        </w:rPr>
        <w:t>the Partnership. ADI is Australia's flagship AUD250 million impact investment fund making early-stage and concessional investments into Indo-Pacific funds that finance climate and gender-focused SMEs, particularly in rural Indonesia. PIDG is a multilateral initiative that uses public finance to help early-stage projects overcome financial, technical and safeguards challenges to become investment-ready. The KINETIK</w:t>
      </w:r>
      <w:r w:rsidR="00144487">
        <w:rPr>
          <w:sz w:val="21"/>
          <w:szCs w:val="21"/>
        </w:rPr>
        <w:t>’s</w:t>
      </w:r>
      <w:r w:rsidRPr="00523796">
        <w:rPr>
          <w:sz w:val="21"/>
          <w:szCs w:val="21"/>
        </w:rPr>
        <w:t xml:space="preserve"> </w:t>
      </w:r>
      <w:proofErr w:type="spellStart"/>
      <w:r w:rsidRPr="00523796">
        <w:rPr>
          <w:sz w:val="21"/>
          <w:szCs w:val="21"/>
        </w:rPr>
        <w:t>Affirma</w:t>
      </w:r>
      <w:proofErr w:type="spellEnd"/>
      <w:r w:rsidRPr="00523796">
        <w:rPr>
          <w:sz w:val="21"/>
          <w:szCs w:val="21"/>
        </w:rPr>
        <w:t xml:space="preserve"> Capital Climate Transition Fund launched in July 2025 (AUD50 million cornerstone investment from Australia through PIDG) will drive private sector investment in climate-related projects in renewable energy, waste management, sustainable transport, and water treatment projects. </w:t>
      </w:r>
    </w:p>
    <w:p w14:paraId="7FEA0C29" w14:textId="4477BF2B" w:rsidR="00523796" w:rsidRPr="00523796" w:rsidRDefault="00523796" w:rsidP="00523796">
      <w:pPr>
        <w:rPr>
          <w:sz w:val="21"/>
          <w:szCs w:val="21"/>
        </w:rPr>
      </w:pPr>
      <w:r w:rsidRPr="00523796">
        <w:rPr>
          <w:b/>
          <w:bCs/>
          <w:sz w:val="21"/>
          <w:szCs w:val="21"/>
        </w:rPr>
        <w:t xml:space="preserve">The Partnership supports strategic coherence with Australia’s suite </w:t>
      </w:r>
      <w:r w:rsidR="004A7CFC">
        <w:rPr>
          <w:b/>
          <w:bCs/>
          <w:sz w:val="21"/>
          <w:szCs w:val="21"/>
        </w:rPr>
        <w:t>of</w:t>
      </w:r>
      <w:r w:rsidR="004A7CFC" w:rsidRPr="00523796">
        <w:rPr>
          <w:b/>
          <w:bCs/>
          <w:sz w:val="21"/>
          <w:szCs w:val="21"/>
        </w:rPr>
        <w:t xml:space="preserve"> </w:t>
      </w:r>
      <w:r w:rsidRPr="00523796">
        <w:rPr>
          <w:b/>
          <w:bCs/>
          <w:sz w:val="21"/>
          <w:szCs w:val="21"/>
        </w:rPr>
        <w:t>financing tools to create end-to-end solutions and deliver investment at scale.</w:t>
      </w:r>
      <w:r w:rsidRPr="00523796">
        <w:rPr>
          <w:sz w:val="21"/>
          <w:szCs w:val="21"/>
        </w:rPr>
        <w:t xml:space="preserve"> The Partnership complements Australia’s ‘Deal Teams’ and </w:t>
      </w:r>
      <w:r w:rsidR="00516D28" w:rsidRPr="00523796">
        <w:rPr>
          <w:sz w:val="21"/>
          <w:szCs w:val="21"/>
        </w:rPr>
        <w:t xml:space="preserve">Export </w:t>
      </w:r>
      <w:r w:rsidR="00516D28" w:rsidRPr="00523796">
        <w:rPr>
          <w:sz w:val="21"/>
          <w:szCs w:val="21"/>
        </w:rPr>
        <w:lastRenderedPageBreak/>
        <w:t xml:space="preserve">Finance Australia’s (EFA) </w:t>
      </w:r>
      <w:r w:rsidRPr="00523796">
        <w:rPr>
          <w:sz w:val="21"/>
          <w:szCs w:val="21"/>
        </w:rPr>
        <w:t xml:space="preserve">infrastructure powers, including the AUD2 billion Southeast Asia Investment Financing Facility (SEAIFF) to boost trade and investment, particularly in Indonesia’s clean energy transition and infrastructure development. The Partnership builds on </w:t>
      </w:r>
      <w:r w:rsidR="00E65A3D">
        <w:rPr>
          <w:sz w:val="21"/>
          <w:szCs w:val="21"/>
        </w:rPr>
        <w:t xml:space="preserve">emerging </w:t>
      </w:r>
      <w:r w:rsidRPr="00523796">
        <w:rPr>
          <w:sz w:val="21"/>
          <w:szCs w:val="21"/>
        </w:rPr>
        <w:t>work that leverage</w:t>
      </w:r>
      <w:r w:rsidR="00E65A3D">
        <w:rPr>
          <w:sz w:val="21"/>
          <w:szCs w:val="21"/>
        </w:rPr>
        <w:t>s</w:t>
      </w:r>
      <w:r w:rsidRPr="00523796">
        <w:rPr>
          <w:sz w:val="21"/>
          <w:szCs w:val="21"/>
        </w:rPr>
        <w:t xml:space="preserve"> KIAT’s knowledge and networks to shape project pipelines and create investment-ready opportunities in coordination with the Deal Teams</w:t>
      </w:r>
      <w:r w:rsidR="00247F15">
        <w:rPr>
          <w:sz w:val="21"/>
          <w:szCs w:val="21"/>
        </w:rPr>
        <w:t xml:space="preserve"> and Aus</w:t>
      </w:r>
      <w:r w:rsidR="00E65A3D">
        <w:rPr>
          <w:sz w:val="21"/>
          <w:szCs w:val="21"/>
        </w:rPr>
        <w:t>t</w:t>
      </w:r>
      <w:r w:rsidR="00247F15">
        <w:rPr>
          <w:sz w:val="21"/>
          <w:szCs w:val="21"/>
        </w:rPr>
        <w:t>rade</w:t>
      </w:r>
      <w:r w:rsidR="00E65A3D">
        <w:rPr>
          <w:sz w:val="21"/>
          <w:szCs w:val="21"/>
        </w:rPr>
        <w:t>.</w:t>
      </w:r>
      <w:r w:rsidRPr="00523796">
        <w:rPr>
          <w:sz w:val="21"/>
          <w:szCs w:val="21"/>
        </w:rPr>
        <w:t xml:space="preserve"> This </w:t>
      </w:r>
      <w:r w:rsidR="00806C01">
        <w:rPr>
          <w:sz w:val="21"/>
          <w:szCs w:val="21"/>
        </w:rPr>
        <w:t xml:space="preserve">approach </w:t>
      </w:r>
      <w:r w:rsidRPr="00523796">
        <w:rPr>
          <w:sz w:val="21"/>
          <w:szCs w:val="21"/>
        </w:rPr>
        <w:t>creat</w:t>
      </w:r>
      <w:r w:rsidR="00806C01">
        <w:rPr>
          <w:sz w:val="21"/>
          <w:szCs w:val="21"/>
        </w:rPr>
        <w:t>es</w:t>
      </w:r>
      <w:r w:rsidRPr="00523796">
        <w:rPr>
          <w:sz w:val="21"/>
          <w:szCs w:val="21"/>
        </w:rPr>
        <w:t xml:space="preserve"> end-to-end solutions linking upstream policy development </w:t>
      </w:r>
      <w:r w:rsidR="00806C01">
        <w:rPr>
          <w:sz w:val="21"/>
          <w:szCs w:val="21"/>
        </w:rPr>
        <w:t xml:space="preserve">support </w:t>
      </w:r>
      <w:r w:rsidRPr="00523796">
        <w:rPr>
          <w:sz w:val="21"/>
          <w:szCs w:val="21"/>
        </w:rPr>
        <w:t>with downstream financing and implementation.</w:t>
      </w:r>
    </w:p>
    <w:p w14:paraId="50E16A9E" w14:textId="5FB5E033" w:rsidR="00523796" w:rsidRDefault="00523796" w:rsidP="00523796">
      <w:pPr>
        <w:rPr>
          <w:sz w:val="21"/>
          <w:szCs w:val="21"/>
        </w:rPr>
      </w:pPr>
      <w:r w:rsidRPr="00523796">
        <w:rPr>
          <w:b/>
          <w:bCs/>
          <w:sz w:val="21"/>
          <w:szCs w:val="21"/>
        </w:rPr>
        <w:t xml:space="preserve">The Partnership can </w:t>
      </w:r>
      <w:r w:rsidR="00D65A86">
        <w:rPr>
          <w:b/>
          <w:bCs/>
          <w:sz w:val="21"/>
          <w:szCs w:val="21"/>
        </w:rPr>
        <w:t xml:space="preserve">‘crowd in’ </w:t>
      </w:r>
      <w:r w:rsidRPr="00523796">
        <w:rPr>
          <w:b/>
          <w:bCs/>
          <w:sz w:val="21"/>
          <w:szCs w:val="21"/>
        </w:rPr>
        <w:t xml:space="preserve">additional </w:t>
      </w:r>
      <w:r w:rsidR="00D65A86">
        <w:rPr>
          <w:b/>
          <w:bCs/>
          <w:sz w:val="21"/>
          <w:szCs w:val="21"/>
        </w:rPr>
        <w:t xml:space="preserve">private </w:t>
      </w:r>
      <w:r w:rsidRPr="00523796">
        <w:rPr>
          <w:b/>
          <w:bCs/>
          <w:sz w:val="21"/>
          <w:szCs w:val="21"/>
        </w:rPr>
        <w:t>capital investment through multilateral investment vehicles, wholly Australian-owned entities, direct government support for private transactions, and domestic Indonesian financing vehicles.</w:t>
      </w:r>
      <w:r w:rsidRPr="00523796">
        <w:rPr>
          <w:sz w:val="21"/>
          <w:szCs w:val="21"/>
        </w:rPr>
        <w:t xml:space="preserve"> Beyond ADI and PIDG, the Partnership’s indicative AUD100 million in earmarked investible capital can be channelled through a range of options including MDBs, DFIs (see section on ‘Other Development Partners’) or innovative financing (e.g. Impact Investment Exchange’s Women’s Livelihood Bond). The Partnership can also explore engaging with Indonesian special mission vehicles (e.g. PT Sarana Multi Infrastructure </w:t>
      </w:r>
      <w:r w:rsidR="005556C1">
        <w:rPr>
          <w:sz w:val="21"/>
          <w:szCs w:val="21"/>
        </w:rPr>
        <w:t>(</w:t>
      </w:r>
      <w:r w:rsidRPr="00523796">
        <w:rPr>
          <w:sz w:val="21"/>
          <w:szCs w:val="21"/>
        </w:rPr>
        <w:t>PT</w:t>
      </w:r>
      <w:r w:rsidR="00B00905">
        <w:rPr>
          <w:sz w:val="21"/>
          <w:szCs w:val="21"/>
        </w:rPr>
        <w:t xml:space="preserve"> </w:t>
      </w:r>
      <w:r w:rsidRPr="00523796">
        <w:rPr>
          <w:sz w:val="21"/>
          <w:szCs w:val="21"/>
        </w:rPr>
        <w:t>SMI</w:t>
      </w:r>
      <w:r w:rsidR="005556C1">
        <w:rPr>
          <w:sz w:val="21"/>
          <w:szCs w:val="21"/>
        </w:rPr>
        <w:t>)</w:t>
      </w:r>
      <w:r w:rsidRPr="00523796">
        <w:rPr>
          <w:sz w:val="21"/>
          <w:szCs w:val="21"/>
        </w:rPr>
        <w:t>) catalysing private investment and supporting a localisation approach to development.</w:t>
      </w:r>
    </w:p>
    <w:p w14:paraId="01DD791E" w14:textId="2FBEB7FB" w:rsidR="000A435A" w:rsidRPr="003E18AD" w:rsidRDefault="3C1559FF" w:rsidP="00D2498B">
      <w:pPr>
        <w:pStyle w:val="Heading2"/>
      </w:pPr>
      <w:bookmarkStart w:id="222" w:name="_Toc216270619"/>
      <w:r>
        <w:t>Leveraging Australia’s comparative advantage</w:t>
      </w:r>
      <w:r w:rsidR="4817E254">
        <w:t>s</w:t>
      </w:r>
      <w:r>
        <w:t xml:space="preserve"> </w:t>
      </w:r>
      <w:r w:rsidR="310DDE15">
        <w:t>in</w:t>
      </w:r>
      <w:r>
        <w:t xml:space="preserve"> government-to-government </w:t>
      </w:r>
      <w:r w:rsidR="310DDE15">
        <w:t>and business-to-government linkages</w:t>
      </w:r>
      <w:bookmarkEnd w:id="222"/>
      <w:r w:rsidR="12DF41D8">
        <w:t xml:space="preserve"> </w:t>
      </w:r>
    </w:p>
    <w:p w14:paraId="287C1DA3" w14:textId="1E4D2CE3" w:rsidR="000A435A" w:rsidRPr="003E18AD" w:rsidRDefault="000A435A" w:rsidP="4E666B3A">
      <w:pPr>
        <w:rPr>
          <w:b/>
          <w:bCs/>
          <w:i/>
          <w:iCs/>
          <w:sz w:val="21"/>
          <w:szCs w:val="21"/>
        </w:rPr>
      </w:pPr>
      <w:r w:rsidRPr="4E666B3A">
        <w:rPr>
          <w:sz w:val="21"/>
          <w:szCs w:val="21"/>
        </w:rPr>
        <w:t xml:space="preserve">Government-to-government </w:t>
      </w:r>
      <w:r w:rsidR="5D83F12A" w:rsidRPr="4E666B3A">
        <w:rPr>
          <w:sz w:val="21"/>
          <w:szCs w:val="21"/>
        </w:rPr>
        <w:t xml:space="preserve">and business-to-government </w:t>
      </w:r>
      <w:r w:rsidRPr="4E666B3A">
        <w:rPr>
          <w:sz w:val="21"/>
          <w:szCs w:val="21"/>
        </w:rPr>
        <w:t xml:space="preserve">partnerships that support Indonesia's infrastructure development create valuable opportunities for collaborative learning and relationship-building, enabling Australia and Indonesia to share experiences, best practices, and innovative approaches to common challenges. Australia brings significant expertise in public-private partnerships, renewable energy integration, and resource infrastructure development that can complement Indonesia's </w:t>
      </w:r>
      <w:r w:rsidR="00D222EC" w:rsidRPr="4E666B3A">
        <w:rPr>
          <w:sz w:val="21"/>
          <w:szCs w:val="21"/>
        </w:rPr>
        <w:t xml:space="preserve">climate and infrastructure </w:t>
      </w:r>
      <w:r w:rsidR="00915BAB" w:rsidRPr="4E666B3A">
        <w:rPr>
          <w:sz w:val="21"/>
          <w:szCs w:val="21"/>
        </w:rPr>
        <w:t>ambition</w:t>
      </w:r>
      <w:r w:rsidRPr="4E666B3A">
        <w:rPr>
          <w:sz w:val="21"/>
          <w:szCs w:val="21"/>
        </w:rPr>
        <w:t xml:space="preserve">. </w:t>
      </w:r>
    </w:p>
    <w:p w14:paraId="3C89B05D" w14:textId="5F66FAC3" w:rsidR="000A435A" w:rsidRPr="003E18AD" w:rsidRDefault="2BEFF09A" w:rsidP="00E17732">
      <w:pPr>
        <w:rPr>
          <w:sz w:val="21"/>
          <w:szCs w:val="21"/>
        </w:rPr>
      </w:pPr>
      <w:r w:rsidRPr="1169CFB7">
        <w:rPr>
          <w:sz w:val="21"/>
          <w:szCs w:val="21"/>
        </w:rPr>
        <w:t>P</w:t>
      </w:r>
      <w:r w:rsidR="786985CC" w:rsidRPr="1169CFB7">
        <w:rPr>
          <w:sz w:val="21"/>
          <w:szCs w:val="21"/>
        </w:rPr>
        <w:t>eer-to-peer knowledge exchange and capacity-building initiatives</w:t>
      </w:r>
      <w:r w:rsidR="06937244" w:rsidRPr="1169CFB7">
        <w:rPr>
          <w:sz w:val="21"/>
          <w:szCs w:val="21"/>
        </w:rPr>
        <w:t xml:space="preserve"> led by APS agencies working on climate and infrast</w:t>
      </w:r>
      <w:r w:rsidR="1339E21D" w:rsidRPr="1169CFB7">
        <w:rPr>
          <w:sz w:val="21"/>
          <w:szCs w:val="21"/>
        </w:rPr>
        <w:t>r</w:t>
      </w:r>
      <w:r w:rsidR="06937244" w:rsidRPr="1169CFB7">
        <w:rPr>
          <w:sz w:val="21"/>
          <w:szCs w:val="21"/>
        </w:rPr>
        <w:t xml:space="preserve">ucture issues have </w:t>
      </w:r>
      <w:r w:rsidR="19812907" w:rsidRPr="1169CFB7">
        <w:rPr>
          <w:sz w:val="21"/>
          <w:szCs w:val="21"/>
        </w:rPr>
        <w:t xml:space="preserve">to date </w:t>
      </w:r>
      <w:r w:rsidR="06937244" w:rsidRPr="1169CFB7">
        <w:rPr>
          <w:sz w:val="21"/>
          <w:szCs w:val="21"/>
        </w:rPr>
        <w:t>contributed to strong i</w:t>
      </w:r>
      <w:r w:rsidR="7A91776D" w:rsidRPr="1169CFB7">
        <w:rPr>
          <w:sz w:val="21"/>
          <w:szCs w:val="21"/>
        </w:rPr>
        <w:t>nstitutional partnerships with Indonesian counterpart agencies</w:t>
      </w:r>
      <w:r w:rsidR="786985CC" w:rsidRPr="1169CFB7">
        <w:rPr>
          <w:sz w:val="21"/>
          <w:szCs w:val="21"/>
        </w:rPr>
        <w:t xml:space="preserve">. For example, </w:t>
      </w:r>
      <w:r w:rsidR="00D65A86">
        <w:rPr>
          <w:sz w:val="21"/>
          <w:szCs w:val="21"/>
        </w:rPr>
        <w:t xml:space="preserve">a </w:t>
      </w:r>
      <w:r w:rsidR="5CD80A23" w:rsidRPr="1169CFB7">
        <w:rPr>
          <w:sz w:val="21"/>
          <w:szCs w:val="21"/>
        </w:rPr>
        <w:t xml:space="preserve">DCCEEW Counsellor </w:t>
      </w:r>
      <w:r w:rsidR="00D65A86">
        <w:rPr>
          <w:sz w:val="21"/>
          <w:szCs w:val="21"/>
        </w:rPr>
        <w:t xml:space="preserve">position </w:t>
      </w:r>
      <w:r w:rsidR="5CD80A23" w:rsidRPr="1169CFB7">
        <w:rPr>
          <w:sz w:val="21"/>
          <w:szCs w:val="21"/>
        </w:rPr>
        <w:t xml:space="preserve">in Jakarta has </w:t>
      </w:r>
      <w:r w:rsidR="79F465B7" w:rsidRPr="1169CFB7">
        <w:rPr>
          <w:sz w:val="21"/>
          <w:szCs w:val="21"/>
        </w:rPr>
        <w:t>expanded</w:t>
      </w:r>
      <w:r w:rsidR="5CD80A23" w:rsidRPr="1169CFB7">
        <w:rPr>
          <w:sz w:val="21"/>
          <w:szCs w:val="21"/>
        </w:rPr>
        <w:t xml:space="preserve"> technical cooperation on clean energy transition between DCCEEW portfolio agencies and Indonesian counterparts. </w:t>
      </w:r>
      <w:r w:rsidR="786985CC" w:rsidRPr="1169CFB7">
        <w:rPr>
          <w:sz w:val="21"/>
          <w:szCs w:val="21"/>
        </w:rPr>
        <w:t>CSIRO provides detailed economic impact mode</w:t>
      </w:r>
      <w:r w:rsidR="70F7CFD2" w:rsidRPr="1169CFB7">
        <w:rPr>
          <w:sz w:val="21"/>
          <w:szCs w:val="21"/>
        </w:rPr>
        <w:t>l</w:t>
      </w:r>
      <w:r w:rsidR="786985CC" w:rsidRPr="1169CFB7">
        <w:rPr>
          <w:sz w:val="21"/>
          <w:szCs w:val="21"/>
        </w:rPr>
        <w:t>ling o</w:t>
      </w:r>
      <w:r w:rsidR="70F7CFD2" w:rsidRPr="1169CFB7">
        <w:rPr>
          <w:sz w:val="21"/>
          <w:szCs w:val="21"/>
        </w:rPr>
        <w:t>n</w:t>
      </w:r>
      <w:r w:rsidR="786985CC" w:rsidRPr="1169CFB7">
        <w:rPr>
          <w:sz w:val="21"/>
          <w:szCs w:val="21"/>
        </w:rPr>
        <w:t xml:space="preserve"> </w:t>
      </w:r>
      <w:r w:rsidR="70F7CFD2" w:rsidRPr="1169CFB7">
        <w:rPr>
          <w:sz w:val="21"/>
          <w:szCs w:val="21"/>
        </w:rPr>
        <w:t xml:space="preserve">the impact of </w:t>
      </w:r>
      <w:r w:rsidR="786985CC" w:rsidRPr="1169CFB7">
        <w:rPr>
          <w:sz w:val="21"/>
          <w:szCs w:val="21"/>
        </w:rPr>
        <w:t>climate change on Indonesia's infrastructure and vulnerability assessments for the national road network to identify climate-proofing measures</w:t>
      </w:r>
      <w:r w:rsidR="3C7A207B" w:rsidRPr="1169CFB7">
        <w:rPr>
          <w:sz w:val="21"/>
          <w:szCs w:val="21"/>
        </w:rPr>
        <w:t>;</w:t>
      </w:r>
      <w:r w:rsidR="786985CC" w:rsidRPr="1169CFB7">
        <w:rPr>
          <w:sz w:val="21"/>
          <w:szCs w:val="21"/>
        </w:rPr>
        <w:t xml:space="preserve"> Sydney Water and Queensland agencies share water utility regulation and management expertise through Australia Award classes with Indonesian counterparts</w:t>
      </w:r>
      <w:r w:rsidR="3C7A207B" w:rsidRPr="1169CFB7">
        <w:rPr>
          <w:sz w:val="21"/>
          <w:szCs w:val="21"/>
        </w:rPr>
        <w:t>;</w:t>
      </w:r>
      <w:r w:rsidR="4CDDC1A4" w:rsidRPr="1169CFB7">
        <w:rPr>
          <w:sz w:val="21"/>
          <w:szCs w:val="21"/>
        </w:rPr>
        <w:t xml:space="preserve"> </w:t>
      </w:r>
      <w:r w:rsidR="786985CC" w:rsidRPr="1169CFB7">
        <w:rPr>
          <w:sz w:val="21"/>
          <w:szCs w:val="21"/>
        </w:rPr>
        <w:t xml:space="preserve">Infrastructure NSW contributes decarbonisation experience through Indonesia's GHG Emissions Reduction program, sharing insights from NSW's sustainability initiatives; and Victoria's transport agencies facilitate knowledge exchange with Indonesia's highway and toll road authorities on operational approaches and regulatory best practices. </w:t>
      </w:r>
      <w:r w:rsidR="322D41AB" w:rsidRPr="1169CFB7">
        <w:rPr>
          <w:sz w:val="21"/>
          <w:szCs w:val="21"/>
        </w:rPr>
        <w:t xml:space="preserve"> Australia’s comparative advantages </w:t>
      </w:r>
      <w:r w:rsidR="5367BA18" w:rsidRPr="1169CFB7">
        <w:rPr>
          <w:sz w:val="21"/>
          <w:szCs w:val="21"/>
        </w:rPr>
        <w:t xml:space="preserve">will continue to be utilised under the Partnership through selective utilisation of government-to-government and business-to-government partnerships, where supported by evidence that this </w:t>
      </w:r>
      <w:r w:rsidR="1EF7C526" w:rsidRPr="1169CFB7">
        <w:rPr>
          <w:sz w:val="21"/>
          <w:szCs w:val="21"/>
        </w:rPr>
        <w:t xml:space="preserve">is the most efficient and effective modality. </w:t>
      </w:r>
    </w:p>
    <w:p w14:paraId="4B1E7F2A" w14:textId="75F152EC" w:rsidR="000A435A" w:rsidRPr="003E18AD" w:rsidRDefault="72ED2089" w:rsidP="00D2498B">
      <w:pPr>
        <w:pStyle w:val="Heading2"/>
      </w:pPr>
      <w:bookmarkStart w:id="223" w:name="_Toc216270620"/>
      <w:r w:rsidRPr="4E666B3A">
        <w:t>Shaping Multilateral Developme</w:t>
      </w:r>
      <w:r w:rsidR="00B005A0" w:rsidRPr="4E666B3A">
        <w:t>nt Bank</w:t>
      </w:r>
      <w:r w:rsidR="005D7AFF" w:rsidRPr="4E666B3A">
        <w:t xml:space="preserve"> effectiveness and financing</w:t>
      </w:r>
      <w:bookmarkEnd w:id="223"/>
    </w:p>
    <w:p w14:paraId="5B449B20" w14:textId="7F964855" w:rsidR="00523796" w:rsidRPr="00F165F8" w:rsidRDefault="00523796" w:rsidP="00A0534D">
      <w:pPr>
        <w:pStyle w:val="Heading3"/>
        <w:numPr>
          <w:ilvl w:val="0"/>
          <w:numId w:val="0"/>
        </w:numPr>
      </w:pPr>
      <w:bookmarkStart w:id="224" w:name="_Toc216260359"/>
      <w:bookmarkStart w:id="225" w:name="_Toc216264074"/>
      <w:bookmarkStart w:id="226" w:name="_Toc216269922"/>
      <w:bookmarkStart w:id="227" w:name="_Toc216270621"/>
      <w:r w:rsidRPr="00F165F8">
        <w:t xml:space="preserve">Asian Development Bank </w:t>
      </w:r>
      <w:r w:rsidR="00B00905" w:rsidRPr="00F165F8">
        <w:t>(ADB)</w:t>
      </w:r>
      <w:bookmarkEnd w:id="224"/>
      <w:bookmarkEnd w:id="225"/>
      <w:bookmarkEnd w:id="226"/>
      <w:bookmarkEnd w:id="227"/>
    </w:p>
    <w:p w14:paraId="71FFF07D" w14:textId="77777777" w:rsidR="00523796" w:rsidRPr="00523796" w:rsidRDefault="00523796" w:rsidP="00F165F8">
      <w:pPr>
        <w:spacing w:before="0"/>
        <w:rPr>
          <w:sz w:val="21"/>
          <w:szCs w:val="21"/>
        </w:rPr>
      </w:pPr>
      <w:r w:rsidRPr="00523796">
        <w:rPr>
          <w:rFonts w:eastAsiaTheme="minorEastAsia"/>
          <w:sz w:val="21"/>
          <w:szCs w:val="21"/>
        </w:rPr>
        <w:t xml:space="preserve">ADB is major provider of high-quality finance to Indonesia, where much of its USD7 billion portfolio is directed to infrastructure, including energy transition. ADB is also instrumental in crowding in investment from other quality lending institutions from Japan, Korea and Germany. A strong ADB presence plays a key role in advancing Indonesia’s interests (and our own) of both lifting and diversifying its investor base in strategic sectors while helping to close the country’s large infrastructure and clean energy finance gaps. </w:t>
      </w:r>
    </w:p>
    <w:p w14:paraId="02B9F1C3" w14:textId="30254F3E" w:rsidR="00523796" w:rsidRPr="00523796" w:rsidRDefault="00523796" w:rsidP="00523796">
      <w:pPr>
        <w:rPr>
          <w:sz w:val="21"/>
          <w:szCs w:val="21"/>
        </w:rPr>
      </w:pPr>
      <w:r w:rsidRPr="00523796">
        <w:rPr>
          <w:sz w:val="21"/>
          <w:szCs w:val="21"/>
        </w:rPr>
        <w:t>The ADB will be a key delivery partner under the Partnership, building on DFAT's longstanding infrastructure funding support including through the recent SIAP2 initiative, which has leveraged US</w:t>
      </w:r>
      <w:r w:rsidR="000E39AE">
        <w:rPr>
          <w:sz w:val="21"/>
          <w:szCs w:val="21"/>
        </w:rPr>
        <w:t>D</w:t>
      </w:r>
      <w:r w:rsidRPr="00523796">
        <w:rPr>
          <w:sz w:val="21"/>
          <w:szCs w:val="21"/>
        </w:rPr>
        <w:t xml:space="preserve">7.31 billion in lending and co-financing as of December 2024. SIAP has supported 31 ADB infrastructure loan programs (10 completed, 16 ongoing, 5 proposed), delivering significant flow-on benefits from Australia's broader KIAT-supported policy reform, capacity building and pipeline planning work. Australia will continue to partner with the ADB in Indonesia, and the scope of work will expand to leverage both ADB's sovereign and non-sovereign operations, including </w:t>
      </w:r>
      <w:r w:rsidRPr="00523796">
        <w:rPr>
          <w:sz w:val="21"/>
          <w:szCs w:val="21"/>
        </w:rPr>
        <w:lastRenderedPageBreak/>
        <w:t xml:space="preserve">private sector financing expertise. The ADB will be expected to align its reporting to the Partnership and participate in Partnership planning, review and monitoring and evaluation events. </w:t>
      </w:r>
    </w:p>
    <w:p w14:paraId="327C6D2E" w14:textId="71E6379B" w:rsidR="00523796" w:rsidRPr="00F165F8" w:rsidRDefault="00523796" w:rsidP="00A0534D">
      <w:pPr>
        <w:pStyle w:val="Heading3"/>
        <w:numPr>
          <w:ilvl w:val="0"/>
          <w:numId w:val="0"/>
        </w:numPr>
      </w:pPr>
      <w:bookmarkStart w:id="228" w:name="_Toc216260360"/>
      <w:bookmarkStart w:id="229" w:name="_Toc216264075"/>
      <w:bookmarkStart w:id="230" w:name="_Toc216269923"/>
      <w:bookmarkStart w:id="231" w:name="_Toc216270622"/>
      <w:r w:rsidRPr="00F165F8">
        <w:t>World Bank</w:t>
      </w:r>
      <w:r w:rsidR="00774C44" w:rsidRPr="00F165F8">
        <w:t xml:space="preserve"> (WB)</w:t>
      </w:r>
      <w:bookmarkEnd w:id="228"/>
      <w:bookmarkEnd w:id="229"/>
      <w:bookmarkEnd w:id="230"/>
      <w:bookmarkEnd w:id="231"/>
    </w:p>
    <w:p w14:paraId="6A753F0C" w14:textId="01A6844B" w:rsidR="00523796" w:rsidRPr="00523796" w:rsidRDefault="00523796" w:rsidP="00F165F8">
      <w:pPr>
        <w:spacing w:before="0"/>
        <w:rPr>
          <w:sz w:val="21"/>
          <w:szCs w:val="21"/>
        </w:rPr>
      </w:pPr>
      <w:r w:rsidRPr="00523796">
        <w:rPr>
          <w:sz w:val="21"/>
          <w:szCs w:val="21"/>
        </w:rPr>
        <w:t xml:space="preserve">The Partnership will also work closely with the World Bank, including through the Australia – World Bank Indonesia Partnership </w:t>
      </w:r>
      <w:r w:rsidR="002F795D">
        <w:rPr>
          <w:sz w:val="21"/>
          <w:szCs w:val="21"/>
        </w:rPr>
        <w:t xml:space="preserve">Phase 2 </w:t>
      </w:r>
      <w:r w:rsidRPr="00523796">
        <w:rPr>
          <w:sz w:val="21"/>
          <w:szCs w:val="21"/>
        </w:rPr>
        <w:t xml:space="preserve">(ABIP2) that supports GOI with infrastructure development (among other themes). ABIP2 activities such the proposed activity on renewable energy integration scale-up has strong linkages with the work of the Partnership. DFAT’s Jakarta-based ABIP team drives strong cross-team internal coordination and consulting mechanisms that provide opportunities for </w:t>
      </w:r>
      <w:r w:rsidR="00FD0C51">
        <w:rPr>
          <w:sz w:val="21"/>
          <w:szCs w:val="21"/>
        </w:rPr>
        <w:t xml:space="preserve">the Partnership </w:t>
      </w:r>
      <w:r w:rsidRPr="00523796">
        <w:rPr>
          <w:sz w:val="21"/>
          <w:szCs w:val="21"/>
        </w:rPr>
        <w:t xml:space="preserve">to influence ABIP2 activity planning in similar areas of work. </w:t>
      </w:r>
    </w:p>
    <w:p w14:paraId="2F00AF30" w14:textId="008197FC" w:rsidR="00523796" w:rsidRDefault="00523796" w:rsidP="00523796">
      <w:pPr>
        <w:rPr>
          <w:sz w:val="21"/>
          <w:szCs w:val="21"/>
        </w:rPr>
      </w:pPr>
      <w:r w:rsidRPr="00523796">
        <w:rPr>
          <w:sz w:val="21"/>
          <w:szCs w:val="21"/>
        </w:rPr>
        <w:t>The Partnership may also contribute to a new climate-</w:t>
      </w:r>
      <w:r w:rsidR="00003F69">
        <w:rPr>
          <w:sz w:val="21"/>
          <w:szCs w:val="21"/>
        </w:rPr>
        <w:t>them</w:t>
      </w:r>
      <w:r w:rsidR="00003F69" w:rsidRPr="00523796">
        <w:rPr>
          <w:sz w:val="21"/>
          <w:szCs w:val="21"/>
        </w:rPr>
        <w:t xml:space="preserve">ed </w:t>
      </w:r>
      <w:r w:rsidRPr="00523796">
        <w:rPr>
          <w:sz w:val="21"/>
          <w:szCs w:val="21"/>
        </w:rPr>
        <w:t xml:space="preserve">World Bank Multi-Donor Trust Fund currently under development. Subject to design and approvals, this trust fund may provide an efficient and effective opportunity to leverage finance in support of Indonesia’s </w:t>
      </w:r>
      <w:r w:rsidR="000373CA">
        <w:rPr>
          <w:sz w:val="21"/>
          <w:szCs w:val="21"/>
        </w:rPr>
        <w:t>green economic growth through nature-based solutions for sustainable lands and oceans</w:t>
      </w:r>
      <w:r w:rsidRPr="00523796">
        <w:rPr>
          <w:sz w:val="21"/>
          <w:szCs w:val="21"/>
        </w:rPr>
        <w:t xml:space="preserve">. This would build on Australia’s current partnership with </w:t>
      </w:r>
      <w:r w:rsidR="00F9180D">
        <w:rPr>
          <w:sz w:val="21"/>
          <w:szCs w:val="21"/>
        </w:rPr>
        <w:t xml:space="preserve">the World Bank </w:t>
      </w:r>
      <w:r w:rsidRPr="00523796">
        <w:rPr>
          <w:sz w:val="21"/>
          <w:szCs w:val="21"/>
        </w:rPr>
        <w:t xml:space="preserve">and Norway on sustainable landscapes management, which supports </w:t>
      </w:r>
      <w:r w:rsidR="00003F69">
        <w:rPr>
          <w:sz w:val="21"/>
          <w:szCs w:val="21"/>
        </w:rPr>
        <w:t xml:space="preserve">improved governance and </w:t>
      </w:r>
      <w:r w:rsidRPr="00523796">
        <w:rPr>
          <w:sz w:val="21"/>
          <w:szCs w:val="21"/>
        </w:rPr>
        <w:t>financing for the protection of mangroves and other critical landscapes.</w:t>
      </w:r>
    </w:p>
    <w:p w14:paraId="0EB6AFD6" w14:textId="079ABCB8" w:rsidR="00B96529" w:rsidRPr="003E18AD" w:rsidRDefault="007C69C8" w:rsidP="00D2498B">
      <w:pPr>
        <w:pStyle w:val="Heading2"/>
      </w:pPr>
      <w:bookmarkStart w:id="232" w:name="_Toc216264076"/>
      <w:bookmarkStart w:id="233" w:name="_Toc216270623"/>
      <w:r w:rsidRPr="006F5534">
        <w:rPr>
          <w:iCs/>
        </w:rPr>
        <w:t>Complementarity</w:t>
      </w:r>
      <w:r w:rsidR="005D7AFF">
        <w:t xml:space="preserve"> </w:t>
      </w:r>
      <w:r>
        <w:t>with other</w:t>
      </w:r>
      <w:r w:rsidRPr="003E18AD">
        <w:t xml:space="preserve"> </w:t>
      </w:r>
      <w:r>
        <w:t>d</w:t>
      </w:r>
      <w:r w:rsidR="00B96529" w:rsidRPr="003E18AD">
        <w:t xml:space="preserve">evelopment </w:t>
      </w:r>
      <w:r>
        <w:t>p</w:t>
      </w:r>
      <w:r w:rsidR="00B96529" w:rsidRPr="003E18AD">
        <w:t>artners</w:t>
      </w:r>
      <w:bookmarkEnd w:id="232"/>
      <w:bookmarkEnd w:id="233"/>
      <w:r w:rsidR="00B96529" w:rsidRPr="003E18AD">
        <w:t xml:space="preserve"> </w:t>
      </w:r>
    </w:p>
    <w:p w14:paraId="5EF458E6" w14:textId="1FAB0FB4" w:rsidR="00037AEB" w:rsidRPr="003E18AD" w:rsidRDefault="75A36647" w:rsidP="00037AEB">
      <w:pPr>
        <w:rPr>
          <w:sz w:val="21"/>
          <w:szCs w:val="21"/>
        </w:rPr>
      </w:pPr>
      <w:r w:rsidRPr="1CA76B63">
        <w:rPr>
          <w:sz w:val="21"/>
          <w:szCs w:val="21"/>
        </w:rPr>
        <w:t xml:space="preserve">Germany brings both ODA and blended financing mechanisms to </w:t>
      </w:r>
      <w:r w:rsidR="357F1CA3" w:rsidRPr="1CA76B63">
        <w:rPr>
          <w:sz w:val="21"/>
          <w:szCs w:val="21"/>
        </w:rPr>
        <w:t>focus on three priority areas:</w:t>
      </w:r>
      <w:r w:rsidRPr="1CA76B63">
        <w:rPr>
          <w:sz w:val="21"/>
          <w:szCs w:val="21"/>
        </w:rPr>
        <w:t xml:space="preserve"> clean energy</w:t>
      </w:r>
      <w:r w:rsidR="357F1CA3" w:rsidRPr="1CA76B63">
        <w:rPr>
          <w:sz w:val="21"/>
          <w:szCs w:val="21"/>
        </w:rPr>
        <w:t>, environmental protection and technical and vocational education and training</w:t>
      </w:r>
      <w:r w:rsidRPr="1CA76B63">
        <w:rPr>
          <w:sz w:val="21"/>
          <w:szCs w:val="21"/>
        </w:rPr>
        <w:t>.</w:t>
      </w:r>
      <w:r w:rsidR="357F1CA3" w:rsidRPr="1CA76B63">
        <w:rPr>
          <w:sz w:val="21"/>
          <w:szCs w:val="21"/>
        </w:rPr>
        <w:t xml:space="preserve"> Germany’s flagship investment is a </w:t>
      </w:r>
      <w:r w:rsidR="00AB112E" w:rsidRPr="1CA76B63">
        <w:rPr>
          <w:sz w:val="21"/>
          <w:szCs w:val="21"/>
        </w:rPr>
        <w:t>USD</w:t>
      </w:r>
      <w:r w:rsidR="357F1CA3" w:rsidRPr="1CA76B63">
        <w:rPr>
          <w:sz w:val="21"/>
          <w:szCs w:val="21"/>
        </w:rPr>
        <w:t>2.1 billion</w:t>
      </w:r>
      <w:r w:rsidRPr="1CA76B63">
        <w:rPr>
          <w:sz w:val="21"/>
          <w:szCs w:val="21"/>
        </w:rPr>
        <w:t xml:space="preserve"> green funding agreement with </w:t>
      </w:r>
      <w:r w:rsidR="357F1CA3" w:rsidRPr="1CA76B63">
        <w:rPr>
          <w:sz w:val="21"/>
          <w:szCs w:val="21"/>
        </w:rPr>
        <w:t xml:space="preserve">PT PLN, through the </w:t>
      </w:r>
      <w:r w:rsidRPr="1CA76B63">
        <w:rPr>
          <w:sz w:val="21"/>
          <w:szCs w:val="21"/>
        </w:rPr>
        <w:t xml:space="preserve">German state development bank </w:t>
      </w:r>
      <w:proofErr w:type="spellStart"/>
      <w:r w:rsidRPr="1CA76B63">
        <w:rPr>
          <w:i/>
          <w:iCs/>
          <w:sz w:val="21"/>
          <w:szCs w:val="21"/>
        </w:rPr>
        <w:t>Kreditanstalt</w:t>
      </w:r>
      <w:proofErr w:type="spellEnd"/>
      <w:r w:rsidRPr="1CA76B63">
        <w:rPr>
          <w:i/>
          <w:iCs/>
          <w:sz w:val="21"/>
          <w:szCs w:val="21"/>
        </w:rPr>
        <w:t xml:space="preserve"> für </w:t>
      </w:r>
      <w:proofErr w:type="spellStart"/>
      <w:r w:rsidRPr="1CA76B63">
        <w:rPr>
          <w:i/>
          <w:iCs/>
          <w:sz w:val="21"/>
          <w:szCs w:val="21"/>
        </w:rPr>
        <w:t>Wiederaufbau</w:t>
      </w:r>
      <w:proofErr w:type="spellEnd"/>
      <w:r w:rsidRPr="1CA76B63">
        <w:rPr>
          <w:sz w:val="21"/>
          <w:szCs w:val="21"/>
        </w:rPr>
        <w:t xml:space="preserve"> (KfW)</w:t>
      </w:r>
      <w:r w:rsidR="357F1CA3" w:rsidRPr="1CA76B63">
        <w:rPr>
          <w:sz w:val="21"/>
          <w:szCs w:val="21"/>
        </w:rPr>
        <w:t xml:space="preserve"> that will invest in the </w:t>
      </w:r>
      <w:r w:rsidRPr="1CA76B63">
        <w:rPr>
          <w:sz w:val="21"/>
          <w:szCs w:val="21"/>
        </w:rPr>
        <w:t>Pumped Storage Hydroelectric Power Plant and the transmission network to connect green power plants.</w:t>
      </w:r>
      <w:r w:rsidR="5BDE6663" w:rsidRPr="1CA76B63">
        <w:rPr>
          <w:sz w:val="21"/>
          <w:szCs w:val="21"/>
        </w:rPr>
        <w:t xml:space="preserve"> KfW </w:t>
      </w:r>
      <w:r w:rsidR="00F65852" w:rsidRPr="1CA76B63">
        <w:rPr>
          <w:sz w:val="21"/>
          <w:szCs w:val="21"/>
        </w:rPr>
        <w:t>engages</w:t>
      </w:r>
      <w:r w:rsidR="5BDE6663" w:rsidRPr="1CA76B63">
        <w:rPr>
          <w:sz w:val="21"/>
          <w:szCs w:val="21"/>
        </w:rPr>
        <w:t xml:space="preserve"> with Jakarta Post </w:t>
      </w:r>
      <w:r w:rsidR="00F65852" w:rsidRPr="1CA76B63">
        <w:rPr>
          <w:sz w:val="21"/>
          <w:szCs w:val="21"/>
        </w:rPr>
        <w:t>when</w:t>
      </w:r>
      <w:r w:rsidR="5BDE6663" w:rsidRPr="1CA76B63">
        <w:rPr>
          <w:sz w:val="21"/>
          <w:szCs w:val="21"/>
        </w:rPr>
        <w:t xml:space="preserve"> identify</w:t>
      </w:r>
      <w:r w:rsidR="00F65852" w:rsidRPr="1CA76B63">
        <w:rPr>
          <w:sz w:val="21"/>
          <w:szCs w:val="21"/>
        </w:rPr>
        <w:t>ing</w:t>
      </w:r>
      <w:r w:rsidR="5BDE6663" w:rsidRPr="1CA76B63">
        <w:rPr>
          <w:sz w:val="21"/>
          <w:szCs w:val="21"/>
        </w:rPr>
        <w:t xml:space="preserve"> projects with potential to be funded through the German development bank. </w:t>
      </w:r>
    </w:p>
    <w:p w14:paraId="14766BE2" w14:textId="6ACD17F4" w:rsidR="00037AEB" w:rsidRPr="003E18AD" w:rsidRDefault="008116E1" w:rsidP="00037AEB">
      <w:pPr>
        <w:rPr>
          <w:sz w:val="21"/>
          <w:szCs w:val="21"/>
        </w:rPr>
      </w:pPr>
      <w:r w:rsidRPr="003E18AD">
        <w:rPr>
          <w:sz w:val="21"/>
          <w:szCs w:val="21"/>
        </w:rPr>
        <w:t xml:space="preserve">The </w:t>
      </w:r>
      <w:r w:rsidR="00EB52B3" w:rsidRPr="003E18AD">
        <w:rPr>
          <w:sz w:val="21"/>
          <w:szCs w:val="21"/>
        </w:rPr>
        <w:t>UK</w:t>
      </w:r>
      <w:r w:rsidRPr="003E18AD">
        <w:rPr>
          <w:sz w:val="21"/>
          <w:szCs w:val="21"/>
        </w:rPr>
        <w:t xml:space="preserve"> works in a range of sectors including low carbon growth and energy transition. Small ODA grants support capital asset development including through leveraging additional public and private finance such as nature finance and support for capital projects in renewable energy generation in remote areas. </w:t>
      </w:r>
      <w:r w:rsidR="00941B29" w:rsidRPr="003E18AD">
        <w:rPr>
          <w:sz w:val="21"/>
          <w:szCs w:val="21"/>
        </w:rPr>
        <w:t xml:space="preserve">The </w:t>
      </w:r>
      <w:r w:rsidRPr="003E18AD">
        <w:rPr>
          <w:sz w:val="21"/>
          <w:szCs w:val="21"/>
        </w:rPr>
        <w:t xml:space="preserve">UK also provides technical advice for policy reform to enable Indonesia access finance from commercial partners, access innovative climate finance and develop carbon pricing mechanisms. </w:t>
      </w:r>
      <w:r w:rsidR="00037AEB" w:rsidRPr="003E18AD">
        <w:rPr>
          <w:sz w:val="21"/>
          <w:szCs w:val="21"/>
        </w:rPr>
        <w:t xml:space="preserve">The withdrawal of USAID’s programming includes significant </w:t>
      </w:r>
      <w:r w:rsidR="00F30C7F">
        <w:rPr>
          <w:sz w:val="21"/>
          <w:szCs w:val="21"/>
        </w:rPr>
        <w:t xml:space="preserve">infrastructure </w:t>
      </w:r>
      <w:r w:rsidR="00037AEB" w:rsidRPr="003E18AD">
        <w:rPr>
          <w:sz w:val="21"/>
          <w:szCs w:val="21"/>
        </w:rPr>
        <w:t>investments made through Millennium Challenge Corporation's Indonesia Compact</w:t>
      </w:r>
      <w:r w:rsidR="00F30C7F">
        <w:rPr>
          <w:sz w:val="21"/>
          <w:szCs w:val="21"/>
        </w:rPr>
        <w:t xml:space="preserve">, as well as </w:t>
      </w:r>
      <w:r w:rsidR="00037AEB" w:rsidRPr="003E18AD">
        <w:rPr>
          <w:sz w:val="21"/>
          <w:szCs w:val="21"/>
        </w:rPr>
        <w:t>the leadership role and 20% commitment for public fund component of the US</w:t>
      </w:r>
      <w:r w:rsidR="00F30C7F">
        <w:rPr>
          <w:sz w:val="21"/>
          <w:szCs w:val="21"/>
        </w:rPr>
        <w:t>D</w:t>
      </w:r>
      <w:r w:rsidR="00037AEB" w:rsidRPr="003E18AD">
        <w:rPr>
          <w:sz w:val="21"/>
          <w:szCs w:val="21"/>
        </w:rPr>
        <w:t>21.6</w:t>
      </w:r>
      <w:r w:rsidR="00F30C7F">
        <w:rPr>
          <w:sz w:val="21"/>
          <w:szCs w:val="21"/>
        </w:rPr>
        <w:t xml:space="preserve"> </w:t>
      </w:r>
      <w:r w:rsidR="00037AEB" w:rsidRPr="003E18AD">
        <w:rPr>
          <w:sz w:val="21"/>
          <w:szCs w:val="21"/>
        </w:rPr>
        <w:t xml:space="preserve">billion JETP. The latter is now led jointly by Japan and Germany. </w:t>
      </w:r>
    </w:p>
    <w:p w14:paraId="2C59A47E" w14:textId="73C6662A" w:rsidR="006F5534" w:rsidRDefault="00A32858" w:rsidP="1CA76B63">
      <w:pPr>
        <w:tabs>
          <w:tab w:val="left" w:pos="284"/>
        </w:tabs>
        <w:suppressAutoHyphens w:val="0"/>
        <w:spacing w:before="0" w:line="280" w:lineRule="exact"/>
        <w:rPr>
          <w:rFonts w:eastAsia="Times New Roman" w:cs="Times New Roman"/>
          <w:i/>
          <w:iCs/>
          <w:sz w:val="21"/>
          <w:szCs w:val="21"/>
        </w:rPr>
      </w:pPr>
      <w:r w:rsidRPr="1CA76B63">
        <w:rPr>
          <w:rFonts w:eastAsia="Times New Roman" w:cs="Times New Roman"/>
          <w:i/>
          <w:iCs/>
          <w:sz w:val="21"/>
          <w:szCs w:val="21"/>
        </w:rPr>
        <w:t>Gender</w:t>
      </w:r>
      <w:r w:rsidR="004772A5" w:rsidRPr="1CA76B63">
        <w:rPr>
          <w:rFonts w:eastAsia="Times New Roman" w:cs="Times New Roman"/>
          <w:i/>
          <w:iCs/>
          <w:sz w:val="21"/>
          <w:szCs w:val="21"/>
        </w:rPr>
        <w:t xml:space="preserve"> equality, climate change,</w:t>
      </w:r>
      <w:r w:rsidR="005E67A2" w:rsidRPr="1CA76B63">
        <w:rPr>
          <w:rFonts w:eastAsia="Times New Roman" w:cs="Times New Roman"/>
          <w:i/>
          <w:iCs/>
          <w:sz w:val="21"/>
          <w:szCs w:val="21"/>
        </w:rPr>
        <w:t xml:space="preserve"> and cross-cutting themes</w:t>
      </w:r>
      <w:r w:rsidRPr="1CA76B63">
        <w:rPr>
          <w:rFonts w:eastAsia="Times New Roman" w:cs="Times New Roman"/>
          <w:i/>
          <w:iCs/>
          <w:sz w:val="21"/>
          <w:szCs w:val="21"/>
        </w:rPr>
        <w:t xml:space="preserve"> </w:t>
      </w:r>
      <w:r w:rsidR="00B96529" w:rsidRPr="1CA76B63">
        <w:rPr>
          <w:rFonts w:eastAsia="Times New Roman" w:cs="Times New Roman"/>
          <w:i/>
          <w:iCs/>
          <w:sz w:val="21"/>
          <w:szCs w:val="21"/>
        </w:rPr>
        <w:t xml:space="preserve">are outlined in Section </w:t>
      </w:r>
      <w:r w:rsidR="0093794F" w:rsidRPr="1CA76B63">
        <w:rPr>
          <w:rFonts w:eastAsia="Times New Roman" w:cs="Times New Roman"/>
          <w:i/>
          <w:iCs/>
          <w:sz w:val="21"/>
          <w:szCs w:val="21"/>
        </w:rPr>
        <w:t>H</w:t>
      </w:r>
      <w:r w:rsidR="00B96529" w:rsidRPr="1CA76B63">
        <w:rPr>
          <w:rFonts w:eastAsia="Times New Roman" w:cs="Times New Roman"/>
          <w:i/>
          <w:iCs/>
          <w:sz w:val="21"/>
          <w:szCs w:val="21"/>
        </w:rPr>
        <w:t>.</w:t>
      </w:r>
    </w:p>
    <w:p w14:paraId="4600F084" w14:textId="77777777" w:rsidR="00A452F1" w:rsidRDefault="00A452F1" w:rsidP="1CA76B63">
      <w:pPr>
        <w:tabs>
          <w:tab w:val="left" w:pos="284"/>
        </w:tabs>
        <w:suppressAutoHyphens w:val="0"/>
        <w:spacing w:before="0" w:line="280" w:lineRule="exact"/>
        <w:rPr>
          <w:rFonts w:eastAsia="Times New Roman" w:cs="Times New Roman"/>
          <w:i/>
          <w:iCs/>
          <w:sz w:val="21"/>
          <w:szCs w:val="21"/>
        </w:rPr>
      </w:pPr>
    </w:p>
    <w:p w14:paraId="117EB197" w14:textId="77777777" w:rsidR="00A32858" w:rsidRPr="00F44317" w:rsidRDefault="00A32858" w:rsidP="00D2498B">
      <w:pPr>
        <w:pStyle w:val="Heading1"/>
      </w:pPr>
      <w:bookmarkStart w:id="234" w:name="_Toc216270624"/>
      <w:r w:rsidRPr="00F44317">
        <w:t>Proposed Outcomes and Investment Options (What?)</w:t>
      </w:r>
      <w:bookmarkEnd w:id="234"/>
    </w:p>
    <w:p w14:paraId="34C1D4CB" w14:textId="4178C030" w:rsidR="0093617C" w:rsidRPr="003E18AD" w:rsidRDefault="0093617C" w:rsidP="0093617C">
      <w:pPr>
        <w:rPr>
          <w:sz w:val="21"/>
          <w:szCs w:val="21"/>
        </w:rPr>
      </w:pPr>
      <w:r w:rsidRPr="4E666B3A">
        <w:rPr>
          <w:sz w:val="21"/>
          <w:szCs w:val="21"/>
        </w:rPr>
        <w:t>The Partnership will support Indonesia’s efforts to deliver sustainable infrastructure, drive green economic growth, and support low emissions and climate resilient development.</w:t>
      </w:r>
    </w:p>
    <w:p w14:paraId="05F430E7" w14:textId="565D415A" w:rsidR="00CF58FB" w:rsidRPr="003E18AD" w:rsidRDefault="0093617C" w:rsidP="0093617C">
      <w:pPr>
        <w:rPr>
          <w:sz w:val="21"/>
          <w:szCs w:val="21"/>
        </w:rPr>
      </w:pPr>
      <w:r w:rsidRPr="003E18AD">
        <w:rPr>
          <w:sz w:val="21"/>
          <w:szCs w:val="21"/>
        </w:rPr>
        <w:t xml:space="preserve">The </w:t>
      </w:r>
      <w:r>
        <w:rPr>
          <w:sz w:val="21"/>
          <w:szCs w:val="21"/>
        </w:rPr>
        <w:t>Partnership</w:t>
      </w:r>
      <w:r w:rsidRPr="003E18AD">
        <w:rPr>
          <w:sz w:val="21"/>
          <w:szCs w:val="21"/>
        </w:rPr>
        <w:t xml:space="preserve"> will </w:t>
      </w:r>
      <w:r>
        <w:rPr>
          <w:sz w:val="21"/>
          <w:szCs w:val="21"/>
        </w:rPr>
        <w:t>support</w:t>
      </w:r>
      <w:r w:rsidRPr="003E18AD">
        <w:rPr>
          <w:sz w:val="21"/>
          <w:szCs w:val="21"/>
        </w:rPr>
        <w:t xml:space="preserve"> </w:t>
      </w:r>
      <w:r>
        <w:rPr>
          <w:sz w:val="21"/>
          <w:szCs w:val="21"/>
        </w:rPr>
        <w:t>GOI</w:t>
      </w:r>
      <w:r w:rsidRPr="003E18AD">
        <w:rPr>
          <w:sz w:val="21"/>
          <w:szCs w:val="21"/>
        </w:rPr>
        <w:t xml:space="preserve"> </w:t>
      </w:r>
      <w:r>
        <w:rPr>
          <w:sz w:val="21"/>
          <w:szCs w:val="21"/>
        </w:rPr>
        <w:t xml:space="preserve">to achieve its objectives to </w:t>
      </w:r>
      <w:r w:rsidRPr="003E18AD">
        <w:rPr>
          <w:sz w:val="21"/>
          <w:szCs w:val="21"/>
        </w:rPr>
        <w:t>access a broader mix of public, private and climate finance to respond to the country’s growing infrastructure</w:t>
      </w:r>
      <w:r>
        <w:rPr>
          <w:sz w:val="21"/>
          <w:szCs w:val="21"/>
        </w:rPr>
        <w:t xml:space="preserve"> and climate resilience</w:t>
      </w:r>
      <w:r w:rsidRPr="003E18AD">
        <w:rPr>
          <w:sz w:val="21"/>
          <w:szCs w:val="21"/>
        </w:rPr>
        <w:t xml:space="preserve"> needs. It will ensure </w:t>
      </w:r>
      <w:r>
        <w:rPr>
          <w:sz w:val="21"/>
          <w:szCs w:val="21"/>
        </w:rPr>
        <w:t>projects are</w:t>
      </w:r>
      <w:r w:rsidRPr="003E18AD">
        <w:rPr>
          <w:sz w:val="21"/>
          <w:szCs w:val="21"/>
        </w:rPr>
        <w:t xml:space="preserve"> planned, delivered and maintained in ways that are inclusive of local communities </w:t>
      </w:r>
      <w:r>
        <w:rPr>
          <w:sz w:val="21"/>
          <w:szCs w:val="21"/>
        </w:rPr>
        <w:t>–</w:t>
      </w:r>
      <w:r w:rsidRPr="003E18AD">
        <w:rPr>
          <w:sz w:val="21"/>
          <w:szCs w:val="21"/>
        </w:rPr>
        <w:t xml:space="preserve"> especially women, girls and people with disability.</w:t>
      </w:r>
      <w:r>
        <w:rPr>
          <w:sz w:val="21"/>
          <w:szCs w:val="21"/>
        </w:rPr>
        <w:t xml:space="preserve"> </w:t>
      </w:r>
      <w:r w:rsidRPr="003E18AD">
        <w:rPr>
          <w:sz w:val="21"/>
          <w:szCs w:val="21"/>
        </w:rPr>
        <w:t>By supporting more sustainable and inclusive green growth in Indonesia, the Partnership will create new trade and investment opportunities for Australia and strengthen our shared economic future.</w:t>
      </w:r>
    </w:p>
    <w:p w14:paraId="4FB58048" w14:textId="059EC0C7" w:rsidR="004D04E9" w:rsidRPr="003E18AD" w:rsidRDefault="004D04E9" w:rsidP="00A0534D">
      <w:pPr>
        <w:pStyle w:val="Heading3"/>
        <w:numPr>
          <w:ilvl w:val="0"/>
          <w:numId w:val="0"/>
        </w:numPr>
      </w:pPr>
      <w:bookmarkStart w:id="235" w:name="_Toc216260363"/>
      <w:bookmarkStart w:id="236" w:name="_Toc216264078"/>
      <w:bookmarkStart w:id="237" w:name="_Toc216269926"/>
      <w:bookmarkStart w:id="238" w:name="_Toc216270625"/>
      <w:r w:rsidRPr="003E18AD">
        <w:t>The Development Objective of the program is:</w:t>
      </w:r>
      <w:bookmarkEnd w:id="235"/>
      <w:bookmarkEnd w:id="236"/>
      <w:bookmarkEnd w:id="237"/>
      <w:bookmarkEnd w:id="238"/>
      <w:r w:rsidRPr="003E18AD">
        <w:t xml:space="preserve"> </w:t>
      </w:r>
    </w:p>
    <w:p w14:paraId="65C4965D" w14:textId="65B8B3CC" w:rsidR="004D04E9" w:rsidRPr="003E18AD" w:rsidRDefault="78A9DEEF" w:rsidP="00DF7DE4">
      <w:pPr>
        <w:spacing w:before="0"/>
        <w:ind w:left="720"/>
        <w:rPr>
          <w:sz w:val="21"/>
          <w:szCs w:val="21"/>
        </w:rPr>
      </w:pPr>
      <w:r w:rsidRPr="1169CFB7">
        <w:rPr>
          <w:sz w:val="21"/>
          <w:szCs w:val="21"/>
        </w:rPr>
        <w:t xml:space="preserve">To support Indonesia’s use of infrastructure </w:t>
      </w:r>
      <w:r w:rsidR="79BFE07C" w:rsidRPr="1169CFB7">
        <w:rPr>
          <w:sz w:val="21"/>
          <w:szCs w:val="21"/>
        </w:rPr>
        <w:t xml:space="preserve">and climate resilient development </w:t>
      </w:r>
      <w:r w:rsidRPr="1169CFB7">
        <w:rPr>
          <w:sz w:val="21"/>
          <w:szCs w:val="21"/>
        </w:rPr>
        <w:t xml:space="preserve">as a driver for </w:t>
      </w:r>
      <w:r w:rsidR="013FDD78" w:rsidRPr="1169CFB7">
        <w:rPr>
          <w:sz w:val="21"/>
          <w:szCs w:val="21"/>
        </w:rPr>
        <w:t xml:space="preserve">inclusive </w:t>
      </w:r>
      <w:r w:rsidR="40C2F958" w:rsidRPr="1169CFB7">
        <w:rPr>
          <w:sz w:val="21"/>
          <w:szCs w:val="21"/>
        </w:rPr>
        <w:t xml:space="preserve">green economic </w:t>
      </w:r>
      <w:r w:rsidRPr="1169CFB7">
        <w:rPr>
          <w:sz w:val="21"/>
          <w:szCs w:val="21"/>
        </w:rPr>
        <w:t xml:space="preserve">growth </w:t>
      </w:r>
      <w:r w:rsidR="40C2F958" w:rsidRPr="1169CFB7">
        <w:rPr>
          <w:sz w:val="21"/>
          <w:szCs w:val="21"/>
        </w:rPr>
        <w:t>that</w:t>
      </w:r>
      <w:r w:rsidRPr="1169CFB7">
        <w:rPr>
          <w:sz w:val="21"/>
          <w:szCs w:val="21"/>
        </w:rPr>
        <w:t xml:space="preserve"> respond</w:t>
      </w:r>
      <w:r w:rsidR="40C2F958" w:rsidRPr="1169CFB7">
        <w:rPr>
          <w:sz w:val="21"/>
          <w:szCs w:val="21"/>
        </w:rPr>
        <w:t>s</w:t>
      </w:r>
      <w:r w:rsidRPr="1169CFB7">
        <w:rPr>
          <w:sz w:val="21"/>
          <w:szCs w:val="21"/>
        </w:rPr>
        <w:t xml:space="preserve"> to the challenges and opportunities of climate change, with high quality finance that optimises national fiscal capacity and private sector investment.</w:t>
      </w:r>
    </w:p>
    <w:p w14:paraId="655B2E04" w14:textId="2ADA3024" w:rsidR="004D04E9" w:rsidRPr="003E18AD" w:rsidRDefault="00E07788" w:rsidP="00A0534D">
      <w:pPr>
        <w:pStyle w:val="Heading3"/>
        <w:numPr>
          <w:ilvl w:val="0"/>
          <w:numId w:val="0"/>
        </w:numPr>
      </w:pPr>
      <w:bookmarkStart w:id="239" w:name="_Toc216260364"/>
      <w:bookmarkStart w:id="240" w:name="_Toc216264079"/>
      <w:bookmarkStart w:id="241" w:name="_Toc216269927"/>
      <w:bookmarkStart w:id="242" w:name="_Toc216270626"/>
      <w:r>
        <w:t>The</w:t>
      </w:r>
      <w:r w:rsidRPr="003E18AD">
        <w:t xml:space="preserve"> </w:t>
      </w:r>
      <w:r w:rsidR="004D04E9" w:rsidRPr="003E18AD">
        <w:t xml:space="preserve">Strategic Objective for </w:t>
      </w:r>
      <w:r>
        <w:t xml:space="preserve">the </w:t>
      </w:r>
      <w:r w:rsidR="004D04E9" w:rsidRPr="003E18AD">
        <w:t>program is</w:t>
      </w:r>
      <w:bookmarkEnd w:id="239"/>
      <w:bookmarkEnd w:id="240"/>
      <w:bookmarkEnd w:id="241"/>
      <w:bookmarkEnd w:id="242"/>
    </w:p>
    <w:p w14:paraId="41C96A3E" w14:textId="130EFD38" w:rsidR="004D04E9" w:rsidRPr="003E18AD" w:rsidRDefault="004D04E9" w:rsidP="00DF7DE4">
      <w:pPr>
        <w:spacing w:before="0"/>
        <w:ind w:left="720"/>
        <w:rPr>
          <w:sz w:val="21"/>
          <w:szCs w:val="21"/>
        </w:rPr>
      </w:pPr>
      <w:r w:rsidRPr="4E666B3A">
        <w:rPr>
          <w:sz w:val="21"/>
          <w:szCs w:val="21"/>
        </w:rPr>
        <w:lastRenderedPageBreak/>
        <w:t xml:space="preserve">To strengthen the economic partnership for inclusive green growth, </w:t>
      </w:r>
      <w:r w:rsidR="00009E3D" w:rsidRPr="4E666B3A">
        <w:rPr>
          <w:sz w:val="21"/>
          <w:szCs w:val="21"/>
        </w:rPr>
        <w:t xml:space="preserve">including through </w:t>
      </w:r>
      <w:r w:rsidRPr="4E666B3A">
        <w:rPr>
          <w:sz w:val="21"/>
          <w:szCs w:val="21"/>
        </w:rPr>
        <w:t xml:space="preserve">boosting trade, investment opportunities with Australia and others, and expanding cooperation on climate </w:t>
      </w:r>
      <w:r w:rsidR="00C8147F" w:rsidRPr="4E666B3A">
        <w:rPr>
          <w:sz w:val="21"/>
          <w:szCs w:val="21"/>
        </w:rPr>
        <w:t>change</w:t>
      </w:r>
      <w:r w:rsidRPr="4E666B3A">
        <w:rPr>
          <w:sz w:val="21"/>
          <w:szCs w:val="21"/>
        </w:rPr>
        <w:t>.</w:t>
      </w:r>
      <w:r w:rsidR="00C92510" w:rsidRPr="4E666B3A">
        <w:rPr>
          <w:sz w:val="21"/>
          <w:szCs w:val="21"/>
        </w:rPr>
        <w:t xml:space="preserve"> </w:t>
      </w:r>
    </w:p>
    <w:p w14:paraId="1E4E27B5" w14:textId="7FE91236" w:rsidR="00C460AB" w:rsidRDefault="004D04E9" w:rsidP="00A0534D">
      <w:pPr>
        <w:pStyle w:val="Heading3"/>
        <w:numPr>
          <w:ilvl w:val="0"/>
          <w:numId w:val="0"/>
        </w:numPr>
        <w:ind w:left="644" w:hanging="360"/>
      </w:pPr>
      <w:bookmarkStart w:id="243" w:name="_Toc216260365"/>
      <w:bookmarkStart w:id="244" w:name="_Toc216264080"/>
      <w:bookmarkStart w:id="245" w:name="_Toc216269928"/>
      <w:bookmarkStart w:id="246" w:name="_Toc216270627"/>
      <w:r w:rsidRPr="003E18AD">
        <w:t>The program has three inter-related End of Program Outcomes:</w:t>
      </w:r>
      <w:bookmarkEnd w:id="243"/>
      <w:bookmarkEnd w:id="244"/>
      <w:bookmarkEnd w:id="245"/>
      <w:bookmarkEnd w:id="246"/>
    </w:p>
    <w:p w14:paraId="5E32EA2D" w14:textId="4DC90487" w:rsidR="003712DA" w:rsidRPr="007E0586" w:rsidRDefault="68E11C59" w:rsidP="00686269">
      <w:pPr>
        <w:pStyle w:val="Bullet2"/>
        <w:numPr>
          <w:ilvl w:val="0"/>
          <w:numId w:val="63"/>
        </w:numPr>
        <w:spacing w:before="120"/>
        <w:rPr>
          <w:b/>
          <w:bCs/>
          <w:sz w:val="21"/>
          <w:szCs w:val="21"/>
        </w:rPr>
      </w:pPr>
      <w:r w:rsidRPr="007E0586">
        <w:rPr>
          <w:b/>
          <w:bCs/>
          <w:sz w:val="21"/>
          <w:szCs w:val="21"/>
        </w:rPr>
        <w:t>Climate resilience:</w:t>
      </w:r>
      <w:r w:rsidRPr="007E0586">
        <w:rPr>
          <w:sz w:val="21"/>
          <w:szCs w:val="21"/>
        </w:rPr>
        <w:t xml:space="preserve"> I</w:t>
      </w:r>
      <w:proofErr w:type="spellStart"/>
      <w:r w:rsidRPr="007E0586">
        <w:rPr>
          <w:sz w:val="21"/>
          <w:szCs w:val="21"/>
          <w:lang w:val="en-GB"/>
        </w:rPr>
        <w:t>nvestments</w:t>
      </w:r>
      <w:proofErr w:type="spellEnd"/>
      <w:r w:rsidRPr="007E0586">
        <w:rPr>
          <w:sz w:val="21"/>
          <w:szCs w:val="21"/>
          <w:lang w:val="en-GB"/>
        </w:rPr>
        <w:t xml:space="preserve"> from government, private and community actors increasingly contribute to</w:t>
      </w:r>
      <w:r w:rsidRPr="007E0586">
        <w:rPr>
          <w:b/>
          <w:bCs/>
          <w:sz w:val="21"/>
          <w:szCs w:val="21"/>
          <w:lang w:val="en-GB"/>
        </w:rPr>
        <w:t xml:space="preserve"> </w:t>
      </w:r>
      <w:r w:rsidR="7FA37213" w:rsidRPr="007E0586">
        <w:rPr>
          <w:sz w:val="21"/>
          <w:szCs w:val="21"/>
          <w:lang w:val="en-GB"/>
        </w:rPr>
        <w:t xml:space="preserve">climate mitigation and adaptation </w:t>
      </w:r>
      <w:r w:rsidRPr="007E0586">
        <w:rPr>
          <w:sz w:val="21"/>
          <w:szCs w:val="21"/>
          <w:lang w:val="en-GB"/>
        </w:rPr>
        <w:t>in Indonesia.</w:t>
      </w:r>
      <w:r w:rsidRPr="007E0586">
        <w:rPr>
          <w:b/>
          <w:bCs/>
          <w:sz w:val="21"/>
          <w:szCs w:val="21"/>
          <w:lang w:val="en-GB"/>
        </w:rPr>
        <w:t xml:space="preserve"> </w:t>
      </w:r>
    </w:p>
    <w:p w14:paraId="3883069F" w14:textId="75C582A5" w:rsidR="00D940C6" w:rsidRPr="0010181F" w:rsidRDefault="00D87D22" w:rsidP="00686269">
      <w:pPr>
        <w:pStyle w:val="Bullet2"/>
        <w:numPr>
          <w:ilvl w:val="0"/>
          <w:numId w:val="63"/>
        </w:numPr>
        <w:rPr>
          <w:sz w:val="21"/>
          <w:szCs w:val="21"/>
        </w:rPr>
      </w:pPr>
      <w:r w:rsidRPr="007E0586">
        <w:rPr>
          <w:b/>
          <w:sz w:val="21"/>
        </w:rPr>
        <w:t xml:space="preserve">Innovative financing: </w:t>
      </w:r>
      <w:r w:rsidR="00BE02D6" w:rsidRPr="007E0586">
        <w:rPr>
          <w:sz w:val="21"/>
        </w:rPr>
        <w:t xml:space="preserve">The </w:t>
      </w:r>
      <w:r w:rsidR="00BE02D6" w:rsidRPr="00CA086D">
        <w:rPr>
          <w:sz w:val="21"/>
          <w:szCs w:val="21"/>
          <w:lang w:val="en-GB"/>
        </w:rPr>
        <w:t>Government</w:t>
      </w:r>
      <w:r w:rsidR="00BE02D6" w:rsidRPr="007E0586">
        <w:rPr>
          <w:sz w:val="21"/>
        </w:rPr>
        <w:t xml:space="preserve"> of Indonesia increas</w:t>
      </w:r>
      <w:r w:rsidRPr="007E0586">
        <w:rPr>
          <w:sz w:val="21"/>
        </w:rPr>
        <w:t>ing</w:t>
      </w:r>
      <w:r w:rsidR="00AD03F2" w:rsidRPr="007E0586">
        <w:rPr>
          <w:sz w:val="21"/>
        </w:rPr>
        <w:t>ly</w:t>
      </w:r>
      <w:r w:rsidR="00BE02D6" w:rsidRPr="007E0586">
        <w:rPr>
          <w:sz w:val="21"/>
        </w:rPr>
        <w:t xml:space="preserve"> </w:t>
      </w:r>
      <w:r w:rsidR="00AD03F2" w:rsidRPr="007E0586">
        <w:rPr>
          <w:sz w:val="21"/>
        </w:rPr>
        <w:t>uses</w:t>
      </w:r>
      <w:r w:rsidR="00BE02D6" w:rsidRPr="007E0586">
        <w:rPr>
          <w:sz w:val="21"/>
        </w:rPr>
        <w:t xml:space="preserve"> diverse, innovative and high</w:t>
      </w:r>
      <w:r w:rsidR="00AD03F2" w:rsidRPr="007E0586">
        <w:rPr>
          <w:sz w:val="21"/>
        </w:rPr>
        <w:t>-</w:t>
      </w:r>
      <w:r w:rsidR="00BE02D6" w:rsidRPr="007E0586">
        <w:rPr>
          <w:sz w:val="21"/>
        </w:rPr>
        <w:t xml:space="preserve">quality financing for investment that support Indonesia's </w:t>
      </w:r>
      <w:r w:rsidR="7063B26C" w:rsidRPr="008C17A9">
        <w:rPr>
          <w:sz w:val="21"/>
          <w:szCs w:val="21"/>
        </w:rPr>
        <w:t>inclusive, climate</w:t>
      </w:r>
      <w:r w:rsidR="00270B7E" w:rsidRPr="008C17A9">
        <w:rPr>
          <w:sz w:val="21"/>
          <w:szCs w:val="21"/>
        </w:rPr>
        <w:t xml:space="preserve"> </w:t>
      </w:r>
      <w:r w:rsidR="7063B26C" w:rsidRPr="008C17A9">
        <w:rPr>
          <w:sz w:val="21"/>
          <w:szCs w:val="21"/>
        </w:rPr>
        <w:t xml:space="preserve">resilient </w:t>
      </w:r>
      <w:r w:rsidR="00BE02D6" w:rsidRPr="008C17A9">
        <w:rPr>
          <w:sz w:val="21"/>
          <w:szCs w:val="21"/>
        </w:rPr>
        <w:t>development.</w:t>
      </w:r>
    </w:p>
    <w:p w14:paraId="454F6824" w14:textId="7FE3376D" w:rsidR="00BE02D6" w:rsidRPr="007E0586" w:rsidRDefault="00AD03F2" w:rsidP="00686269">
      <w:pPr>
        <w:pStyle w:val="Bullet2"/>
        <w:numPr>
          <w:ilvl w:val="0"/>
          <w:numId w:val="63"/>
        </w:numPr>
        <w:rPr>
          <w:sz w:val="21"/>
        </w:rPr>
      </w:pPr>
      <w:r w:rsidRPr="008C17A9">
        <w:rPr>
          <w:b/>
          <w:sz w:val="21"/>
          <w:szCs w:val="21"/>
        </w:rPr>
        <w:t xml:space="preserve">Sustainable infrastructure: </w:t>
      </w:r>
      <w:r w:rsidR="0062013A" w:rsidRPr="008C17A9">
        <w:rPr>
          <w:sz w:val="21"/>
          <w:szCs w:val="21"/>
        </w:rPr>
        <w:t xml:space="preserve">The Government of Indonesia delivers sustainable </w:t>
      </w:r>
      <w:r w:rsidR="001C71E3" w:rsidRPr="008C17A9">
        <w:rPr>
          <w:sz w:val="21"/>
          <w:szCs w:val="21"/>
        </w:rPr>
        <w:t xml:space="preserve">and resilient </w:t>
      </w:r>
      <w:r w:rsidR="0062013A" w:rsidRPr="008C17A9">
        <w:rPr>
          <w:sz w:val="21"/>
          <w:szCs w:val="21"/>
        </w:rPr>
        <w:t>economic</w:t>
      </w:r>
      <w:r w:rsidR="0062013A" w:rsidRPr="007E0586">
        <w:rPr>
          <w:sz w:val="20"/>
          <w:szCs w:val="20"/>
        </w:rPr>
        <w:t xml:space="preserve"> infrastructure</w:t>
      </w:r>
      <w:r w:rsidR="0062013A" w:rsidRPr="007E0586">
        <w:rPr>
          <w:b/>
          <w:sz w:val="21"/>
        </w:rPr>
        <w:t xml:space="preserve"> </w:t>
      </w:r>
      <w:r w:rsidR="0062013A" w:rsidRPr="007E0586">
        <w:rPr>
          <w:sz w:val="21"/>
        </w:rPr>
        <w:t>(particularly in water, transport and energy) that meets the needs and expectations of the communit</w:t>
      </w:r>
      <w:r w:rsidR="007B664B" w:rsidRPr="007E0586">
        <w:rPr>
          <w:sz w:val="21"/>
        </w:rPr>
        <w:t xml:space="preserve">ies, including </w:t>
      </w:r>
      <w:r w:rsidR="0062013A" w:rsidRPr="007E0586">
        <w:rPr>
          <w:sz w:val="21"/>
        </w:rPr>
        <w:t>women</w:t>
      </w:r>
      <w:r w:rsidR="007B664B" w:rsidRPr="007E0586">
        <w:rPr>
          <w:sz w:val="21"/>
        </w:rPr>
        <w:t xml:space="preserve">, </w:t>
      </w:r>
      <w:r w:rsidR="0062013A" w:rsidRPr="007E0586">
        <w:rPr>
          <w:sz w:val="21"/>
        </w:rPr>
        <w:t>people with disabilities and marginali</w:t>
      </w:r>
      <w:r w:rsidR="00B2287D" w:rsidRPr="007E0586">
        <w:rPr>
          <w:sz w:val="21"/>
        </w:rPr>
        <w:t>s</w:t>
      </w:r>
      <w:r w:rsidR="0062013A" w:rsidRPr="007E0586">
        <w:rPr>
          <w:sz w:val="21"/>
        </w:rPr>
        <w:t>ed</w:t>
      </w:r>
      <w:r w:rsidR="00B2287D" w:rsidRPr="007E0586">
        <w:rPr>
          <w:sz w:val="21"/>
        </w:rPr>
        <w:t xml:space="preserve"> groups</w:t>
      </w:r>
      <w:r w:rsidR="00BE02D6" w:rsidRPr="007E0586">
        <w:rPr>
          <w:sz w:val="21"/>
        </w:rPr>
        <w:t>.</w:t>
      </w:r>
      <w:r w:rsidR="00D940C6" w:rsidRPr="00D940C6">
        <w:rPr>
          <w:noProof/>
        </w:rPr>
        <w:t xml:space="preserve"> </w:t>
      </w:r>
      <w:r w:rsidR="00D940C6">
        <w:rPr>
          <w:noProof/>
        </w:rPr>
        <w:br/>
      </w:r>
      <w:r w:rsidR="00D940C6">
        <w:rPr>
          <w:noProof/>
        </w:rPr>
        <w:br/>
      </w:r>
      <w:r w:rsidR="00D940C6" w:rsidRPr="00484932">
        <w:rPr>
          <w:noProof/>
        </w:rPr>
        <w:drawing>
          <wp:inline distT="0" distB="0" distL="0" distR="0" wp14:anchorId="11DAEAB6" wp14:editId="0452FD26">
            <wp:extent cx="2520315" cy="1778000"/>
            <wp:effectExtent l="0" t="0" r="0" b="0"/>
            <wp:docPr id="1831081569" name="Picture 6" descr="“A Venn diagram featuring three overlapping circles at the center. Each circle represents a distinct concept: one labeled ‘Climate Resilience,’ another labeled ‘Sustainable Infrastructure,’ and the third labeled ‘Innovative Financing.’ The overlapping area in the middle illustrates the intersection of these three elements, symbolizing their integrated relat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81569" name="Picture 6" descr="“A Venn diagram featuring three overlapping circles at the center. Each circle represents a distinct concept: one labeled ‘Climate Resilience,’ another labeled ‘Sustainable Infrastructure,’ and the third labeled ‘Innovative Financing.’ The overlapping area in the middle illustrates the intersection of these three elements, symbolizing their integrated relationsh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0315" cy="1778000"/>
                    </a:xfrm>
                    <a:prstGeom prst="rect">
                      <a:avLst/>
                    </a:prstGeom>
                    <a:noFill/>
                    <a:ln>
                      <a:noFill/>
                    </a:ln>
                  </pic:spPr>
                </pic:pic>
              </a:graphicData>
            </a:graphic>
          </wp:inline>
        </w:drawing>
      </w:r>
    </w:p>
    <w:p w14:paraId="20124207" w14:textId="5219A725" w:rsidR="00B532C1" w:rsidRPr="003E18AD" w:rsidRDefault="00B532C1" w:rsidP="00D2498B">
      <w:pPr>
        <w:pStyle w:val="Heading2"/>
      </w:pPr>
      <w:bookmarkStart w:id="247" w:name="_Toc216270628"/>
      <w:r w:rsidRPr="003E18AD">
        <w:t>Adaptive and responsive design</w:t>
      </w:r>
      <w:bookmarkEnd w:id="247"/>
    </w:p>
    <w:p w14:paraId="76E248D8" w14:textId="1B9D794C" w:rsidR="00B532C1" w:rsidRPr="003E18AD" w:rsidRDefault="00B532C1" w:rsidP="00617E71">
      <w:pPr>
        <w:rPr>
          <w:sz w:val="21"/>
          <w:szCs w:val="21"/>
        </w:rPr>
      </w:pPr>
      <w:r w:rsidRPr="003E18AD">
        <w:rPr>
          <w:sz w:val="21"/>
          <w:szCs w:val="21"/>
        </w:rPr>
        <w:t>The investment will encompass a portfolio of Activities and Projects implemented by a suite of GOI Agencies and Delivery Partners, working in an integrated, coherent and collective manner to influence the ecosystem of financing and funding for infrastructure and climate-related program planning and delivery.</w:t>
      </w:r>
    </w:p>
    <w:p w14:paraId="3052DD25" w14:textId="08832560" w:rsidR="00B532C1" w:rsidRPr="003E18AD" w:rsidRDefault="00B532C1" w:rsidP="004D04E9">
      <w:pPr>
        <w:rPr>
          <w:sz w:val="21"/>
          <w:szCs w:val="21"/>
        </w:rPr>
      </w:pPr>
      <w:r w:rsidRPr="003E18AD">
        <w:rPr>
          <w:sz w:val="21"/>
          <w:szCs w:val="21"/>
        </w:rPr>
        <w:t xml:space="preserve">The design is underpinned by the following key </w:t>
      </w:r>
      <w:r w:rsidR="00F911A5" w:rsidRPr="003E18AD">
        <w:rPr>
          <w:sz w:val="21"/>
          <w:szCs w:val="21"/>
        </w:rPr>
        <w:t>strategies</w:t>
      </w:r>
      <w:r w:rsidRPr="003E18AD">
        <w:rPr>
          <w:sz w:val="21"/>
          <w:szCs w:val="21"/>
        </w:rPr>
        <w:t>:</w:t>
      </w:r>
    </w:p>
    <w:p w14:paraId="08422FC0" w14:textId="4777EEC6" w:rsidR="00B532C1" w:rsidRPr="003E18AD" w:rsidRDefault="00F911A5" w:rsidP="00686269">
      <w:pPr>
        <w:pStyle w:val="ListParagraph"/>
        <w:numPr>
          <w:ilvl w:val="0"/>
          <w:numId w:val="64"/>
        </w:numPr>
        <w:spacing w:before="0" w:after="40"/>
        <w:contextualSpacing w:val="0"/>
        <w:rPr>
          <w:sz w:val="21"/>
          <w:szCs w:val="21"/>
        </w:rPr>
      </w:pPr>
      <w:r w:rsidRPr="003E18AD">
        <w:rPr>
          <w:sz w:val="21"/>
          <w:szCs w:val="21"/>
        </w:rPr>
        <w:t>Positioning</w:t>
      </w:r>
      <w:r w:rsidR="00B532C1" w:rsidRPr="003E18AD">
        <w:rPr>
          <w:sz w:val="21"/>
          <w:szCs w:val="21"/>
        </w:rPr>
        <w:t xml:space="preserve"> Australia as a trusted, credible partner, working toward mutual objectives</w:t>
      </w:r>
      <w:r w:rsidR="00CB609B">
        <w:rPr>
          <w:sz w:val="21"/>
          <w:szCs w:val="21"/>
        </w:rPr>
        <w:t>.</w:t>
      </w:r>
    </w:p>
    <w:p w14:paraId="6E2E9836" w14:textId="4BB3994E" w:rsidR="00B532C1" w:rsidRPr="003E18AD" w:rsidRDefault="00F911A5" w:rsidP="00686269">
      <w:pPr>
        <w:pStyle w:val="ListParagraph"/>
        <w:numPr>
          <w:ilvl w:val="0"/>
          <w:numId w:val="64"/>
        </w:numPr>
        <w:spacing w:before="0" w:after="40"/>
        <w:contextualSpacing w:val="0"/>
        <w:rPr>
          <w:sz w:val="21"/>
          <w:szCs w:val="21"/>
        </w:rPr>
      </w:pPr>
      <w:r w:rsidRPr="003E18AD">
        <w:rPr>
          <w:sz w:val="21"/>
          <w:szCs w:val="21"/>
        </w:rPr>
        <w:t>Embracing</w:t>
      </w:r>
      <w:r w:rsidR="00B532C1" w:rsidRPr="003E18AD">
        <w:rPr>
          <w:sz w:val="21"/>
          <w:szCs w:val="21"/>
        </w:rPr>
        <w:t xml:space="preserve"> complexity</w:t>
      </w:r>
      <w:r w:rsidR="00037AEB" w:rsidRPr="003E18AD">
        <w:rPr>
          <w:sz w:val="21"/>
          <w:szCs w:val="21"/>
        </w:rPr>
        <w:t xml:space="preserve"> and </w:t>
      </w:r>
      <w:r w:rsidR="00E131C6">
        <w:rPr>
          <w:sz w:val="21"/>
          <w:szCs w:val="21"/>
        </w:rPr>
        <w:t xml:space="preserve">appropriately managing </w:t>
      </w:r>
      <w:proofErr w:type="gramStart"/>
      <w:r w:rsidR="00037AEB" w:rsidRPr="003E18AD">
        <w:rPr>
          <w:sz w:val="21"/>
          <w:szCs w:val="21"/>
        </w:rPr>
        <w:t>risk</w:t>
      </w:r>
      <w:r w:rsidR="00B532C1" w:rsidRPr="003E18AD">
        <w:rPr>
          <w:sz w:val="21"/>
          <w:szCs w:val="21"/>
        </w:rPr>
        <w:t>, and</w:t>
      </w:r>
      <w:proofErr w:type="gramEnd"/>
      <w:r w:rsidR="00B532C1" w:rsidRPr="003E18AD">
        <w:rPr>
          <w:sz w:val="21"/>
          <w:szCs w:val="21"/>
        </w:rPr>
        <w:t xml:space="preserve"> be</w:t>
      </w:r>
      <w:r w:rsidRPr="003E18AD">
        <w:rPr>
          <w:sz w:val="21"/>
          <w:szCs w:val="21"/>
        </w:rPr>
        <w:t>ing</w:t>
      </w:r>
      <w:r w:rsidR="00B532C1" w:rsidRPr="003E18AD">
        <w:rPr>
          <w:sz w:val="21"/>
          <w:szCs w:val="21"/>
        </w:rPr>
        <w:t xml:space="preserve"> adaptive and flexible to respond to emerging issues and priorities from both GOI and GOA. </w:t>
      </w:r>
    </w:p>
    <w:p w14:paraId="0C924A0E" w14:textId="5E74683A" w:rsidR="00B532C1" w:rsidRPr="003E18AD" w:rsidRDefault="00F911A5" w:rsidP="00686269">
      <w:pPr>
        <w:pStyle w:val="ListParagraph"/>
        <w:numPr>
          <w:ilvl w:val="0"/>
          <w:numId w:val="64"/>
        </w:numPr>
        <w:spacing w:before="0" w:after="40"/>
        <w:contextualSpacing w:val="0"/>
        <w:rPr>
          <w:sz w:val="21"/>
          <w:szCs w:val="21"/>
        </w:rPr>
      </w:pPr>
      <w:proofErr w:type="gramStart"/>
      <w:r w:rsidRPr="003E18AD">
        <w:rPr>
          <w:sz w:val="21"/>
          <w:szCs w:val="21"/>
        </w:rPr>
        <w:t>F</w:t>
      </w:r>
      <w:r w:rsidR="00B532C1" w:rsidRPr="003E18AD">
        <w:rPr>
          <w:sz w:val="21"/>
          <w:szCs w:val="21"/>
        </w:rPr>
        <w:t>uture</w:t>
      </w:r>
      <w:r w:rsidRPr="003E18AD">
        <w:rPr>
          <w:sz w:val="21"/>
          <w:szCs w:val="21"/>
        </w:rPr>
        <w:t>-</w:t>
      </w:r>
      <w:r w:rsidR="00B532C1" w:rsidRPr="003E18AD">
        <w:rPr>
          <w:sz w:val="21"/>
          <w:szCs w:val="21"/>
        </w:rPr>
        <w:t>proof</w:t>
      </w:r>
      <w:r w:rsidRPr="003E18AD">
        <w:rPr>
          <w:sz w:val="21"/>
          <w:szCs w:val="21"/>
        </w:rPr>
        <w:t>ing</w:t>
      </w:r>
      <w:proofErr w:type="gramEnd"/>
      <w:r w:rsidR="00B532C1" w:rsidRPr="003E18AD">
        <w:rPr>
          <w:sz w:val="21"/>
          <w:szCs w:val="21"/>
        </w:rPr>
        <w:t xml:space="preserve"> for significant policy shifts and political opportunities and constraints, and for external shocks</w:t>
      </w:r>
      <w:r w:rsidR="00CB609B">
        <w:rPr>
          <w:sz w:val="21"/>
          <w:szCs w:val="21"/>
        </w:rPr>
        <w:t>.</w:t>
      </w:r>
    </w:p>
    <w:p w14:paraId="632FA711" w14:textId="7EFEAF90" w:rsidR="00B532C1" w:rsidRPr="003E18AD" w:rsidRDefault="00F911A5" w:rsidP="00686269">
      <w:pPr>
        <w:pStyle w:val="ListParagraph"/>
        <w:numPr>
          <w:ilvl w:val="0"/>
          <w:numId w:val="64"/>
        </w:numPr>
        <w:spacing w:before="0" w:after="40"/>
        <w:contextualSpacing w:val="0"/>
        <w:rPr>
          <w:sz w:val="21"/>
          <w:szCs w:val="21"/>
        </w:rPr>
      </w:pPr>
      <w:r w:rsidRPr="003E18AD">
        <w:rPr>
          <w:sz w:val="21"/>
          <w:szCs w:val="21"/>
        </w:rPr>
        <w:t>Adopting a</w:t>
      </w:r>
      <w:r w:rsidR="00B532C1" w:rsidRPr="003E18AD">
        <w:rPr>
          <w:sz w:val="21"/>
          <w:szCs w:val="21"/>
        </w:rPr>
        <w:t xml:space="preserve"> </w:t>
      </w:r>
      <w:r w:rsidR="00424D59" w:rsidRPr="003E18AD">
        <w:rPr>
          <w:sz w:val="21"/>
          <w:szCs w:val="21"/>
        </w:rPr>
        <w:t>long-term</w:t>
      </w:r>
      <w:r w:rsidR="00B532C1" w:rsidRPr="003E18AD">
        <w:rPr>
          <w:sz w:val="21"/>
          <w:szCs w:val="21"/>
        </w:rPr>
        <w:t xml:space="preserve"> perspective, because deep lasting change takes time, the </w:t>
      </w:r>
      <w:r w:rsidR="00BC7870">
        <w:rPr>
          <w:sz w:val="21"/>
          <w:szCs w:val="21"/>
        </w:rPr>
        <w:t>project</w:t>
      </w:r>
      <w:r w:rsidR="00BC7870" w:rsidRPr="003E18AD">
        <w:rPr>
          <w:sz w:val="21"/>
          <w:szCs w:val="21"/>
        </w:rPr>
        <w:t xml:space="preserve"> </w:t>
      </w:r>
      <w:r w:rsidR="00B532C1" w:rsidRPr="003E18AD">
        <w:rPr>
          <w:sz w:val="21"/>
          <w:szCs w:val="21"/>
        </w:rPr>
        <w:t xml:space="preserve">lifecycle can be protracted to see results, and Australia will continue to have long term </w:t>
      </w:r>
      <w:r w:rsidR="00C80092">
        <w:rPr>
          <w:sz w:val="21"/>
          <w:szCs w:val="21"/>
        </w:rPr>
        <w:t xml:space="preserve">strategic </w:t>
      </w:r>
      <w:r w:rsidR="00B532C1" w:rsidRPr="003E18AD">
        <w:rPr>
          <w:sz w:val="21"/>
          <w:szCs w:val="21"/>
        </w:rPr>
        <w:t>interests regardless of short</w:t>
      </w:r>
      <w:r w:rsidR="00424D59" w:rsidRPr="003E18AD">
        <w:rPr>
          <w:sz w:val="21"/>
          <w:szCs w:val="21"/>
        </w:rPr>
        <w:t>-</w:t>
      </w:r>
      <w:r w:rsidR="00B532C1" w:rsidRPr="003E18AD">
        <w:rPr>
          <w:sz w:val="21"/>
          <w:szCs w:val="21"/>
        </w:rPr>
        <w:t xml:space="preserve">term ODA </w:t>
      </w:r>
      <w:r w:rsidR="00C80092">
        <w:rPr>
          <w:sz w:val="21"/>
          <w:szCs w:val="21"/>
        </w:rPr>
        <w:t>constraints</w:t>
      </w:r>
      <w:r w:rsidR="00C80092" w:rsidRPr="003E18AD">
        <w:rPr>
          <w:sz w:val="21"/>
          <w:szCs w:val="21"/>
        </w:rPr>
        <w:t xml:space="preserve"> </w:t>
      </w:r>
      <w:r w:rsidR="00B532C1" w:rsidRPr="003E18AD">
        <w:rPr>
          <w:sz w:val="21"/>
          <w:szCs w:val="21"/>
        </w:rPr>
        <w:t>and policy priorities</w:t>
      </w:r>
      <w:r w:rsidR="00CB609B">
        <w:rPr>
          <w:sz w:val="21"/>
          <w:szCs w:val="21"/>
        </w:rPr>
        <w:t>.</w:t>
      </w:r>
    </w:p>
    <w:p w14:paraId="362928EB" w14:textId="6A290EBB" w:rsidR="00B532C1" w:rsidRPr="003E18AD" w:rsidRDefault="00F911A5" w:rsidP="00686269">
      <w:pPr>
        <w:pStyle w:val="ListParagraph"/>
        <w:numPr>
          <w:ilvl w:val="0"/>
          <w:numId w:val="64"/>
        </w:numPr>
        <w:spacing w:before="0" w:after="40"/>
        <w:contextualSpacing w:val="0"/>
        <w:rPr>
          <w:sz w:val="21"/>
          <w:szCs w:val="21"/>
        </w:rPr>
      </w:pPr>
      <w:r w:rsidRPr="003E18AD">
        <w:rPr>
          <w:sz w:val="21"/>
          <w:szCs w:val="21"/>
        </w:rPr>
        <w:t>Considering s</w:t>
      </w:r>
      <w:r w:rsidR="00B532C1" w:rsidRPr="003E18AD">
        <w:rPr>
          <w:sz w:val="21"/>
          <w:szCs w:val="21"/>
        </w:rPr>
        <w:t xml:space="preserve">ustainability </w:t>
      </w:r>
      <w:r w:rsidRPr="003E18AD">
        <w:rPr>
          <w:sz w:val="21"/>
          <w:szCs w:val="21"/>
        </w:rPr>
        <w:t>as</w:t>
      </w:r>
      <w:r w:rsidR="00B532C1" w:rsidRPr="003E18AD">
        <w:rPr>
          <w:sz w:val="21"/>
          <w:szCs w:val="21"/>
        </w:rPr>
        <w:t xml:space="preserve"> central to programming approaches</w:t>
      </w:r>
      <w:r w:rsidRPr="003E18AD">
        <w:rPr>
          <w:sz w:val="21"/>
          <w:szCs w:val="21"/>
        </w:rPr>
        <w:t>, so</w:t>
      </w:r>
      <w:r w:rsidR="00B532C1" w:rsidRPr="003E18AD">
        <w:rPr>
          <w:sz w:val="21"/>
          <w:szCs w:val="21"/>
        </w:rPr>
        <w:t xml:space="preserve"> the program will localise over time, </w:t>
      </w:r>
      <w:r w:rsidRPr="003E18AD">
        <w:rPr>
          <w:sz w:val="21"/>
          <w:szCs w:val="21"/>
        </w:rPr>
        <w:t xml:space="preserve">ensuring </w:t>
      </w:r>
      <w:r w:rsidR="00B532C1" w:rsidRPr="003E18AD">
        <w:rPr>
          <w:sz w:val="21"/>
          <w:szCs w:val="21"/>
        </w:rPr>
        <w:t xml:space="preserve">key program approaches and activities </w:t>
      </w:r>
      <w:r w:rsidRPr="003E18AD">
        <w:rPr>
          <w:sz w:val="21"/>
          <w:szCs w:val="21"/>
        </w:rPr>
        <w:t xml:space="preserve">are integrated </w:t>
      </w:r>
      <w:r w:rsidR="00B532C1" w:rsidRPr="003E18AD">
        <w:rPr>
          <w:sz w:val="21"/>
          <w:szCs w:val="21"/>
        </w:rPr>
        <w:t xml:space="preserve">into </w:t>
      </w:r>
      <w:r w:rsidR="00AA10DE">
        <w:rPr>
          <w:sz w:val="21"/>
          <w:szCs w:val="21"/>
        </w:rPr>
        <w:t>GOI</w:t>
      </w:r>
      <w:r w:rsidR="00B532C1" w:rsidRPr="003E18AD">
        <w:rPr>
          <w:sz w:val="21"/>
          <w:szCs w:val="21"/>
        </w:rPr>
        <w:t xml:space="preserve"> system</w:t>
      </w:r>
      <w:r w:rsidR="00AA10DE">
        <w:rPr>
          <w:sz w:val="21"/>
          <w:szCs w:val="21"/>
        </w:rPr>
        <w:t>s</w:t>
      </w:r>
      <w:r w:rsidR="00B532C1" w:rsidRPr="003E18AD">
        <w:rPr>
          <w:sz w:val="21"/>
          <w:szCs w:val="21"/>
        </w:rPr>
        <w:t xml:space="preserve"> and approaches.</w:t>
      </w:r>
      <w:r w:rsidR="00C92510" w:rsidRPr="003E18AD">
        <w:rPr>
          <w:sz w:val="21"/>
          <w:szCs w:val="21"/>
        </w:rPr>
        <w:t xml:space="preserve"> </w:t>
      </w:r>
    </w:p>
    <w:p w14:paraId="64138EDE" w14:textId="26684C70" w:rsidR="00B532C1" w:rsidRPr="003E18AD" w:rsidRDefault="00F911A5" w:rsidP="00686269">
      <w:pPr>
        <w:pStyle w:val="ListParagraph"/>
        <w:numPr>
          <w:ilvl w:val="0"/>
          <w:numId w:val="64"/>
        </w:numPr>
        <w:spacing w:before="0" w:after="120"/>
        <w:contextualSpacing w:val="0"/>
        <w:rPr>
          <w:sz w:val="21"/>
          <w:szCs w:val="21"/>
        </w:rPr>
      </w:pPr>
      <w:r w:rsidRPr="003E18AD">
        <w:rPr>
          <w:sz w:val="21"/>
          <w:szCs w:val="21"/>
        </w:rPr>
        <w:t>L</w:t>
      </w:r>
      <w:r w:rsidR="00B532C1" w:rsidRPr="003E18AD">
        <w:rPr>
          <w:sz w:val="21"/>
          <w:szCs w:val="21"/>
        </w:rPr>
        <w:t>everag</w:t>
      </w:r>
      <w:r w:rsidRPr="003E18AD">
        <w:rPr>
          <w:sz w:val="21"/>
          <w:szCs w:val="21"/>
        </w:rPr>
        <w:t>ing</w:t>
      </w:r>
      <w:r w:rsidR="00B532C1" w:rsidRPr="003E18AD">
        <w:rPr>
          <w:sz w:val="21"/>
          <w:szCs w:val="21"/>
        </w:rPr>
        <w:t xml:space="preserve"> all of Australia’s capability</w:t>
      </w:r>
      <w:r w:rsidR="00535894">
        <w:rPr>
          <w:sz w:val="21"/>
          <w:szCs w:val="21"/>
        </w:rPr>
        <w:t xml:space="preserve"> and tools</w:t>
      </w:r>
      <w:r w:rsidR="00B532C1" w:rsidRPr="003E18AD">
        <w:rPr>
          <w:sz w:val="21"/>
          <w:szCs w:val="21"/>
        </w:rPr>
        <w:t xml:space="preserve"> relevant to the broader ecosystem and political economy, including embracing regional and global investments, mechanisms and resources</w:t>
      </w:r>
      <w:r w:rsidRPr="003E18AD">
        <w:rPr>
          <w:sz w:val="21"/>
          <w:szCs w:val="21"/>
        </w:rPr>
        <w:t>.</w:t>
      </w:r>
    </w:p>
    <w:p w14:paraId="767CCCE7" w14:textId="45FE8FE5" w:rsidR="00BC02E7" w:rsidRPr="003E18AD" w:rsidRDefault="00BC02E7" w:rsidP="00D2498B">
      <w:pPr>
        <w:pStyle w:val="Heading2"/>
      </w:pPr>
      <w:bookmarkStart w:id="248" w:name="_Toc216270629"/>
      <w:r w:rsidRPr="003E18AD">
        <w:t xml:space="preserve">Design </w:t>
      </w:r>
      <w:r w:rsidR="00A23B7A">
        <w:t>f</w:t>
      </w:r>
      <w:r w:rsidRPr="003E18AD">
        <w:t>ramework</w:t>
      </w:r>
      <w:bookmarkEnd w:id="248"/>
    </w:p>
    <w:p w14:paraId="3CCC4E36" w14:textId="77777777" w:rsidR="00BC02E7" w:rsidRPr="003E18AD" w:rsidRDefault="00BC02E7" w:rsidP="0031011B">
      <w:pPr>
        <w:rPr>
          <w:sz w:val="21"/>
          <w:szCs w:val="21"/>
        </w:rPr>
      </w:pPr>
      <w:r w:rsidRPr="003E18AD">
        <w:rPr>
          <w:sz w:val="21"/>
          <w:szCs w:val="21"/>
        </w:rPr>
        <w:t>The design framework comprises:</w:t>
      </w:r>
    </w:p>
    <w:p w14:paraId="67EC1127" w14:textId="07D2CB42" w:rsidR="00BC02E7" w:rsidRPr="003E18AD" w:rsidRDefault="00BC02E7" w:rsidP="00686269">
      <w:pPr>
        <w:pStyle w:val="ListParagraph"/>
        <w:numPr>
          <w:ilvl w:val="0"/>
          <w:numId w:val="65"/>
        </w:numPr>
        <w:spacing w:before="0" w:after="40"/>
        <w:contextualSpacing w:val="0"/>
        <w:rPr>
          <w:sz w:val="21"/>
          <w:szCs w:val="21"/>
        </w:rPr>
      </w:pPr>
      <w:r w:rsidRPr="003E18AD">
        <w:rPr>
          <w:sz w:val="21"/>
          <w:szCs w:val="21"/>
        </w:rPr>
        <w:t>a set of overarching objectives and common approaches (the Program Logic)</w:t>
      </w:r>
    </w:p>
    <w:p w14:paraId="4026471C" w14:textId="5A121295" w:rsidR="00BC02E7" w:rsidRPr="003E18AD" w:rsidRDefault="00BF636C" w:rsidP="00686269">
      <w:pPr>
        <w:pStyle w:val="ListParagraph"/>
        <w:numPr>
          <w:ilvl w:val="0"/>
          <w:numId w:val="65"/>
        </w:numPr>
        <w:spacing w:before="0" w:after="40"/>
        <w:contextualSpacing w:val="0"/>
        <w:rPr>
          <w:sz w:val="21"/>
          <w:szCs w:val="21"/>
        </w:rPr>
      </w:pPr>
      <w:r w:rsidRPr="003E18AD">
        <w:rPr>
          <w:sz w:val="21"/>
          <w:szCs w:val="21"/>
        </w:rPr>
        <w:t xml:space="preserve">development of </w:t>
      </w:r>
      <w:r w:rsidR="00BC02E7" w:rsidRPr="003E18AD">
        <w:rPr>
          <w:sz w:val="21"/>
          <w:szCs w:val="21"/>
        </w:rPr>
        <w:t xml:space="preserve">a balanced portfolio of Activities and Projects, implemented by different parties, </w:t>
      </w:r>
      <w:r w:rsidRPr="003E18AD">
        <w:rPr>
          <w:sz w:val="21"/>
          <w:szCs w:val="21"/>
        </w:rPr>
        <w:t>each</w:t>
      </w:r>
      <w:r w:rsidR="00BC02E7" w:rsidRPr="003E18AD">
        <w:rPr>
          <w:sz w:val="21"/>
          <w:szCs w:val="21"/>
        </w:rPr>
        <w:t xml:space="preserve"> of which ha</w:t>
      </w:r>
      <w:r w:rsidRPr="003E18AD">
        <w:rPr>
          <w:sz w:val="21"/>
          <w:szCs w:val="21"/>
        </w:rPr>
        <w:t>s</w:t>
      </w:r>
      <w:r w:rsidR="00BC02E7" w:rsidRPr="003E18AD">
        <w:rPr>
          <w:sz w:val="21"/>
          <w:szCs w:val="21"/>
        </w:rPr>
        <w:t xml:space="preserve"> their own set of individual outputs and objectives, but which are linked, integrated and contribute to </w:t>
      </w:r>
      <w:r w:rsidR="00CF6760">
        <w:rPr>
          <w:sz w:val="21"/>
          <w:szCs w:val="21"/>
        </w:rPr>
        <w:t>Partnership</w:t>
      </w:r>
      <w:r w:rsidR="00BC02E7" w:rsidRPr="003E18AD">
        <w:rPr>
          <w:sz w:val="21"/>
          <w:szCs w:val="21"/>
        </w:rPr>
        <w:t>-wide outcomes</w:t>
      </w:r>
      <w:r w:rsidR="00F43C67" w:rsidRPr="003E18AD">
        <w:rPr>
          <w:sz w:val="21"/>
          <w:szCs w:val="21"/>
        </w:rPr>
        <w:t xml:space="preserve"> (particularly in three focus sectors)</w:t>
      </w:r>
    </w:p>
    <w:p w14:paraId="58711C55" w14:textId="44D360C0" w:rsidR="002D44A8" w:rsidRPr="003E18AD" w:rsidRDefault="002D44A8" w:rsidP="00686269">
      <w:pPr>
        <w:pStyle w:val="ListParagraph"/>
        <w:numPr>
          <w:ilvl w:val="0"/>
          <w:numId w:val="65"/>
        </w:numPr>
        <w:spacing w:before="0" w:after="40"/>
        <w:contextualSpacing w:val="0"/>
        <w:rPr>
          <w:sz w:val="21"/>
          <w:szCs w:val="21"/>
        </w:rPr>
      </w:pPr>
      <w:r w:rsidRPr="003E18AD">
        <w:rPr>
          <w:sz w:val="21"/>
          <w:szCs w:val="21"/>
        </w:rPr>
        <w:lastRenderedPageBreak/>
        <w:t xml:space="preserve">a suite of capabilities and services that will be provided across the </w:t>
      </w:r>
      <w:r w:rsidR="006C6212">
        <w:rPr>
          <w:sz w:val="21"/>
          <w:szCs w:val="21"/>
        </w:rPr>
        <w:t>Partnership</w:t>
      </w:r>
      <w:r w:rsidR="005B195D" w:rsidRPr="003E18AD">
        <w:rPr>
          <w:sz w:val="21"/>
          <w:szCs w:val="21"/>
        </w:rPr>
        <w:t xml:space="preserve"> </w:t>
      </w:r>
      <w:r w:rsidRPr="003E18AD">
        <w:rPr>
          <w:sz w:val="21"/>
          <w:szCs w:val="21"/>
        </w:rPr>
        <w:t>by a suite of Delivery Partners</w:t>
      </w:r>
    </w:p>
    <w:p w14:paraId="438B94E6" w14:textId="65E806AF" w:rsidR="00F43C67" w:rsidRPr="003E18AD" w:rsidRDefault="006C6212" w:rsidP="00686269">
      <w:pPr>
        <w:pStyle w:val="ListParagraph"/>
        <w:numPr>
          <w:ilvl w:val="0"/>
          <w:numId w:val="65"/>
        </w:numPr>
        <w:spacing w:before="0" w:after="40"/>
        <w:contextualSpacing w:val="0"/>
        <w:rPr>
          <w:sz w:val="21"/>
          <w:szCs w:val="21"/>
        </w:rPr>
      </w:pPr>
      <w:r>
        <w:rPr>
          <w:sz w:val="21"/>
          <w:szCs w:val="21"/>
        </w:rPr>
        <w:t>two</w:t>
      </w:r>
      <w:r w:rsidRPr="003E18AD">
        <w:rPr>
          <w:sz w:val="21"/>
          <w:szCs w:val="21"/>
        </w:rPr>
        <w:t xml:space="preserve"> </w:t>
      </w:r>
      <w:r w:rsidR="00F43C67" w:rsidRPr="003E18AD">
        <w:rPr>
          <w:sz w:val="21"/>
          <w:szCs w:val="21"/>
        </w:rPr>
        <w:t xml:space="preserve">cross-cutting </w:t>
      </w:r>
      <w:r>
        <w:rPr>
          <w:sz w:val="21"/>
          <w:szCs w:val="21"/>
        </w:rPr>
        <w:t>t</w:t>
      </w:r>
      <w:r w:rsidR="00F43C67" w:rsidRPr="003E18AD">
        <w:rPr>
          <w:sz w:val="21"/>
          <w:szCs w:val="21"/>
        </w:rPr>
        <w:t xml:space="preserve">hemes with </w:t>
      </w:r>
      <w:r>
        <w:rPr>
          <w:sz w:val="21"/>
          <w:szCs w:val="21"/>
        </w:rPr>
        <w:t>Partnership</w:t>
      </w:r>
      <w:r w:rsidR="00F43C67" w:rsidRPr="003E18AD">
        <w:rPr>
          <w:sz w:val="21"/>
          <w:szCs w:val="21"/>
        </w:rPr>
        <w:t>-wide strategies and application</w:t>
      </w:r>
    </w:p>
    <w:p w14:paraId="1583E4F9" w14:textId="63DCA126" w:rsidR="00BC02E7" w:rsidRPr="003E18AD" w:rsidRDefault="002D44A8" w:rsidP="00686269">
      <w:pPr>
        <w:pStyle w:val="ListParagraph"/>
        <w:numPr>
          <w:ilvl w:val="0"/>
          <w:numId w:val="65"/>
        </w:numPr>
        <w:spacing w:before="0" w:after="40"/>
        <w:contextualSpacing w:val="0"/>
        <w:rPr>
          <w:sz w:val="21"/>
          <w:szCs w:val="21"/>
        </w:rPr>
      </w:pPr>
      <w:r w:rsidRPr="003E18AD">
        <w:rPr>
          <w:sz w:val="21"/>
          <w:szCs w:val="21"/>
        </w:rPr>
        <w:t xml:space="preserve">a common monitoring, evaluation, reflection and learning approach (MERL) where Delivery Partners report on individual Activities and Projects in a manner that enables analysis of </w:t>
      </w:r>
      <w:r w:rsidR="006C6212">
        <w:rPr>
          <w:sz w:val="21"/>
          <w:szCs w:val="21"/>
        </w:rPr>
        <w:t>Partnership</w:t>
      </w:r>
      <w:r w:rsidRPr="003E18AD">
        <w:rPr>
          <w:sz w:val="21"/>
          <w:szCs w:val="21"/>
        </w:rPr>
        <w:t>-wide outputs, IOs and EOPOs.</w:t>
      </w:r>
    </w:p>
    <w:p w14:paraId="6D474D3D" w14:textId="125FBAEF" w:rsidR="00BC02E7" w:rsidRPr="003E18AD" w:rsidRDefault="00BC02E7" w:rsidP="00D2498B">
      <w:pPr>
        <w:pStyle w:val="Heading2"/>
      </w:pPr>
      <w:bookmarkStart w:id="249" w:name="_Toc216270630"/>
      <w:r w:rsidRPr="003E18AD">
        <w:t xml:space="preserve">Delivery </w:t>
      </w:r>
      <w:r w:rsidR="00A23B7A">
        <w:t>a</w:t>
      </w:r>
      <w:r w:rsidRPr="003E18AD">
        <w:t>pproach</w:t>
      </w:r>
      <w:bookmarkEnd w:id="249"/>
    </w:p>
    <w:p w14:paraId="1C332E7D" w14:textId="64A23DD7" w:rsidR="00BC02E7" w:rsidRPr="003E18AD" w:rsidRDefault="00BC02E7" w:rsidP="004D04E9">
      <w:pPr>
        <w:rPr>
          <w:sz w:val="21"/>
          <w:szCs w:val="21"/>
        </w:rPr>
      </w:pPr>
      <w:r w:rsidRPr="003E18AD">
        <w:rPr>
          <w:sz w:val="21"/>
          <w:szCs w:val="21"/>
        </w:rPr>
        <w:t xml:space="preserve">The </w:t>
      </w:r>
      <w:r w:rsidR="00E930B1">
        <w:rPr>
          <w:sz w:val="21"/>
          <w:szCs w:val="21"/>
        </w:rPr>
        <w:t>Partnership</w:t>
      </w:r>
      <w:r w:rsidR="00E930B1" w:rsidRPr="003E18AD">
        <w:rPr>
          <w:sz w:val="21"/>
          <w:szCs w:val="21"/>
        </w:rPr>
        <w:t xml:space="preserve"> </w:t>
      </w:r>
      <w:r w:rsidRPr="003E18AD">
        <w:rPr>
          <w:sz w:val="21"/>
          <w:szCs w:val="21"/>
        </w:rPr>
        <w:t>will be delivered by a set of Delivery Partners operating under the common design and MERL approach, supported by a Primary Contractor.</w:t>
      </w:r>
      <w:r w:rsidR="00C92510" w:rsidRPr="003E18AD">
        <w:rPr>
          <w:sz w:val="21"/>
          <w:szCs w:val="21"/>
        </w:rPr>
        <w:t xml:space="preserve"> </w:t>
      </w:r>
      <w:r w:rsidR="00C0724F">
        <w:rPr>
          <w:sz w:val="21"/>
          <w:szCs w:val="21"/>
        </w:rPr>
        <w:t>Delivery Partners will be reviewed over the life of the Partnership to ensure</w:t>
      </w:r>
      <w:r w:rsidR="00F84A22">
        <w:rPr>
          <w:sz w:val="21"/>
          <w:szCs w:val="21"/>
        </w:rPr>
        <w:t xml:space="preserve"> they remain fit-for-purpose, with the flexibility to a</w:t>
      </w:r>
      <w:r w:rsidR="00740CAE">
        <w:rPr>
          <w:sz w:val="21"/>
          <w:szCs w:val="21"/>
        </w:rPr>
        <w:t xml:space="preserve">mend </w:t>
      </w:r>
      <w:r w:rsidR="00E64D93">
        <w:rPr>
          <w:sz w:val="21"/>
          <w:szCs w:val="21"/>
        </w:rPr>
        <w:t xml:space="preserve">as required. </w:t>
      </w:r>
      <w:r w:rsidR="00DA2F1C">
        <w:rPr>
          <w:sz w:val="21"/>
          <w:szCs w:val="21"/>
        </w:rPr>
        <w:t>The initial</w:t>
      </w:r>
      <w:r w:rsidR="00F576B5" w:rsidRPr="003E18AD">
        <w:rPr>
          <w:sz w:val="21"/>
          <w:szCs w:val="21"/>
        </w:rPr>
        <w:t xml:space="preserve"> </w:t>
      </w:r>
      <w:r w:rsidRPr="003E18AD">
        <w:rPr>
          <w:sz w:val="21"/>
          <w:szCs w:val="21"/>
        </w:rPr>
        <w:t>Delivery Partner</w:t>
      </w:r>
      <w:r w:rsidR="00E64D93">
        <w:rPr>
          <w:sz w:val="21"/>
          <w:szCs w:val="21"/>
        </w:rPr>
        <w:t xml:space="preserve"> structure</w:t>
      </w:r>
      <w:r w:rsidR="00890D61">
        <w:rPr>
          <w:sz w:val="21"/>
          <w:szCs w:val="21"/>
        </w:rPr>
        <w:t xml:space="preserve"> comprises</w:t>
      </w:r>
      <w:r w:rsidRPr="003E18AD">
        <w:rPr>
          <w:sz w:val="21"/>
          <w:szCs w:val="21"/>
        </w:rPr>
        <w:t>:</w:t>
      </w:r>
    </w:p>
    <w:p w14:paraId="60DF6B55" w14:textId="77777777" w:rsidR="00DD01C5" w:rsidRPr="003E18AD" w:rsidRDefault="00DD01C5" w:rsidP="00686269">
      <w:pPr>
        <w:numPr>
          <w:ilvl w:val="0"/>
          <w:numId w:val="15"/>
        </w:numPr>
        <w:spacing w:before="0"/>
        <w:ind w:left="714" w:hanging="357"/>
        <w:rPr>
          <w:sz w:val="21"/>
          <w:szCs w:val="21"/>
        </w:rPr>
      </w:pPr>
      <w:r w:rsidRPr="003E18AD">
        <w:rPr>
          <w:b/>
          <w:bCs/>
          <w:sz w:val="21"/>
          <w:szCs w:val="21"/>
        </w:rPr>
        <w:t>Primary Contractor:</w:t>
      </w:r>
      <w:r w:rsidRPr="003E18AD">
        <w:rPr>
          <w:sz w:val="21"/>
          <w:szCs w:val="21"/>
        </w:rPr>
        <w:t xml:space="preserve"> Overall portfolio and </w:t>
      </w:r>
      <w:r>
        <w:rPr>
          <w:sz w:val="21"/>
          <w:szCs w:val="21"/>
        </w:rPr>
        <w:t>Partnership</w:t>
      </w:r>
      <w:r w:rsidRPr="003E18AD">
        <w:rPr>
          <w:sz w:val="21"/>
          <w:szCs w:val="21"/>
        </w:rPr>
        <w:t>-wide responsibilities, technical services, and advisory support</w:t>
      </w:r>
    </w:p>
    <w:p w14:paraId="762580F4" w14:textId="77777777" w:rsidR="00DD01C5" w:rsidRPr="003E18AD" w:rsidRDefault="00DD01C5" w:rsidP="00686269">
      <w:pPr>
        <w:numPr>
          <w:ilvl w:val="0"/>
          <w:numId w:val="15"/>
        </w:numPr>
        <w:spacing w:before="0"/>
        <w:ind w:left="714" w:hanging="357"/>
        <w:rPr>
          <w:sz w:val="21"/>
          <w:szCs w:val="21"/>
        </w:rPr>
      </w:pPr>
      <w:r w:rsidRPr="003E18AD">
        <w:rPr>
          <w:b/>
          <w:bCs/>
          <w:sz w:val="21"/>
          <w:szCs w:val="21"/>
        </w:rPr>
        <w:t>Financial Markets Advisory Partner and Lead NGO Partner:</w:t>
      </w:r>
      <w:r w:rsidRPr="003E18AD">
        <w:rPr>
          <w:sz w:val="21"/>
          <w:szCs w:val="21"/>
        </w:rPr>
        <w:t xml:space="preserve"> Specialist advisory and community engagement services under </w:t>
      </w:r>
      <w:r>
        <w:rPr>
          <w:sz w:val="21"/>
          <w:szCs w:val="21"/>
        </w:rPr>
        <w:t xml:space="preserve">the </w:t>
      </w:r>
      <w:r w:rsidRPr="003E18AD">
        <w:rPr>
          <w:sz w:val="21"/>
          <w:szCs w:val="21"/>
        </w:rPr>
        <w:t>auspices</w:t>
      </w:r>
      <w:r>
        <w:rPr>
          <w:sz w:val="21"/>
          <w:szCs w:val="21"/>
        </w:rPr>
        <w:t xml:space="preserve"> of the</w:t>
      </w:r>
      <w:r w:rsidRPr="003E18AD">
        <w:rPr>
          <w:sz w:val="21"/>
          <w:szCs w:val="21"/>
        </w:rPr>
        <w:t xml:space="preserve"> Primary Contractor </w:t>
      </w:r>
    </w:p>
    <w:p w14:paraId="17D1121F" w14:textId="77777777" w:rsidR="00DD01C5" w:rsidRPr="003E18AD" w:rsidRDefault="00DD01C5" w:rsidP="00686269">
      <w:pPr>
        <w:numPr>
          <w:ilvl w:val="0"/>
          <w:numId w:val="15"/>
        </w:numPr>
        <w:spacing w:before="0"/>
        <w:ind w:left="714" w:hanging="357"/>
        <w:rPr>
          <w:sz w:val="21"/>
          <w:szCs w:val="21"/>
        </w:rPr>
      </w:pPr>
      <w:r w:rsidRPr="003E18AD">
        <w:rPr>
          <w:b/>
          <w:bCs/>
          <w:sz w:val="21"/>
          <w:szCs w:val="21"/>
        </w:rPr>
        <w:t>Asian Development Bank:</w:t>
      </w:r>
      <w:r w:rsidRPr="003E18AD">
        <w:rPr>
          <w:sz w:val="21"/>
          <w:szCs w:val="21"/>
        </w:rPr>
        <w:t xml:space="preserve"> Technical, analytic and research services, and loan preparation in agreed sectors under direct Grant Agreement</w:t>
      </w:r>
    </w:p>
    <w:p w14:paraId="4AB0DDF1" w14:textId="2A7F5585" w:rsidR="00DD01C5" w:rsidRPr="003E18AD" w:rsidRDefault="00DD01C5" w:rsidP="00686269">
      <w:pPr>
        <w:numPr>
          <w:ilvl w:val="0"/>
          <w:numId w:val="15"/>
        </w:numPr>
        <w:spacing w:before="0"/>
        <w:ind w:left="714" w:hanging="357"/>
        <w:rPr>
          <w:sz w:val="21"/>
          <w:szCs w:val="21"/>
        </w:rPr>
      </w:pPr>
      <w:r w:rsidRPr="003E18AD">
        <w:rPr>
          <w:b/>
          <w:bCs/>
          <w:sz w:val="21"/>
          <w:szCs w:val="21"/>
        </w:rPr>
        <w:t>World Bank:</w:t>
      </w:r>
      <w:r w:rsidRPr="003E18AD">
        <w:rPr>
          <w:sz w:val="21"/>
          <w:szCs w:val="21"/>
        </w:rPr>
        <w:t xml:space="preserve"> Complementary </w:t>
      </w:r>
      <w:r>
        <w:rPr>
          <w:sz w:val="21"/>
          <w:szCs w:val="21"/>
        </w:rPr>
        <w:t>t</w:t>
      </w:r>
      <w:r w:rsidRPr="003E18AD">
        <w:rPr>
          <w:sz w:val="21"/>
          <w:szCs w:val="21"/>
        </w:rPr>
        <w:t>echnical, analytic and research services, and loan preparation services</w:t>
      </w:r>
      <w:r>
        <w:rPr>
          <w:sz w:val="21"/>
          <w:szCs w:val="21"/>
        </w:rPr>
        <w:t>,</w:t>
      </w:r>
      <w:r w:rsidRPr="003E18AD">
        <w:rPr>
          <w:sz w:val="21"/>
          <w:szCs w:val="21"/>
        </w:rPr>
        <w:t xml:space="preserve"> </w:t>
      </w:r>
      <w:r>
        <w:rPr>
          <w:sz w:val="21"/>
          <w:szCs w:val="21"/>
        </w:rPr>
        <w:t xml:space="preserve">including </w:t>
      </w:r>
      <w:r w:rsidRPr="003E18AD">
        <w:rPr>
          <w:sz w:val="21"/>
          <w:szCs w:val="21"/>
        </w:rPr>
        <w:t>under the Australia-</w:t>
      </w:r>
      <w:r w:rsidR="00DE5D3A">
        <w:rPr>
          <w:sz w:val="21"/>
          <w:szCs w:val="21"/>
        </w:rPr>
        <w:t xml:space="preserve">World Bank </w:t>
      </w:r>
      <w:r w:rsidRPr="003E18AD">
        <w:rPr>
          <w:sz w:val="21"/>
          <w:szCs w:val="21"/>
        </w:rPr>
        <w:t>Indonesia Partnership (ABIP) Agreement</w:t>
      </w:r>
    </w:p>
    <w:p w14:paraId="7E3F469B" w14:textId="77777777" w:rsidR="00DD01C5" w:rsidRPr="003E18AD" w:rsidRDefault="00DD01C5" w:rsidP="00686269">
      <w:pPr>
        <w:numPr>
          <w:ilvl w:val="0"/>
          <w:numId w:val="15"/>
        </w:numPr>
        <w:spacing w:before="0"/>
        <w:ind w:left="714" w:hanging="357"/>
        <w:rPr>
          <w:sz w:val="21"/>
          <w:szCs w:val="21"/>
        </w:rPr>
      </w:pPr>
      <w:r w:rsidRPr="003E18AD">
        <w:rPr>
          <w:b/>
          <w:bCs/>
          <w:sz w:val="21"/>
          <w:szCs w:val="21"/>
        </w:rPr>
        <w:t>Australian Development Investments (ADI) and Private Infrastructure Development Group (PIDG):</w:t>
      </w:r>
      <w:r w:rsidRPr="003E18AD">
        <w:rPr>
          <w:sz w:val="21"/>
          <w:szCs w:val="21"/>
        </w:rPr>
        <w:t xml:space="preserve"> Investment and financing services under existing Head Agreements</w:t>
      </w:r>
    </w:p>
    <w:p w14:paraId="5C84A344" w14:textId="77777777" w:rsidR="00DD01C5" w:rsidRPr="003E18AD" w:rsidRDefault="00DD01C5" w:rsidP="00686269">
      <w:pPr>
        <w:numPr>
          <w:ilvl w:val="0"/>
          <w:numId w:val="15"/>
        </w:numPr>
        <w:spacing w:before="0"/>
        <w:ind w:left="714" w:hanging="357"/>
        <w:rPr>
          <w:sz w:val="21"/>
          <w:szCs w:val="21"/>
        </w:rPr>
      </w:pPr>
      <w:r w:rsidRPr="003E18AD">
        <w:rPr>
          <w:b/>
          <w:bCs/>
          <w:sz w:val="21"/>
          <w:szCs w:val="21"/>
        </w:rPr>
        <w:t>APS Agencies:</w:t>
      </w:r>
      <w:r w:rsidRPr="003E18AD">
        <w:rPr>
          <w:sz w:val="21"/>
          <w:szCs w:val="21"/>
        </w:rPr>
        <w:t xml:space="preserve"> Department of Climate Change, Energy, the Environment and Water (DCCEEW) and others will contribute government to government linkages and expertise as requested by the GOI.</w:t>
      </w:r>
    </w:p>
    <w:p w14:paraId="647FD9CF" w14:textId="436B95C2" w:rsidR="008E76E7" w:rsidRPr="00270B7E" w:rsidRDefault="008E76E7" w:rsidP="00E167F7">
      <w:pPr>
        <w:rPr>
          <w:rFonts w:eastAsiaTheme="minorEastAsia"/>
          <w:sz w:val="21"/>
          <w:szCs w:val="21"/>
        </w:rPr>
      </w:pPr>
      <w:r w:rsidRPr="00270B7E">
        <w:rPr>
          <w:sz w:val="21"/>
          <w:szCs w:val="21"/>
        </w:rPr>
        <w:t xml:space="preserve">The DFAT team at Post will have policy and strategic oversight, policy engagement, and technical coordination functions across the </w:t>
      </w:r>
      <w:r w:rsidR="00AB0A94" w:rsidRPr="00270B7E">
        <w:rPr>
          <w:sz w:val="21"/>
          <w:szCs w:val="21"/>
        </w:rPr>
        <w:t>Partnership</w:t>
      </w:r>
      <w:r w:rsidRPr="00270B7E">
        <w:rPr>
          <w:rFonts w:eastAsiaTheme="minorEastAsia"/>
          <w:sz w:val="21"/>
          <w:szCs w:val="21"/>
        </w:rPr>
        <w:t>.</w:t>
      </w:r>
      <w:r w:rsidR="434ED96D" w:rsidRPr="00270B7E">
        <w:rPr>
          <w:rFonts w:eastAsiaTheme="minorEastAsia"/>
          <w:sz w:val="21"/>
          <w:szCs w:val="21"/>
        </w:rPr>
        <w:t xml:space="preserve"> </w:t>
      </w:r>
      <w:r w:rsidR="0012038F" w:rsidRPr="00270B7E">
        <w:rPr>
          <w:rFonts w:eastAsiaTheme="minorEastAsia"/>
          <w:sz w:val="21"/>
          <w:szCs w:val="21"/>
        </w:rPr>
        <w:t xml:space="preserve"> This role will be supported by a </w:t>
      </w:r>
      <w:r w:rsidR="0012038F" w:rsidRPr="00270B7E">
        <w:rPr>
          <w:b/>
          <w:bCs/>
          <w:sz w:val="21"/>
          <w:szCs w:val="21"/>
        </w:rPr>
        <w:t xml:space="preserve">Technical Advisory Group </w:t>
      </w:r>
      <w:r w:rsidR="00B1152B" w:rsidRPr="00270B7E">
        <w:rPr>
          <w:b/>
          <w:bCs/>
          <w:sz w:val="21"/>
          <w:szCs w:val="21"/>
        </w:rPr>
        <w:t xml:space="preserve">(TAG) </w:t>
      </w:r>
      <w:r w:rsidR="0012038F" w:rsidRPr="00270B7E">
        <w:rPr>
          <w:sz w:val="21"/>
          <w:szCs w:val="21"/>
        </w:rPr>
        <w:t xml:space="preserve">that will provide direct advisory support to DFAT, operating independently of the Partnership.  </w:t>
      </w:r>
      <w:r w:rsidR="434ED96D" w:rsidRPr="00270B7E">
        <w:rPr>
          <w:rFonts w:eastAsiaTheme="minorEastAsia"/>
          <w:sz w:val="21"/>
          <w:szCs w:val="21"/>
          <w:lang w:val="en-GB"/>
        </w:rPr>
        <w:t>The TA</w:t>
      </w:r>
      <w:r w:rsidR="0012038F" w:rsidRPr="00270B7E">
        <w:rPr>
          <w:rFonts w:eastAsiaTheme="minorEastAsia"/>
          <w:sz w:val="21"/>
          <w:szCs w:val="21"/>
          <w:lang w:val="en-GB"/>
        </w:rPr>
        <w:t>G</w:t>
      </w:r>
      <w:r w:rsidR="434ED96D" w:rsidRPr="00270B7E">
        <w:rPr>
          <w:rFonts w:eastAsiaTheme="minorEastAsia"/>
          <w:sz w:val="21"/>
          <w:szCs w:val="21"/>
          <w:lang w:val="en-GB"/>
        </w:rPr>
        <w:t xml:space="preserve"> will provide independent </w:t>
      </w:r>
      <w:r w:rsidR="4E74462B" w:rsidRPr="00270B7E">
        <w:rPr>
          <w:rFonts w:eastAsiaTheme="minorEastAsia"/>
          <w:sz w:val="21"/>
          <w:szCs w:val="21"/>
          <w:lang w:val="en-GB"/>
        </w:rPr>
        <w:t xml:space="preserve">infrastructure, </w:t>
      </w:r>
      <w:r w:rsidR="434ED96D" w:rsidRPr="00270B7E">
        <w:rPr>
          <w:rFonts w:eastAsiaTheme="minorEastAsia"/>
          <w:sz w:val="21"/>
          <w:szCs w:val="21"/>
          <w:lang w:val="en-GB"/>
        </w:rPr>
        <w:t xml:space="preserve">climate, energy, </w:t>
      </w:r>
      <w:r w:rsidR="3CCFEDBD" w:rsidRPr="00270B7E">
        <w:rPr>
          <w:rFonts w:eastAsiaTheme="minorEastAsia"/>
          <w:sz w:val="21"/>
          <w:szCs w:val="21"/>
          <w:lang w:val="en-GB"/>
        </w:rPr>
        <w:t xml:space="preserve">financing, </w:t>
      </w:r>
      <w:r w:rsidR="434ED96D" w:rsidRPr="00270B7E">
        <w:rPr>
          <w:rFonts w:eastAsiaTheme="minorEastAsia"/>
          <w:sz w:val="21"/>
          <w:szCs w:val="21"/>
          <w:lang w:val="en-GB"/>
        </w:rPr>
        <w:t xml:space="preserve">digital and GEDSI advice to DFAT as required. It will increase contestability by enhancing DFAT’s ability to both oversight the </w:t>
      </w:r>
      <w:r w:rsidR="008A555A" w:rsidRPr="00270B7E">
        <w:rPr>
          <w:rFonts w:eastAsiaTheme="minorEastAsia"/>
          <w:sz w:val="21"/>
          <w:szCs w:val="21"/>
          <w:lang w:val="en-GB"/>
        </w:rPr>
        <w:t xml:space="preserve">Primary Contractor’s </w:t>
      </w:r>
      <w:r w:rsidR="434ED96D" w:rsidRPr="00270B7E">
        <w:rPr>
          <w:rFonts w:eastAsiaTheme="minorEastAsia"/>
          <w:sz w:val="21"/>
          <w:szCs w:val="21"/>
          <w:lang w:val="en-GB"/>
        </w:rPr>
        <w:t xml:space="preserve">technical engagement and review key program outputs and evaluations; promote program transparency and accountability; foster cross-program visibility, coordination and alignment; </w:t>
      </w:r>
      <w:r w:rsidR="00771404" w:rsidRPr="00270B7E">
        <w:rPr>
          <w:rFonts w:eastAsiaTheme="minorEastAsia"/>
          <w:sz w:val="21"/>
          <w:szCs w:val="21"/>
          <w:lang w:val="en-GB"/>
        </w:rPr>
        <w:t xml:space="preserve">support adaptative program management; </w:t>
      </w:r>
      <w:r w:rsidR="434ED96D" w:rsidRPr="00270B7E">
        <w:rPr>
          <w:rFonts w:eastAsiaTheme="minorEastAsia"/>
          <w:sz w:val="21"/>
          <w:szCs w:val="21"/>
          <w:lang w:val="en-GB"/>
        </w:rPr>
        <w:t>and help build DFAT staff capability on key sectors through ongoing engagement.</w:t>
      </w:r>
      <w:r w:rsidR="434ED96D" w:rsidRPr="00270B7E">
        <w:rPr>
          <w:rFonts w:eastAsiaTheme="minorEastAsia"/>
          <w:sz w:val="21"/>
          <w:szCs w:val="21"/>
          <w:lang w:val="en-US"/>
        </w:rPr>
        <w:t xml:space="preserve"> </w:t>
      </w:r>
    </w:p>
    <w:p w14:paraId="52BB0386" w14:textId="770F16E7" w:rsidR="001E316B" w:rsidRPr="003E18AD" w:rsidRDefault="001E316B" w:rsidP="00D2498B">
      <w:pPr>
        <w:pStyle w:val="Heading2"/>
      </w:pPr>
      <w:bookmarkStart w:id="250" w:name="_Toc216270631"/>
      <w:r w:rsidRPr="003E18AD">
        <w:t>Capabilities and services</w:t>
      </w:r>
      <w:bookmarkEnd w:id="250"/>
    </w:p>
    <w:p w14:paraId="505B58DA" w14:textId="77777777" w:rsidR="00424444" w:rsidRDefault="49447C9E" w:rsidP="00424444">
      <w:pPr>
        <w:spacing w:after="0"/>
        <w:rPr>
          <w:sz w:val="21"/>
          <w:szCs w:val="21"/>
        </w:rPr>
      </w:pPr>
      <w:r w:rsidRPr="1169CFB7">
        <w:rPr>
          <w:sz w:val="21"/>
          <w:szCs w:val="21"/>
        </w:rPr>
        <w:t xml:space="preserve">The </w:t>
      </w:r>
      <w:r w:rsidR="36D63EFC" w:rsidRPr="1169CFB7">
        <w:rPr>
          <w:sz w:val="21"/>
          <w:szCs w:val="21"/>
        </w:rPr>
        <w:t xml:space="preserve">Partnership </w:t>
      </w:r>
      <w:r w:rsidRPr="1169CFB7">
        <w:rPr>
          <w:sz w:val="21"/>
          <w:szCs w:val="21"/>
        </w:rPr>
        <w:t>is flexible</w:t>
      </w:r>
      <w:r w:rsidR="1DF9B73B" w:rsidRPr="1169CFB7">
        <w:rPr>
          <w:sz w:val="21"/>
          <w:szCs w:val="21"/>
        </w:rPr>
        <w:t xml:space="preserve"> and </w:t>
      </w:r>
      <w:r w:rsidRPr="1169CFB7">
        <w:rPr>
          <w:sz w:val="21"/>
          <w:szCs w:val="21"/>
        </w:rPr>
        <w:t>responsive</w:t>
      </w:r>
      <w:r w:rsidR="61E3285D" w:rsidRPr="1169CFB7">
        <w:rPr>
          <w:sz w:val="21"/>
          <w:szCs w:val="21"/>
        </w:rPr>
        <w:t xml:space="preserve">, </w:t>
      </w:r>
      <w:r w:rsidRPr="1169CFB7">
        <w:rPr>
          <w:sz w:val="21"/>
          <w:szCs w:val="21"/>
        </w:rPr>
        <w:t>support</w:t>
      </w:r>
      <w:r w:rsidR="7B265B2F" w:rsidRPr="1169CFB7">
        <w:rPr>
          <w:sz w:val="21"/>
          <w:szCs w:val="21"/>
        </w:rPr>
        <w:t>ing</w:t>
      </w:r>
      <w:r w:rsidRPr="1169CFB7">
        <w:rPr>
          <w:sz w:val="21"/>
          <w:szCs w:val="21"/>
        </w:rPr>
        <w:t xml:space="preserve"> the GOI and other stakeholders achieve their </w:t>
      </w:r>
      <w:r w:rsidR="00771404" w:rsidRPr="1169CFB7">
        <w:rPr>
          <w:sz w:val="21"/>
          <w:szCs w:val="21"/>
        </w:rPr>
        <w:t xml:space="preserve">climate, infrastructure, and financing </w:t>
      </w:r>
      <w:r w:rsidRPr="1169CFB7">
        <w:rPr>
          <w:sz w:val="21"/>
          <w:szCs w:val="21"/>
        </w:rPr>
        <w:t xml:space="preserve">priorities, as agreed through the Activity and </w:t>
      </w:r>
      <w:r w:rsidR="2A052591" w:rsidRPr="1169CFB7">
        <w:rPr>
          <w:sz w:val="21"/>
          <w:szCs w:val="21"/>
        </w:rPr>
        <w:t>P</w:t>
      </w:r>
      <w:r w:rsidRPr="1169CFB7">
        <w:rPr>
          <w:sz w:val="21"/>
          <w:szCs w:val="21"/>
        </w:rPr>
        <w:t>roject screening, selection and approval process.</w:t>
      </w:r>
      <w:r w:rsidR="25AEC871" w:rsidRPr="1169CFB7">
        <w:rPr>
          <w:sz w:val="21"/>
          <w:szCs w:val="21"/>
        </w:rPr>
        <w:t xml:space="preserve"> </w:t>
      </w:r>
      <w:r w:rsidRPr="1169CFB7">
        <w:rPr>
          <w:sz w:val="21"/>
          <w:szCs w:val="21"/>
        </w:rPr>
        <w:t xml:space="preserve">The set of </w:t>
      </w:r>
      <w:r w:rsidR="1EC16BFA" w:rsidRPr="1169CFB7">
        <w:rPr>
          <w:sz w:val="21"/>
          <w:szCs w:val="21"/>
        </w:rPr>
        <w:t xml:space="preserve">indicative </w:t>
      </w:r>
      <w:r w:rsidRPr="1169CFB7">
        <w:rPr>
          <w:sz w:val="21"/>
          <w:szCs w:val="21"/>
        </w:rPr>
        <w:t xml:space="preserve">Delivery Partners identified </w:t>
      </w:r>
      <w:r w:rsidR="008E5B02">
        <w:rPr>
          <w:sz w:val="21"/>
          <w:szCs w:val="21"/>
        </w:rPr>
        <w:t xml:space="preserve">above is </w:t>
      </w:r>
      <w:r w:rsidRPr="1169CFB7">
        <w:rPr>
          <w:sz w:val="21"/>
          <w:szCs w:val="21"/>
        </w:rPr>
        <w:t>bas</w:t>
      </w:r>
      <w:r w:rsidR="008E5B02">
        <w:rPr>
          <w:sz w:val="21"/>
          <w:szCs w:val="21"/>
        </w:rPr>
        <w:t>ed</w:t>
      </w:r>
      <w:r w:rsidRPr="1169CFB7">
        <w:rPr>
          <w:sz w:val="21"/>
          <w:szCs w:val="21"/>
        </w:rPr>
        <w:t xml:space="preserve"> o</w:t>
      </w:r>
      <w:r w:rsidR="008E5B02">
        <w:rPr>
          <w:sz w:val="21"/>
          <w:szCs w:val="21"/>
        </w:rPr>
        <w:t>n</w:t>
      </w:r>
      <w:r w:rsidRPr="1169CFB7">
        <w:rPr>
          <w:sz w:val="21"/>
          <w:szCs w:val="21"/>
        </w:rPr>
        <w:t xml:space="preserve"> a </w:t>
      </w:r>
      <w:proofErr w:type="gramStart"/>
      <w:r w:rsidRPr="1169CFB7">
        <w:rPr>
          <w:sz w:val="21"/>
          <w:szCs w:val="21"/>
        </w:rPr>
        <w:t>set capabilities</w:t>
      </w:r>
      <w:proofErr w:type="gramEnd"/>
      <w:r w:rsidRPr="1169CFB7">
        <w:rPr>
          <w:sz w:val="21"/>
          <w:szCs w:val="21"/>
        </w:rPr>
        <w:t xml:space="preserve">, expertise and skills that </w:t>
      </w:r>
      <w:r w:rsidR="001B681F">
        <w:rPr>
          <w:sz w:val="21"/>
          <w:szCs w:val="21"/>
        </w:rPr>
        <w:t xml:space="preserve">are likely to </w:t>
      </w:r>
      <w:r w:rsidR="142A53DC" w:rsidRPr="1169CFB7">
        <w:rPr>
          <w:sz w:val="21"/>
          <w:szCs w:val="21"/>
        </w:rPr>
        <w:t>be required</w:t>
      </w:r>
      <w:r w:rsidRPr="1169CFB7">
        <w:rPr>
          <w:sz w:val="21"/>
          <w:szCs w:val="21"/>
        </w:rPr>
        <w:t xml:space="preserve"> to address ecosystem constraints and </w:t>
      </w:r>
      <w:r w:rsidR="142A53DC" w:rsidRPr="1169CFB7">
        <w:rPr>
          <w:sz w:val="21"/>
          <w:szCs w:val="21"/>
        </w:rPr>
        <w:t xml:space="preserve">take advantage of </w:t>
      </w:r>
      <w:r w:rsidRPr="1169CFB7">
        <w:rPr>
          <w:sz w:val="21"/>
          <w:szCs w:val="21"/>
        </w:rPr>
        <w:t>opportunities</w:t>
      </w:r>
      <w:r w:rsidR="142A53DC" w:rsidRPr="1169CFB7">
        <w:rPr>
          <w:sz w:val="21"/>
          <w:szCs w:val="21"/>
        </w:rPr>
        <w:t>.</w:t>
      </w:r>
      <w:r w:rsidR="25AEC871" w:rsidRPr="1169CFB7">
        <w:rPr>
          <w:sz w:val="21"/>
          <w:szCs w:val="21"/>
        </w:rPr>
        <w:t xml:space="preserve"> </w:t>
      </w:r>
      <w:r w:rsidR="142A53DC" w:rsidRPr="1169CFB7">
        <w:rPr>
          <w:sz w:val="21"/>
          <w:szCs w:val="21"/>
        </w:rPr>
        <w:t>This also provides the parameters for Activity and Project identification and selection, and for the policy engagement of DFAT and others in the negotiation of planning and activity identification.</w:t>
      </w:r>
      <w:r w:rsidR="25AEC871" w:rsidRPr="1169CFB7">
        <w:rPr>
          <w:sz w:val="21"/>
          <w:szCs w:val="21"/>
        </w:rPr>
        <w:t xml:space="preserve"> </w:t>
      </w:r>
    </w:p>
    <w:p w14:paraId="0C3A52B1" w14:textId="5B6C8666" w:rsidR="001E316B" w:rsidRPr="003E18AD" w:rsidRDefault="142A53DC" w:rsidP="00B074E1">
      <w:pPr>
        <w:spacing w:before="0"/>
        <w:rPr>
          <w:sz w:val="21"/>
          <w:szCs w:val="21"/>
        </w:rPr>
      </w:pPr>
      <w:r w:rsidRPr="1169CFB7">
        <w:rPr>
          <w:sz w:val="21"/>
          <w:szCs w:val="21"/>
        </w:rPr>
        <w:t xml:space="preserve">Services that may be required and will be available from </w:t>
      </w:r>
      <w:r w:rsidR="001B681F">
        <w:rPr>
          <w:sz w:val="21"/>
          <w:szCs w:val="21"/>
        </w:rPr>
        <w:t xml:space="preserve">across </w:t>
      </w:r>
      <w:r w:rsidRPr="1169CFB7">
        <w:rPr>
          <w:sz w:val="21"/>
          <w:szCs w:val="21"/>
        </w:rPr>
        <w:t xml:space="preserve">the </w:t>
      </w:r>
      <w:r w:rsidR="0572E4CE" w:rsidRPr="1169CFB7">
        <w:rPr>
          <w:sz w:val="21"/>
          <w:szCs w:val="21"/>
        </w:rPr>
        <w:t xml:space="preserve">indicative </w:t>
      </w:r>
      <w:r w:rsidRPr="1169CFB7">
        <w:rPr>
          <w:sz w:val="21"/>
          <w:szCs w:val="21"/>
        </w:rPr>
        <w:t>set of Delivery Partners include:</w:t>
      </w:r>
    </w:p>
    <w:p w14:paraId="1204D184" w14:textId="7015EB88" w:rsidR="001E316B" w:rsidRPr="003E18AD" w:rsidRDefault="00BF636C" w:rsidP="00686269">
      <w:pPr>
        <w:pStyle w:val="ListParagraph"/>
        <w:numPr>
          <w:ilvl w:val="0"/>
          <w:numId w:val="62"/>
        </w:numPr>
        <w:spacing w:before="0" w:after="0"/>
        <w:contextualSpacing w:val="0"/>
        <w:rPr>
          <w:sz w:val="21"/>
          <w:szCs w:val="21"/>
        </w:rPr>
      </w:pPr>
      <w:bookmarkStart w:id="251" w:name="_Hlk202963217"/>
      <w:r w:rsidRPr="003E18AD">
        <w:rPr>
          <w:sz w:val="21"/>
          <w:szCs w:val="21"/>
        </w:rPr>
        <w:t>P</w:t>
      </w:r>
      <w:r w:rsidR="001E316B" w:rsidRPr="003E18AD">
        <w:rPr>
          <w:sz w:val="21"/>
          <w:szCs w:val="21"/>
        </w:rPr>
        <w:t xml:space="preserve">olicy, regulatory and advisory services on infrastructure </w:t>
      </w:r>
      <w:r w:rsidRPr="003E18AD">
        <w:rPr>
          <w:sz w:val="21"/>
          <w:szCs w:val="21"/>
        </w:rPr>
        <w:t xml:space="preserve">planning, finance and </w:t>
      </w:r>
      <w:r w:rsidR="001E316B" w:rsidRPr="003E18AD">
        <w:rPr>
          <w:sz w:val="21"/>
          <w:szCs w:val="21"/>
        </w:rPr>
        <w:t>governance</w:t>
      </w:r>
    </w:p>
    <w:p w14:paraId="5DE65F49" w14:textId="77777777" w:rsidR="001E316B" w:rsidRPr="003E18AD" w:rsidRDefault="001E316B" w:rsidP="00686269">
      <w:pPr>
        <w:pStyle w:val="ListParagraph"/>
        <w:numPr>
          <w:ilvl w:val="0"/>
          <w:numId w:val="62"/>
        </w:numPr>
        <w:rPr>
          <w:sz w:val="21"/>
          <w:szCs w:val="21"/>
        </w:rPr>
      </w:pPr>
      <w:r w:rsidRPr="003E18AD">
        <w:rPr>
          <w:sz w:val="21"/>
          <w:szCs w:val="21"/>
        </w:rPr>
        <w:t>Institutional strengthening and capacity building support</w:t>
      </w:r>
    </w:p>
    <w:p w14:paraId="69E26569" w14:textId="77777777" w:rsidR="001E316B" w:rsidRPr="003E18AD" w:rsidRDefault="001E316B" w:rsidP="00686269">
      <w:pPr>
        <w:pStyle w:val="ListParagraph"/>
        <w:numPr>
          <w:ilvl w:val="0"/>
          <w:numId w:val="62"/>
        </w:numPr>
        <w:rPr>
          <w:sz w:val="21"/>
          <w:szCs w:val="21"/>
        </w:rPr>
      </w:pPr>
      <w:r w:rsidRPr="003E18AD">
        <w:rPr>
          <w:sz w:val="21"/>
          <w:szCs w:val="21"/>
        </w:rPr>
        <w:t>Over the horizon research, policy analysis and advocacy</w:t>
      </w:r>
    </w:p>
    <w:p w14:paraId="2D594A95" w14:textId="445EC574" w:rsidR="001E316B" w:rsidRPr="003E18AD" w:rsidRDefault="001E316B" w:rsidP="00686269">
      <w:pPr>
        <w:pStyle w:val="ListParagraph"/>
        <w:numPr>
          <w:ilvl w:val="0"/>
          <w:numId w:val="62"/>
        </w:numPr>
        <w:rPr>
          <w:sz w:val="21"/>
          <w:szCs w:val="21"/>
        </w:rPr>
      </w:pPr>
      <w:r w:rsidRPr="003E18AD">
        <w:rPr>
          <w:sz w:val="21"/>
          <w:szCs w:val="21"/>
        </w:rPr>
        <w:t>Project preparation technical services (feasibility, financial analysis</w:t>
      </w:r>
      <w:r w:rsidR="00BF636C" w:rsidRPr="003E18AD">
        <w:rPr>
          <w:sz w:val="21"/>
          <w:szCs w:val="21"/>
        </w:rPr>
        <w:t xml:space="preserve"> and structuring, etc</w:t>
      </w:r>
      <w:r w:rsidRPr="003E18AD">
        <w:rPr>
          <w:sz w:val="21"/>
          <w:szCs w:val="21"/>
        </w:rPr>
        <w:t>]</w:t>
      </w:r>
    </w:p>
    <w:p w14:paraId="558EFD03" w14:textId="77777777" w:rsidR="001E316B" w:rsidRPr="003E18AD" w:rsidRDefault="001E316B" w:rsidP="00686269">
      <w:pPr>
        <w:pStyle w:val="ListParagraph"/>
        <w:numPr>
          <w:ilvl w:val="0"/>
          <w:numId w:val="62"/>
        </w:numPr>
        <w:rPr>
          <w:sz w:val="21"/>
          <w:szCs w:val="21"/>
        </w:rPr>
      </w:pPr>
      <w:r w:rsidRPr="003E18AD">
        <w:rPr>
          <w:sz w:val="21"/>
          <w:szCs w:val="21"/>
        </w:rPr>
        <w:t>Loan preparation</w:t>
      </w:r>
    </w:p>
    <w:p w14:paraId="698D2F7C" w14:textId="39B3D58B" w:rsidR="001E316B" w:rsidRPr="003E18AD" w:rsidRDefault="001E316B" w:rsidP="00686269">
      <w:pPr>
        <w:pStyle w:val="ListParagraph"/>
        <w:numPr>
          <w:ilvl w:val="0"/>
          <w:numId w:val="62"/>
        </w:numPr>
        <w:rPr>
          <w:sz w:val="21"/>
          <w:szCs w:val="21"/>
        </w:rPr>
      </w:pPr>
      <w:r w:rsidRPr="003E18AD">
        <w:rPr>
          <w:sz w:val="21"/>
          <w:szCs w:val="21"/>
        </w:rPr>
        <w:t>Financial and investment services, including Fund Management</w:t>
      </w:r>
      <w:r w:rsidR="00BF636C" w:rsidRPr="003E18AD">
        <w:rPr>
          <w:sz w:val="21"/>
          <w:szCs w:val="21"/>
        </w:rPr>
        <w:t>, oversight and reporting</w:t>
      </w:r>
      <w:r w:rsidR="00C92510" w:rsidRPr="003E18AD">
        <w:rPr>
          <w:sz w:val="21"/>
          <w:szCs w:val="21"/>
        </w:rPr>
        <w:t xml:space="preserve"> </w:t>
      </w:r>
    </w:p>
    <w:p w14:paraId="68638841" w14:textId="77777777" w:rsidR="001E316B" w:rsidRPr="003E18AD" w:rsidRDefault="001E316B" w:rsidP="00686269">
      <w:pPr>
        <w:pStyle w:val="ListParagraph"/>
        <w:numPr>
          <w:ilvl w:val="0"/>
          <w:numId w:val="62"/>
        </w:numPr>
        <w:rPr>
          <w:sz w:val="21"/>
          <w:szCs w:val="21"/>
        </w:rPr>
      </w:pPr>
      <w:r w:rsidRPr="003E18AD">
        <w:rPr>
          <w:sz w:val="21"/>
          <w:szCs w:val="21"/>
        </w:rPr>
        <w:lastRenderedPageBreak/>
        <w:t xml:space="preserve">Transaction Advisory technical services </w:t>
      </w:r>
    </w:p>
    <w:p w14:paraId="4D6F0825" w14:textId="2802B143" w:rsidR="001E316B" w:rsidRPr="003E18AD" w:rsidRDefault="001E316B" w:rsidP="00686269">
      <w:pPr>
        <w:pStyle w:val="ListParagraph"/>
        <w:numPr>
          <w:ilvl w:val="0"/>
          <w:numId w:val="62"/>
        </w:numPr>
        <w:rPr>
          <w:sz w:val="21"/>
          <w:szCs w:val="21"/>
        </w:rPr>
      </w:pPr>
      <w:r w:rsidRPr="003E18AD">
        <w:rPr>
          <w:sz w:val="21"/>
          <w:szCs w:val="21"/>
        </w:rPr>
        <w:t>Technical services to support</w:t>
      </w:r>
      <w:r w:rsidR="00BF636C" w:rsidRPr="003E18AD">
        <w:rPr>
          <w:sz w:val="21"/>
          <w:szCs w:val="21"/>
        </w:rPr>
        <w:t xml:space="preserve"> Project</w:t>
      </w:r>
      <w:r w:rsidRPr="003E18AD">
        <w:rPr>
          <w:sz w:val="21"/>
          <w:szCs w:val="21"/>
        </w:rPr>
        <w:t xml:space="preserve"> implementation and supervision</w:t>
      </w:r>
    </w:p>
    <w:p w14:paraId="379847D0" w14:textId="77777777" w:rsidR="001E316B" w:rsidRPr="003E18AD" w:rsidRDefault="001E316B" w:rsidP="00686269">
      <w:pPr>
        <w:pStyle w:val="ListParagraph"/>
        <w:numPr>
          <w:ilvl w:val="0"/>
          <w:numId w:val="62"/>
        </w:numPr>
        <w:rPr>
          <w:sz w:val="21"/>
          <w:szCs w:val="21"/>
        </w:rPr>
      </w:pPr>
      <w:r w:rsidRPr="003E18AD">
        <w:rPr>
          <w:sz w:val="21"/>
          <w:szCs w:val="21"/>
        </w:rPr>
        <w:t>Community engagement and civil society sector strengthening</w:t>
      </w:r>
    </w:p>
    <w:p w14:paraId="6807BE44" w14:textId="77777777" w:rsidR="001E316B" w:rsidRPr="003E18AD" w:rsidRDefault="001E316B" w:rsidP="00686269">
      <w:pPr>
        <w:pStyle w:val="ListParagraph"/>
        <w:numPr>
          <w:ilvl w:val="0"/>
          <w:numId w:val="62"/>
        </w:numPr>
        <w:rPr>
          <w:sz w:val="21"/>
          <w:szCs w:val="21"/>
        </w:rPr>
      </w:pPr>
      <w:r w:rsidRPr="003E18AD">
        <w:rPr>
          <w:sz w:val="21"/>
          <w:szCs w:val="21"/>
        </w:rPr>
        <w:t>Coordination, collaboration and stakeholder engagement</w:t>
      </w:r>
    </w:p>
    <w:p w14:paraId="0C1B3064" w14:textId="3D82C14C" w:rsidR="001E316B" w:rsidRPr="003E18AD" w:rsidRDefault="001E316B" w:rsidP="00686269">
      <w:pPr>
        <w:pStyle w:val="ListParagraph"/>
        <w:numPr>
          <w:ilvl w:val="0"/>
          <w:numId w:val="62"/>
        </w:numPr>
        <w:rPr>
          <w:sz w:val="21"/>
          <w:szCs w:val="21"/>
        </w:rPr>
      </w:pPr>
      <w:r w:rsidRPr="003E18AD">
        <w:rPr>
          <w:sz w:val="21"/>
          <w:szCs w:val="21"/>
        </w:rPr>
        <w:t>Knowledge management, monitoring and evaluation</w:t>
      </w:r>
      <w:r w:rsidR="00BF636C" w:rsidRPr="003E18AD">
        <w:rPr>
          <w:sz w:val="21"/>
          <w:szCs w:val="21"/>
        </w:rPr>
        <w:t>, and research</w:t>
      </w:r>
      <w:r w:rsidR="00C92510" w:rsidRPr="003E18AD">
        <w:rPr>
          <w:sz w:val="21"/>
          <w:szCs w:val="21"/>
        </w:rPr>
        <w:t xml:space="preserve"> </w:t>
      </w:r>
    </w:p>
    <w:p w14:paraId="0A1C1F35" w14:textId="6B196E28" w:rsidR="001E316B" w:rsidRPr="003E18AD" w:rsidRDefault="001E316B" w:rsidP="00686269">
      <w:pPr>
        <w:pStyle w:val="ListParagraph"/>
        <w:numPr>
          <w:ilvl w:val="0"/>
          <w:numId w:val="62"/>
        </w:numPr>
        <w:rPr>
          <w:sz w:val="21"/>
          <w:szCs w:val="21"/>
        </w:rPr>
      </w:pPr>
      <w:r w:rsidRPr="003E18AD">
        <w:rPr>
          <w:sz w:val="21"/>
          <w:szCs w:val="21"/>
        </w:rPr>
        <w:t xml:space="preserve">Gender, disability and social inclusion </w:t>
      </w:r>
      <w:r w:rsidR="00BF636C" w:rsidRPr="003E18AD">
        <w:rPr>
          <w:sz w:val="21"/>
          <w:szCs w:val="21"/>
        </w:rPr>
        <w:t xml:space="preserve">advisory, training and support </w:t>
      </w:r>
      <w:r w:rsidRPr="003E18AD">
        <w:rPr>
          <w:sz w:val="21"/>
          <w:szCs w:val="21"/>
        </w:rPr>
        <w:t>services</w:t>
      </w:r>
    </w:p>
    <w:p w14:paraId="73E5F48A" w14:textId="5E238A8F" w:rsidR="001E316B" w:rsidRPr="003E18AD" w:rsidRDefault="001E316B" w:rsidP="00686269">
      <w:pPr>
        <w:pStyle w:val="ListParagraph"/>
        <w:numPr>
          <w:ilvl w:val="0"/>
          <w:numId w:val="62"/>
        </w:numPr>
        <w:rPr>
          <w:sz w:val="21"/>
          <w:szCs w:val="21"/>
        </w:rPr>
      </w:pPr>
      <w:r w:rsidRPr="003E18AD">
        <w:rPr>
          <w:sz w:val="21"/>
          <w:szCs w:val="21"/>
        </w:rPr>
        <w:t xml:space="preserve">Climate </w:t>
      </w:r>
      <w:r w:rsidR="00BF636C" w:rsidRPr="003E18AD">
        <w:rPr>
          <w:sz w:val="21"/>
          <w:szCs w:val="21"/>
        </w:rPr>
        <w:t xml:space="preserve">policy and technical </w:t>
      </w:r>
      <w:r w:rsidRPr="003E18AD">
        <w:rPr>
          <w:sz w:val="21"/>
          <w:szCs w:val="21"/>
        </w:rPr>
        <w:t>services on mitigation, adaptation and resilience</w:t>
      </w:r>
      <w:r w:rsidR="00900B00" w:rsidRPr="003E18AD">
        <w:rPr>
          <w:sz w:val="21"/>
          <w:szCs w:val="21"/>
        </w:rPr>
        <w:t xml:space="preserve"> (including climate </w:t>
      </w:r>
      <w:r w:rsidR="004658B6" w:rsidRPr="003E18AD">
        <w:rPr>
          <w:sz w:val="21"/>
          <w:szCs w:val="21"/>
        </w:rPr>
        <w:t>and disaster risk analysis and assessment)</w:t>
      </w:r>
      <w:r w:rsidRPr="003E18AD">
        <w:rPr>
          <w:sz w:val="21"/>
          <w:szCs w:val="21"/>
        </w:rPr>
        <w:t xml:space="preserve"> and sustainable, green and climate finance.</w:t>
      </w:r>
    </w:p>
    <w:p w14:paraId="57E34C7D" w14:textId="77777777" w:rsidR="001E316B" w:rsidRPr="003E18AD" w:rsidRDefault="001E316B" w:rsidP="00686269">
      <w:pPr>
        <w:pStyle w:val="ListParagraph"/>
        <w:numPr>
          <w:ilvl w:val="0"/>
          <w:numId w:val="62"/>
        </w:numPr>
        <w:rPr>
          <w:sz w:val="21"/>
          <w:szCs w:val="21"/>
        </w:rPr>
      </w:pPr>
      <w:r w:rsidRPr="003E18AD">
        <w:rPr>
          <w:sz w:val="21"/>
          <w:szCs w:val="21"/>
        </w:rPr>
        <w:t>Risk management</w:t>
      </w:r>
    </w:p>
    <w:p w14:paraId="45FA4914" w14:textId="77777777" w:rsidR="001E316B" w:rsidRPr="003E18AD" w:rsidRDefault="001E316B" w:rsidP="00686269">
      <w:pPr>
        <w:pStyle w:val="ListParagraph"/>
        <w:numPr>
          <w:ilvl w:val="0"/>
          <w:numId w:val="62"/>
        </w:numPr>
        <w:rPr>
          <w:sz w:val="21"/>
          <w:szCs w:val="21"/>
        </w:rPr>
      </w:pPr>
      <w:r w:rsidRPr="003E18AD">
        <w:rPr>
          <w:sz w:val="21"/>
          <w:szCs w:val="21"/>
        </w:rPr>
        <w:t>Financial management for program management and grants oversight</w:t>
      </w:r>
    </w:p>
    <w:p w14:paraId="2DD24CCC" w14:textId="77777777" w:rsidR="001E316B" w:rsidRPr="003E18AD" w:rsidRDefault="001E316B" w:rsidP="00686269">
      <w:pPr>
        <w:pStyle w:val="ListParagraph"/>
        <w:numPr>
          <w:ilvl w:val="0"/>
          <w:numId w:val="62"/>
        </w:numPr>
        <w:rPr>
          <w:sz w:val="21"/>
          <w:szCs w:val="21"/>
        </w:rPr>
      </w:pPr>
      <w:r w:rsidRPr="003E18AD">
        <w:rPr>
          <w:sz w:val="21"/>
          <w:szCs w:val="21"/>
        </w:rPr>
        <w:t>Contract and Agreement management</w:t>
      </w:r>
    </w:p>
    <w:p w14:paraId="77D9015A" w14:textId="2D0D9034" w:rsidR="001E316B" w:rsidRPr="003E18AD" w:rsidRDefault="00BF636C" w:rsidP="00686269">
      <w:pPr>
        <w:pStyle w:val="ListParagraph"/>
        <w:numPr>
          <w:ilvl w:val="0"/>
          <w:numId w:val="62"/>
        </w:numPr>
        <w:rPr>
          <w:sz w:val="21"/>
          <w:szCs w:val="21"/>
        </w:rPr>
      </w:pPr>
      <w:r w:rsidRPr="003E18AD">
        <w:rPr>
          <w:sz w:val="21"/>
          <w:szCs w:val="21"/>
        </w:rPr>
        <w:t>Government to Government (GOA/others)</w:t>
      </w:r>
      <w:r w:rsidR="001E316B" w:rsidRPr="003E18AD">
        <w:rPr>
          <w:sz w:val="21"/>
          <w:szCs w:val="21"/>
        </w:rPr>
        <w:t xml:space="preserve"> partnership development and </w:t>
      </w:r>
      <w:r w:rsidRPr="003E18AD">
        <w:rPr>
          <w:sz w:val="21"/>
          <w:szCs w:val="21"/>
        </w:rPr>
        <w:t xml:space="preserve">implementation </w:t>
      </w:r>
      <w:r w:rsidR="001E316B" w:rsidRPr="003E18AD">
        <w:rPr>
          <w:sz w:val="21"/>
          <w:szCs w:val="21"/>
        </w:rPr>
        <w:t xml:space="preserve">support </w:t>
      </w:r>
    </w:p>
    <w:p w14:paraId="5B15D254" w14:textId="77777777" w:rsidR="001E316B" w:rsidRPr="003E18AD" w:rsidRDefault="001E316B" w:rsidP="00686269">
      <w:pPr>
        <w:pStyle w:val="ListParagraph"/>
        <w:numPr>
          <w:ilvl w:val="0"/>
          <w:numId w:val="62"/>
        </w:numPr>
        <w:rPr>
          <w:sz w:val="21"/>
          <w:szCs w:val="21"/>
        </w:rPr>
      </w:pPr>
      <w:r w:rsidRPr="003E18AD">
        <w:rPr>
          <w:sz w:val="21"/>
          <w:szCs w:val="21"/>
        </w:rPr>
        <w:t>Communications and public diplomacy</w:t>
      </w:r>
    </w:p>
    <w:p w14:paraId="6F32CB70" w14:textId="77777777" w:rsidR="001E316B" w:rsidRPr="003E18AD" w:rsidRDefault="001E316B" w:rsidP="00686269">
      <w:pPr>
        <w:pStyle w:val="ListParagraph"/>
        <w:numPr>
          <w:ilvl w:val="0"/>
          <w:numId w:val="62"/>
        </w:numPr>
        <w:rPr>
          <w:sz w:val="21"/>
          <w:szCs w:val="21"/>
        </w:rPr>
      </w:pPr>
      <w:r w:rsidRPr="003E18AD">
        <w:rPr>
          <w:sz w:val="21"/>
          <w:szCs w:val="21"/>
        </w:rPr>
        <w:t>Policy dialogue, both formal and informal</w:t>
      </w:r>
    </w:p>
    <w:p w14:paraId="302739EE" w14:textId="4662069D" w:rsidR="001E316B" w:rsidRPr="003E18AD" w:rsidRDefault="001E316B" w:rsidP="00686269">
      <w:pPr>
        <w:pStyle w:val="ListParagraph"/>
        <w:numPr>
          <w:ilvl w:val="0"/>
          <w:numId w:val="62"/>
        </w:numPr>
        <w:rPr>
          <w:sz w:val="21"/>
          <w:szCs w:val="21"/>
        </w:rPr>
      </w:pPr>
      <w:r w:rsidRPr="003E18AD">
        <w:rPr>
          <w:sz w:val="21"/>
          <w:szCs w:val="21"/>
        </w:rPr>
        <w:t>Program planning, management and operations</w:t>
      </w:r>
      <w:r w:rsidR="00C34F33" w:rsidRPr="003E18AD">
        <w:rPr>
          <w:sz w:val="21"/>
          <w:szCs w:val="21"/>
        </w:rPr>
        <w:t>.</w:t>
      </w:r>
    </w:p>
    <w:p w14:paraId="5AC0663D" w14:textId="139CBE15" w:rsidR="008E76E7" w:rsidRPr="003E18AD" w:rsidRDefault="008E76E7" w:rsidP="008E76E7">
      <w:pPr>
        <w:contextualSpacing/>
        <w:rPr>
          <w:sz w:val="21"/>
          <w:szCs w:val="21"/>
        </w:rPr>
      </w:pPr>
      <w:bookmarkStart w:id="252" w:name="_Hlk202962617"/>
      <w:bookmarkEnd w:id="251"/>
      <w:r w:rsidRPr="003E18AD">
        <w:rPr>
          <w:sz w:val="21"/>
          <w:szCs w:val="21"/>
        </w:rPr>
        <w:t xml:space="preserve">During implementation, </w:t>
      </w:r>
      <w:r w:rsidR="001B681F">
        <w:rPr>
          <w:sz w:val="21"/>
          <w:szCs w:val="21"/>
        </w:rPr>
        <w:t xml:space="preserve">these roles and responsibilities may be </w:t>
      </w:r>
      <w:proofErr w:type="gramStart"/>
      <w:r w:rsidR="001B681F">
        <w:rPr>
          <w:sz w:val="21"/>
          <w:szCs w:val="21"/>
        </w:rPr>
        <w:t>refined</w:t>
      </w:r>
      <w:proofErr w:type="gramEnd"/>
      <w:r w:rsidR="001B681F">
        <w:rPr>
          <w:sz w:val="21"/>
          <w:szCs w:val="21"/>
        </w:rPr>
        <w:t xml:space="preserve"> and </w:t>
      </w:r>
      <w:r w:rsidRPr="003E18AD">
        <w:rPr>
          <w:sz w:val="21"/>
          <w:szCs w:val="21"/>
        </w:rPr>
        <w:t xml:space="preserve">a broader range of subcontractors </w:t>
      </w:r>
      <w:r w:rsidR="001B681F">
        <w:rPr>
          <w:sz w:val="21"/>
          <w:szCs w:val="21"/>
        </w:rPr>
        <w:t xml:space="preserve">is likely to </w:t>
      </w:r>
      <w:r w:rsidRPr="003E18AD">
        <w:rPr>
          <w:sz w:val="21"/>
          <w:szCs w:val="21"/>
        </w:rPr>
        <w:t xml:space="preserve">be procured by both the Primary Contractor and other Delivery Partners </w:t>
      </w:r>
      <w:proofErr w:type="gramStart"/>
      <w:r w:rsidRPr="003E18AD">
        <w:rPr>
          <w:sz w:val="21"/>
          <w:szCs w:val="21"/>
        </w:rPr>
        <w:t>in order to</w:t>
      </w:r>
      <w:proofErr w:type="gramEnd"/>
      <w:r w:rsidRPr="003E18AD">
        <w:rPr>
          <w:sz w:val="21"/>
          <w:szCs w:val="21"/>
        </w:rPr>
        <w:t xml:space="preserve"> deliver Activities and Projects.</w:t>
      </w:r>
      <w:r w:rsidR="00C92510" w:rsidRPr="003E18AD">
        <w:rPr>
          <w:sz w:val="21"/>
          <w:szCs w:val="21"/>
        </w:rPr>
        <w:t xml:space="preserve"> </w:t>
      </w:r>
      <w:r w:rsidRPr="003E18AD">
        <w:rPr>
          <w:sz w:val="21"/>
          <w:szCs w:val="21"/>
        </w:rPr>
        <w:t xml:space="preserve">This </w:t>
      </w:r>
      <w:r w:rsidR="001B681F">
        <w:rPr>
          <w:sz w:val="21"/>
          <w:szCs w:val="21"/>
        </w:rPr>
        <w:t xml:space="preserve">may </w:t>
      </w:r>
      <w:r w:rsidRPr="003E18AD">
        <w:rPr>
          <w:sz w:val="21"/>
          <w:szCs w:val="21"/>
        </w:rPr>
        <w:t>include</w:t>
      </w:r>
      <w:r w:rsidR="001B681F">
        <w:rPr>
          <w:sz w:val="21"/>
          <w:szCs w:val="21"/>
        </w:rPr>
        <w:t xml:space="preserve"> partnerships with</w:t>
      </w:r>
      <w:r w:rsidRPr="003E18AD">
        <w:rPr>
          <w:sz w:val="21"/>
          <w:szCs w:val="21"/>
        </w:rPr>
        <w:t>:</w:t>
      </w:r>
    </w:p>
    <w:p w14:paraId="221F0D5A" w14:textId="77777777" w:rsidR="008E76E7" w:rsidRPr="003E18AD" w:rsidRDefault="008E76E7" w:rsidP="00686269">
      <w:pPr>
        <w:pStyle w:val="ListParagraph"/>
        <w:numPr>
          <w:ilvl w:val="0"/>
          <w:numId w:val="66"/>
        </w:numPr>
        <w:spacing w:before="0"/>
        <w:rPr>
          <w:sz w:val="21"/>
          <w:szCs w:val="21"/>
        </w:rPr>
      </w:pPr>
      <w:bookmarkStart w:id="253" w:name="_Hlk202963174"/>
      <w:r w:rsidRPr="003E18AD">
        <w:rPr>
          <w:sz w:val="21"/>
          <w:szCs w:val="21"/>
        </w:rPr>
        <w:t>Universities, think tanks and institutes</w:t>
      </w:r>
    </w:p>
    <w:p w14:paraId="1C4FEB59" w14:textId="77777777" w:rsidR="008E76E7" w:rsidRPr="003E18AD" w:rsidRDefault="01FB99A2" w:rsidP="00686269">
      <w:pPr>
        <w:pStyle w:val="ListParagraph"/>
        <w:numPr>
          <w:ilvl w:val="0"/>
          <w:numId w:val="66"/>
        </w:numPr>
        <w:rPr>
          <w:sz w:val="21"/>
          <w:szCs w:val="21"/>
        </w:rPr>
      </w:pPr>
      <w:r w:rsidRPr="5A972D64">
        <w:rPr>
          <w:sz w:val="21"/>
          <w:szCs w:val="21"/>
        </w:rPr>
        <w:t>NGOs and CBOs</w:t>
      </w:r>
    </w:p>
    <w:p w14:paraId="41046AE8" w14:textId="77777777" w:rsidR="008E76E7" w:rsidRPr="003E18AD" w:rsidRDefault="008E76E7" w:rsidP="00686269">
      <w:pPr>
        <w:pStyle w:val="ListParagraph"/>
        <w:numPr>
          <w:ilvl w:val="0"/>
          <w:numId w:val="66"/>
        </w:numPr>
        <w:rPr>
          <w:sz w:val="21"/>
          <w:szCs w:val="21"/>
        </w:rPr>
      </w:pPr>
      <w:r w:rsidRPr="003E18AD">
        <w:rPr>
          <w:sz w:val="21"/>
          <w:szCs w:val="21"/>
        </w:rPr>
        <w:t>Individual consultants and advisers</w:t>
      </w:r>
    </w:p>
    <w:p w14:paraId="61861B40" w14:textId="77777777" w:rsidR="008E76E7" w:rsidRPr="003E18AD" w:rsidRDefault="008E76E7" w:rsidP="00686269">
      <w:pPr>
        <w:pStyle w:val="ListParagraph"/>
        <w:numPr>
          <w:ilvl w:val="0"/>
          <w:numId w:val="66"/>
        </w:numPr>
        <w:rPr>
          <w:sz w:val="21"/>
          <w:szCs w:val="21"/>
        </w:rPr>
      </w:pPr>
      <w:r w:rsidRPr="003E18AD">
        <w:rPr>
          <w:sz w:val="21"/>
          <w:szCs w:val="21"/>
        </w:rPr>
        <w:t>Consulting firms and entities for technical services</w:t>
      </w:r>
    </w:p>
    <w:bookmarkEnd w:id="252"/>
    <w:bookmarkEnd w:id="253"/>
    <w:p w14:paraId="1FEDA6FD" w14:textId="3283A53B" w:rsidR="00BF2F54" w:rsidRPr="007F0EEE" w:rsidRDefault="006E4B69" w:rsidP="00984EE9">
      <w:pPr>
        <w:contextualSpacing/>
        <w:rPr>
          <w:sz w:val="21"/>
          <w:szCs w:val="21"/>
        </w:rPr>
      </w:pPr>
      <w:r w:rsidRPr="00997E1B">
        <w:rPr>
          <w:sz w:val="21"/>
          <w:szCs w:val="21"/>
        </w:rPr>
        <w:t>It is not anticipated that the</w:t>
      </w:r>
      <w:r w:rsidR="001B681F">
        <w:rPr>
          <w:sz w:val="21"/>
          <w:szCs w:val="21"/>
        </w:rPr>
        <w:t xml:space="preserve"> Partnership</w:t>
      </w:r>
      <w:r w:rsidRPr="007F0EEE">
        <w:rPr>
          <w:sz w:val="21"/>
          <w:szCs w:val="21"/>
        </w:rPr>
        <w:t xml:space="preserve"> will directly implement infrastructure construction or delivery, unless separately planned and approved by DFAT.</w:t>
      </w:r>
    </w:p>
    <w:p w14:paraId="3269335D" w14:textId="04C2CE89" w:rsidR="006063E1" w:rsidRPr="003E18AD" w:rsidRDefault="006063E1" w:rsidP="00D2498B">
      <w:pPr>
        <w:pStyle w:val="Heading2"/>
      </w:pPr>
      <w:bookmarkStart w:id="254" w:name="_Toc216270632"/>
      <w:r w:rsidRPr="003E18AD">
        <w:t>Theory of Change and Program Logic</w:t>
      </w:r>
      <w:bookmarkEnd w:id="254"/>
    </w:p>
    <w:p w14:paraId="3B1008D7" w14:textId="5070E41C" w:rsidR="00C20EF7" w:rsidRPr="003E18AD" w:rsidRDefault="00FD6278" w:rsidP="004D04E9">
      <w:pPr>
        <w:rPr>
          <w:sz w:val="21"/>
          <w:szCs w:val="21"/>
        </w:rPr>
      </w:pPr>
      <w:r w:rsidRPr="003E18AD">
        <w:rPr>
          <w:sz w:val="21"/>
          <w:szCs w:val="21"/>
        </w:rPr>
        <w:t>The program logic represents the following understanding of how change will happen through the investment</w:t>
      </w:r>
      <w:r w:rsidR="00C20EF7" w:rsidRPr="003E18AD">
        <w:rPr>
          <w:sz w:val="21"/>
          <w:szCs w:val="21"/>
        </w:rPr>
        <w:t>:</w:t>
      </w:r>
      <w:r w:rsidR="00C92510" w:rsidRPr="003E18AD">
        <w:rPr>
          <w:sz w:val="21"/>
          <w:szCs w:val="21"/>
        </w:rPr>
        <w:t xml:space="preserve"> </w:t>
      </w:r>
    </w:p>
    <w:p w14:paraId="14367A38" w14:textId="5B501B0E" w:rsidR="00C20EF7" w:rsidRDefault="00C34F33" w:rsidP="00C460AB">
      <w:pPr>
        <w:ind w:left="567"/>
        <w:rPr>
          <w:sz w:val="21"/>
          <w:szCs w:val="21"/>
        </w:rPr>
      </w:pPr>
      <w:bookmarkStart w:id="255" w:name="_Toc216260371"/>
      <w:bookmarkStart w:id="256" w:name="_Toc216264086"/>
      <w:bookmarkStart w:id="257" w:name="_Toc216269934"/>
      <w:bookmarkStart w:id="258" w:name="_Toc216270633"/>
      <w:r w:rsidRPr="00A0534D">
        <w:rPr>
          <w:rStyle w:val="Heading3Char"/>
        </w:rPr>
        <w:t>IF</w:t>
      </w:r>
      <w:bookmarkEnd w:id="255"/>
      <w:bookmarkEnd w:id="256"/>
      <w:bookmarkEnd w:id="257"/>
      <w:bookmarkEnd w:id="258"/>
      <w:r w:rsidR="00FD6278" w:rsidRPr="003E18AD">
        <w:rPr>
          <w:color w:val="007C89" w:themeColor="accent6"/>
          <w:sz w:val="21"/>
          <w:szCs w:val="21"/>
        </w:rPr>
        <w:t xml:space="preserve"> </w:t>
      </w:r>
      <w:r w:rsidR="003A19B3" w:rsidRPr="00DA2F1C">
        <w:rPr>
          <w:sz w:val="21"/>
          <w:szCs w:val="21"/>
        </w:rPr>
        <w:t xml:space="preserve">delivery partners work collaboratively through targeted activities that address key barriers to climate-resilient development (including policy and regulatory fragmentation, institutional capacity gaps, limited access to finance, </w:t>
      </w:r>
      <w:r w:rsidR="00A424C3">
        <w:rPr>
          <w:sz w:val="21"/>
          <w:szCs w:val="21"/>
        </w:rPr>
        <w:t>lack of infrastructure</w:t>
      </w:r>
      <w:r w:rsidR="003A19B3" w:rsidRPr="00DA2F1C">
        <w:rPr>
          <w:sz w:val="21"/>
          <w:szCs w:val="21"/>
        </w:rPr>
        <w:t>)</w:t>
      </w:r>
      <w:r w:rsidR="00E04CD0" w:rsidRPr="003E18AD">
        <w:rPr>
          <w:sz w:val="21"/>
          <w:szCs w:val="21"/>
        </w:rPr>
        <w:t xml:space="preserve"> </w:t>
      </w:r>
    </w:p>
    <w:p w14:paraId="28B77B2E" w14:textId="52800123" w:rsidR="00A424C3" w:rsidRPr="003E18AD" w:rsidRDefault="00A424C3" w:rsidP="00C460AB">
      <w:pPr>
        <w:ind w:left="567"/>
        <w:rPr>
          <w:sz w:val="21"/>
          <w:szCs w:val="21"/>
        </w:rPr>
      </w:pPr>
      <w:bookmarkStart w:id="259" w:name="_Toc216260372"/>
      <w:bookmarkStart w:id="260" w:name="_Toc216264087"/>
      <w:bookmarkStart w:id="261" w:name="_Toc216269935"/>
      <w:bookmarkStart w:id="262" w:name="_Toc216270634"/>
      <w:r w:rsidRPr="00A0534D">
        <w:rPr>
          <w:rStyle w:val="Heading3Char"/>
        </w:rPr>
        <w:t>AND</w:t>
      </w:r>
      <w:bookmarkEnd w:id="259"/>
      <w:bookmarkEnd w:id="260"/>
      <w:bookmarkEnd w:id="261"/>
      <w:bookmarkEnd w:id="262"/>
      <w:r w:rsidRPr="003E18AD">
        <w:rPr>
          <w:color w:val="007C89" w:themeColor="accent6"/>
          <w:sz w:val="21"/>
          <w:szCs w:val="21"/>
        </w:rPr>
        <w:t xml:space="preserve"> </w:t>
      </w:r>
      <w:r w:rsidR="00E135B0" w:rsidRPr="00E135B0">
        <w:rPr>
          <w:sz w:val="21"/>
          <w:szCs w:val="21"/>
        </w:rPr>
        <w:t>this coalition of delivery partners supports both upstream systems reform and downstream delivery of bankable and climate resilient projects</w:t>
      </w:r>
      <w:r w:rsidR="00ED0790">
        <w:rPr>
          <w:sz w:val="21"/>
          <w:szCs w:val="21"/>
        </w:rPr>
        <w:t>, particularly in focus sectors</w:t>
      </w:r>
    </w:p>
    <w:p w14:paraId="16D1C96A" w14:textId="3ECB8646" w:rsidR="00C20EF7" w:rsidRPr="003E18AD" w:rsidRDefault="00C34F33" w:rsidP="00C460AB">
      <w:pPr>
        <w:ind w:left="567"/>
        <w:rPr>
          <w:sz w:val="21"/>
          <w:szCs w:val="21"/>
        </w:rPr>
      </w:pPr>
      <w:bookmarkStart w:id="263" w:name="_Toc216260373"/>
      <w:bookmarkStart w:id="264" w:name="_Toc216264088"/>
      <w:bookmarkStart w:id="265" w:name="_Toc216269936"/>
      <w:bookmarkStart w:id="266" w:name="_Toc216270635"/>
      <w:r w:rsidRPr="00A0534D">
        <w:rPr>
          <w:rStyle w:val="Heading3Char"/>
        </w:rPr>
        <w:t>THEN</w:t>
      </w:r>
      <w:bookmarkEnd w:id="263"/>
      <w:bookmarkEnd w:id="264"/>
      <w:bookmarkEnd w:id="265"/>
      <w:bookmarkEnd w:id="266"/>
      <w:r w:rsidRPr="003E18AD">
        <w:rPr>
          <w:b/>
          <w:bCs/>
          <w:i/>
          <w:iCs/>
          <w:sz w:val="21"/>
          <w:szCs w:val="21"/>
        </w:rPr>
        <w:t xml:space="preserve"> </w:t>
      </w:r>
      <w:r w:rsidR="006D4392" w:rsidRPr="006D4392">
        <w:rPr>
          <w:sz w:val="21"/>
          <w:szCs w:val="21"/>
        </w:rPr>
        <w:t>Australia can help shape Indonesia’s climate and infrastructure investment environment by building government capacity, mobilising public and private capital, and increasing the availability of investment-ready, inclusive, and sustainable projects</w:t>
      </w:r>
      <w:r w:rsidR="00FD6278" w:rsidRPr="003E18AD">
        <w:rPr>
          <w:sz w:val="21"/>
          <w:szCs w:val="21"/>
        </w:rPr>
        <w:t xml:space="preserve">. </w:t>
      </w:r>
    </w:p>
    <w:p w14:paraId="7D03BCF6" w14:textId="5B23BC87" w:rsidR="00C20EF7" w:rsidRPr="003E18AD" w:rsidRDefault="00C34F33" w:rsidP="00C460AB">
      <w:pPr>
        <w:ind w:left="567"/>
        <w:rPr>
          <w:sz w:val="21"/>
          <w:szCs w:val="21"/>
        </w:rPr>
      </w:pPr>
      <w:bookmarkStart w:id="267" w:name="_Toc216260374"/>
      <w:bookmarkStart w:id="268" w:name="_Toc216264089"/>
      <w:bookmarkStart w:id="269" w:name="_Toc216269937"/>
      <w:bookmarkStart w:id="270" w:name="_Toc216270636"/>
      <w:r w:rsidRPr="00A0534D">
        <w:rPr>
          <w:rStyle w:val="Heading3Char"/>
        </w:rPr>
        <w:t>AND</w:t>
      </w:r>
      <w:bookmarkEnd w:id="267"/>
      <w:bookmarkEnd w:id="268"/>
      <w:bookmarkEnd w:id="269"/>
      <w:bookmarkEnd w:id="270"/>
      <w:r w:rsidRPr="00A0534D">
        <w:rPr>
          <w:rStyle w:val="Heading3Char"/>
        </w:rPr>
        <w:t xml:space="preserve"> </w:t>
      </w:r>
      <w:r w:rsidR="00A75165" w:rsidRPr="00A75165">
        <w:rPr>
          <w:sz w:val="21"/>
          <w:szCs w:val="21"/>
        </w:rPr>
        <w:t>these efforts will contribute to a more coherent GOI reform agenda, strengthened market confidence, and an improved pipeline of projects that align with Indonesia’s and Australia’s shared climate and development priorities</w:t>
      </w:r>
      <w:r w:rsidR="00FD6278" w:rsidRPr="003E18AD">
        <w:rPr>
          <w:sz w:val="21"/>
          <w:szCs w:val="21"/>
        </w:rPr>
        <w:t xml:space="preserve">. </w:t>
      </w:r>
    </w:p>
    <w:p w14:paraId="3916581C" w14:textId="030C6AA0" w:rsidR="00C460AB" w:rsidRDefault="00C34F33" w:rsidP="00A452F1">
      <w:pPr>
        <w:ind w:left="567"/>
        <w:rPr>
          <w:sz w:val="21"/>
          <w:szCs w:val="21"/>
        </w:rPr>
      </w:pPr>
      <w:bookmarkStart w:id="271" w:name="_Toc216260375"/>
      <w:bookmarkStart w:id="272" w:name="_Toc216264090"/>
      <w:bookmarkStart w:id="273" w:name="_Toc216269938"/>
      <w:bookmarkStart w:id="274" w:name="_Toc216270637"/>
      <w:r w:rsidRPr="00A0534D">
        <w:rPr>
          <w:rStyle w:val="Heading3Char"/>
        </w:rPr>
        <w:t>RESULTING IN</w:t>
      </w:r>
      <w:bookmarkEnd w:id="271"/>
      <w:bookmarkEnd w:id="272"/>
      <w:bookmarkEnd w:id="273"/>
      <w:bookmarkEnd w:id="274"/>
      <w:r w:rsidRPr="003E18AD">
        <w:rPr>
          <w:sz w:val="21"/>
          <w:szCs w:val="21"/>
        </w:rPr>
        <w:t xml:space="preserve"> </w:t>
      </w:r>
      <w:r w:rsidR="009E7159">
        <w:rPr>
          <w:sz w:val="21"/>
          <w:szCs w:val="21"/>
        </w:rPr>
        <w:t>a</w:t>
      </w:r>
      <w:r w:rsidR="009E7159" w:rsidRPr="003E18AD">
        <w:rPr>
          <w:sz w:val="21"/>
          <w:szCs w:val="21"/>
        </w:rPr>
        <w:t xml:space="preserve"> </w:t>
      </w:r>
      <w:r w:rsidR="009E7159" w:rsidRPr="00C460AB">
        <w:rPr>
          <w:sz w:val="21"/>
          <w:szCs w:val="21"/>
        </w:rPr>
        <w:t xml:space="preserve">more </w:t>
      </w:r>
      <w:r w:rsidR="009E7159" w:rsidRPr="009E7159">
        <w:rPr>
          <w:sz w:val="21"/>
          <w:szCs w:val="21"/>
        </w:rPr>
        <w:t>inclusive and climate-resilient economy in Indonesia, with increased access to climate finance, expanded participation of underrepresented groups in the green economy, and progress toward</w:t>
      </w:r>
      <w:r w:rsidR="00962645">
        <w:rPr>
          <w:sz w:val="21"/>
          <w:szCs w:val="21"/>
        </w:rPr>
        <w:t>s</w:t>
      </w:r>
      <w:r w:rsidR="009E7159" w:rsidRPr="009E7159">
        <w:rPr>
          <w:sz w:val="21"/>
          <w:szCs w:val="21"/>
        </w:rPr>
        <w:t xml:space="preserve"> other financing models over the medium to long term.</w:t>
      </w:r>
    </w:p>
    <w:p w14:paraId="4A21A948" w14:textId="77777777" w:rsidR="00A0534D" w:rsidRDefault="00286EDE" w:rsidP="00B074E1">
      <w:pPr>
        <w:spacing w:before="0"/>
        <w:rPr>
          <w:sz w:val="21"/>
          <w:szCs w:val="21"/>
        </w:rPr>
      </w:pPr>
      <w:bookmarkStart w:id="275" w:name="_Toc216260376"/>
      <w:bookmarkStart w:id="276" w:name="_Toc216264091"/>
      <w:bookmarkStart w:id="277" w:name="_Toc216269939"/>
      <w:bookmarkStart w:id="278" w:name="_Toc216270638"/>
      <w:r w:rsidRPr="00A0534D">
        <w:rPr>
          <w:rStyle w:val="Heading3Char"/>
        </w:rPr>
        <w:t>The program-wide Outputs of the program</w:t>
      </w:r>
      <w:bookmarkEnd w:id="275"/>
      <w:bookmarkEnd w:id="276"/>
      <w:bookmarkEnd w:id="277"/>
      <w:bookmarkEnd w:id="278"/>
      <w:r w:rsidRPr="003E18AD">
        <w:rPr>
          <w:sz w:val="21"/>
          <w:szCs w:val="21"/>
        </w:rPr>
        <w:t xml:space="preserve"> represent the </w:t>
      </w:r>
      <w:r w:rsidR="00DA2F1C">
        <w:rPr>
          <w:sz w:val="21"/>
          <w:szCs w:val="21"/>
        </w:rPr>
        <w:t>role</w:t>
      </w:r>
      <w:r w:rsidR="00DA2F1C" w:rsidRPr="003E18AD">
        <w:rPr>
          <w:sz w:val="21"/>
          <w:szCs w:val="21"/>
        </w:rPr>
        <w:t xml:space="preserve"> </w:t>
      </w:r>
      <w:r w:rsidRPr="003E18AD">
        <w:rPr>
          <w:sz w:val="21"/>
          <w:szCs w:val="21"/>
        </w:rPr>
        <w:t xml:space="preserve">that major stakeholder groups will </w:t>
      </w:r>
      <w:r w:rsidR="00F65852">
        <w:rPr>
          <w:sz w:val="21"/>
          <w:szCs w:val="21"/>
        </w:rPr>
        <w:t>play</w:t>
      </w:r>
      <w:r w:rsidRPr="003E18AD">
        <w:rPr>
          <w:sz w:val="21"/>
          <w:szCs w:val="21"/>
        </w:rPr>
        <w:t xml:space="preserve"> in the program</w:t>
      </w:r>
      <w:r w:rsidR="00DA2F1C">
        <w:rPr>
          <w:sz w:val="21"/>
          <w:szCs w:val="21"/>
        </w:rPr>
        <w:t>, reflecting the changes in behaviours, actions and performance that the program will bring about</w:t>
      </w:r>
      <w:r w:rsidRPr="003E18AD">
        <w:rPr>
          <w:sz w:val="21"/>
          <w:szCs w:val="21"/>
        </w:rPr>
        <w:t>.</w:t>
      </w:r>
      <w:r w:rsidR="00C92510" w:rsidRPr="003E18AD">
        <w:rPr>
          <w:sz w:val="21"/>
          <w:szCs w:val="21"/>
        </w:rPr>
        <w:t xml:space="preserve"> </w:t>
      </w:r>
      <w:r w:rsidRPr="003E18AD">
        <w:rPr>
          <w:sz w:val="21"/>
          <w:szCs w:val="21"/>
        </w:rPr>
        <w:t>Each Delivery Partner will be expected to report against their progress in delivering on this intent</w:t>
      </w:r>
      <w:r w:rsidR="00E452E0" w:rsidRPr="003E18AD">
        <w:rPr>
          <w:sz w:val="21"/>
          <w:szCs w:val="21"/>
        </w:rPr>
        <w:t xml:space="preserve"> (their own ‘key objective’) in their regular reporting</w:t>
      </w:r>
      <w:r w:rsidRPr="003E18AD">
        <w:rPr>
          <w:sz w:val="21"/>
          <w:szCs w:val="21"/>
        </w:rPr>
        <w:t>.</w:t>
      </w:r>
      <w:r w:rsidR="00C92510" w:rsidRPr="003E18AD">
        <w:rPr>
          <w:sz w:val="21"/>
          <w:szCs w:val="21"/>
        </w:rPr>
        <w:t xml:space="preserve"> </w:t>
      </w:r>
    </w:p>
    <w:p w14:paraId="5D962271" w14:textId="7F786E05" w:rsidR="00286EDE" w:rsidRPr="003E18AD" w:rsidRDefault="00E452E0" w:rsidP="00B074E1">
      <w:pPr>
        <w:spacing w:before="0"/>
        <w:rPr>
          <w:sz w:val="21"/>
          <w:szCs w:val="21"/>
        </w:rPr>
      </w:pPr>
      <w:r w:rsidRPr="003E18AD">
        <w:rPr>
          <w:sz w:val="21"/>
          <w:szCs w:val="21"/>
        </w:rPr>
        <w:t>The</w:t>
      </w:r>
      <w:r w:rsidR="00331D40">
        <w:rPr>
          <w:sz w:val="21"/>
          <w:szCs w:val="21"/>
        </w:rPr>
        <w:t>se</w:t>
      </w:r>
      <w:r w:rsidRPr="003E18AD">
        <w:rPr>
          <w:sz w:val="21"/>
          <w:szCs w:val="21"/>
        </w:rPr>
        <w:t xml:space="preserve"> include:</w:t>
      </w:r>
    </w:p>
    <w:p w14:paraId="14C2CDFA" w14:textId="66F48966" w:rsidR="001C71E3" w:rsidRPr="00A0442C" w:rsidRDefault="001C71E3" w:rsidP="00686269">
      <w:pPr>
        <w:pStyle w:val="Bullet2"/>
        <w:numPr>
          <w:ilvl w:val="1"/>
          <w:numId w:val="72"/>
        </w:numPr>
      </w:pPr>
      <w:r w:rsidRPr="00A0442C">
        <w:lastRenderedPageBreak/>
        <w:t xml:space="preserve">GOI pursues innovation (including use of AI and </w:t>
      </w:r>
      <w:proofErr w:type="spellStart"/>
      <w:r w:rsidRPr="00A0442C">
        <w:t>digitilisation</w:t>
      </w:r>
      <w:proofErr w:type="spellEnd"/>
      <w:r w:rsidRPr="00A0442C">
        <w:t xml:space="preserve">) across the public sector and throughout the infrastructure </w:t>
      </w:r>
      <w:r w:rsidR="0081123D" w:rsidRPr="00A0442C">
        <w:t>lifecycle</w:t>
      </w:r>
      <w:r w:rsidRPr="00A0442C">
        <w:t xml:space="preserve">, to accelerate transition to market-driven </w:t>
      </w:r>
      <w:r w:rsidRPr="00A0534D">
        <w:rPr>
          <w:lang w:val="en-GB"/>
        </w:rPr>
        <w:t>low emissions, climate and disaster resilient investment</w:t>
      </w:r>
      <w:r w:rsidRPr="00A0442C">
        <w:t>.</w:t>
      </w:r>
    </w:p>
    <w:p w14:paraId="315429C0" w14:textId="46A15B80" w:rsidR="00286EDE" w:rsidRPr="003E18AD" w:rsidRDefault="00331D40" w:rsidP="00686269">
      <w:pPr>
        <w:pStyle w:val="ListParagraph"/>
        <w:numPr>
          <w:ilvl w:val="1"/>
          <w:numId w:val="14"/>
        </w:numPr>
        <w:spacing w:before="0"/>
        <w:ind w:left="1071" w:hanging="357"/>
        <w:contextualSpacing w:val="0"/>
        <w:rPr>
          <w:sz w:val="21"/>
          <w:szCs w:val="21"/>
        </w:rPr>
      </w:pPr>
      <w:r>
        <w:rPr>
          <w:sz w:val="21"/>
          <w:szCs w:val="21"/>
        </w:rPr>
        <w:t>Led</w:t>
      </w:r>
      <w:r w:rsidRPr="003E18AD">
        <w:rPr>
          <w:sz w:val="21"/>
          <w:szCs w:val="21"/>
        </w:rPr>
        <w:t xml:space="preserve"> </w:t>
      </w:r>
      <w:r w:rsidR="00E452E0" w:rsidRPr="003E18AD">
        <w:rPr>
          <w:sz w:val="21"/>
          <w:szCs w:val="21"/>
        </w:rPr>
        <w:t>by the Primary Contractor</w:t>
      </w:r>
      <w:r w:rsidR="000477D2">
        <w:rPr>
          <w:sz w:val="21"/>
          <w:szCs w:val="21"/>
        </w:rPr>
        <w:t>,</w:t>
      </w:r>
      <w:r w:rsidR="00E452E0" w:rsidRPr="003E18AD">
        <w:rPr>
          <w:sz w:val="21"/>
          <w:szCs w:val="21"/>
        </w:rPr>
        <w:t xml:space="preserve"> working with GOI Agencies</w:t>
      </w:r>
    </w:p>
    <w:p w14:paraId="6AC82511" w14:textId="424BD03D" w:rsidR="003712DA" w:rsidRPr="003712DA" w:rsidRDefault="003712DA" w:rsidP="00686269">
      <w:pPr>
        <w:pStyle w:val="Bullet2"/>
        <w:numPr>
          <w:ilvl w:val="1"/>
          <w:numId w:val="72"/>
        </w:numPr>
      </w:pPr>
      <w:r w:rsidRPr="003712DA">
        <w:t xml:space="preserve">Private </w:t>
      </w:r>
      <w:r w:rsidRPr="00740C9C">
        <w:t>sector</w:t>
      </w:r>
      <w:r w:rsidRPr="003712DA">
        <w:t xml:space="preserve"> actors increase confidence and risk appetite for investment opportunities in Indonesia. </w:t>
      </w:r>
    </w:p>
    <w:p w14:paraId="1A4FBD2F" w14:textId="37401FE2" w:rsidR="00E452E0" w:rsidRPr="003E18AD" w:rsidRDefault="00331D40" w:rsidP="00686269">
      <w:pPr>
        <w:pStyle w:val="ListParagraph"/>
        <w:numPr>
          <w:ilvl w:val="1"/>
          <w:numId w:val="14"/>
        </w:numPr>
        <w:spacing w:before="0"/>
        <w:ind w:left="1071" w:hanging="357"/>
        <w:contextualSpacing w:val="0"/>
        <w:rPr>
          <w:sz w:val="21"/>
          <w:szCs w:val="21"/>
        </w:rPr>
      </w:pPr>
      <w:r>
        <w:rPr>
          <w:sz w:val="21"/>
          <w:szCs w:val="21"/>
        </w:rPr>
        <w:t>Led</w:t>
      </w:r>
      <w:r w:rsidR="00E452E0" w:rsidRPr="003E18AD">
        <w:rPr>
          <w:sz w:val="21"/>
          <w:szCs w:val="21"/>
        </w:rPr>
        <w:t xml:space="preserve"> by </w:t>
      </w:r>
      <w:r w:rsidR="00C20EF7" w:rsidRPr="003E18AD">
        <w:rPr>
          <w:sz w:val="21"/>
          <w:szCs w:val="21"/>
        </w:rPr>
        <w:t>p</w:t>
      </w:r>
      <w:r w:rsidR="00E452E0" w:rsidRPr="003E18AD">
        <w:rPr>
          <w:sz w:val="21"/>
          <w:szCs w:val="21"/>
        </w:rPr>
        <w:t xml:space="preserve">rivate </w:t>
      </w:r>
      <w:r w:rsidR="00C20EF7" w:rsidRPr="003E18AD">
        <w:rPr>
          <w:sz w:val="21"/>
          <w:szCs w:val="21"/>
        </w:rPr>
        <w:t>s</w:t>
      </w:r>
      <w:r w:rsidR="00E452E0" w:rsidRPr="003E18AD">
        <w:rPr>
          <w:sz w:val="21"/>
          <w:szCs w:val="21"/>
        </w:rPr>
        <w:t xml:space="preserve">ector entity Delivery Partners, </w:t>
      </w:r>
      <w:proofErr w:type="spellStart"/>
      <w:r w:rsidR="00E452E0" w:rsidRPr="003E18AD">
        <w:rPr>
          <w:sz w:val="21"/>
          <w:szCs w:val="21"/>
        </w:rPr>
        <w:t>eg</w:t>
      </w:r>
      <w:proofErr w:type="spellEnd"/>
      <w:r w:rsidR="00E452E0" w:rsidRPr="003E18AD">
        <w:rPr>
          <w:sz w:val="21"/>
          <w:szCs w:val="21"/>
        </w:rPr>
        <w:t xml:space="preserve"> ADI, PIDG, </w:t>
      </w:r>
      <w:r w:rsidR="00C20EF7" w:rsidRPr="003E18AD">
        <w:rPr>
          <w:sz w:val="21"/>
          <w:szCs w:val="21"/>
        </w:rPr>
        <w:t>Financial Markets Advisory</w:t>
      </w:r>
      <w:r w:rsidR="00C92510" w:rsidRPr="003E18AD">
        <w:rPr>
          <w:sz w:val="21"/>
          <w:szCs w:val="21"/>
        </w:rPr>
        <w:t xml:space="preserve"> </w:t>
      </w:r>
      <w:r w:rsidR="00E452E0" w:rsidRPr="003E18AD">
        <w:rPr>
          <w:sz w:val="21"/>
          <w:szCs w:val="21"/>
        </w:rPr>
        <w:t>contractor</w:t>
      </w:r>
    </w:p>
    <w:p w14:paraId="1D76A939" w14:textId="74B3EE54" w:rsidR="001C71E3" w:rsidRPr="00A0534D" w:rsidRDefault="001C71E3" w:rsidP="00686269">
      <w:pPr>
        <w:pStyle w:val="Bullet2"/>
        <w:numPr>
          <w:ilvl w:val="1"/>
          <w:numId w:val="72"/>
        </w:numPr>
        <w:rPr>
          <w:sz w:val="21"/>
          <w:szCs w:val="21"/>
        </w:rPr>
      </w:pPr>
      <w:r w:rsidRPr="00A0534D">
        <w:rPr>
          <w:sz w:val="21"/>
          <w:szCs w:val="21"/>
        </w:rPr>
        <w:t>Civil society engagement strengthens demand-side certainty (viability and feasibility) in infrastructure and climate investments.</w:t>
      </w:r>
    </w:p>
    <w:p w14:paraId="64C40496" w14:textId="3213E789" w:rsidR="00E452E0" w:rsidRPr="003E18AD" w:rsidRDefault="00331D40" w:rsidP="00686269">
      <w:pPr>
        <w:pStyle w:val="ListParagraph"/>
        <w:numPr>
          <w:ilvl w:val="1"/>
          <w:numId w:val="14"/>
        </w:numPr>
        <w:spacing w:before="0"/>
        <w:ind w:left="1071" w:hanging="357"/>
        <w:contextualSpacing w:val="0"/>
        <w:rPr>
          <w:sz w:val="21"/>
          <w:szCs w:val="21"/>
        </w:rPr>
      </w:pPr>
      <w:r>
        <w:rPr>
          <w:sz w:val="21"/>
          <w:szCs w:val="21"/>
        </w:rPr>
        <w:t xml:space="preserve">Led </w:t>
      </w:r>
      <w:r w:rsidR="00E452E0" w:rsidRPr="003E18AD">
        <w:rPr>
          <w:sz w:val="21"/>
          <w:szCs w:val="21"/>
        </w:rPr>
        <w:t>by CBOs and other grantees (coordinated by the Lead NGO Partner)</w:t>
      </w:r>
      <w:r w:rsidR="004A1A89">
        <w:rPr>
          <w:sz w:val="21"/>
          <w:szCs w:val="21"/>
        </w:rPr>
        <w:t>, with Primary Contractor support</w:t>
      </w:r>
    </w:p>
    <w:p w14:paraId="78F447BB" w14:textId="6E67C775" w:rsidR="00286EDE" w:rsidRPr="00A0534D" w:rsidRDefault="001A1256" w:rsidP="00686269">
      <w:pPr>
        <w:pStyle w:val="Bullet2"/>
        <w:numPr>
          <w:ilvl w:val="1"/>
          <w:numId w:val="72"/>
        </w:numPr>
        <w:rPr>
          <w:sz w:val="21"/>
          <w:szCs w:val="21"/>
        </w:rPr>
      </w:pPr>
      <w:r w:rsidRPr="00A0534D">
        <w:rPr>
          <w:sz w:val="21"/>
          <w:szCs w:val="21"/>
        </w:rPr>
        <w:t xml:space="preserve">Multilateral Development Banks </w:t>
      </w:r>
      <w:r w:rsidR="003E07F4" w:rsidRPr="00A0534D">
        <w:rPr>
          <w:sz w:val="21"/>
          <w:szCs w:val="21"/>
        </w:rPr>
        <w:t xml:space="preserve">and development financing institutions </w:t>
      </w:r>
      <w:r w:rsidRPr="00A0534D">
        <w:rPr>
          <w:sz w:val="21"/>
          <w:szCs w:val="21"/>
        </w:rPr>
        <w:t xml:space="preserve">enable the GOI </w:t>
      </w:r>
      <w:r w:rsidR="69FF4EA7" w:rsidRPr="00A0534D">
        <w:rPr>
          <w:sz w:val="21"/>
          <w:szCs w:val="21"/>
        </w:rPr>
        <w:t>to</w:t>
      </w:r>
      <w:r w:rsidRPr="00A0534D">
        <w:rPr>
          <w:sz w:val="21"/>
          <w:szCs w:val="21"/>
        </w:rPr>
        <w:t xml:space="preserve"> leverage high quality finance for</w:t>
      </w:r>
      <w:r w:rsidR="00C8147F" w:rsidRPr="00A0534D">
        <w:rPr>
          <w:sz w:val="21"/>
          <w:szCs w:val="21"/>
        </w:rPr>
        <w:t xml:space="preserve"> sustainable infrastructure and</w:t>
      </w:r>
      <w:r w:rsidRPr="00A0534D">
        <w:rPr>
          <w:sz w:val="21"/>
          <w:szCs w:val="21"/>
        </w:rPr>
        <w:t xml:space="preserve"> </w:t>
      </w:r>
      <w:r w:rsidR="00C8147F" w:rsidRPr="00A0534D">
        <w:rPr>
          <w:sz w:val="21"/>
          <w:szCs w:val="21"/>
        </w:rPr>
        <w:t>investment in</w:t>
      </w:r>
      <w:r w:rsidRPr="00A0534D">
        <w:rPr>
          <w:sz w:val="21"/>
          <w:szCs w:val="21"/>
        </w:rPr>
        <w:t xml:space="preserve"> climate mitigation and adaptation</w:t>
      </w:r>
      <w:r w:rsidR="00286EDE" w:rsidRPr="00A0534D">
        <w:rPr>
          <w:sz w:val="21"/>
          <w:szCs w:val="21"/>
        </w:rPr>
        <w:t>.</w:t>
      </w:r>
    </w:p>
    <w:p w14:paraId="5DFEEC4B" w14:textId="40A642B8" w:rsidR="00E452E0" w:rsidRPr="003E18AD" w:rsidRDefault="004A1A89" w:rsidP="00686269">
      <w:pPr>
        <w:pStyle w:val="ListParagraph"/>
        <w:numPr>
          <w:ilvl w:val="1"/>
          <w:numId w:val="14"/>
        </w:numPr>
        <w:spacing w:before="0"/>
        <w:ind w:left="1071" w:hanging="357"/>
        <w:contextualSpacing w:val="0"/>
        <w:rPr>
          <w:sz w:val="21"/>
          <w:szCs w:val="21"/>
        </w:rPr>
      </w:pPr>
      <w:r>
        <w:rPr>
          <w:sz w:val="21"/>
          <w:szCs w:val="21"/>
        </w:rPr>
        <w:t xml:space="preserve">Led </w:t>
      </w:r>
      <w:r w:rsidR="00E452E0" w:rsidRPr="003E18AD">
        <w:rPr>
          <w:sz w:val="21"/>
          <w:szCs w:val="21"/>
        </w:rPr>
        <w:t xml:space="preserve">by </w:t>
      </w:r>
      <w:r w:rsidR="003264AA">
        <w:rPr>
          <w:sz w:val="21"/>
          <w:szCs w:val="21"/>
        </w:rPr>
        <w:t>MDBs</w:t>
      </w:r>
      <w:r w:rsidR="003264AA" w:rsidRPr="003E18AD">
        <w:rPr>
          <w:sz w:val="21"/>
          <w:szCs w:val="21"/>
        </w:rPr>
        <w:t xml:space="preserve"> </w:t>
      </w:r>
      <w:r w:rsidR="00E452E0" w:rsidRPr="003E18AD">
        <w:rPr>
          <w:sz w:val="21"/>
          <w:szCs w:val="21"/>
        </w:rPr>
        <w:t xml:space="preserve">and </w:t>
      </w:r>
      <w:r w:rsidR="003264AA">
        <w:rPr>
          <w:sz w:val="21"/>
          <w:szCs w:val="21"/>
        </w:rPr>
        <w:t>DFIs</w:t>
      </w:r>
    </w:p>
    <w:p w14:paraId="4E70D435" w14:textId="77F06086" w:rsidR="00286EDE" w:rsidRPr="00A0534D" w:rsidRDefault="00286EDE" w:rsidP="00686269">
      <w:pPr>
        <w:pStyle w:val="Bullet2"/>
        <w:numPr>
          <w:ilvl w:val="1"/>
          <w:numId w:val="72"/>
        </w:numPr>
        <w:rPr>
          <w:sz w:val="21"/>
          <w:szCs w:val="21"/>
        </w:rPr>
      </w:pPr>
      <w:r w:rsidRPr="00A0534D">
        <w:rPr>
          <w:sz w:val="21"/>
          <w:szCs w:val="21"/>
        </w:rPr>
        <w:t xml:space="preserve">Stakeholder coalitions promote policy and regulatory reform that </w:t>
      </w:r>
      <w:r w:rsidR="00151AFF" w:rsidRPr="00A0534D">
        <w:rPr>
          <w:sz w:val="21"/>
          <w:szCs w:val="21"/>
        </w:rPr>
        <w:t xml:space="preserve">is inclusive, </w:t>
      </w:r>
      <w:r w:rsidRPr="00A0534D">
        <w:rPr>
          <w:sz w:val="21"/>
          <w:szCs w:val="21"/>
        </w:rPr>
        <w:t>responds to market interests</w:t>
      </w:r>
      <w:r w:rsidR="001C531D" w:rsidRPr="00A0534D">
        <w:rPr>
          <w:sz w:val="21"/>
          <w:szCs w:val="21"/>
        </w:rPr>
        <w:t xml:space="preserve">, </w:t>
      </w:r>
      <w:r w:rsidR="007B4B2D" w:rsidRPr="00A0534D">
        <w:rPr>
          <w:sz w:val="21"/>
          <w:szCs w:val="21"/>
        </w:rPr>
        <w:t xml:space="preserve">and </w:t>
      </w:r>
      <w:r w:rsidR="001C531D" w:rsidRPr="00A0534D">
        <w:rPr>
          <w:sz w:val="21"/>
          <w:szCs w:val="21"/>
        </w:rPr>
        <w:t>promotes</w:t>
      </w:r>
      <w:r w:rsidR="007B4B2D" w:rsidRPr="00A0534D">
        <w:rPr>
          <w:sz w:val="21"/>
          <w:szCs w:val="21"/>
        </w:rPr>
        <w:t xml:space="preserve"> green growth</w:t>
      </w:r>
      <w:r w:rsidRPr="00A0534D">
        <w:rPr>
          <w:sz w:val="21"/>
          <w:szCs w:val="21"/>
        </w:rPr>
        <w:t>.</w:t>
      </w:r>
    </w:p>
    <w:p w14:paraId="124FC44D" w14:textId="677C9159" w:rsidR="00E452E0" w:rsidRPr="003E18AD" w:rsidRDefault="004A1A89" w:rsidP="00686269">
      <w:pPr>
        <w:pStyle w:val="ListParagraph"/>
        <w:numPr>
          <w:ilvl w:val="1"/>
          <w:numId w:val="14"/>
        </w:numPr>
        <w:spacing w:before="0"/>
        <w:ind w:left="1071" w:hanging="357"/>
        <w:contextualSpacing w:val="0"/>
        <w:rPr>
          <w:sz w:val="21"/>
          <w:szCs w:val="21"/>
        </w:rPr>
      </w:pPr>
      <w:r>
        <w:rPr>
          <w:sz w:val="21"/>
          <w:szCs w:val="21"/>
        </w:rPr>
        <w:t xml:space="preserve">Led by </w:t>
      </w:r>
      <w:r w:rsidR="00E452E0" w:rsidRPr="0CBA0F42">
        <w:rPr>
          <w:sz w:val="21"/>
          <w:szCs w:val="21"/>
        </w:rPr>
        <w:t>Primary Contractor</w:t>
      </w:r>
    </w:p>
    <w:p w14:paraId="54E05CF4" w14:textId="3BEE0841" w:rsidR="00F43C67" w:rsidRPr="003E18AD" w:rsidRDefault="00F43C67" w:rsidP="00B53FC3">
      <w:pPr>
        <w:rPr>
          <w:sz w:val="21"/>
          <w:szCs w:val="21"/>
        </w:rPr>
      </w:pPr>
      <w:bookmarkStart w:id="279" w:name="_Toc216260377"/>
      <w:bookmarkStart w:id="280" w:name="_Toc216264092"/>
      <w:bookmarkStart w:id="281" w:name="_Toc216269940"/>
      <w:bookmarkStart w:id="282" w:name="_Toc216270639"/>
      <w:r w:rsidRPr="00A0534D">
        <w:rPr>
          <w:rStyle w:val="Heading3Char"/>
        </w:rPr>
        <w:t xml:space="preserve">The </w:t>
      </w:r>
      <w:r w:rsidR="00151AFF" w:rsidRPr="00A0534D">
        <w:rPr>
          <w:rStyle w:val="Heading3Char"/>
        </w:rPr>
        <w:t>tw</w:t>
      </w:r>
      <w:r w:rsidR="00290210" w:rsidRPr="00A0534D">
        <w:rPr>
          <w:rStyle w:val="Heading3Char"/>
        </w:rPr>
        <w:t>o</w:t>
      </w:r>
      <w:r w:rsidR="00151AFF" w:rsidRPr="00A0534D">
        <w:rPr>
          <w:rStyle w:val="Heading3Char"/>
        </w:rPr>
        <w:t xml:space="preserve"> </w:t>
      </w:r>
      <w:r w:rsidRPr="00A0534D">
        <w:rPr>
          <w:rStyle w:val="Heading3Char"/>
        </w:rPr>
        <w:t>cross-cutting themes</w:t>
      </w:r>
      <w:bookmarkEnd w:id="279"/>
      <w:bookmarkEnd w:id="280"/>
      <w:bookmarkEnd w:id="281"/>
      <w:bookmarkEnd w:id="282"/>
      <w:r w:rsidRPr="00A0534D">
        <w:rPr>
          <w:rStyle w:val="Heading3Char"/>
        </w:rPr>
        <w:t xml:space="preserve"> </w:t>
      </w:r>
      <w:r w:rsidRPr="003E18AD">
        <w:rPr>
          <w:sz w:val="21"/>
          <w:szCs w:val="21"/>
        </w:rPr>
        <w:t>will be implemented in common by all Delivery Partners.</w:t>
      </w:r>
      <w:r w:rsidR="00C92510" w:rsidRPr="003E18AD">
        <w:rPr>
          <w:sz w:val="21"/>
          <w:szCs w:val="21"/>
        </w:rPr>
        <w:t xml:space="preserve"> </w:t>
      </w:r>
      <w:r w:rsidRPr="003E18AD">
        <w:rPr>
          <w:sz w:val="21"/>
          <w:szCs w:val="21"/>
        </w:rPr>
        <w:t>While they are fully integrated into the Program Logic, they also have distinctive implementation arrangements that complement the integrated effort on the three focus sectors.</w:t>
      </w:r>
      <w:r w:rsidR="00C92510" w:rsidRPr="003E18AD">
        <w:rPr>
          <w:sz w:val="21"/>
          <w:szCs w:val="21"/>
        </w:rPr>
        <w:t xml:space="preserve"> </w:t>
      </w:r>
      <w:r w:rsidRPr="003E18AD">
        <w:rPr>
          <w:sz w:val="21"/>
          <w:szCs w:val="21"/>
        </w:rPr>
        <w:t xml:space="preserve">The </w:t>
      </w:r>
      <w:r w:rsidR="00290210">
        <w:rPr>
          <w:sz w:val="21"/>
          <w:szCs w:val="21"/>
        </w:rPr>
        <w:t>two</w:t>
      </w:r>
      <w:r w:rsidR="00290210" w:rsidRPr="003E18AD">
        <w:rPr>
          <w:sz w:val="21"/>
          <w:szCs w:val="21"/>
        </w:rPr>
        <w:t xml:space="preserve"> </w:t>
      </w:r>
      <w:r w:rsidR="00290210">
        <w:rPr>
          <w:sz w:val="21"/>
          <w:szCs w:val="21"/>
        </w:rPr>
        <w:t>t</w:t>
      </w:r>
      <w:r w:rsidRPr="003E18AD">
        <w:rPr>
          <w:sz w:val="21"/>
          <w:szCs w:val="21"/>
        </w:rPr>
        <w:t>hemes are:</w:t>
      </w:r>
    </w:p>
    <w:p w14:paraId="79593E5F" w14:textId="0C1E2966" w:rsidR="00F43C67" w:rsidRPr="003E18AD" w:rsidRDefault="00F43C67" w:rsidP="00686269">
      <w:pPr>
        <w:pStyle w:val="ListParagraph"/>
        <w:numPr>
          <w:ilvl w:val="0"/>
          <w:numId w:val="67"/>
        </w:numPr>
        <w:spacing w:before="0"/>
        <w:contextualSpacing w:val="0"/>
        <w:rPr>
          <w:sz w:val="21"/>
          <w:szCs w:val="21"/>
        </w:rPr>
      </w:pPr>
      <w:bookmarkStart w:id="283" w:name="_Toc216260378"/>
      <w:bookmarkStart w:id="284" w:name="_Toc216264093"/>
      <w:bookmarkStart w:id="285" w:name="_Toc216269941"/>
      <w:bookmarkStart w:id="286" w:name="_Toc216270640"/>
      <w:r w:rsidRPr="00A0534D">
        <w:rPr>
          <w:rStyle w:val="Heading3Char"/>
        </w:rPr>
        <w:t>Gender</w:t>
      </w:r>
      <w:r w:rsidR="0064662C" w:rsidRPr="00A0534D">
        <w:rPr>
          <w:rStyle w:val="Heading3Char"/>
        </w:rPr>
        <w:t xml:space="preserve">, </w:t>
      </w:r>
      <w:r w:rsidRPr="00A0534D">
        <w:rPr>
          <w:rStyle w:val="Heading3Char"/>
        </w:rPr>
        <w:t>Disability</w:t>
      </w:r>
      <w:r w:rsidR="0064662C" w:rsidRPr="00A0534D">
        <w:rPr>
          <w:rStyle w:val="Heading3Char"/>
        </w:rPr>
        <w:t xml:space="preserve"> and Social Inclusion</w:t>
      </w:r>
      <w:r w:rsidRPr="00A0534D">
        <w:rPr>
          <w:rStyle w:val="Heading3Char"/>
        </w:rPr>
        <w:t>:</w:t>
      </w:r>
      <w:bookmarkEnd w:id="283"/>
      <w:bookmarkEnd w:id="284"/>
      <w:bookmarkEnd w:id="285"/>
      <w:bookmarkEnd w:id="286"/>
      <w:r w:rsidRPr="003E18AD">
        <w:rPr>
          <w:sz w:val="21"/>
          <w:szCs w:val="21"/>
        </w:rPr>
        <w:t xml:space="preserve"> In addition to the efforts on community participation across the infrastructure eco-system, there will be a grants scheme implemented by a Lead NGO reporting to the Primary Contractor </w:t>
      </w:r>
      <w:proofErr w:type="gramStart"/>
      <w:r w:rsidRPr="003E18AD">
        <w:rPr>
          <w:sz w:val="21"/>
          <w:szCs w:val="21"/>
        </w:rPr>
        <w:t>in order to</w:t>
      </w:r>
      <w:proofErr w:type="gramEnd"/>
      <w:r w:rsidRPr="003E18AD">
        <w:rPr>
          <w:sz w:val="21"/>
          <w:szCs w:val="21"/>
        </w:rPr>
        <w:t xml:space="preserve"> complement and progress a transformative </w:t>
      </w:r>
      <w:r w:rsidR="0064662C">
        <w:rPr>
          <w:sz w:val="21"/>
          <w:szCs w:val="21"/>
        </w:rPr>
        <w:t xml:space="preserve">GEDSI </w:t>
      </w:r>
      <w:r w:rsidRPr="003E18AD">
        <w:rPr>
          <w:sz w:val="21"/>
          <w:szCs w:val="21"/>
        </w:rPr>
        <w:t>approach.</w:t>
      </w:r>
      <w:r w:rsidR="00C92510" w:rsidRPr="003E18AD">
        <w:rPr>
          <w:sz w:val="21"/>
          <w:szCs w:val="21"/>
        </w:rPr>
        <w:t xml:space="preserve"> </w:t>
      </w:r>
    </w:p>
    <w:p w14:paraId="27A28B6D" w14:textId="05B6E604" w:rsidR="00F43C67" w:rsidRPr="003E18AD" w:rsidRDefault="00F43C67" w:rsidP="00686269">
      <w:pPr>
        <w:pStyle w:val="ListParagraph"/>
        <w:numPr>
          <w:ilvl w:val="0"/>
          <w:numId w:val="67"/>
        </w:numPr>
        <w:rPr>
          <w:sz w:val="21"/>
          <w:szCs w:val="21"/>
        </w:rPr>
      </w:pPr>
      <w:bookmarkStart w:id="287" w:name="_Toc216260379"/>
      <w:bookmarkStart w:id="288" w:name="_Toc216264094"/>
      <w:bookmarkStart w:id="289" w:name="_Toc216269942"/>
      <w:bookmarkStart w:id="290" w:name="_Toc216270641"/>
      <w:r w:rsidRPr="00A0534D">
        <w:rPr>
          <w:rStyle w:val="Heading3Char"/>
        </w:rPr>
        <w:t xml:space="preserve">Automation and </w:t>
      </w:r>
      <w:r w:rsidR="0064662C" w:rsidRPr="00A0534D">
        <w:rPr>
          <w:rStyle w:val="Heading3Char"/>
        </w:rPr>
        <w:t>digitalisation</w:t>
      </w:r>
      <w:r w:rsidRPr="00A0534D">
        <w:rPr>
          <w:rStyle w:val="Heading3Char"/>
        </w:rPr>
        <w:t xml:space="preserve"> (including AI):</w:t>
      </w:r>
      <w:bookmarkEnd w:id="287"/>
      <w:bookmarkEnd w:id="288"/>
      <w:bookmarkEnd w:id="289"/>
      <w:bookmarkEnd w:id="290"/>
      <w:r w:rsidRPr="003E18AD">
        <w:rPr>
          <w:b/>
          <w:bCs/>
          <w:sz w:val="21"/>
          <w:szCs w:val="21"/>
        </w:rPr>
        <w:t xml:space="preserve"> </w:t>
      </w:r>
      <w:r w:rsidR="008B2CEB" w:rsidRPr="003E18AD">
        <w:rPr>
          <w:sz w:val="21"/>
          <w:szCs w:val="21"/>
        </w:rPr>
        <w:t>A complementary body of work</w:t>
      </w:r>
      <w:r w:rsidR="0064662C">
        <w:rPr>
          <w:sz w:val="21"/>
          <w:szCs w:val="21"/>
        </w:rPr>
        <w:t xml:space="preserve"> focused</w:t>
      </w:r>
      <w:r w:rsidR="008B2CEB" w:rsidRPr="003E18AD">
        <w:rPr>
          <w:sz w:val="21"/>
          <w:szCs w:val="21"/>
        </w:rPr>
        <w:t xml:space="preserve"> on digitalisation </w:t>
      </w:r>
      <w:r w:rsidR="0064662C">
        <w:rPr>
          <w:sz w:val="21"/>
          <w:szCs w:val="21"/>
        </w:rPr>
        <w:t xml:space="preserve">as a primary objective </w:t>
      </w:r>
      <w:r w:rsidR="008B2CEB" w:rsidRPr="003E18AD">
        <w:rPr>
          <w:sz w:val="21"/>
          <w:szCs w:val="21"/>
        </w:rPr>
        <w:t>will complement the efforts of all Delivery Partners</w:t>
      </w:r>
      <w:r w:rsidR="0064662C">
        <w:rPr>
          <w:sz w:val="21"/>
          <w:szCs w:val="21"/>
        </w:rPr>
        <w:t xml:space="preserve"> to integrate this as a cross-cutting theme </w:t>
      </w:r>
      <w:r w:rsidR="00C665D4">
        <w:rPr>
          <w:sz w:val="21"/>
          <w:szCs w:val="21"/>
        </w:rPr>
        <w:t>across the portfolio</w:t>
      </w:r>
      <w:r w:rsidR="008B2CEB" w:rsidRPr="003E18AD">
        <w:rPr>
          <w:sz w:val="21"/>
          <w:szCs w:val="21"/>
        </w:rPr>
        <w:t xml:space="preserve">. </w:t>
      </w:r>
    </w:p>
    <w:p w14:paraId="40DF9BF4" w14:textId="047C87BE" w:rsidR="00F43C67" w:rsidRPr="003E18AD" w:rsidRDefault="008B2CEB" w:rsidP="00B53FC3">
      <w:pPr>
        <w:rPr>
          <w:sz w:val="21"/>
          <w:szCs w:val="21"/>
        </w:rPr>
      </w:pPr>
      <w:r w:rsidRPr="003E18AD">
        <w:rPr>
          <w:sz w:val="21"/>
          <w:szCs w:val="21"/>
        </w:rPr>
        <w:t xml:space="preserve">Each of these </w:t>
      </w:r>
      <w:r w:rsidR="00807598">
        <w:rPr>
          <w:sz w:val="21"/>
          <w:szCs w:val="21"/>
        </w:rPr>
        <w:t>t</w:t>
      </w:r>
      <w:r w:rsidRPr="003E18AD">
        <w:rPr>
          <w:sz w:val="21"/>
          <w:szCs w:val="21"/>
        </w:rPr>
        <w:t xml:space="preserve">hematic areas will have a lead specialist embedded in the Primary Contractor, a separate budget allocation, </w:t>
      </w:r>
      <w:r w:rsidR="00C665D4">
        <w:rPr>
          <w:sz w:val="21"/>
          <w:szCs w:val="21"/>
        </w:rPr>
        <w:t xml:space="preserve">and </w:t>
      </w:r>
      <w:r w:rsidRPr="003E18AD">
        <w:rPr>
          <w:sz w:val="21"/>
          <w:szCs w:val="21"/>
        </w:rPr>
        <w:t xml:space="preserve">an Engagement Framework to be used as the basis for a baseline, </w:t>
      </w:r>
      <w:r w:rsidR="00C665D4">
        <w:rPr>
          <w:sz w:val="21"/>
          <w:szCs w:val="21"/>
        </w:rPr>
        <w:t xml:space="preserve">targets, </w:t>
      </w:r>
      <w:r w:rsidRPr="003E18AD">
        <w:rPr>
          <w:sz w:val="21"/>
          <w:szCs w:val="21"/>
        </w:rPr>
        <w:t xml:space="preserve">ongoing reporting, and analysis (included in the MERL Framework). </w:t>
      </w:r>
    </w:p>
    <w:p w14:paraId="1C31B159" w14:textId="6526C64D" w:rsidR="00B53FC3" w:rsidRPr="00DE6E2B" w:rsidRDefault="00B53FC3" w:rsidP="00B53FC3">
      <w:pPr>
        <w:rPr>
          <w:b/>
          <w:bCs/>
          <w:sz w:val="21"/>
          <w:szCs w:val="21"/>
        </w:rPr>
      </w:pPr>
      <w:bookmarkStart w:id="291" w:name="_Toc216260380"/>
      <w:bookmarkStart w:id="292" w:name="_Toc216264095"/>
      <w:bookmarkStart w:id="293" w:name="_Toc216269943"/>
      <w:bookmarkStart w:id="294" w:name="_Toc216270642"/>
      <w:r w:rsidRPr="00A0534D">
        <w:rPr>
          <w:rStyle w:val="Heading3Char"/>
        </w:rPr>
        <w:t>The Intermediate Outcomes of the program</w:t>
      </w:r>
      <w:bookmarkEnd w:id="291"/>
      <w:bookmarkEnd w:id="292"/>
      <w:bookmarkEnd w:id="293"/>
      <w:bookmarkEnd w:id="294"/>
      <w:r w:rsidRPr="00DE6E2B">
        <w:rPr>
          <w:sz w:val="21"/>
          <w:szCs w:val="21"/>
        </w:rPr>
        <w:t xml:space="preserve"> represent the system-wide changes necessary to achieve </w:t>
      </w:r>
      <w:proofErr w:type="gramStart"/>
      <w:r w:rsidRPr="00DE6E2B">
        <w:rPr>
          <w:sz w:val="21"/>
          <w:szCs w:val="21"/>
        </w:rPr>
        <w:t>medium and longer term</w:t>
      </w:r>
      <w:proofErr w:type="gramEnd"/>
      <w:r w:rsidRPr="00DE6E2B">
        <w:rPr>
          <w:sz w:val="21"/>
          <w:szCs w:val="21"/>
        </w:rPr>
        <w:t xml:space="preserve"> impacts.</w:t>
      </w:r>
      <w:r w:rsidR="00C92510" w:rsidRPr="00DE6E2B">
        <w:rPr>
          <w:sz w:val="21"/>
          <w:szCs w:val="21"/>
        </w:rPr>
        <w:t xml:space="preserve"> </w:t>
      </w:r>
      <w:r w:rsidRPr="00DE6E2B">
        <w:rPr>
          <w:sz w:val="21"/>
          <w:szCs w:val="21"/>
        </w:rPr>
        <w:t>They include</w:t>
      </w:r>
      <w:r w:rsidRPr="00DE6E2B">
        <w:rPr>
          <w:b/>
          <w:bCs/>
          <w:sz w:val="21"/>
          <w:szCs w:val="21"/>
        </w:rPr>
        <w:t xml:space="preserve">: </w:t>
      </w:r>
    </w:p>
    <w:p w14:paraId="218A8C26" w14:textId="5993D8EC" w:rsidR="00276F58" w:rsidRPr="00DE6E2B" w:rsidRDefault="00EB1EBC" w:rsidP="00686269">
      <w:pPr>
        <w:pStyle w:val="Bullet2"/>
        <w:numPr>
          <w:ilvl w:val="1"/>
          <w:numId w:val="68"/>
        </w:numPr>
        <w:rPr>
          <w:sz w:val="21"/>
          <w:szCs w:val="21"/>
        </w:rPr>
      </w:pPr>
      <w:r w:rsidRPr="00DE6E2B">
        <w:rPr>
          <w:sz w:val="21"/>
          <w:szCs w:val="21"/>
        </w:rPr>
        <w:t xml:space="preserve">Indonesia's policy and regulatory environment </w:t>
      </w:r>
      <w:proofErr w:type="gramStart"/>
      <w:r w:rsidRPr="00DE6E2B">
        <w:rPr>
          <w:sz w:val="21"/>
          <w:szCs w:val="21"/>
        </w:rPr>
        <w:t>promotes</w:t>
      </w:r>
      <w:proofErr w:type="gramEnd"/>
      <w:r w:rsidR="00CE38D5" w:rsidRPr="00DE6E2B">
        <w:rPr>
          <w:sz w:val="21"/>
          <w:szCs w:val="21"/>
        </w:rPr>
        <w:t xml:space="preserve"> low emissions and</w:t>
      </w:r>
      <w:r w:rsidRPr="00DE6E2B">
        <w:rPr>
          <w:sz w:val="21"/>
          <w:szCs w:val="21"/>
        </w:rPr>
        <w:t xml:space="preserve"> climate</w:t>
      </w:r>
      <w:r w:rsidR="000676DE" w:rsidRPr="00DE6E2B">
        <w:rPr>
          <w:sz w:val="21"/>
          <w:szCs w:val="21"/>
        </w:rPr>
        <w:t xml:space="preserve"> and disaster</w:t>
      </w:r>
      <w:r w:rsidRPr="00DE6E2B">
        <w:rPr>
          <w:sz w:val="21"/>
          <w:szCs w:val="21"/>
        </w:rPr>
        <w:t>-resilient development with bankable projects</w:t>
      </w:r>
      <w:r w:rsidRPr="00DE6E2B">
        <w:rPr>
          <w:b/>
          <w:bCs/>
          <w:sz w:val="21"/>
          <w:szCs w:val="21"/>
        </w:rPr>
        <w:t xml:space="preserve"> </w:t>
      </w:r>
      <w:r w:rsidRPr="00DE6E2B">
        <w:rPr>
          <w:sz w:val="21"/>
          <w:szCs w:val="21"/>
        </w:rPr>
        <w:t>that are increasingly attractive to investors</w:t>
      </w:r>
      <w:r w:rsidR="00276F58" w:rsidRPr="00DE6E2B">
        <w:rPr>
          <w:sz w:val="21"/>
          <w:szCs w:val="21"/>
        </w:rPr>
        <w:t>.</w:t>
      </w:r>
    </w:p>
    <w:p w14:paraId="36820883" w14:textId="78A8A045" w:rsidR="00B53FC3" w:rsidRPr="00DE6E2B" w:rsidRDefault="00804EBB" w:rsidP="00686269">
      <w:pPr>
        <w:pStyle w:val="Bullet2"/>
        <w:numPr>
          <w:ilvl w:val="1"/>
          <w:numId w:val="68"/>
        </w:numPr>
        <w:rPr>
          <w:sz w:val="21"/>
          <w:szCs w:val="21"/>
        </w:rPr>
      </w:pPr>
      <w:r w:rsidRPr="00DE6E2B">
        <w:rPr>
          <w:sz w:val="21"/>
          <w:szCs w:val="21"/>
        </w:rPr>
        <w:t xml:space="preserve">Stakeholder organisations incorporate transformative gender </w:t>
      </w:r>
      <w:r w:rsidR="002577F5" w:rsidRPr="00DE6E2B">
        <w:rPr>
          <w:sz w:val="21"/>
          <w:szCs w:val="21"/>
        </w:rPr>
        <w:t>and</w:t>
      </w:r>
      <w:r w:rsidR="00C334BA" w:rsidRPr="00DE6E2B">
        <w:rPr>
          <w:sz w:val="21"/>
          <w:szCs w:val="21"/>
        </w:rPr>
        <w:t xml:space="preserve"> disability</w:t>
      </w:r>
      <w:r w:rsidR="002577F5" w:rsidRPr="00DE6E2B">
        <w:rPr>
          <w:sz w:val="21"/>
          <w:szCs w:val="21"/>
        </w:rPr>
        <w:t xml:space="preserve"> inclusion </w:t>
      </w:r>
      <w:r w:rsidRPr="00DE6E2B">
        <w:rPr>
          <w:sz w:val="21"/>
          <w:szCs w:val="21"/>
        </w:rPr>
        <w:t>practices</w:t>
      </w:r>
      <w:r w:rsidR="00C92510" w:rsidRPr="00DE6E2B">
        <w:rPr>
          <w:b/>
          <w:bCs/>
          <w:sz w:val="21"/>
          <w:szCs w:val="21"/>
        </w:rPr>
        <w:t xml:space="preserve"> </w:t>
      </w:r>
      <w:r w:rsidRPr="00DE6E2B">
        <w:rPr>
          <w:sz w:val="21"/>
          <w:szCs w:val="21"/>
        </w:rPr>
        <w:t>in climate-resilient and infrastructure development planning</w:t>
      </w:r>
      <w:r w:rsidR="00992F68" w:rsidRPr="00DE6E2B">
        <w:rPr>
          <w:sz w:val="21"/>
          <w:szCs w:val="21"/>
        </w:rPr>
        <w:t>, financing, and delivery</w:t>
      </w:r>
      <w:r w:rsidR="00B53FC3" w:rsidRPr="00DE6E2B">
        <w:rPr>
          <w:sz w:val="21"/>
          <w:szCs w:val="21"/>
        </w:rPr>
        <w:t>.</w:t>
      </w:r>
      <w:r w:rsidR="00C92510" w:rsidRPr="00DE6E2B">
        <w:rPr>
          <w:sz w:val="21"/>
          <w:szCs w:val="21"/>
        </w:rPr>
        <w:t xml:space="preserve"> </w:t>
      </w:r>
    </w:p>
    <w:p w14:paraId="358D68E6" w14:textId="7936CE0D" w:rsidR="00B53FC3" w:rsidRPr="00DE6E2B" w:rsidRDefault="00B53FC3" w:rsidP="00686269">
      <w:pPr>
        <w:pStyle w:val="Bullet2"/>
        <w:numPr>
          <w:ilvl w:val="1"/>
          <w:numId w:val="68"/>
        </w:numPr>
        <w:rPr>
          <w:sz w:val="21"/>
          <w:szCs w:val="21"/>
        </w:rPr>
      </w:pPr>
      <w:r w:rsidRPr="00DE6E2B">
        <w:rPr>
          <w:sz w:val="21"/>
          <w:szCs w:val="21"/>
        </w:rPr>
        <w:t>Indonesian agencies and the private sector increase use of digital technology and automation (including artificial intelligence)</w:t>
      </w:r>
      <w:r w:rsidR="00010BE1" w:rsidRPr="00DE6E2B">
        <w:rPr>
          <w:sz w:val="21"/>
          <w:szCs w:val="21"/>
        </w:rPr>
        <w:t xml:space="preserve"> in infrastructure and climate resilient development</w:t>
      </w:r>
      <w:r w:rsidRPr="00DE6E2B">
        <w:rPr>
          <w:sz w:val="21"/>
          <w:szCs w:val="21"/>
        </w:rPr>
        <w:t xml:space="preserve">. </w:t>
      </w:r>
    </w:p>
    <w:p w14:paraId="0CFE1B32" w14:textId="2E907058" w:rsidR="00B53FC3" w:rsidRPr="00DE6E2B" w:rsidRDefault="004A7988" w:rsidP="00686269">
      <w:pPr>
        <w:pStyle w:val="Bullet2"/>
        <w:numPr>
          <w:ilvl w:val="1"/>
          <w:numId w:val="68"/>
        </w:numPr>
        <w:rPr>
          <w:sz w:val="21"/>
          <w:szCs w:val="21"/>
        </w:rPr>
      </w:pPr>
      <w:r w:rsidRPr="00DE6E2B">
        <w:rPr>
          <w:sz w:val="21"/>
          <w:szCs w:val="21"/>
        </w:rPr>
        <w:t>F</w:t>
      </w:r>
      <w:r w:rsidR="00D36CF0" w:rsidRPr="00DE6E2B">
        <w:rPr>
          <w:sz w:val="21"/>
          <w:szCs w:val="21"/>
        </w:rPr>
        <w:t>inancial and capital markets</w:t>
      </w:r>
      <w:r w:rsidR="001A1256" w:rsidRPr="00DE6E2B">
        <w:rPr>
          <w:sz w:val="21"/>
          <w:szCs w:val="21"/>
        </w:rPr>
        <w:t xml:space="preserve"> </w:t>
      </w:r>
      <w:r w:rsidRPr="00DE6E2B">
        <w:rPr>
          <w:rStyle w:val="FootnoteReference"/>
          <w:sz w:val="21"/>
          <w:szCs w:val="21"/>
        </w:rPr>
        <w:footnoteReference w:id="9"/>
      </w:r>
      <w:r w:rsidR="001A1256" w:rsidRPr="00DE6E2B">
        <w:rPr>
          <w:sz w:val="21"/>
          <w:szCs w:val="21"/>
        </w:rPr>
        <w:t xml:space="preserve">catalyse investment in </w:t>
      </w:r>
      <w:r w:rsidR="00F222A7" w:rsidRPr="00DE6E2B">
        <w:rPr>
          <w:sz w:val="21"/>
          <w:szCs w:val="21"/>
        </w:rPr>
        <w:t xml:space="preserve">inclusive </w:t>
      </w:r>
      <w:r w:rsidR="001A1256" w:rsidRPr="00DE6E2B">
        <w:rPr>
          <w:sz w:val="21"/>
          <w:szCs w:val="21"/>
        </w:rPr>
        <w:t>green growth by responding</w:t>
      </w:r>
      <w:r w:rsidR="00A74843" w:rsidRPr="00DE6E2B">
        <w:rPr>
          <w:sz w:val="21"/>
          <w:szCs w:val="21"/>
        </w:rPr>
        <w:t xml:space="preserve"> to</w:t>
      </w:r>
      <w:r w:rsidR="001A1256" w:rsidRPr="00DE6E2B">
        <w:rPr>
          <w:sz w:val="21"/>
          <w:szCs w:val="21"/>
        </w:rPr>
        <w:t xml:space="preserve"> innovative, </w:t>
      </w:r>
      <w:r w:rsidR="00A74843" w:rsidRPr="00DE6E2B">
        <w:rPr>
          <w:sz w:val="21"/>
          <w:szCs w:val="21"/>
        </w:rPr>
        <w:t>sustainable</w:t>
      </w:r>
      <w:r w:rsidR="001A1256" w:rsidRPr="00DE6E2B">
        <w:rPr>
          <w:sz w:val="21"/>
          <w:szCs w:val="21"/>
        </w:rPr>
        <w:t xml:space="preserve"> and climate finance opportunities</w:t>
      </w:r>
      <w:r w:rsidR="00B53FC3" w:rsidRPr="00DE6E2B">
        <w:rPr>
          <w:sz w:val="21"/>
          <w:szCs w:val="21"/>
        </w:rPr>
        <w:t>.</w:t>
      </w:r>
    </w:p>
    <w:p w14:paraId="0B660643" w14:textId="77777777" w:rsidR="00B53FC3" w:rsidRPr="00DE6E2B" w:rsidRDefault="00B53FC3" w:rsidP="00686269">
      <w:pPr>
        <w:pStyle w:val="Bullet2"/>
        <w:numPr>
          <w:ilvl w:val="1"/>
          <w:numId w:val="68"/>
        </w:numPr>
        <w:rPr>
          <w:sz w:val="21"/>
          <w:szCs w:val="21"/>
        </w:rPr>
      </w:pPr>
      <w:r w:rsidRPr="00DE6E2B">
        <w:rPr>
          <w:sz w:val="21"/>
          <w:szCs w:val="21"/>
        </w:rPr>
        <w:t>Australia and Indonesia’s bilateral partnership supports a transition from ODA grants-based mechanisms to alternative development financing.</w:t>
      </w:r>
    </w:p>
    <w:p w14:paraId="37BB0168" w14:textId="328FAD63" w:rsidR="00B53FC3" w:rsidRDefault="00B53FC3" w:rsidP="00B53FC3">
      <w:pPr>
        <w:rPr>
          <w:sz w:val="21"/>
          <w:szCs w:val="21"/>
        </w:rPr>
      </w:pPr>
      <w:r w:rsidRPr="003E18AD">
        <w:rPr>
          <w:sz w:val="21"/>
          <w:szCs w:val="21"/>
        </w:rPr>
        <w:t>The Primary Contractor will establish a portfolio-wide MERL system to analyse the progress and status of these IOs over time.</w:t>
      </w:r>
    </w:p>
    <w:p w14:paraId="2ACDBA5F" w14:textId="0FC5AE3F" w:rsidR="003712DA" w:rsidRDefault="00ED0790" w:rsidP="00C460AB">
      <w:pPr>
        <w:spacing w:before="0"/>
        <w:rPr>
          <w:sz w:val="21"/>
          <w:szCs w:val="21"/>
        </w:rPr>
      </w:pPr>
      <w:bookmarkStart w:id="295" w:name="_Toc216260381"/>
      <w:bookmarkStart w:id="296" w:name="_Toc216264096"/>
      <w:bookmarkStart w:id="297" w:name="_Toc216269944"/>
      <w:bookmarkStart w:id="298" w:name="_Toc216270643"/>
      <w:r w:rsidRPr="00A0534D">
        <w:rPr>
          <w:rStyle w:val="Heading3Char"/>
        </w:rPr>
        <w:t>Sector Engagement Strategies</w:t>
      </w:r>
      <w:bookmarkEnd w:id="295"/>
      <w:bookmarkEnd w:id="296"/>
      <w:bookmarkEnd w:id="297"/>
      <w:bookmarkEnd w:id="298"/>
      <w:r>
        <w:rPr>
          <w:sz w:val="21"/>
          <w:szCs w:val="21"/>
        </w:rPr>
        <w:t xml:space="preserve"> will be developed for the three focus sectors</w:t>
      </w:r>
      <w:r w:rsidR="003712DA">
        <w:rPr>
          <w:sz w:val="21"/>
          <w:szCs w:val="21"/>
        </w:rPr>
        <w:t xml:space="preserve">. </w:t>
      </w:r>
      <w:r>
        <w:rPr>
          <w:sz w:val="21"/>
          <w:szCs w:val="21"/>
        </w:rPr>
        <w:t>These strategies will have a specific program logic identifying key entry points and strategies for change, as well as expected outcomes and results, linked to the program-wide logic Ou</w:t>
      </w:r>
      <w:r w:rsidR="003712DA">
        <w:rPr>
          <w:sz w:val="21"/>
          <w:szCs w:val="21"/>
        </w:rPr>
        <w:t>t</w:t>
      </w:r>
      <w:r>
        <w:rPr>
          <w:sz w:val="21"/>
          <w:szCs w:val="21"/>
        </w:rPr>
        <w:t xml:space="preserve">puts and Intermediate Outcomes.  </w:t>
      </w:r>
    </w:p>
    <w:p w14:paraId="0EEA55FC" w14:textId="0D93ABDE" w:rsidR="00ED0790" w:rsidRDefault="00ED0790" w:rsidP="00B53FC3">
      <w:pPr>
        <w:rPr>
          <w:sz w:val="21"/>
          <w:szCs w:val="21"/>
        </w:rPr>
      </w:pPr>
      <w:r>
        <w:rPr>
          <w:sz w:val="21"/>
          <w:szCs w:val="21"/>
        </w:rPr>
        <w:lastRenderedPageBreak/>
        <w:t xml:space="preserve">This is represented in the summary Program Logic by </w:t>
      </w:r>
      <w:r w:rsidR="005B4D33">
        <w:rPr>
          <w:sz w:val="21"/>
          <w:szCs w:val="21"/>
        </w:rPr>
        <w:t xml:space="preserve">process and </w:t>
      </w:r>
      <w:r>
        <w:rPr>
          <w:sz w:val="21"/>
          <w:szCs w:val="21"/>
        </w:rPr>
        <w:t>sector outcomes linked to the R</w:t>
      </w:r>
      <w:r w:rsidR="00D358A9">
        <w:rPr>
          <w:sz w:val="21"/>
          <w:szCs w:val="21"/>
        </w:rPr>
        <w:t>P</w:t>
      </w:r>
      <w:r>
        <w:rPr>
          <w:sz w:val="21"/>
          <w:szCs w:val="21"/>
        </w:rPr>
        <w:t>JMN (National Medium Term Development Plan):</w:t>
      </w:r>
    </w:p>
    <w:p w14:paraId="53C092F1" w14:textId="354D9130" w:rsidR="00ED0790" w:rsidRPr="0010181F" w:rsidRDefault="00ED0790" w:rsidP="00686269">
      <w:pPr>
        <w:pStyle w:val="ListParagraph"/>
        <w:numPr>
          <w:ilvl w:val="0"/>
          <w:numId w:val="73"/>
        </w:numPr>
        <w:spacing w:before="0"/>
        <w:rPr>
          <w:sz w:val="21"/>
          <w:szCs w:val="21"/>
        </w:rPr>
      </w:pPr>
      <w:bookmarkStart w:id="299" w:name="_Toc216260382"/>
      <w:bookmarkStart w:id="300" w:name="_Toc216264097"/>
      <w:bookmarkStart w:id="301" w:name="_Toc216269945"/>
      <w:bookmarkStart w:id="302" w:name="_Toc216270644"/>
      <w:r w:rsidRPr="00A0534D">
        <w:rPr>
          <w:rStyle w:val="Heading3Char"/>
        </w:rPr>
        <w:t>BAPPENAS, Ministry of Finance</w:t>
      </w:r>
      <w:bookmarkEnd w:id="299"/>
      <w:bookmarkEnd w:id="300"/>
      <w:bookmarkEnd w:id="301"/>
      <w:bookmarkEnd w:id="302"/>
      <w:r w:rsidRPr="0010181F">
        <w:rPr>
          <w:b/>
          <w:bCs/>
          <w:sz w:val="21"/>
          <w:szCs w:val="21"/>
        </w:rPr>
        <w:t xml:space="preserve"> </w:t>
      </w:r>
      <w:r w:rsidRPr="0010181F">
        <w:rPr>
          <w:sz w:val="21"/>
          <w:szCs w:val="21"/>
        </w:rPr>
        <w:t>and relevant line Ministries access customised policy, technical and financial assistance to address strategic priorities.</w:t>
      </w:r>
    </w:p>
    <w:p w14:paraId="4074ED7F" w14:textId="5400C451" w:rsidR="00ED0790" w:rsidRDefault="00ED0790" w:rsidP="0010181F">
      <w:pPr>
        <w:rPr>
          <w:sz w:val="21"/>
          <w:szCs w:val="21"/>
        </w:rPr>
      </w:pPr>
      <w:r>
        <w:rPr>
          <w:sz w:val="21"/>
          <w:szCs w:val="21"/>
        </w:rPr>
        <w:t>GOI Ministries and Agencies for each focus area include:</w:t>
      </w:r>
    </w:p>
    <w:p w14:paraId="4773B101" w14:textId="77777777" w:rsidR="00ED0790" w:rsidRPr="0010181F" w:rsidRDefault="00ED0790" w:rsidP="00686269">
      <w:pPr>
        <w:pStyle w:val="ListParagraph"/>
        <w:numPr>
          <w:ilvl w:val="0"/>
          <w:numId w:val="73"/>
        </w:numPr>
        <w:spacing w:before="0"/>
        <w:rPr>
          <w:sz w:val="21"/>
          <w:szCs w:val="21"/>
        </w:rPr>
      </w:pPr>
      <w:bookmarkStart w:id="303" w:name="_Toc216260383"/>
      <w:bookmarkStart w:id="304" w:name="_Toc216264098"/>
      <w:bookmarkStart w:id="305" w:name="_Toc216269946"/>
      <w:bookmarkStart w:id="306" w:name="_Toc216270645"/>
      <w:r w:rsidRPr="00A0534D">
        <w:rPr>
          <w:rStyle w:val="Heading3Char"/>
        </w:rPr>
        <w:t>Clean energy transition:</w:t>
      </w:r>
      <w:bookmarkEnd w:id="303"/>
      <w:bookmarkEnd w:id="304"/>
      <w:bookmarkEnd w:id="305"/>
      <w:bookmarkEnd w:id="306"/>
      <w:r w:rsidRPr="0010181F">
        <w:rPr>
          <w:b/>
          <w:bCs/>
          <w:sz w:val="21"/>
          <w:szCs w:val="21"/>
        </w:rPr>
        <w:t xml:space="preserve"> </w:t>
      </w:r>
      <w:r w:rsidRPr="0010181F">
        <w:rPr>
          <w:sz w:val="21"/>
          <w:szCs w:val="21"/>
        </w:rPr>
        <w:t>Ministry of Energy and Mineral Resources, PLN, National Energy Council</w:t>
      </w:r>
    </w:p>
    <w:p w14:paraId="70011AE3" w14:textId="5683103D" w:rsidR="003712DA" w:rsidRPr="0010181F" w:rsidRDefault="00ED0790" w:rsidP="00686269">
      <w:pPr>
        <w:pStyle w:val="ListParagraph"/>
        <w:numPr>
          <w:ilvl w:val="0"/>
          <w:numId w:val="73"/>
        </w:numPr>
        <w:spacing w:before="0"/>
        <w:rPr>
          <w:sz w:val="21"/>
          <w:szCs w:val="21"/>
        </w:rPr>
      </w:pPr>
      <w:bookmarkStart w:id="307" w:name="_Toc216260384"/>
      <w:bookmarkStart w:id="308" w:name="_Toc216264099"/>
      <w:bookmarkStart w:id="309" w:name="_Toc216269947"/>
      <w:bookmarkStart w:id="310" w:name="_Toc216270646"/>
      <w:r w:rsidRPr="00A0534D">
        <w:rPr>
          <w:rStyle w:val="Heading3Char"/>
        </w:rPr>
        <w:t>Water, Sanitation and Waste Management:</w:t>
      </w:r>
      <w:bookmarkEnd w:id="307"/>
      <w:bookmarkEnd w:id="308"/>
      <w:bookmarkEnd w:id="309"/>
      <w:bookmarkEnd w:id="310"/>
      <w:r w:rsidRPr="0010181F">
        <w:rPr>
          <w:b/>
          <w:bCs/>
          <w:sz w:val="21"/>
          <w:szCs w:val="21"/>
        </w:rPr>
        <w:t xml:space="preserve"> </w:t>
      </w:r>
      <w:r w:rsidR="003712DA" w:rsidRPr="0010181F">
        <w:rPr>
          <w:sz w:val="21"/>
          <w:szCs w:val="21"/>
        </w:rPr>
        <w:t>Ministries of</w:t>
      </w:r>
      <w:r w:rsidR="003712DA" w:rsidRPr="0010181F">
        <w:rPr>
          <w:sz w:val="21"/>
          <w:szCs w:val="21"/>
          <w:lang w:val="en-US"/>
        </w:rPr>
        <w:t xml:space="preserve"> </w:t>
      </w:r>
      <w:r w:rsidR="003712DA" w:rsidRPr="0010181F">
        <w:rPr>
          <w:sz w:val="21"/>
          <w:szCs w:val="21"/>
        </w:rPr>
        <w:t>Public</w:t>
      </w:r>
      <w:r w:rsidR="003712DA" w:rsidRPr="0010181F">
        <w:rPr>
          <w:sz w:val="21"/>
          <w:szCs w:val="21"/>
          <w:lang w:val="en-US"/>
        </w:rPr>
        <w:t xml:space="preserve"> Works, Health, Home Affairs, Environment, Energy and Mineral Resources, Industry</w:t>
      </w:r>
    </w:p>
    <w:p w14:paraId="3CC0C5D5" w14:textId="5020465C" w:rsidR="003712DA" w:rsidRPr="0010181F" w:rsidRDefault="003712DA" w:rsidP="00686269">
      <w:pPr>
        <w:pStyle w:val="ListParagraph"/>
        <w:numPr>
          <w:ilvl w:val="0"/>
          <w:numId w:val="73"/>
        </w:numPr>
        <w:spacing w:before="0"/>
        <w:rPr>
          <w:sz w:val="21"/>
          <w:szCs w:val="21"/>
        </w:rPr>
      </w:pPr>
      <w:bookmarkStart w:id="311" w:name="_Toc216260385"/>
      <w:bookmarkStart w:id="312" w:name="_Toc216264100"/>
      <w:bookmarkStart w:id="313" w:name="_Toc216269948"/>
      <w:bookmarkStart w:id="314" w:name="_Toc216270647"/>
      <w:r w:rsidRPr="00A0534D">
        <w:rPr>
          <w:rStyle w:val="Heading3Char"/>
        </w:rPr>
        <w:t>Sustainable Infrastructure:</w:t>
      </w:r>
      <w:bookmarkEnd w:id="311"/>
      <w:bookmarkEnd w:id="312"/>
      <w:bookmarkEnd w:id="313"/>
      <w:bookmarkEnd w:id="314"/>
      <w:r w:rsidRPr="0010181F">
        <w:rPr>
          <w:b/>
          <w:bCs/>
          <w:sz w:val="21"/>
          <w:szCs w:val="21"/>
        </w:rPr>
        <w:t xml:space="preserve"> </w:t>
      </w:r>
      <w:r w:rsidRPr="0010181F">
        <w:rPr>
          <w:sz w:val="21"/>
          <w:szCs w:val="21"/>
        </w:rPr>
        <w:t>Ministry of Public Works, Ministry of Transport</w:t>
      </w:r>
    </w:p>
    <w:p w14:paraId="303FEB4F" w14:textId="75352AE7" w:rsidR="00ED0790" w:rsidRPr="00ED0790" w:rsidRDefault="00ED0790" w:rsidP="003712DA">
      <w:pPr>
        <w:rPr>
          <w:sz w:val="21"/>
          <w:szCs w:val="21"/>
        </w:rPr>
      </w:pPr>
      <w:bookmarkStart w:id="315" w:name="_Toc216260386"/>
      <w:bookmarkStart w:id="316" w:name="_Toc216264101"/>
      <w:bookmarkStart w:id="317" w:name="_Toc216269949"/>
      <w:bookmarkStart w:id="318" w:name="_Toc216270648"/>
      <w:r w:rsidRPr="00A0534D">
        <w:rPr>
          <w:rStyle w:val="Heading3Char"/>
        </w:rPr>
        <w:t>Sector outcomes:</w:t>
      </w:r>
      <w:bookmarkEnd w:id="315"/>
      <w:bookmarkEnd w:id="316"/>
      <w:bookmarkEnd w:id="317"/>
      <w:bookmarkEnd w:id="318"/>
      <w:r>
        <w:rPr>
          <w:sz w:val="21"/>
          <w:szCs w:val="21"/>
        </w:rPr>
        <w:t xml:space="preserve"> </w:t>
      </w:r>
      <w:r w:rsidRPr="00ED0790">
        <w:rPr>
          <w:sz w:val="21"/>
          <w:szCs w:val="21"/>
        </w:rPr>
        <w:t>Government of Indonesia implements transformative reforms in line with the National Medium Term Dev</w:t>
      </w:r>
      <w:r>
        <w:rPr>
          <w:sz w:val="21"/>
          <w:szCs w:val="21"/>
        </w:rPr>
        <w:t>e</w:t>
      </w:r>
      <w:r w:rsidRPr="00ED0790">
        <w:rPr>
          <w:sz w:val="21"/>
          <w:szCs w:val="21"/>
        </w:rPr>
        <w:t>lopment Plan (R</w:t>
      </w:r>
      <w:r w:rsidR="006F37A0">
        <w:rPr>
          <w:sz w:val="21"/>
          <w:szCs w:val="21"/>
        </w:rPr>
        <w:t>P</w:t>
      </w:r>
      <w:r w:rsidRPr="00ED0790">
        <w:rPr>
          <w:sz w:val="21"/>
          <w:szCs w:val="21"/>
        </w:rPr>
        <w:t>JMN) in key focus sectors that contribute to targeted outcomes including:</w:t>
      </w:r>
    </w:p>
    <w:p w14:paraId="0E4326EF" w14:textId="1182BB12" w:rsidR="00ED0790" w:rsidRPr="00984EE9" w:rsidRDefault="00ED0790" w:rsidP="00686269">
      <w:pPr>
        <w:pStyle w:val="ListParagraph"/>
        <w:numPr>
          <w:ilvl w:val="0"/>
          <w:numId w:val="22"/>
        </w:numPr>
        <w:spacing w:before="60"/>
        <w:ind w:left="709" w:hanging="357"/>
        <w:contextualSpacing w:val="0"/>
        <w:rPr>
          <w:sz w:val="21"/>
          <w:szCs w:val="21"/>
        </w:rPr>
      </w:pPr>
      <w:r w:rsidRPr="00984EE9">
        <w:rPr>
          <w:sz w:val="21"/>
          <w:szCs w:val="21"/>
        </w:rPr>
        <w:t xml:space="preserve">Increased </w:t>
      </w:r>
      <w:proofErr w:type="spellStart"/>
      <w:r w:rsidRPr="00984EE9">
        <w:rPr>
          <w:sz w:val="21"/>
          <w:szCs w:val="21"/>
        </w:rPr>
        <w:t>self sufficiency</w:t>
      </w:r>
      <w:proofErr w:type="spellEnd"/>
      <w:r w:rsidRPr="00984EE9">
        <w:rPr>
          <w:sz w:val="21"/>
          <w:szCs w:val="21"/>
        </w:rPr>
        <w:t xml:space="preserve"> on food, energy, and water as pillars of sustainability to strengthen global competitiveness, including low carbon development, circular economy and green economy transformation</w:t>
      </w:r>
    </w:p>
    <w:p w14:paraId="1CD804E5" w14:textId="77777777" w:rsidR="00ED0790" w:rsidRPr="00984EE9" w:rsidRDefault="00ED0790" w:rsidP="00686269">
      <w:pPr>
        <w:pStyle w:val="ListParagraph"/>
        <w:numPr>
          <w:ilvl w:val="0"/>
          <w:numId w:val="22"/>
        </w:numPr>
        <w:spacing w:before="60"/>
        <w:ind w:left="709" w:hanging="357"/>
        <w:contextualSpacing w:val="0"/>
        <w:rPr>
          <w:sz w:val="21"/>
          <w:szCs w:val="21"/>
        </w:rPr>
      </w:pPr>
      <w:r w:rsidRPr="00984EE9">
        <w:rPr>
          <w:sz w:val="21"/>
          <w:szCs w:val="21"/>
        </w:rPr>
        <w:t>Improved quality, just, resilient, and sustainable infrastructure development supporting delivery of basic services, including integrated upstream to downstream waste management reform</w:t>
      </w:r>
    </w:p>
    <w:p w14:paraId="7B84E32D" w14:textId="77777777" w:rsidR="0010181F" w:rsidRDefault="00ED0790" w:rsidP="00686269">
      <w:pPr>
        <w:pStyle w:val="ListParagraph"/>
        <w:numPr>
          <w:ilvl w:val="0"/>
          <w:numId w:val="22"/>
        </w:numPr>
        <w:spacing w:before="0" w:after="0"/>
        <w:ind w:left="709" w:hanging="357"/>
        <w:contextualSpacing w:val="0"/>
        <w:rPr>
          <w:sz w:val="21"/>
          <w:szCs w:val="21"/>
        </w:rPr>
      </w:pPr>
      <w:r w:rsidRPr="00984EE9">
        <w:rPr>
          <w:sz w:val="21"/>
          <w:szCs w:val="21"/>
        </w:rPr>
        <w:t xml:space="preserve">Better integrated infrastructure to increase access, reduce logistics cost, </w:t>
      </w:r>
      <w:r w:rsidR="003712DA">
        <w:rPr>
          <w:sz w:val="21"/>
          <w:szCs w:val="21"/>
        </w:rPr>
        <w:t>and</w:t>
      </w:r>
      <w:r w:rsidRPr="00984EE9">
        <w:rPr>
          <w:sz w:val="21"/>
          <w:szCs w:val="21"/>
        </w:rPr>
        <w:t xml:space="preserve"> strengthen connectivity, including developing connectivity and multi-mode transportation service, increasing digital connectivity and electricity transition</w:t>
      </w:r>
      <w:r w:rsidR="004A4320">
        <w:rPr>
          <w:sz w:val="21"/>
          <w:szCs w:val="21"/>
        </w:rPr>
        <w:t>, and</w:t>
      </w:r>
      <w:r w:rsidRPr="00984EE9">
        <w:rPr>
          <w:sz w:val="21"/>
          <w:szCs w:val="21"/>
        </w:rPr>
        <w:t xml:space="preserve"> reducing disaster and climate risk</w:t>
      </w:r>
      <w:r w:rsidR="006B3678">
        <w:rPr>
          <w:sz w:val="21"/>
          <w:szCs w:val="21"/>
        </w:rPr>
        <w:t>.</w:t>
      </w:r>
    </w:p>
    <w:p w14:paraId="26A13106" w14:textId="77777777" w:rsidR="00AD769D" w:rsidRDefault="00AD769D" w:rsidP="00AD769D">
      <w:pPr>
        <w:spacing w:before="0" w:after="0"/>
      </w:pPr>
    </w:p>
    <w:p w14:paraId="2EDB71F9" w14:textId="4C34F4D3" w:rsidR="00A32858" w:rsidRPr="00AD769D" w:rsidRDefault="00A32858" w:rsidP="00AD769D">
      <w:pPr>
        <w:pStyle w:val="Heading1"/>
        <w:rPr>
          <w:sz w:val="21"/>
          <w:szCs w:val="21"/>
        </w:rPr>
      </w:pPr>
      <w:bookmarkStart w:id="319" w:name="_Toc216270649"/>
      <w:r w:rsidRPr="00F44317">
        <w:t>Implementation Arrangements (How will DFAT engage?)</w:t>
      </w:r>
      <w:bookmarkEnd w:id="319"/>
    </w:p>
    <w:p w14:paraId="4F4C58F2" w14:textId="16AB024F" w:rsidR="00C34F33" w:rsidRPr="003E18AD" w:rsidRDefault="00C34F33" w:rsidP="00D2498B">
      <w:pPr>
        <w:pStyle w:val="Heading2"/>
      </w:pPr>
      <w:bookmarkStart w:id="320" w:name="_Toc216260387"/>
      <w:bookmarkStart w:id="321" w:name="_Toc216270650"/>
      <w:r w:rsidRPr="003E18AD">
        <w:t xml:space="preserve">Program-wide </w:t>
      </w:r>
      <w:r w:rsidR="00894DEB">
        <w:t>i</w:t>
      </w:r>
      <w:r w:rsidRPr="003E18AD">
        <w:t>mplementation</w:t>
      </w:r>
      <w:bookmarkEnd w:id="320"/>
      <w:bookmarkEnd w:id="321"/>
      <w:r w:rsidRPr="003E18AD">
        <w:t xml:space="preserve"> </w:t>
      </w:r>
      <w:r w:rsidR="002E3FE5" w:rsidRPr="003E18AD">
        <w:tab/>
      </w:r>
    </w:p>
    <w:p w14:paraId="56F64A65" w14:textId="75EFD6A8" w:rsidR="00C34F33" w:rsidRPr="003E18AD" w:rsidRDefault="00C34F33" w:rsidP="00F34021">
      <w:pPr>
        <w:rPr>
          <w:sz w:val="21"/>
          <w:szCs w:val="21"/>
        </w:rPr>
      </w:pPr>
      <w:r w:rsidRPr="003E18AD">
        <w:rPr>
          <w:sz w:val="21"/>
          <w:szCs w:val="21"/>
        </w:rPr>
        <w:t xml:space="preserve">All Delivery Partners will work to deliver the </w:t>
      </w:r>
      <w:r w:rsidR="002E3FE5" w:rsidRPr="003E18AD">
        <w:rPr>
          <w:sz w:val="21"/>
          <w:szCs w:val="21"/>
        </w:rPr>
        <w:t xml:space="preserve">program </w:t>
      </w:r>
      <w:r w:rsidRPr="003E18AD">
        <w:rPr>
          <w:sz w:val="21"/>
          <w:szCs w:val="21"/>
        </w:rPr>
        <w:t>in a coordinated and coherent manner</w:t>
      </w:r>
      <w:r w:rsidR="002E3FE5" w:rsidRPr="003E18AD">
        <w:rPr>
          <w:sz w:val="21"/>
          <w:szCs w:val="21"/>
        </w:rPr>
        <w:t xml:space="preserve"> in accordance with the following arrangements</w:t>
      </w:r>
      <w:r w:rsidR="00DE15D0">
        <w:rPr>
          <w:sz w:val="21"/>
          <w:szCs w:val="21"/>
        </w:rPr>
        <w:t>:</w:t>
      </w:r>
    </w:p>
    <w:p w14:paraId="4190E280" w14:textId="0442928D" w:rsidR="00C34F33" w:rsidRPr="006248FA" w:rsidRDefault="0010181F" w:rsidP="0010181F">
      <w:pPr>
        <w:pStyle w:val="Heading3"/>
        <w:numPr>
          <w:ilvl w:val="0"/>
          <w:numId w:val="0"/>
        </w:numPr>
        <w:ind w:left="284"/>
        <w:rPr>
          <w:sz w:val="21"/>
          <w:szCs w:val="21"/>
        </w:rPr>
      </w:pPr>
      <w:bookmarkStart w:id="322" w:name="_Toc216260388"/>
      <w:bookmarkStart w:id="323" w:name="_Toc216264103"/>
      <w:bookmarkStart w:id="324" w:name="_Toc216269952"/>
      <w:bookmarkStart w:id="325" w:name="_Toc216270651"/>
      <w:r>
        <w:t xml:space="preserve">1. </w:t>
      </w:r>
      <w:r w:rsidR="00BB5020" w:rsidRPr="0010181F">
        <w:t xml:space="preserve">A common Partnership-wide approach to </w:t>
      </w:r>
      <w:r w:rsidR="00AD655B" w:rsidRPr="0010181F">
        <w:t>Activity and Project selection builds a</w:t>
      </w:r>
      <w:r w:rsidR="5D277749" w:rsidRPr="0010181F">
        <w:t>n optimised</w:t>
      </w:r>
      <w:r w:rsidR="00AD655B" w:rsidRPr="0010181F">
        <w:t xml:space="preserve"> portfolio for </w:t>
      </w:r>
      <w:r w:rsidR="00467DD9" w:rsidRPr="0010181F">
        <w:t xml:space="preserve">low-emission and </w:t>
      </w:r>
      <w:r w:rsidR="00AD655B" w:rsidRPr="0010181F">
        <w:t>climate</w:t>
      </w:r>
      <w:r w:rsidR="00467DD9" w:rsidRPr="0010181F">
        <w:t xml:space="preserve"> and disaster-resilient</w:t>
      </w:r>
      <w:r w:rsidRPr="0010181F">
        <w:t xml:space="preserve"> </w:t>
      </w:r>
      <w:r w:rsidR="00AD655B" w:rsidRPr="0010181F">
        <w:t>development</w:t>
      </w:r>
      <w:r w:rsidR="00AD655B" w:rsidRPr="006248FA">
        <w:rPr>
          <w:sz w:val="21"/>
          <w:szCs w:val="21"/>
        </w:rPr>
        <w:t>.</w:t>
      </w:r>
      <w:bookmarkEnd w:id="322"/>
      <w:bookmarkEnd w:id="323"/>
      <w:bookmarkEnd w:id="324"/>
      <w:bookmarkEnd w:id="325"/>
    </w:p>
    <w:p w14:paraId="75CE9F73" w14:textId="77777777" w:rsidR="0010181F" w:rsidRDefault="00C34F33" w:rsidP="00686269">
      <w:pPr>
        <w:pStyle w:val="ListParagraph"/>
        <w:numPr>
          <w:ilvl w:val="0"/>
          <w:numId w:val="77"/>
        </w:numPr>
        <w:spacing w:before="0"/>
        <w:rPr>
          <w:sz w:val="21"/>
          <w:szCs w:val="21"/>
        </w:rPr>
      </w:pPr>
      <w:r w:rsidRPr="007436B9">
        <w:rPr>
          <w:rStyle w:val="Heading4Char"/>
        </w:rPr>
        <w:t>A</w:t>
      </w:r>
      <w:r w:rsidR="00DE15D0" w:rsidRPr="007436B9">
        <w:rPr>
          <w:rStyle w:val="Heading4Char"/>
        </w:rPr>
        <w:t>n</w:t>
      </w:r>
      <w:r w:rsidRPr="007436B9">
        <w:rPr>
          <w:rStyle w:val="Heading4Char"/>
        </w:rPr>
        <w:t xml:space="preserve"> ‘</w:t>
      </w:r>
      <w:r w:rsidR="072160D6" w:rsidRPr="007436B9">
        <w:rPr>
          <w:rStyle w:val="Heading4Char"/>
        </w:rPr>
        <w:t>optimised</w:t>
      </w:r>
      <w:r w:rsidRPr="007436B9">
        <w:rPr>
          <w:rStyle w:val="Heading4Char"/>
        </w:rPr>
        <w:t>’ portfolio</w:t>
      </w:r>
      <w:r w:rsidRPr="0010181F">
        <w:rPr>
          <w:sz w:val="21"/>
          <w:szCs w:val="21"/>
        </w:rPr>
        <w:t xml:space="preserve"> is one where synerg</w:t>
      </w:r>
      <w:r w:rsidR="00DE15D0" w:rsidRPr="0010181F">
        <w:rPr>
          <w:sz w:val="21"/>
          <w:szCs w:val="21"/>
        </w:rPr>
        <w:t>ies</w:t>
      </w:r>
      <w:r w:rsidRPr="0010181F">
        <w:rPr>
          <w:sz w:val="21"/>
          <w:szCs w:val="21"/>
        </w:rPr>
        <w:t xml:space="preserve"> </w:t>
      </w:r>
      <w:r w:rsidR="00DE15D0" w:rsidRPr="0010181F">
        <w:rPr>
          <w:sz w:val="21"/>
          <w:szCs w:val="21"/>
        </w:rPr>
        <w:t>are</w:t>
      </w:r>
      <w:r w:rsidRPr="0010181F">
        <w:rPr>
          <w:sz w:val="21"/>
          <w:szCs w:val="21"/>
        </w:rPr>
        <w:t xml:space="preserve"> optimised across Activities and Projects </w:t>
      </w:r>
      <w:r w:rsidR="00DE15D0" w:rsidRPr="0010181F">
        <w:rPr>
          <w:sz w:val="21"/>
          <w:szCs w:val="21"/>
        </w:rPr>
        <w:t xml:space="preserve">in </w:t>
      </w:r>
      <w:r w:rsidRPr="0010181F">
        <w:rPr>
          <w:sz w:val="21"/>
          <w:szCs w:val="21"/>
        </w:rPr>
        <w:t xml:space="preserve">the same sectors and sub-sectors, </w:t>
      </w:r>
      <w:r w:rsidR="00DE15D0" w:rsidRPr="0010181F">
        <w:rPr>
          <w:sz w:val="21"/>
          <w:szCs w:val="21"/>
        </w:rPr>
        <w:t xml:space="preserve">whereby different Activities and Projects are </w:t>
      </w:r>
      <w:r w:rsidRPr="0010181F">
        <w:rPr>
          <w:sz w:val="21"/>
          <w:szCs w:val="21"/>
        </w:rPr>
        <w:t>addressing differentiated parts of the eco-system and political economy.</w:t>
      </w:r>
      <w:r w:rsidR="00C92510" w:rsidRPr="0010181F">
        <w:rPr>
          <w:sz w:val="21"/>
          <w:szCs w:val="21"/>
        </w:rPr>
        <w:t xml:space="preserve"> </w:t>
      </w:r>
      <w:r w:rsidRPr="0010181F">
        <w:rPr>
          <w:sz w:val="21"/>
          <w:szCs w:val="21"/>
        </w:rPr>
        <w:t>Activity selection, and M&amp;E arrangements, will identify these linkages.</w:t>
      </w:r>
      <w:r w:rsidR="00C92510" w:rsidRPr="0010181F">
        <w:rPr>
          <w:sz w:val="21"/>
          <w:szCs w:val="21"/>
        </w:rPr>
        <w:t xml:space="preserve"> </w:t>
      </w:r>
      <w:r w:rsidRPr="0010181F">
        <w:rPr>
          <w:sz w:val="21"/>
          <w:szCs w:val="21"/>
        </w:rPr>
        <w:t xml:space="preserve">An indicative budget allocation represents the appropriate balance anticipated (see section </w:t>
      </w:r>
      <w:r w:rsidR="007F0EEE" w:rsidRPr="0010181F">
        <w:rPr>
          <w:sz w:val="21"/>
          <w:szCs w:val="21"/>
        </w:rPr>
        <w:t xml:space="preserve">I </w:t>
      </w:r>
      <w:r w:rsidR="007F0EEE" w:rsidRPr="0010181F">
        <w:rPr>
          <w:i/>
          <w:iCs/>
          <w:sz w:val="21"/>
          <w:szCs w:val="21"/>
        </w:rPr>
        <w:t>Budget and Resources</w:t>
      </w:r>
      <w:r w:rsidRPr="0010181F">
        <w:rPr>
          <w:sz w:val="21"/>
          <w:szCs w:val="21"/>
        </w:rPr>
        <w:t>).</w:t>
      </w:r>
    </w:p>
    <w:p w14:paraId="7A8E98D3" w14:textId="77777777" w:rsidR="0010181F" w:rsidRDefault="009414A0" w:rsidP="00686269">
      <w:pPr>
        <w:pStyle w:val="ListParagraph"/>
        <w:numPr>
          <w:ilvl w:val="0"/>
          <w:numId w:val="78"/>
        </w:numPr>
        <w:spacing w:before="0"/>
        <w:rPr>
          <w:sz w:val="21"/>
          <w:szCs w:val="21"/>
        </w:rPr>
      </w:pPr>
      <w:r w:rsidRPr="007436B9">
        <w:rPr>
          <w:rStyle w:val="Heading4Char"/>
        </w:rPr>
        <w:t xml:space="preserve">Minimum </w:t>
      </w:r>
      <w:r w:rsidR="731D2F33" w:rsidRPr="007436B9">
        <w:rPr>
          <w:rStyle w:val="Heading4Char"/>
        </w:rPr>
        <w:t>Activity Selection Criteria</w:t>
      </w:r>
      <w:r w:rsidR="731D2F33" w:rsidRPr="0010181F">
        <w:rPr>
          <w:sz w:val="21"/>
          <w:szCs w:val="21"/>
        </w:rPr>
        <w:t xml:space="preserve"> will be consistently applied</w:t>
      </w:r>
      <w:r w:rsidRPr="0010181F">
        <w:rPr>
          <w:sz w:val="21"/>
          <w:szCs w:val="21"/>
        </w:rPr>
        <w:t xml:space="preserve"> by all Delivery Partners</w:t>
      </w:r>
      <w:r w:rsidR="731D2F33" w:rsidRPr="0010181F">
        <w:rPr>
          <w:sz w:val="21"/>
          <w:szCs w:val="21"/>
        </w:rPr>
        <w:t xml:space="preserve">, with additional criteria and dimensions </w:t>
      </w:r>
      <w:r w:rsidRPr="0010181F">
        <w:rPr>
          <w:sz w:val="21"/>
          <w:szCs w:val="21"/>
        </w:rPr>
        <w:t xml:space="preserve">to be </w:t>
      </w:r>
      <w:r w:rsidR="731D2F33" w:rsidRPr="0010181F">
        <w:rPr>
          <w:sz w:val="21"/>
          <w:szCs w:val="21"/>
        </w:rPr>
        <w:t xml:space="preserve">included </w:t>
      </w:r>
      <w:r w:rsidRPr="0010181F">
        <w:rPr>
          <w:sz w:val="21"/>
          <w:szCs w:val="21"/>
        </w:rPr>
        <w:t xml:space="preserve">that draw on </w:t>
      </w:r>
      <w:r w:rsidR="731D2F33" w:rsidRPr="0010181F">
        <w:rPr>
          <w:sz w:val="21"/>
          <w:szCs w:val="21"/>
        </w:rPr>
        <w:t>each Partner</w:t>
      </w:r>
      <w:r w:rsidR="6CB096FB" w:rsidRPr="0010181F">
        <w:rPr>
          <w:sz w:val="21"/>
          <w:szCs w:val="21"/>
        </w:rPr>
        <w:t>’</w:t>
      </w:r>
      <w:r w:rsidR="731D2F33" w:rsidRPr="0010181F">
        <w:rPr>
          <w:sz w:val="21"/>
          <w:szCs w:val="21"/>
        </w:rPr>
        <w:t xml:space="preserve">s comparative advantage, accountabilities and policy and program priorities. The minimum criteria will include: </w:t>
      </w:r>
    </w:p>
    <w:p w14:paraId="3E4D19D6" w14:textId="77777777" w:rsidR="0010181F" w:rsidRDefault="00C34F33" w:rsidP="00686269">
      <w:pPr>
        <w:pStyle w:val="ListParagraph"/>
        <w:numPr>
          <w:ilvl w:val="1"/>
          <w:numId w:val="74"/>
        </w:numPr>
        <w:spacing w:before="0"/>
        <w:rPr>
          <w:sz w:val="21"/>
          <w:szCs w:val="21"/>
        </w:rPr>
      </w:pPr>
      <w:r w:rsidRPr="0010181F">
        <w:rPr>
          <w:sz w:val="21"/>
          <w:szCs w:val="21"/>
        </w:rPr>
        <w:t xml:space="preserve">Alignment with GOI development plans and priorities </w:t>
      </w:r>
    </w:p>
    <w:p w14:paraId="290BCB6B" w14:textId="77777777" w:rsidR="0010181F" w:rsidRDefault="00CC1AFE" w:rsidP="00686269">
      <w:pPr>
        <w:pStyle w:val="ListParagraph"/>
        <w:numPr>
          <w:ilvl w:val="1"/>
          <w:numId w:val="74"/>
        </w:numPr>
        <w:spacing w:before="0"/>
        <w:rPr>
          <w:sz w:val="21"/>
          <w:szCs w:val="21"/>
        </w:rPr>
      </w:pPr>
      <w:r w:rsidRPr="0010181F">
        <w:rPr>
          <w:sz w:val="21"/>
          <w:szCs w:val="21"/>
        </w:rPr>
        <w:t>A</w:t>
      </w:r>
      <w:r w:rsidR="00C8036C" w:rsidRPr="0010181F">
        <w:rPr>
          <w:sz w:val="21"/>
          <w:szCs w:val="21"/>
        </w:rPr>
        <w:t>n</w:t>
      </w:r>
      <w:r w:rsidRPr="0010181F">
        <w:rPr>
          <w:sz w:val="21"/>
          <w:szCs w:val="21"/>
        </w:rPr>
        <w:t xml:space="preserve"> objective to mitigate, </w:t>
      </w:r>
      <w:r w:rsidR="009647E8" w:rsidRPr="0010181F">
        <w:rPr>
          <w:sz w:val="21"/>
          <w:szCs w:val="21"/>
        </w:rPr>
        <w:t xml:space="preserve">or to </w:t>
      </w:r>
      <w:r w:rsidRPr="0010181F">
        <w:rPr>
          <w:sz w:val="21"/>
          <w:szCs w:val="21"/>
        </w:rPr>
        <w:t>adapt and build resilience to</w:t>
      </w:r>
      <w:r w:rsidR="009414A0" w:rsidRPr="0010181F">
        <w:rPr>
          <w:sz w:val="21"/>
          <w:szCs w:val="21"/>
        </w:rPr>
        <w:t>,</w:t>
      </w:r>
      <w:r w:rsidRPr="0010181F">
        <w:rPr>
          <w:sz w:val="21"/>
          <w:szCs w:val="21"/>
        </w:rPr>
        <w:t xml:space="preserve"> climate change through</w:t>
      </w:r>
      <w:r w:rsidR="00D13CBE" w:rsidRPr="0010181F">
        <w:rPr>
          <w:sz w:val="21"/>
          <w:szCs w:val="21"/>
        </w:rPr>
        <w:t xml:space="preserve"> (one of</w:t>
      </w:r>
      <w:proofErr w:type="gramStart"/>
      <w:r w:rsidR="00D13CBE" w:rsidRPr="0010181F">
        <w:rPr>
          <w:sz w:val="21"/>
          <w:szCs w:val="21"/>
        </w:rPr>
        <w:t>)</w:t>
      </w:r>
      <w:r w:rsidRPr="0010181F">
        <w:rPr>
          <w:sz w:val="21"/>
          <w:szCs w:val="21"/>
        </w:rPr>
        <w:t>;</w:t>
      </w:r>
      <w:proofErr w:type="gramEnd"/>
    </w:p>
    <w:p w14:paraId="4E799708" w14:textId="77777777" w:rsidR="0010181F" w:rsidRDefault="00CC1AFE" w:rsidP="00686269">
      <w:pPr>
        <w:pStyle w:val="ListParagraph"/>
        <w:numPr>
          <w:ilvl w:val="2"/>
          <w:numId w:val="74"/>
        </w:numPr>
        <w:spacing w:before="0"/>
        <w:rPr>
          <w:sz w:val="21"/>
          <w:szCs w:val="21"/>
        </w:rPr>
      </w:pPr>
      <w:r w:rsidRPr="0010181F">
        <w:rPr>
          <w:sz w:val="21"/>
          <w:szCs w:val="21"/>
        </w:rPr>
        <w:t>Reduction in GHG emissions</w:t>
      </w:r>
      <w:r w:rsidR="00D13CBE" w:rsidRPr="0010181F">
        <w:rPr>
          <w:sz w:val="21"/>
          <w:szCs w:val="21"/>
        </w:rPr>
        <w:t xml:space="preserve"> or </w:t>
      </w:r>
      <w:r w:rsidR="000F5B43" w:rsidRPr="0010181F">
        <w:rPr>
          <w:sz w:val="21"/>
          <w:szCs w:val="21"/>
        </w:rPr>
        <w:t>i</w:t>
      </w:r>
      <w:r w:rsidRPr="0010181F">
        <w:rPr>
          <w:sz w:val="21"/>
          <w:szCs w:val="21"/>
        </w:rPr>
        <w:t xml:space="preserve">ncreased </w:t>
      </w:r>
      <w:r w:rsidR="000F5B43" w:rsidRPr="0010181F">
        <w:rPr>
          <w:sz w:val="21"/>
          <w:szCs w:val="21"/>
        </w:rPr>
        <w:t>e</w:t>
      </w:r>
      <w:r w:rsidRPr="0010181F">
        <w:rPr>
          <w:sz w:val="21"/>
          <w:szCs w:val="21"/>
        </w:rPr>
        <w:t>fficiency in GHG emissions</w:t>
      </w:r>
      <w:r w:rsidRPr="003E18AD">
        <w:rPr>
          <w:vertAlign w:val="superscript"/>
        </w:rPr>
        <w:footnoteReference w:id="10"/>
      </w:r>
    </w:p>
    <w:p w14:paraId="04B7326B" w14:textId="77777777" w:rsidR="0010181F" w:rsidRDefault="00CC1AFE" w:rsidP="00686269">
      <w:pPr>
        <w:pStyle w:val="ListParagraph"/>
        <w:numPr>
          <w:ilvl w:val="2"/>
          <w:numId w:val="74"/>
        </w:numPr>
        <w:spacing w:before="0"/>
        <w:rPr>
          <w:sz w:val="21"/>
          <w:szCs w:val="21"/>
        </w:rPr>
      </w:pPr>
      <w:r w:rsidRPr="0010181F">
        <w:rPr>
          <w:sz w:val="21"/>
          <w:szCs w:val="21"/>
        </w:rPr>
        <w:t>Increased resilience to climate change and disaster risks (adaptation)</w:t>
      </w:r>
    </w:p>
    <w:p w14:paraId="2307132D" w14:textId="77777777" w:rsidR="0010181F" w:rsidRDefault="00CC1AFE" w:rsidP="00686269">
      <w:pPr>
        <w:pStyle w:val="ListParagraph"/>
        <w:numPr>
          <w:ilvl w:val="2"/>
          <w:numId w:val="74"/>
        </w:numPr>
        <w:spacing w:before="0"/>
        <w:rPr>
          <w:sz w:val="21"/>
          <w:szCs w:val="21"/>
        </w:rPr>
      </w:pPr>
      <w:r w:rsidRPr="0010181F">
        <w:rPr>
          <w:sz w:val="21"/>
          <w:szCs w:val="21"/>
        </w:rPr>
        <w:t>Resource efficiency (circular economy) with significant co-benefits for one of the three points above</w:t>
      </w:r>
    </w:p>
    <w:p w14:paraId="5313E8C0" w14:textId="4B33F33C" w:rsidR="00CC1AFE" w:rsidRPr="0010181F" w:rsidRDefault="00CC1AFE" w:rsidP="00686269">
      <w:pPr>
        <w:pStyle w:val="ListParagraph"/>
        <w:numPr>
          <w:ilvl w:val="2"/>
          <w:numId w:val="74"/>
        </w:numPr>
        <w:spacing w:before="0"/>
        <w:rPr>
          <w:sz w:val="21"/>
          <w:szCs w:val="21"/>
        </w:rPr>
      </w:pPr>
      <w:r w:rsidRPr="0010181F">
        <w:rPr>
          <w:sz w:val="21"/>
          <w:szCs w:val="21"/>
        </w:rPr>
        <w:t>Environmental conservation, management, nature</w:t>
      </w:r>
      <w:r w:rsidR="00736C9D" w:rsidRPr="0010181F">
        <w:rPr>
          <w:sz w:val="21"/>
          <w:szCs w:val="21"/>
        </w:rPr>
        <w:t>-</w:t>
      </w:r>
      <w:r w:rsidRPr="0010181F">
        <w:rPr>
          <w:sz w:val="21"/>
          <w:szCs w:val="21"/>
        </w:rPr>
        <w:t>based solutions or green design with significant co-benefits for one of the three points above</w:t>
      </w:r>
    </w:p>
    <w:p w14:paraId="333542F3" w14:textId="77777777" w:rsidR="0010181F" w:rsidRDefault="00C34F33" w:rsidP="00686269">
      <w:pPr>
        <w:pStyle w:val="ListParagraph"/>
        <w:numPr>
          <w:ilvl w:val="0"/>
          <w:numId w:val="75"/>
        </w:numPr>
        <w:spacing w:before="40" w:after="0"/>
        <w:rPr>
          <w:sz w:val="21"/>
          <w:szCs w:val="21"/>
        </w:rPr>
      </w:pPr>
      <w:r w:rsidRPr="0010181F">
        <w:rPr>
          <w:sz w:val="21"/>
          <w:szCs w:val="21"/>
        </w:rPr>
        <w:t>Alignment with relevant GOA policies and interests</w:t>
      </w:r>
      <w:r w:rsidR="00C92510" w:rsidRPr="0010181F">
        <w:rPr>
          <w:sz w:val="21"/>
          <w:szCs w:val="21"/>
        </w:rPr>
        <w:t xml:space="preserve"> </w:t>
      </w:r>
    </w:p>
    <w:p w14:paraId="755299F3" w14:textId="77777777" w:rsidR="0010181F" w:rsidRDefault="00C34F33" w:rsidP="00686269">
      <w:pPr>
        <w:pStyle w:val="ListParagraph"/>
        <w:numPr>
          <w:ilvl w:val="0"/>
          <w:numId w:val="75"/>
        </w:numPr>
        <w:spacing w:before="40" w:after="0"/>
        <w:rPr>
          <w:sz w:val="21"/>
          <w:szCs w:val="21"/>
        </w:rPr>
      </w:pPr>
      <w:r w:rsidRPr="0010181F">
        <w:rPr>
          <w:sz w:val="21"/>
          <w:szCs w:val="21"/>
        </w:rPr>
        <w:t>Opportunities to improve the enabling environment for PP</w:t>
      </w:r>
      <w:r w:rsidR="007F0EEE" w:rsidRPr="0010181F">
        <w:rPr>
          <w:sz w:val="21"/>
          <w:szCs w:val="21"/>
        </w:rPr>
        <w:t>P</w:t>
      </w:r>
      <w:r w:rsidRPr="0010181F">
        <w:rPr>
          <w:sz w:val="21"/>
          <w:szCs w:val="21"/>
        </w:rPr>
        <w:t xml:space="preserve"> and mobilise private sector financing and investment and/or other innovative modalities</w:t>
      </w:r>
    </w:p>
    <w:p w14:paraId="6C687180" w14:textId="77777777" w:rsidR="0010181F" w:rsidRDefault="00C34F33" w:rsidP="00686269">
      <w:pPr>
        <w:pStyle w:val="ListParagraph"/>
        <w:numPr>
          <w:ilvl w:val="0"/>
          <w:numId w:val="75"/>
        </w:numPr>
        <w:spacing w:before="40" w:after="0"/>
        <w:rPr>
          <w:sz w:val="21"/>
          <w:szCs w:val="21"/>
        </w:rPr>
      </w:pPr>
      <w:r w:rsidRPr="0010181F">
        <w:rPr>
          <w:sz w:val="21"/>
          <w:szCs w:val="21"/>
        </w:rPr>
        <w:t>Opportunities to leverage</w:t>
      </w:r>
      <w:r w:rsidR="00D13CBE" w:rsidRPr="0010181F">
        <w:rPr>
          <w:sz w:val="21"/>
          <w:szCs w:val="21"/>
        </w:rPr>
        <w:t xml:space="preserve"> other</w:t>
      </w:r>
      <w:r w:rsidRPr="0010181F">
        <w:rPr>
          <w:sz w:val="21"/>
          <w:szCs w:val="21"/>
        </w:rPr>
        <w:t xml:space="preserve"> DFAT investment</w:t>
      </w:r>
      <w:r w:rsidR="00D13CBE" w:rsidRPr="0010181F">
        <w:rPr>
          <w:sz w:val="21"/>
          <w:szCs w:val="21"/>
        </w:rPr>
        <w:t>s</w:t>
      </w:r>
    </w:p>
    <w:p w14:paraId="7EAD5566" w14:textId="77777777" w:rsidR="0010181F" w:rsidRDefault="00C34F33" w:rsidP="00686269">
      <w:pPr>
        <w:pStyle w:val="ListParagraph"/>
        <w:numPr>
          <w:ilvl w:val="0"/>
          <w:numId w:val="75"/>
        </w:numPr>
        <w:spacing w:before="40" w:after="0"/>
        <w:rPr>
          <w:sz w:val="21"/>
          <w:szCs w:val="21"/>
        </w:rPr>
      </w:pPr>
      <w:r w:rsidRPr="0010181F">
        <w:rPr>
          <w:sz w:val="21"/>
          <w:szCs w:val="21"/>
        </w:rPr>
        <w:lastRenderedPageBreak/>
        <w:t>A clear output/objective to mitigate, adapt and build resilience to climate change</w:t>
      </w:r>
    </w:p>
    <w:p w14:paraId="5739910D" w14:textId="1ECECD79" w:rsidR="00C34F33" w:rsidRPr="0010181F" w:rsidRDefault="00C34F33" w:rsidP="00686269">
      <w:pPr>
        <w:pStyle w:val="ListParagraph"/>
        <w:numPr>
          <w:ilvl w:val="0"/>
          <w:numId w:val="75"/>
        </w:numPr>
        <w:spacing w:before="40" w:after="0"/>
        <w:rPr>
          <w:sz w:val="21"/>
          <w:szCs w:val="21"/>
        </w:rPr>
      </w:pPr>
      <w:r w:rsidRPr="0010181F">
        <w:rPr>
          <w:sz w:val="21"/>
          <w:szCs w:val="21"/>
        </w:rPr>
        <w:t xml:space="preserve">Opportunities to optimise GESDI-related outcomes </w:t>
      </w:r>
    </w:p>
    <w:p w14:paraId="567E9296" w14:textId="6F2EC69D" w:rsidR="00C34F33" w:rsidRPr="003E18AD" w:rsidRDefault="731D2F33" w:rsidP="00686269">
      <w:pPr>
        <w:pStyle w:val="ListParagraph"/>
        <w:numPr>
          <w:ilvl w:val="0"/>
          <w:numId w:val="79"/>
        </w:numPr>
        <w:spacing w:after="0"/>
        <w:contextualSpacing w:val="0"/>
        <w:rPr>
          <w:sz w:val="21"/>
          <w:szCs w:val="21"/>
        </w:rPr>
      </w:pPr>
      <w:r w:rsidRPr="007436B9">
        <w:rPr>
          <w:rStyle w:val="Heading4Char"/>
        </w:rPr>
        <w:t xml:space="preserve">The initial screening process used by </w:t>
      </w:r>
      <w:r w:rsidR="26E6015F" w:rsidRPr="007436B9">
        <w:rPr>
          <w:rStyle w:val="Heading4Char"/>
        </w:rPr>
        <w:t>all</w:t>
      </w:r>
      <w:r w:rsidRPr="007436B9">
        <w:rPr>
          <w:rStyle w:val="Heading4Char"/>
        </w:rPr>
        <w:t xml:space="preserve"> partners will include</w:t>
      </w:r>
      <w:r w:rsidRPr="1169CFB7">
        <w:rPr>
          <w:sz w:val="21"/>
          <w:szCs w:val="21"/>
        </w:rPr>
        <w:t>:</w:t>
      </w:r>
    </w:p>
    <w:p w14:paraId="50CA6FCA" w14:textId="2D5EBDAE" w:rsidR="00C34F33" w:rsidRPr="003E18AD" w:rsidRDefault="00C34F33" w:rsidP="00686269">
      <w:pPr>
        <w:pStyle w:val="ListParagraph"/>
        <w:numPr>
          <w:ilvl w:val="2"/>
          <w:numId w:val="76"/>
        </w:numPr>
        <w:spacing w:before="40" w:after="0"/>
        <w:contextualSpacing w:val="0"/>
        <w:rPr>
          <w:sz w:val="21"/>
          <w:szCs w:val="21"/>
        </w:rPr>
      </w:pPr>
      <w:r w:rsidRPr="003E18AD">
        <w:rPr>
          <w:sz w:val="21"/>
          <w:szCs w:val="21"/>
        </w:rPr>
        <w:t xml:space="preserve">A feasible line of sight to previous or prospective follow up activities and demand across the </w:t>
      </w:r>
      <w:r w:rsidR="0081123D">
        <w:rPr>
          <w:sz w:val="21"/>
          <w:szCs w:val="21"/>
        </w:rPr>
        <w:t>lifecycle</w:t>
      </w:r>
    </w:p>
    <w:p w14:paraId="012F766C" w14:textId="1AB02961" w:rsidR="00C34F33" w:rsidRPr="003E18AD" w:rsidRDefault="00C34F33" w:rsidP="00686269">
      <w:pPr>
        <w:pStyle w:val="ListParagraph"/>
        <w:numPr>
          <w:ilvl w:val="2"/>
          <w:numId w:val="76"/>
        </w:numPr>
        <w:spacing w:before="40" w:after="0"/>
        <w:contextualSpacing w:val="0"/>
        <w:rPr>
          <w:sz w:val="21"/>
          <w:szCs w:val="21"/>
        </w:rPr>
      </w:pPr>
      <w:r w:rsidRPr="003E18AD">
        <w:rPr>
          <w:sz w:val="21"/>
          <w:szCs w:val="21"/>
        </w:rPr>
        <w:t>Evidence of consultation and information about linkages to other Delivery Partners</w:t>
      </w:r>
      <w:r w:rsidR="00766DE9">
        <w:rPr>
          <w:sz w:val="21"/>
          <w:szCs w:val="21"/>
        </w:rPr>
        <w:t xml:space="preserve"> and other development partners’ </w:t>
      </w:r>
      <w:r w:rsidRPr="003E18AD">
        <w:rPr>
          <w:sz w:val="21"/>
          <w:szCs w:val="21"/>
        </w:rPr>
        <w:t>activities and efforts</w:t>
      </w:r>
    </w:p>
    <w:p w14:paraId="14DEBF24" w14:textId="77777777" w:rsidR="00C34F33" w:rsidRPr="003E18AD" w:rsidRDefault="00C34F33" w:rsidP="00686269">
      <w:pPr>
        <w:pStyle w:val="ListParagraph"/>
        <w:numPr>
          <w:ilvl w:val="2"/>
          <w:numId w:val="76"/>
        </w:numPr>
        <w:spacing w:before="40" w:after="0"/>
        <w:contextualSpacing w:val="0"/>
        <w:rPr>
          <w:sz w:val="21"/>
          <w:szCs w:val="21"/>
        </w:rPr>
      </w:pPr>
      <w:r w:rsidRPr="003E18AD">
        <w:rPr>
          <w:sz w:val="21"/>
          <w:szCs w:val="21"/>
        </w:rPr>
        <w:t>Consideration of relevant geographic targeting and prioritisation for each sub-sector</w:t>
      </w:r>
    </w:p>
    <w:p w14:paraId="40577A82" w14:textId="77777777" w:rsidR="00C34F33" w:rsidRPr="003E18AD" w:rsidRDefault="00C34F33" w:rsidP="00686269">
      <w:pPr>
        <w:pStyle w:val="ListParagraph"/>
        <w:numPr>
          <w:ilvl w:val="2"/>
          <w:numId w:val="76"/>
        </w:numPr>
        <w:spacing w:before="40" w:after="0"/>
        <w:contextualSpacing w:val="0"/>
        <w:rPr>
          <w:sz w:val="21"/>
          <w:szCs w:val="21"/>
        </w:rPr>
      </w:pPr>
      <w:r w:rsidRPr="003E18AD">
        <w:rPr>
          <w:sz w:val="21"/>
          <w:szCs w:val="21"/>
        </w:rPr>
        <w:t>Initial GEDSI analysis undertaken demonstrating consideration of equitable participation and benefits</w:t>
      </w:r>
    </w:p>
    <w:p w14:paraId="77039591" w14:textId="4F5FE82A" w:rsidR="00C34F33" w:rsidRPr="003E18AD" w:rsidRDefault="00C34F33" w:rsidP="00686269">
      <w:pPr>
        <w:pStyle w:val="ListParagraph"/>
        <w:numPr>
          <w:ilvl w:val="2"/>
          <w:numId w:val="76"/>
        </w:numPr>
        <w:spacing w:before="40" w:after="0"/>
        <w:contextualSpacing w:val="0"/>
        <w:rPr>
          <w:sz w:val="21"/>
          <w:szCs w:val="21"/>
        </w:rPr>
      </w:pPr>
      <w:r w:rsidRPr="003E18AD">
        <w:rPr>
          <w:sz w:val="21"/>
          <w:szCs w:val="21"/>
        </w:rPr>
        <w:t xml:space="preserve">Initial </w:t>
      </w:r>
      <w:r w:rsidR="00AB4F1C">
        <w:rPr>
          <w:sz w:val="21"/>
          <w:szCs w:val="21"/>
        </w:rPr>
        <w:t>c</w:t>
      </w:r>
      <w:r w:rsidRPr="003E18AD">
        <w:rPr>
          <w:sz w:val="21"/>
          <w:szCs w:val="21"/>
        </w:rPr>
        <w:t>limate change analysis demonstrating consideration of opportunities and risks for climate mitigation, adaptation</w:t>
      </w:r>
      <w:r w:rsidR="00C34CD9">
        <w:rPr>
          <w:sz w:val="21"/>
          <w:szCs w:val="21"/>
        </w:rPr>
        <w:t>,</w:t>
      </w:r>
      <w:r w:rsidR="00EC05EC" w:rsidRPr="003E18AD">
        <w:rPr>
          <w:sz w:val="21"/>
          <w:szCs w:val="21"/>
        </w:rPr>
        <w:t xml:space="preserve"> disaster risk reduction</w:t>
      </w:r>
      <w:r w:rsidRPr="003E18AD">
        <w:rPr>
          <w:sz w:val="21"/>
          <w:szCs w:val="21"/>
        </w:rPr>
        <w:t xml:space="preserve"> and resilience</w:t>
      </w:r>
      <w:r w:rsidR="00EC05EC" w:rsidRPr="003E18AD">
        <w:rPr>
          <w:sz w:val="21"/>
          <w:szCs w:val="21"/>
        </w:rPr>
        <w:t xml:space="preserve"> (mainstreaming of climate change)</w:t>
      </w:r>
      <w:r w:rsidRPr="003E18AD">
        <w:rPr>
          <w:sz w:val="21"/>
          <w:szCs w:val="21"/>
        </w:rPr>
        <w:t>.</w:t>
      </w:r>
    </w:p>
    <w:p w14:paraId="42DF705B" w14:textId="4ED9F59B" w:rsidR="00736C9D" w:rsidRPr="003E18AD" w:rsidRDefault="00736C9D" w:rsidP="00686269">
      <w:pPr>
        <w:pStyle w:val="ListParagraph"/>
        <w:numPr>
          <w:ilvl w:val="0"/>
          <w:numId w:val="80"/>
        </w:numPr>
        <w:contextualSpacing w:val="0"/>
        <w:rPr>
          <w:sz w:val="21"/>
          <w:szCs w:val="21"/>
        </w:rPr>
      </w:pPr>
      <w:r w:rsidRPr="007436B9">
        <w:rPr>
          <w:rStyle w:val="Heading4Char"/>
        </w:rPr>
        <w:t xml:space="preserve">Each Delivery Partner </w:t>
      </w:r>
      <w:r w:rsidRPr="007436B9">
        <w:t>will</w:t>
      </w:r>
      <w:r w:rsidRPr="003E18AD">
        <w:rPr>
          <w:sz w:val="21"/>
          <w:szCs w:val="21"/>
        </w:rPr>
        <w:t xml:space="preserve"> have additional and specific selection criteria relevant to their role in the program.</w:t>
      </w:r>
      <w:r w:rsidR="00C92510" w:rsidRPr="003E18AD">
        <w:rPr>
          <w:sz w:val="21"/>
          <w:szCs w:val="21"/>
        </w:rPr>
        <w:t xml:space="preserve"> </w:t>
      </w:r>
      <w:r w:rsidRPr="003E18AD">
        <w:rPr>
          <w:sz w:val="21"/>
          <w:szCs w:val="21"/>
        </w:rPr>
        <w:t xml:space="preserve">Delivery Partners </w:t>
      </w:r>
      <w:r w:rsidR="00766DE9">
        <w:rPr>
          <w:sz w:val="21"/>
          <w:szCs w:val="21"/>
        </w:rPr>
        <w:t xml:space="preserve">may be provided with </w:t>
      </w:r>
      <w:r w:rsidRPr="003E18AD">
        <w:rPr>
          <w:sz w:val="21"/>
          <w:szCs w:val="21"/>
        </w:rPr>
        <w:t xml:space="preserve">delegated authority to approve individual Activities and Projects once the selection process and funding allocation has been endorsed by DFAT each year, apart from Activities and Projects rated as high risk, or those proposed that are outside the core mandate, criteria or scope of the </w:t>
      </w:r>
      <w:r w:rsidR="00FC5EF0">
        <w:rPr>
          <w:sz w:val="21"/>
          <w:szCs w:val="21"/>
        </w:rPr>
        <w:t>Partnership</w:t>
      </w:r>
      <w:r w:rsidRPr="003E18AD">
        <w:rPr>
          <w:sz w:val="21"/>
          <w:szCs w:val="21"/>
        </w:rPr>
        <w:t>, when they will require specific endorsement from DFAT.</w:t>
      </w:r>
    </w:p>
    <w:p w14:paraId="75F5DF8B" w14:textId="7330418E" w:rsidR="00DA3340" w:rsidRPr="00222E06" w:rsidRDefault="00222E06" w:rsidP="0010181F">
      <w:pPr>
        <w:pStyle w:val="Heading3"/>
        <w:numPr>
          <w:ilvl w:val="0"/>
          <w:numId w:val="0"/>
        </w:numPr>
        <w:ind w:left="644" w:hanging="360"/>
        <w:rPr>
          <w:sz w:val="21"/>
          <w:szCs w:val="21"/>
        </w:rPr>
      </w:pPr>
      <w:bookmarkStart w:id="326" w:name="_Toc216260389"/>
      <w:bookmarkStart w:id="327" w:name="_Toc216264104"/>
      <w:bookmarkStart w:id="328" w:name="_Toc216269953"/>
      <w:bookmarkStart w:id="329" w:name="_Toc216270652"/>
      <w:r>
        <w:rPr>
          <w:sz w:val="21"/>
          <w:szCs w:val="21"/>
        </w:rPr>
        <w:t xml:space="preserve">2. </w:t>
      </w:r>
      <w:r w:rsidR="00B74F22" w:rsidRPr="0010181F">
        <w:t>The d</w:t>
      </w:r>
      <w:r w:rsidRPr="0010181F">
        <w:t xml:space="preserve">iverse range of </w:t>
      </w:r>
      <w:r w:rsidR="00B74F22" w:rsidRPr="0010181F">
        <w:t xml:space="preserve">Delivery </w:t>
      </w:r>
      <w:r w:rsidRPr="0010181F">
        <w:t>Partners work</w:t>
      </w:r>
      <w:r w:rsidR="00B74F22" w:rsidRPr="0010181F">
        <w:t>s</w:t>
      </w:r>
      <w:r w:rsidRPr="0010181F">
        <w:t xml:space="preserve"> together with differentiated capability and networks to shift dynamics across the infrastructure ecosystem</w:t>
      </w:r>
      <w:r w:rsidRPr="00222E06">
        <w:rPr>
          <w:sz w:val="21"/>
          <w:szCs w:val="21"/>
        </w:rPr>
        <w:t>.</w:t>
      </w:r>
      <w:bookmarkEnd w:id="326"/>
      <w:bookmarkEnd w:id="327"/>
      <w:bookmarkEnd w:id="328"/>
      <w:bookmarkEnd w:id="329"/>
    </w:p>
    <w:p w14:paraId="5F7E40F7" w14:textId="77777777" w:rsidR="00C34F33" w:rsidRPr="003E18AD" w:rsidRDefault="00C34F33" w:rsidP="00686269">
      <w:pPr>
        <w:pStyle w:val="ListParagraph"/>
        <w:numPr>
          <w:ilvl w:val="0"/>
          <w:numId w:val="81"/>
        </w:numPr>
        <w:spacing w:before="0"/>
        <w:contextualSpacing w:val="0"/>
        <w:rPr>
          <w:sz w:val="21"/>
          <w:szCs w:val="21"/>
        </w:rPr>
      </w:pPr>
      <w:r w:rsidRPr="003E18AD">
        <w:rPr>
          <w:sz w:val="21"/>
          <w:szCs w:val="21"/>
        </w:rPr>
        <w:t>A range of Delivery Partners are required to bring the set of capabilities, positioning and influence required to work with key stakeholders and have impact across the ecosystem.</w:t>
      </w:r>
    </w:p>
    <w:p w14:paraId="098F2A63" w14:textId="033D847C" w:rsidR="00C34F33" w:rsidRPr="003E18AD" w:rsidRDefault="00C34F33" w:rsidP="00686269">
      <w:pPr>
        <w:pStyle w:val="ListParagraph"/>
        <w:numPr>
          <w:ilvl w:val="0"/>
          <w:numId w:val="81"/>
        </w:numPr>
        <w:spacing w:before="0"/>
        <w:contextualSpacing w:val="0"/>
        <w:rPr>
          <w:sz w:val="21"/>
          <w:szCs w:val="21"/>
        </w:rPr>
      </w:pPr>
      <w:r w:rsidRPr="003E18AD">
        <w:rPr>
          <w:sz w:val="21"/>
          <w:szCs w:val="21"/>
        </w:rPr>
        <w:t>A Partnership Charter will be developed and agreed to establish ways of working, communications and collaboration points, as well as monitoring and evaluation arrangements in common</w:t>
      </w:r>
      <w:r w:rsidR="00B74F22">
        <w:rPr>
          <w:sz w:val="21"/>
          <w:szCs w:val="21"/>
        </w:rPr>
        <w:t>, and Delivery Partners will convene regularly through a Partnership Coordination Committee</w:t>
      </w:r>
      <w:r w:rsidRPr="003E18AD">
        <w:rPr>
          <w:sz w:val="21"/>
          <w:szCs w:val="21"/>
        </w:rPr>
        <w:t>.</w:t>
      </w:r>
    </w:p>
    <w:p w14:paraId="5459C598" w14:textId="5C80E0AA" w:rsidR="00C34F33" w:rsidRPr="003E18AD" w:rsidRDefault="00B74F22" w:rsidP="00686269">
      <w:pPr>
        <w:pStyle w:val="ListParagraph"/>
        <w:numPr>
          <w:ilvl w:val="0"/>
          <w:numId w:val="81"/>
        </w:numPr>
        <w:spacing w:before="0"/>
        <w:contextualSpacing w:val="0"/>
        <w:rPr>
          <w:b/>
          <w:bCs/>
          <w:sz w:val="21"/>
          <w:szCs w:val="21"/>
        </w:rPr>
      </w:pPr>
      <w:r>
        <w:rPr>
          <w:sz w:val="21"/>
          <w:szCs w:val="21"/>
        </w:rPr>
        <w:t xml:space="preserve">Technical Working Groups and </w:t>
      </w:r>
      <w:r w:rsidR="00C34F33" w:rsidRPr="003E18AD">
        <w:rPr>
          <w:sz w:val="21"/>
          <w:szCs w:val="21"/>
        </w:rPr>
        <w:t>Communities of Practice will be established for individual advisers, GOI officials and other stakeholders to engage on issues of common concern and interest.</w:t>
      </w:r>
    </w:p>
    <w:p w14:paraId="12FE49D0" w14:textId="5EE55589" w:rsidR="00C34F33" w:rsidRPr="003E18AD" w:rsidRDefault="00222E06" w:rsidP="00C12016">
      <w:pPr>
        <w:pStyle w:val="Bullet1"/>
        <w:numPr>
          <w:ilvl w:val="0"/>
          <w:numId w:val="0"/>
        </w:numPr>
        <w:spacing w:before="120"/>
        <w:ind w:left="284" w:hanging="284"/>
        <w:rPr>
          <w:b/>
          <w:bCs/>
          <w:sz w:val="21"/>
          <w:szCs w:val="21"/>
        </w:rPr>
      </w:pPr>
      <w:r>
        <w:rPr>
          <w:b/>
          <w:bCs/>
          <w:sz w:val="21"/>
          <w:szCs w:val="21"/>
        </w:rPr>
        <w:t>3</w:t>
      </w:r>
      <w:r w:rsidRPr="007436B9">
        <w:rPr>
          <w:rStyle w:val="Heading3Char"/>
        </w:rPr>
        <w:t xml:space="preserve">. </w:t>
      </w:r>
      <w:r w:rsidR="00DA3340" w:rsidRPr="0010181F">
        <w:rPr>
          <w:rStyle w:val="Heading3Char"/>
        </w:rPr>
        <w:t xml:space="preserve">End-to-end engagement in focus sectors generates </w:t>
      </w:r>
      <w:proofErr w:type="gramStart"/>
      <w:r w:rsidR="00DA3340" w:rsidRPr="0010181F">
        <w:rPr>
          <w:rStyle w:val="Heading3Char"/>
        </w:rPr>
        <w:t>locally-led</w:t>
      </w:r>
      <w:proofErr w:type="gramEnd"/>
      <w:r w:rsidR="00DA3340" w:rsidRPr="0010181F">
        <w:rPr>
          <w:rStyle w:val="Heading3Char"/>
        </w:rPr>
        <w:t xml:space="preserve"> solutions </w:t>
      </w:r>
      <w:r w:rsidR="003D0B0D" w:rsidRPr="0010181F">
        <w:rPr>
          <w:rStyle w:val="Heading3Char"/>
        </w:rPr>
        <w:t>with wider application</w:t>
      </w:r>
      <w:r w:rsidR="5543CAC5" w:rsidRPr="0010181F">
        <w:rPr>
          <w:rStyle w:val="Heading3Char"/>
        </w:rPr>
        <w:t xml:space="preserve"> (water, sanitation, and waste management; transport</w:t>
      </w:r>
      <w:r w:rsidR="2172A4AD" w:rsidRPr="0010181F">
        <w:rPr>
          <w:rStyle w:val="Heading3Char"/>
        </w:rPr>
        <w:t>; energy transition and renewables)</w:t>
      </w:r>
      <w:r w:rsidR="00DA3340" w:rsidRPr="0010181F">
        <w:rPr>
          <w:rStyle w:val="Heading3Char"/>
        </w:rPr>
        <w:t>.</w:t>
      </w:r>
    </w:p>
    <w:p w14:paraId="40627220" w14:textId="2DE0FF46" w:rsidR="00C34F33" w:rsidRPr="003E18AD" w:rsidRDefault="00C34F33" w:rsidP="00686269">
      <w:pPr>
        <w:pStyle w:val="ListParagraph"/>
        <w:numPr>
          <w:ilvl w:val="0"/>
          <w:numId w:val="82"/>
        </w:numPr>
        <w:spacing w:before="0"/>
        <w:rPr>
          <w:sz w:val="21"/>
          <w:szCs w:val="21"/>
        </w:rPr>
      </w:pPr>
      <w:r w:rsidRPr="003E18AD">
        <w:rPr>
          <w:sz w:val="21"/>
          <w:szCs w:val="21"/>
        </w:rPr>
        <w:t xml:space="preserve">A set of core focus </w:t>
      </w:r>
      <w:r w:rsidR="00D13CBE" w:rsidRPr="003E18AD">
        <w:rPr>
          <w:sz w:val="21"/>
          <w:szCs w:val="21"/>
        </w:rPr>
        <w:t xml:space="preserve">sub-sectors </w:t>
      </w:r>
      <w:r w:rsidRPr="003E18AD">
        <w:rPr>
          <w:sz w:val="21"/>
          <w:szCs w:val="21"/>
        </w:rPr>
        <w:t>will ensure an end-to-end engagement from policy and regulatory work, through project preparation, financing and delivery in key infrastructure assets.</w:t>
      </w:r>
      <w:r w:rsidR="00C92510" w:rsidRPr="003E18AD">
        <w:rPr>
          <w:sz w:val="21"/>
          <w:szCs w:val="21"/>
        </w:rPr>
        <w:t xml:space="preserve"> </w:t>
      </w:r>
      <w:r w:rsidRPr="003E18AD">
        <w:rPr>
          <w:sz w:val="21"/>
          <w:szCs w:val="21"/>
        </w:rPr>
        <w:t>This will enable identification and resolution of system-wide constraints and challenges that can have broader impact over time. While all Partners will be involved the core focus areas, the program will be flexible in each of the domains (infrastructure, climate and financing) to respond to GOI requests and emerging priorities, while still adopting the program-wide activities and outputs and contributing to common outcomes.</w:t>
      </w:r>
    </w:p>
    <w:p w14:paraId="1BC10CFE" w14:textId="77777777" w:rsidR="00C34F33" w:rsidRPr="0010181F" w:rsidRDefault="00C34F33" w:rsidP="00686269">
      <w:pPr>
        <w:pStyle w:val="ListParagraph"/>
        <w:numPr>
          <w:ilvl w:val="0"/>
          <w:numId w:val="82"/>
        </w:numPr>
        <w:spacing w:before="60" w:after="0"/>
        <w:rPr>
          <w:sz w:val="21"/>
          <w:szCs w:val="21"/>
        </w:rPr>
      </w:pPr>
      <w:r w:rsidRPr="0010181F">
        <w:rPr>
          <w:sz w:val="21"/>
          <w:szCs w:val="21"/>
        </w:rPr>
        <w:t>The core focus areas (for integrated, end-to-end engagement) include:</w:t>
      </w:r>
    </w:p>
    <w:p w14:paraId="581C3E2B" w14:textId="77777777" w:rsidR="00C34F33" w:rsidRPr="003E18AD" w:rsidRDefault="00C34F33" w:rsidP="00686269">
      <w:pPr>
        <w:pStyle w:val="ListParagraph"/>
        <w:numPr>
          <w:ilvl w:val="1"/>
          <w:numId w:val="82"/>
        </w:numPr>
        <w:spacing w:before="0"/>
        <w:rPr>
          <w:sz w:val="21"/>
          <w:szCs w:val="21"/>
        </w:rPr>
      </w:pPr>
      <w:r w:rsidRPr="003E18AD">
        <w:rPr>
          <w:sz w:val="21"/>
          <w:szCs w:val="21"/>
        </w:rPr>
        <w:t>Water, sanitation and waste management</w:t>
      </w:r>
    </w:p>
    <w:p w14:paraId="4E89E5EA" w14:textId="0979FA99" w:rsidR="00C34F33" w:rsidRPr="003E18AD" w:rsidRDefault="00C34F33" w:rsidP="00686269">
      <w:pPr>
        <w:pStyle w:val="ListParagraph"/>
        <w:numPr>
          <w:ilvl w:val="1"/>
          <w:numId w:val="82"/>
        </w:numPr>
        <w:spacing w:before="0"/>
        <w:rPr>
          <w:sz w:val="21"/>
          <w:szCs w:val="21"/>
        </w:rPr>
      </w:pPr>
      <w:r w:rsidRPr="003E18AD">
        <w:rPr>
          <w:sz w:val="21"/>
          <w:szCs w:val="21"/>
        </w:rPr>
        <w:t>Transport</w:t>
      </w:r>
      <w:r w:rsidR="00EC05EC" w:rsidRPr="003E18AD">
        <w:rPr>
          <w:sz w:val="21"/>
          <w:szCs w:val="21"/>
        </w:rPr>
        <w:t xml:space="preserve"> (public transport, multi-modal hubs, energy transitions </w:t>
      </w:r>
      <w:r w:rsidRPr="003E18AD">
        <w:rPr>
          <w:sz w:val="21"/>
          <w:szCs w:val="21"/>
        </w:rPr>
        <w:t xml:space="preserve">and urban </w:t>
      </w:r>
      <w:r w:rsidR="00AD655B" w:rsidRPr="003E18AD">
        <w:rPr>
          <w:sz w:val="21"/>
          <w:szCs w:val="21"/>
        </w:rPr>
        <w:t>connectivity</w:t>
      </w:r>
      <w:r w:rsidR="00EC05EC" w:rsidRPr="003E18AD">
        <w:rPr>
          <w:sz w:val="21"/>
          <w:szCs w:val="21"/>
        </w:rPr>
        <w:t>)</w:t>
      </w:r>
      <w:r w:rsidR="00AD655B" w:rsidRPr="003E18AD">
        <w:rPr>
          <w:sz w:val="21"/>
          <w:szCs w:val="21"/>
        </w:rPr>
        <w:t xml:space="preserve"> </w:t>
      </w:r>
    </w:p>
    <w:p w14:paraId="1B462A3C" w14:textId="0EDA92CE" w:rsidR="00C34F33" w:rsidRPr="003E18AD" w:rsidRDefault="00C34F33" w:rsidP="00686269">
      <w:pPr>
        <w:pStyle w:val="ListParagraph"/>
        <w:numPr>
          <w:ilvl w:val="1"/>
          <w:numId w:val="82"/>
        </w:numPr>
        <w:spacing w:before="0"/>
        <w:contextualSpacing w:val="0"/>
        <w:rPr>
          <w:sz w:val="21"/>
          <w:szCs w:val="21"/>
        </w:rPr>
      </w:pPr>
      <w:r w:rsidRPr="4E666B3A">
        <w:rPr>
          <w:sz w:val="21"/>
          <w:szCs w:val="21"/>
        </w:rPr>
        <w:t>Energy transition and renewables</w:t>
      </w:r>
    </w:p>
    <w:p w14:paraId="7AA5E070" w14:textId="3736C1B8" w:rsidR="00D13CBE" w:rsidRPr="003E18AD" w:rsidRDefault="00D13CBE" w:rsidP="00686269">
      <w:pPr>
        <w:pStyle w:val="ListParagraph"/>
        <w:numPr>
          <w:ilvl w:val="0"/>
          <w:numId w:val="82"/>
        </w:numPr>
        <w:spacing w:before="0"/>
        <w:rPr>
          <w:sz w:val="21"/>
          <w:szCs w:val="21"/>
        </w:rPr>
      </w:pPr>
      <w:r w:rsidRPr="4E666B3A">
        <w:rPr>
          <w:sz w:val="21"/>
          <w:szCs w:val="21"/>
        </w:rPr>
        <w:t xml:space="preserve">A </w:t>
      </w:r>
      <w:r w:rsidR="006102C3" w:rsidRPr="4E666B3A">
        <w:rPr>
          <w:sz w:val="21"/>
          <w:szCs w:val="21"/>
        </w:rPr>
        <w:t xml:space="preserve">Sector </w:t>
      </w:r>
      <w:r w:rsidRPr="4E666B3A">
        <w:rPr>
          <w:sz w:val="21"/>
          <w:szCs w:val="21"/>
        </w:rPr>
        <w:t xml:space="preserve">Engagement </w:t>
      </w:r>
      <w:r w:rsidR="003751E1">
        <w:rPr>
          <w:sz w:val="21"/>
          <w:szCs w:val="21"/>
        </w:rPr>
        <w:t xml:space="preserve">Strategy </w:t>
      </w:r>
      <w:r w:rsidRPr="4E666B3A">
        <w:rPr>
          <w:sz w:val="21"/>
          <w:szCs w:val="21"/>
        </w:rPr>
        <w:t>will be developed for each sub-sector, with the appropriate stakeholder mapping, political economy analysis, clear policy objectives and outcomes, and roles of different Delivery Partners under the program, including DFAT policy engagement role</w:t>
      </w:r>
      <w:r w:rsidR="003751E1">
        <w:rPr>
          <w:sz w:val="21"/>
          <w:szCs w:val="21"/>
        </w:rPr>
        <w:t>s</w:t>
      </w:r>
      <w:r w:rsidRPr="4E666B3A">
        <w:rPr>
          <w:sz w:val="21"/>
          <w:szCs w:val="21"/>
        </w:rPr>
        <w:t xml:space="preserve"> (</w:t>
      </w:r>
      <w:r w:rsidRPr="4E666B3A">
        <w:rPr>
          <w:i/>
          <w:iCs/>
          <w:sz w:val="21"/>
          <w:szCs w:val="21"/>
        </w:rPr>
        <w:t>See Policy Dialogue section</w:t>
      </w:r>
      <w:r w:rsidRPr="4E666B3A">
        <w:rPr>
          <w:sz w:val="21"/>
          <w:szCs w:val="21"/>
        </w:rPr>
        <w:t>).</w:t>
      </w:r>
      <w:r w:rsidR="00C92510" w:rsidRPr="4E666B3A">
        <w:rPr>
          <w:sz w:val="21"/>
          <w:szCs w:val="21"/>
        </w:rPr>
        <w:t xml:space="preserve"> </w:t>
      </w:r>
      <w:r w:rsidRPr="4E666B3A">
        <w:rPr>
          <w:sz w:val="21"/>
          <w:szCs w:val="21"/>
        </w:rPr>
        <w:t>The</w:t>
      </w:r>
      <w:r w:rsidR="006B071A">
        <w:rPr>
          <w:sz w:val="21"/>
          <w:szCs w:val="21"/>
        </w:rPr>
        <w:t>se</w:t>
      </w:r>
      <w:r w:rsidRPr="4E666B3A">
        <w:rPr>
          <w:sz w:val="21"/>
          <w:szCs w:val="21"/>
        </w:rPr>
        <w:t xml:space="preserve"> will be initially developed by the Primary Contractor, with input and collaboration from other Delivery Partners and DFAT.</w:t>
      </w:r>
    </w:p>
    <w:p w14:paraId="6DCF0CAC" w14:textId="45E4909F" w:rsidR="00C34F33" w:rsidRPr="003E18AD" w:rsidRDefault="00D13CBE" w:rsidP="002C4E80">
      <w:pPr>
        <w:ind w:left="709"/>
        <w:rPr>
          <w:sz w:val="21"/>
          <w:szCs w:val="21"/>
        </w:rPr>
      </w:pPr>
      <w:r w:rsidRPr="003E18AD">
        <w:rPr>
          <w:sz w:val="21"/>
          <w:szCs w:val="21"/>
        </w:rPr>
        <w:t>Other</w:t>
      </w:r>
      <w:r w:rsidR="00C34F33" w:rsidRPr="003E18AD">
        <w:rPr>
          <w:sz w:val="21"/>
          <w:szCs w:val="21"/>
        </w:rPr>
        <w:t xml:space="preserve"> sub-sectors relevant to each of the domains, eligible for assistance under the program, are included in </w:t>
      </w:r>
      <w:r w:rsidRPr="003E18AD">
        <w:rPr>
          <w:sz w:val="21"/>
          <w:szCs w:val="21"/>
        </w:rPr>
        <w:t xml:space="preserve">Annex </w:t>
      </w:r>
      <w:r w:rsidR="00C34F33" w:rsidRPr="003E18AD">
        <w:rPr>
          <w:sz w:val="21"/>
          <w:szCs w:val="21"/>
        </w:rPr>
        <w:t>1.</w:t>
      </w:r>
    </w:p>
    <w:p w14:paraId="119B79FD" w14:textId="4AB2809E" w:rsidR="001C71E3" w:rsidRPr="0010181F" w:rsidRDefault="001C71E3" w:rsidP="0010181F">
      <w:pPr>
        <w:pStyle w:val="Heading3"/>
        <w:numPr>
          <w:ilvl w:val="0"/>
          <w:numId w:val="0"/>
        </w:numPr>
        <w:ind w:left="284"/>
      </w:pPr>
      <w:bookmarkStart w:id="330" w:name="_Toc216260390"/>
      <w:bookmarkStart w:id="331" w:name="_Toc216264105"/>
      <w:bookmarkStart w:id="332" w:name="_Toc216269954"/>
      <w:bookmarkStart w:id="333" w:name="_Toc216270653"/>
      <w:r w:rsidRPr="001C71E3">
        <w:rPr>
          <w:sz w:val="21"/>
          <w:szCs w:val="21"/>
        </w:rPr>
        <w:t>4</w:t>
      </w:r>
      <w:r w:rsidRPr="0010181F">
        <w:t xml:space="preserve">.  People (including women, people with disabilities, and marginalised groups) are more genuinely involved in climate resilient development, including the infrastructure </w:t>
      </w:r>
      <w:r w:rsidR="0081123D" w:rsidRPr="0010181F">
        <w:t>lifecycle</w:t>
      </w:r>
      <w:r w:rsidRPr="0010181F">
        <w:t xml:space="preserve"> and financial markets.</w:t>
      </w:r>
      <w:bookmarkEnd w:id="330"/>
      <w:bookmarkEnd w:id="331"/>
      <w:bookmarkEnd w:id="332"/>
      <w:bookmarkEnd w:id="333"/>
    </w:p>
    <w:p w14:paraId="3D6475D8" w14:textId="6A78BCF3" w:rsidR="00C34F33" w:rsidRPr="003E18AD" w:rsidRDefault="00C34F33" w:rsidP="00686269">
      <w:pPr>
        <w:pStyle w:val="ListParagraph"/>
        <w:numPr>
          <w:ilvl w:val="0"/>
          <w:numId w:val="83"/>
        </w:numPr>
        <w:spacing w:before="0"/>
        <w:contextualSpacing w:val="0"/>
        <w:rPr>
          <w:sz w:val="21"/>
          <w:szCs w:val="21"/>
        </w:rPr>
      </w:pPr>
      <w:r w:rsidRPr="003E18AD">
        <w:rPr>
          <w:sz w:val="21"/>
          <w:szCs w:val="21"/>
        </w:rPr>
        <w:lastRenderedPageBreak/>
        <w:t xml:space="preserve">A program-wide </w:t>
      </w:r>
      <w:r w:rsidR="00D13CBE" w:rsidRPr="003E18AD">
        <w:rPr>
          <w:sz w:val="21"/>
          <w:szCs w:val="21"/>
        </w:rPr>
        <w:t xml:space="preserve">Strategy </w:t>
      </w:r>
      <w:r w:rsidRPr="003E18AD">
        <w:rPr>
          <w:sz w:val="21"/>
          <w:szCs w:val="21"/>
        </w:rPr>
        <w:t xml:space="preserve">for GEDSI will be adopted by all </w:t>
      </w:r>
      <w:r w:rsidR="006B071A">
        <w:rPr>
          <w:sz w:val="21"/>
          <w:szCs w:val="21"/>
        </w:rPr>
        <w:t xml:space="preserve">Delivery </w:t>
      </w:r>
      <w:r w:rsidRPr="003E18AD">
        <w:rPr>
          <w:sz w:val="21"/>
          <w:szCs w:val="21"/>
        </w:rPr>
        <w:t>Partners.</w:t>
      </w:r>
      <w:r w:rsidR="00C92510" w:rsidRPr="003E18AD">
        <w:rPr>
          <w:sz w:val="21"/>
          <w:szCs w:val="21"/>
        </w:rPr>
        <w:t xml:space="preserve"> </w:t>
      </w:r>
      <w:r w:rsidRPr="003E18AD">
        <w:rPr>
          <w:sz w:val="21"/>
          <w:szCs w:val="21"/>
        </w:rPr>
        <w:t xml:space="preserve">This will include an approach to progressing participation of women and men </w:t>
      </w:r>
      <w:r w:rsidR="009267BD">
        <w:rPr>
          <w:sz w:val="21"/>
          <w:szCs w:val="21"/>
        </w:rPr>
        <w:t xml:space="preserve">and systemic reform </w:t>
      </w:r>
      <w:r w:rsidRPr="003E18AD">
        <w:rPr>
          <w:sz w:val="21"/>
          <w:szCs w:val="21"/>
        </w:rPr>
        <w:t xml:space="preserve">towards a more transformative gender </w:t>
      </w:r>
      <w:proofErr w:type="gramStart"/>
      <w:r w:rsidRPr="003E18AD">
        <w:rPr>
          <w:sz w:val="21"/>
          <w:szCs w:val="21"/>
        </w:rPr>
        <w:t>approach, and</w:t>
      </w:r>
      <w:proofErr w:type="gramEnd"/>
      <w:r w:rsidRPr="003E18AD">
        <w:rPr>
          <w:sz w:val="21"/>
          <w:szCs w:val="21"/>
        </w:rPr>
        <w:t xml:space="preserve"> providing a basis for ongoing M&amp;E and analysis of progress. </w:t>
      </w:r>
    </w:p>
    <w:p w14:paraId="5209C093" w14:textId="50F1CD81" w:rsidR="00C34F33" w:rsidRPr="003E18AD" w:rsidRDefault="00C34F33" w:rsidP="00686269">
      <w:pPr>
        <w:pStyle w:val="ListParagraph"/>
        <w:numPr>
          <w:ilvl w:val="0"/>
          <w:numId w:val="83"/>
        </w:numPr>
        <w:spacing w:before="0"/>
        <w:contextualSpacing w:val="0"/>
        <w:rPr>
          <w:sz w:val="21"/>
          <w:szCs w:val="21"/>
        </w:rPr>
      </w:pPr>
      <w:r w:rsidRPr="4E666B3A">
        <w:rPr>
          <w:sz w:val="21"/>
          <w:szCs w:val="21"/>
        </w:rPr>
        <w:t xml:space="preserve">Community grants and support for </w:t>
      </w:r>
      <w:r w:rsidR="7FC9747B" w:rsidRPr="4E666B3A">
        <w:rPr>
          <w:sz w:val="21"/>
          <w:szCs w:val="21"/>
        </w:rPr>
        <w:t>O</w:t>
      </w:r>
      <w:r w:rsidR="002C5D2D">
        <w:rPr>
          <w:sz w:val="21"/>
          <w:szCs w:val="21"/>
        </w:rPr>
        <w:t>PD</w:t>
      </w:r>
      <w:r w:rsidR="7FC9747B" w:rsidRPr="4E666B3A">
        <w:rPr>
          <w:sz w:val="21"/>
          <w:szCs w:val="21"/>
        </w:rPr>
        <w:t xml:space="preserve">s </w:t>
      </w:r>
      <w:r w:rsidRPr="4E666B3A">
        <w:rPr>
          <w:sz w:val="21"/>
          <w:szCs w:val="21"/>
        </w:rPr>
        <w:t xml:space="preserve">and </w:t>
      </w:r>
      <w:r w:rsidR="0083593E">
        <w:rPr>
          <w:sz w:val="21"/>
          <w:szCs w:val="21"/>
        </w:rPr>
        <w:t>w</w:t>
      </w:r>
      <w:r w:rsidR="0083593E" w:rsidRPr="4E666B3A">
        <w:rPr>
          <w:sz w:val="21"/>
          <w:szCs w:val="21"/>
        </w:rPr>
        <w:t xml:space="preserve">omen’s </w:t>
      </w:r>
      <w:r w:rsidRPr="4E666B3A">
        <w:rPr>
          <w:sz w:val="21"/>
          <w:szCs w:val="21"/>
        </w:rPr>
        <w:t>organisations, as well as other local CBOs, along with technical support and training, will enhance the participation of local communities in infrastructure planning and development, particularly affecting the willingness-to-pay and feasibility of major projects.</w:t>
      </w:r>
    </w:p>
    <w:p w14:paraId="2B94C373" w14:textId="4119635E" w:rsidR="00D13CBE" w:rsidRPr="003E18AD" w:rsidRDefault="00D13CBE" w:rsidP="00686269">
      <w:pPr>
        <w:pStyle w:val="ListParagraph"/>
        <w:numPr>
          <w:ilvl w:val="0"/>
          <w:numId w:val="83"/>
        </w:numPr>
        <w:spacing w:before="0"/>
        <w:contextualSpacing w:val="0"/>
        <w:rPr>
          <w:sz w:val="21"/>
          <w:szCs w:val="21"/>
        </w:rPr>
      </w:pPr>
      <w:r w:rsidRPr="003E18AD">
        <w:rPr>
          <w:sz w:val="21"/>
          <w:szCs w:val="21"/>
        </w:rPr>
        <w:t>The Community Grants scheme will be developed and managed by the Lead NGO Delivery Partner, under the auspices of the Primary Contractor.</w:t>
      </w:r>
      <w:r w:rsidR="00C92510" w:rsidRPr="003E18AD">
        <w:rPr>
          <w:sz w:val="21"/>
          <w:szCs w:val="21"/>
        </w:rPr>
        <w:t xml:space="preserve"> </w:t>
      </w:r>
      <w:r w:rsidRPr="003E18AD">
        <w:rPr>
          <w:sz w:val="21"/>
          <w:szCs w:val="21"/>
        </w:rPr>
        <w:t xml:space="preserve">An Operations Manual will be prepared and approved by DFAT. </w:t>
      </w:r>
    </w:p>
    <w:p w14:paraId="5B2DB0D3" w14:textId="244AC544" w:rsidR="00C34F33" w:rsidRPr="0010181F" w:rsidRDefault="00222E06" w:rsidP="0010181F">
      <w:pPr>
        <w:pStyle w:val="Heading3"/>
        <w:numPr>
          <w:ilvl w:val="0"/>
          <w:numId w:val="0"/>
        </w:numPr>
        <w:ind w:left="644" w:hanging="360"/>
      </w:pPr>
      <w:bookmarkStart w:id="334" w:name="_Toc216260391"/>
      <w:bookmarkStart w:id="335" w:name="_Toc216264106"/>
      <w:bookmarkStart w:id="336" w:name="_Toc216269955"/>
      <w:bookmarkStart w:id="337" w:name="_Toc216270654"/>
      <w:r>
        <w:rPr>
          <w:sz w:val="21"/>
          <w:szCs w:val="21"/>
        </w:rPr>
        <w:t xml:space="preserve">5. </w:t>
      </w:r>
      <w:r w:rsidR="003D0B0D" w:rsidRPr="0010181F">
        <w:t>Use of a broad range of financing modalities and actors strengthens supply-side market accessibility for prospective projects</w:t>
      </w:r>
      <w:r w:rsidR="00C34F33" w:rsidRPr="0010181F">
        <w:t>.</w:t>
      </w:r>
      <w:bookmarkEnd w:id="334"/>
      <w:bookmarkEnd w:id="335"/>
      <w:bookmarkEnd w:id="336"/>
      <w:bookmarkEnd w:id="337"/>
    </w:p>
    <w:p w14:paraId="02E57E4D" w14:textId="2B1A5409" w:rsidR="00C34F33" w:rsidRPr="003E18AD" w:rsidRDefault="00C34F33" w:rsidP="00686269">
      <w:pPr>
        <w:pStyle w:val="ListParagraph"/>
        <w:numPr>
          <w:ilvl w:val="0"/>
          <w:numId w:val="84"/>
        </w:numPr>
        <w:spacing w:before="0"/>
        <w:contextualSpacing w:val="0"/>
        <w:rPr>
          <w:sz w:val="21"/>
          <w:szCs w:val="21"/>
        </w:rPr>
      </w:pPr>
      <w:r w:rsidRPr="4E666B3A">
        <w:rPr>
          <w:sz w:val="21"/>
          <w:szCs w:val="21"/>
        </w:rPr>
        <w:t xml:space="preserve">The </w:t>
      </w:r>
      <w:r w:rsidR="1FE7BBD8" w:rsidRPr="4E666B3A">
        <w:rPr>
          <w:sz w:val="21"/>
          <w:szCs w:val="21"/>
        </w:rPr>
        <w:t xml:space="preserve">Partnership </w:t>
      </w:r>
      <w:r w:rsidRPr="4E666B3A">
        <w:rPr>
          <w:sz w:val="21"/>
          <w:szCs w:val="21"/>
        </w:rPr>
        <w:t>will include private sector entities as Delivery Partners, as well as strengthen engagement with the private sector in all Activities and Projects from the initial screening and selection stages.</w:t>
      </w:r>
    </w:p>
    <w:p w14:paraId="392AF5D0" w14:textId="77777777" w:rsidR="00C34F33" w:rsidRPr="003E18AD" w:rsidRDefault="00C34F33" w:rsidP="00686269">
      <w:pPr>
        <w:pStyle w:val="ListParagraph"/>
        <w:numPr>
          <w:ilvl w:val="0"/>
          <w:numId w:val="84"/>
        </w:numPr>
        <w:spacing w:before="0"/>
        <w:contextualSpacing w:val="0"/>
        <w:rPr>
          <w:sz w:val="21"/>
          <w:szCs w:val="21"/>
        </w:rPr>
      </w:pPr>
      <w:r w:rsidRPr="003E18AD">
        <w:rPr>
          <w:sz w:val="21"/>
          <w:szCs w:val="21"/>
        </w:rPr>
        <w:t>This intended to change the dynamic of activity identification and problem definition, as well as identify new opportunities for engagement and innovative approaches.</w:t>
      </w:r>
    </w:p>
    <w:p w14:paraId="4024FBFD" w14:textId="5FC7F37B" w:rsidR="00C34F33" w:rsidRPr="003E18AD" w:rsidRDefault="00C34F33" w:rsidP="00686269">
      <w:pPr>
        <w:pStyle w:val="ListParagraph"/>
        <w:numPr>
          <w:ilvl w:val="0"/>
          <w:numId w:val="84"/>
        </w:numPr>
        <w:spacing w:before="0"/>
        <w:contextualSpacing w:val="0"/>
        <w:rPr>
          <w:sz w:val="21"/>
          <w:szCs w:val="21"/>
        </w:rPr>
      </w:pPr>
      <w:r w:rsidRPr="003E18AD">
        <w:rPr>
          <w:sz w:val="21"/>
          <w:szCs w:val="21"/>
        </w:rPr>
        <w:t xml:space="preserve">A broad range of financing </w:t>
      </w:r>
      <w:r w:rsidR="00AE51E9">
        <w:rPr>
          <w:sz w:val="21"/>
          <w:szCs w:val="21"/>
        </w:rPr>
        <w:t>mechanisms</w:t>
      </w:r>
      <w:r w:rsidR="00AE51E9" w:rsidRPr="003E18AD">
        <w:rPr>
          <w:sz w:val="21"/>
          <w:szCs w:val="21"/>
        </w:rPr>
        <w:t xml:space="preserve"> </w:t>
      </w:r>
      <w:r w:rsidRPr="003E18AD">
        <w:rPr>
          <w:sz w:val="21"/>
          <w:szCs w:val="21"/>
        </w:rPr>
        <w:t>will be made available under the program, including private equity, loans and investments (utilising PIDG and ADI), climate finance (</w:t>
      </w:r>
      <w:r w:rsidR="006A1E00" w:rsidRPr="003E18AD">
        <w:rPr>
          <w:sz w:val="21"/>
          <w:szCs w:val="21"/>
        </w:rPr>
        <w:t xml:space="preserve">green and sustainable finance, </w:t>
      </w:r>
      <w:r w:rsidRPr="003E18AD">
        <w:rPr>
          <w:sz w:val="21"/>
          <w:szCs w:val="21"/>
        </w:rPr>
        <w:t xml:space="preserve">bonds and carbon credits) and other innovative financing mechanisms. </w:t>
      </w:r>
    </w:p>
    <w:p w14:paraId="65E3F811" w14:textId="77777777" w:rsidR="00C34F33" w:rsidRPr="003E18AD" w:rsidRDefault="00C34F33" w:rsidP="00686269">
      <w:pPr>
        <w:pStyle w:val="ListParagraph"/>
        <w:numPr>
          <w:ilvl w:val="0"/>
          <w:numId w:val="84"/>
        </w:numPr>
        <w:spacing w:before="0"/>
        <w:contextualSpacing w:val="0"/>
        <w:rPr>
          <w:sz w:val="21"/>
          <w:szCs w:val="21"/>
        </w:rPr>
      </w:pPr>
      <w:r w:rsidRPr="003E18AD">
        <w:rPr>
          <w:sz w:val="21"/>
          <w:szCs w:val="21"/>
        </w:rPr>
        <w:t>Governance and operational arrangements will afford opportunities to engage private sector views and perspectives for ongoing strategic and policy direction of the investment.</w:t>
      </w:r>
    </w:p>
    <w:p w14:paraId="1E4F6474" w14:textId="44D653EC" w:rsidR="00D13CBE" w:rsidRPr="003E18AD" w:rsidRDefault="00D13CBE" w:rsidP="00686269">
      <w:pPr>
        <w:pStyle w:val="ListParagraph"/>
        <w:numPr>
          <w:ilvl w:val="0"/>
          <w:numId w:val="84"/>
        </w:numPr>
        <w:spacing w:before="0"/>
        <w:contextualSpacing w:val="0"/>
        <w:rPr>
          <w:sz w:val="21"/>
          <w:szCs w:val="21"/>
        </w:rPr>
      </w:pPr>
      <w:r w:rsidRPr="003E18AD">
        <w:rPr>
          <w:sz w:val="21"/>
          <w:szCs w:val="21"/>
        </w:rPr>
        <w:t>The Financial Markets Advisory (FMA) Deliver</w:t>
      </w:r>
      <w:r w:rsidR="0083593E">
        <w:rPr>
          <w:sz w:val="21"/>
          <w:szCs w:val="21"/>
        </w:rPr>
        <w:t>y</w:t>
      </w:r>
      <w:r w:rsidRPr="003E18AD">
        <w:rPr>
          <w:sz w:val="21"/>
          <w:szCs w:val="21"/>
        </w:rPr>
        <w:t xml:space="preserve"> Partner will provide ongoing advisory and analysis for the program that contributes to the Sector Engagement </w:t>
      </w:r>
      <w:proofErr w:type="gramStart"/>
      <w:r w:rsidR="00005ABB">
        <w:rPr>
          <w:sz w:val="21"/>
          <w:szCs w:val="21"/>
        </w:rPr>
        <w:t>Strategies</w:t>
      </w:r>
      <w:r w:rsidRPr="003E18AD">
        <w:rPr>
          <w:sz w:val="21"/>
          <w:szCs w:val="21"/>
        </w:rPr>
        <w:t>, and</w:t>
      </w:r>
      <w:proofErr w:type="gramEnd"/>
      <w:r w:rsidRPr="003E18AD">
        <w:rPr>
          <w:sz w:val="21"/>
          <w:szCs w:val="21"/>
        </w:rPr>
        <w:t xml:space="preserve"> provides input and analysis for the MERL Framework.</w:t>
      </w:r>
      <w:r w:rsidR="00C92510" w:rsidRPr="003E18AD">
        <w:rPr>
          <w:sz w:val="21"/>
          <w:szCs w:val="21"/>
        </w:rPr>
        <w:t xml:space="preserve"> </w:t>
      </w:r>
      <w:r w:rsidRPr="003E18AD">
        <w:rPr>
          <w:sz w:val="21"/>
          <w:szCs w:val="21"/>
        </w:rPr>
        <w:t>The FMA Delivery Partner will develop and support the preparation of analysis and recommendations for further capital injections into vehicles and mechanisms, including grant schemes for SMEs</w:t>
      </w:r>
      <w:r w:rsidR="00772EAF" w:rsidRPr="003E18AD">
        <w:rPr>
          <w:sz w:val="21"/>
          <w:szCs w:val="21"/>
        </w:rPr>
        <w:t>, short courses and training Activities, that support the ambition to influence financial and capital markets.</w:t>
      </w:r>
      <w:r w:rsidR="00C92510" w:rsidRPr="003E18AD">
        <w:rPr>
          <w:sz w:val="21"/>
          <w:szCs w:val="21"/>
        </w:rPr>
        <w:t xml:space="preserve"> </w:t>
      </w:r>
      <w:r w:rsidR="00772EAF" w:rsidRPr="003E18AD">
        <w:rPr>
          <w:sz w:val="21"/>
          <w:szCs w:val="21"/>
        </w:rPr>
        <w:t xml:space="preserve">A </w:t>
      </w:r>
      <w:r w:rsidR="00005ABB">
        <w:rPr>
          <w:sz w:val="21"/>
          <w:szCs w:val="21"/>
        </w:rPr>
        <w:t>t</w:t>
      </w:r>
      <w:r w:rsidR="00772EAF" w:rsidRPr="003E18AD">
        <w:rPr>
          <w:sz w:val="21"/>
          <w:szCs w:val="21"/>
        </w:rPr>
        <w:t>hematic Engagement Strategy for innovative financing will be developed by the FMA Delivery Partner</w:t>
      </w:r>
      <w:r w:rsidR="00005ABB">
        <w:rPr>
          <w:sz w:val="21"/>
          <w:szCs w:val="21"/>
        </w:rPr>
        <w:t xml:space="preserve"> and Primary Contractor</w:t>
      </w:r>
      <w:r w:rsidR="00772EAF" w:rsidRPr="003E18AD">
        <w:rPr>
          <w:sz w:val="21"/>
          <w:szCs w:val="21"/>
        </w:rPr>
        <w:t>, with input and engagement from all Partners for approval by DFAT.</w:t>
      </w:r>
    </w:p>
    <w:p w14:paraId="5C4F61A1" w14:textId="5066EB09" w:rsidR="00772EAF" w:rsidRPr="003E18AD" w:rsidRDefault="00772EAF" w:rsidP="00686269">
      <w:pPr>
        <w:pStyle w:val="ListParagraph"/>
        <w:numPr>
          <w:ilvl w:val="0"/>
          <w:numId w:val="84"/>
        </w:numPr>
        <w:spacing w:before="0"/>
        <w:contextualSpacing w:val="0"/>
        <w:rPr>
          <w:sz w:val="21"/>
          <w:szCs w:val="21"/>
        </w:rPr>
      </w:pPr>
      <w:r w:rsidRPr="4E666B3A">
        <w:rPr>
          <w:sz w:val="21"/>
          <w:szCs w:val="21"/>
        </w:rPr>
        <w:t xml:space="preserve">The budget includes an allocation of </w:t>
      </w:r>
      <w:r w:rsidR="006C0135">
        <w:rPr>
          <w:sz w:val="21"/>
          <w:szCs w:val="21"/>
        </w:rPr>
        <w:t>AU</w:t>
      </w:r>
      <w:r w:rsidR="000466DB">
        <w:rPr>
          <w:sz w:val="21"/>
          <w:szCs w:val="21"/>
        </w:rPr>
        <w:t>D</w:t>
      </w:r>
      <w:r w:rsidRPr="4E666B3A">
        <w:rPr>
          <w:sz w:val="21"/>
          <w:szCs w:val="21"/>
        </w:rPr>
        <w:t>100 million capital investment in financial mechanisms (such as ADI, PIDG, other international</w:t>
      </w:r>
      <w:r w:rsidR="00C92510" w:rsidRPr="4E666B3A">
        <w:rPr>
          <w:sz w:val="21"/>
          <w:szCs w:val="21"/>
        </w:rPr>
        <w:t xml:space="preserve"> </w:t>
      </w:r>
      <w:r w:rsidRPr="4E666B3A">
        <w:rPr>
          <w:sz w:val="21"/>
          <w:szCs w:val="21"/>
        </w:rPr>
        <w:t xml:space="preserve">or local financial institutions), with the expectation of </w:t>
      </w:r>
      <w:r w:rsidR="006C0135">
        <w:rPr>
          <w:sz w:val="21"/>
          <w:szCs w:val="21"/>
        </w:rPr>
        <w:t xml:space="preserve">some frontloading of this </w:t>
      </w:r>
      <w:r w:rsidRPr="4E666B3A">
        <w:rPr>
          <w:sz w:val="21"/>
          <w:szCs w:val="21"/>
        </w:rPr>
        <w:t xml:space="preserve">capital investment </w:t>
      </w:r>
      <w:r w:rsidR="006C0135">
        <w:rPr>
          <w:sz w:val="21"/>
          <w:szCs w:val="21"/>
        </w:rPr>
        <w:t xml:space="preserve">from </w:t>
      </w:r>
      <w:r w:rsidRPr="4E666B3A">
        <w:rPr>
          <w:sz w:val="21"/>
          <w:szCs w:val="21"/>
        </w:rPr>
        <w:t xml:space="preserve">year </w:t>
      </w:r>
      <w:r w:rsidR="006C0135">
        <w:rPr>
          <w:sz w:val="21"/>
          <w:szCs w:val="21"/>
        </w:rPr>
        <w:t>2 to year 7 of the Partnership</w:t>
      </w:r>
      <w:r w:rsidRPr="4E666B3A">
        <w:rPr>
          <w:sz w:val="21"/>
          <w:szCs w:val="21"/>
        </w:rPr>
        <w:t xml:space="preserve"> (depending on internal budget allocation and availability).</w:t>
      </w:r>
    </w:p>
    <w:p w14:paraId="75B0983D" w14:textId="46FEA20D" w:rsidR="00C34F33" w:rsidRPr="0010181F" w:rsidRDefault="00C34F33" w:rsidP="0010181F">
      <w:pPr>
        <w:pStyle w:val="Heading3"/>
        <w:numPr>
          <w:ilvl w:val="0"/>
          <w:numId w:val="0"/>
        </w:numPr>
        <w:ind w:left="644" w:hanging="360"/>
      </w:pPr>
      <w:bookmarkStart w:id="338" w:name="_Toc216260392"/>
      <w:bookmarkStart w:id="339" w:name="_Toc216264107"/>
      <w:bookmarkStart w:id="340" w:name="_Toc216269956"/>
      <w:bookmarkStart w:id="341" w:name="_Toc216270655"/>
      <w:r w:rsidRPr="003E18AD">
        <w:t xml:space="preserve">6. </w:t>
      </w:r>
      <w:r w:rsidR="00222E06">
        <w:t xml:space="preserve"> </w:t>
      </w:r>
      <w:r w:rsidR="00E62A0F" w:rsidRPr="0010181F">
        <w:t>Collaborative learning and feedback cycles supports adaptation and innovation (including use of digital technologies)</w:t>
      </w:r>
      <w:bookmarkEnd w:id="338"/>
      <w:bookmarkEnd w:id="339"/>
      <w:bookmarkEnd w:id="340"/>
      <w:bookmarkEnd w:id="341"/>
    </w:p>
    <w:p w14:paraId="12CD43DD" w14:textId="7C9A6805" w:rsidR="00C34F33" w:rsidRPr="003E18AD" w:rsidRDefault="00C34F33" w:rsidP="00686269">
      <w:pPr>
        <w:pStyle w:val="ListParagraph"/>
        <w:numPr>
          <w:ilvl w:val="0"/>
          <w:numId w:val="85"/>
        </w:numPr>
        <w:spacing w:before="0"/>
        <w:contextualSpacing w:val="0"/>
        <w:rPr>
          <w:sz w:val="21"/>
          <w:szCs w:val="21"/>
        </w:rPr>
      </w:pPr>
      <w:r w:rsidRPr="003E18AD">
        <w:rPr>
          <w:sz w:val="21"/>
          <w:szCs w:val="21"/>
        </w:rPr>
        <w:t>The MERL</w:t>
      </w:r>
      <w:r w:rsidR="00872510">
        <w:rPr>
          <w:sz w:val="21"/>
          <w:szCs w:val="21"/>
        </w:rPr>
        <w:t xml:space="preserve"> system</w:t>
      </w:r>
      <w:r w:rsidRPr="003E18AD">
        <w:rPr>
          <w:sz w:val="21"/>
          <w:szCs w:val="21"/>
        </w:rPr>
        <w:t xml:space="preserve"> will have features that enable a program and portfolio-wide analysis of impact.</w:t>
      </w:r>
      <w:r w:rsidR="00C92510" w:rsidRPr="003E18AD">
        <w:rPr>
          <w:sz w:val="21"/>
          <w:szCs w:val="21"/>
        </w:rPr>
        <w:t xml:space="preserve"> </w:t>
      </w:r>
    </w:p>
    <w:p w14:paraId="67B137BF" w14:textId="02667FDF" w:rsidR="00C34F33" w:rsidRPr="003E18AD" w:rsidRDefault="00C34F33" w:rsidP="00686269">
      <w:pPr>
        <w:pStyle w:val="ListParagraph"/>
        <w:numPr>
          <w:ilvl w:val="0"/>
          <w:numId w:val="85"/>
        </w:numPr>
        <w:spacing w:before="0"/>
        <w:contextualSpacing w:val="0"/>
        <w:rPr>
          <w:sz w:val="21"/>
          <w:szCs w:val="21"/>
        </w:rPr>
      </w:pPr>
      <w:r w:rsidRPr="003E18AD">
        <w:rPr>
          <w:sz w:val="21"/>
          <w:szCs w:val="21"/>
        </w:rPr>
        <w:t>This includes a common structure for Activity and Project definitions and for their reporting, and collaborative efforts on reflection and insights on changes across the system related to program outcomes.</w:t>
      </w:r>
      <w:r w:rsidR="00C92510" w:rsidRPr="003E18AD">
        <w:rPr>
          <w:sz w:val="21"/>
          <w:szCs w:val="21"/>
        </w:rPr>
        <w:t xml:space="preserve"> </w:t>
      </w:r>
      <w:r w:rsidRPr="003E18AD">
        <w:rPr>
          <w:sz w:val="21"/>
          <w:szCs w:val="21"/>
        </w:rPr>
        <w:t>Each Activity (a timebound set of tasks to achieve a deliverable) will have an output (deliverable) as its main purpose; a Project will have multiple deliverables (defined as outputs) with a clear Objective.</w:t>
      </w:r>
      <w:r w:rsidR="00C92510" w:rsidRPr="003E18AD">
        <w:rPr>
          <w:sz w:val="21"/>
          <w:szCs w:val="21"/>
        </w:rPr>
        <w:t xml:space="preserve"> </w:t>
      </w:r>
      <w:r w:rsidRPr="003E18AD">
        <w:rPr>
          <w:sz w:val="21"/>
          <w:szCs w:val="21"/>
        </w:rPr>
        <w:t>All outputs and objectives will be coded and linked to the program-wide Outputs and Intermediate Outcomes for MERL purposes.</w:t>
      </w:r>
    </w:p>
    <w:p w14:paraId="14B478A6" w14:textId="5001AD04" w:rsidR="00C34F33" w:rsidRPr="003E18AD" w:rsidRDefault="00C34F33" w:rsidP="00686269">
      <w:pPr>
        <w:pStyle w:val="ListParagraph"/>
        <w:numPr>
          <w:ilvl w:val="0"/>
          <w:numId w:val="85"/>
        </w:numPr>
        <w:spacing w:before="0"/>
        <w:contextualSpacing w:val="0"/>
        <w:rPr>
          <w:sz w:val="21"/>
          <w:szCs w:val="21"/>
        </w:rPr>
      </w:pPr>
      <w:r w:rsidRPr="003E18AD">
        <w:rPr>
          <w:sz w:val="21"/>
          <w:szCs w:val="21"/>
        </w:rPr>
        <w:t>Methodologies and processes will be introduced to gain insights from innovation and learning (</w:t>
      </w:r>
      <w:r w:rsidR="00772EAF" w:rsidRPr="003E18AD">
        <w:rPr>
          <w:i/>
          <w:iCs/>
          <w:sz w:val="21"/>
          <w:szCs w:val="21"/>
        </w:rPr>
        <w:t>see Monitoring, Evaluation and Learning Section</w:t>
      </w:r>
      <w:r w:rsidRPr="003E18AD">
        <w:rPr>
          <w:sz w:val="21"/>
          <w:szCs w:val="21"/>
        </w:rPr>
        <w:t>), and collaborative reflection and learning events will be conducted with participation of all Partners and selected stakeholders.</w:t>
      </w:r>
    </w:p>
    <w:p w14:paraId="6A853F1C" w14:textId="77777777" w:rsidR="00C34F33" w:rsidRPr="003E18AD" w:rsidRDefault="00C34F33" w:rsidP="0010181F">
      <w:pPr>
        <w:pStyle w:val="Heading3"/>
        <w:numPr>
          <w:ilvl w:val="0"/>
          <w:numId w:val="0"/>
        </w:numPr>
        <w:ind w:left="644" w:hanging="360"/>
        <w:rPr>
          <w:sz w:val="21"/>
          <w:szCs w:val="21"/>
        </w:rPr>
      </w:pPr>
      <w:bookmarkStart w:id="342" w:name="_Toc216260393"/>
      <w:bookmarkStart w:id="343" w:name="_Toc216264108"/>
      <w:bookmarkStart w:id="344" w:name="_Toc216269957"/>
      <w:bookmarkStart w:id="345" w:name="_Toc216270656"/>
      <w:r w:rsidRPr="003E18AD">
        <w:rPr>
          <w:sz w:val="21"/>
          <w:szCs w:val="21"/>
        </w:rPr>
        <w:t xml:space="preserve">7. </w:t>
      </w:r>
      <w:r w:rsidRPr="0010181F">
        <w:t>Policy engagement and public diplomacy supported by governance and management arrangements.</w:t>
      </w:r>
      <w:bookmarkEnd w:id="342"/>
      <w:bookmarkEnd w:id="343"/>
      <w:bookmarkEnd w:id="344"/>
      <w:bookmarkEnd w:id="345"/>
    </w:p>
    <w:p w14:paraId="52B4419D" w14:textId="3B7D7456" w:rsidR="00772EAF" w:rsidRPr="003E18AD" w:rsidRDefault="731D2F33" w:rsidP="00686269">
      <w:pPr>
        <w:pStyle w:val="ListParagraph"/>
        <w:numPr>
          <w:ilvl w:val="0"/>
          <w:numId w:val="86"/>
        </w:numPr>
        <w:spacing w:before="0"/>
        <w:contextualSpacing w:val="0"/>
        <w:rPr>
          <w:sz w:val="21"/>
          <w:szCs w:val="21"/>
        </w:rPr>
      </w:pPr>
      <w:r w:rsidRPr="1169CFB7">
        <w:rPr>
          <w:sz w:val="21"/>
          <w:szCs w:val="21"/>
        </w:rPr>
        <w:t xml:space="preserve">Policy engagement across the investment will be regarded as a function of all Partners, with DFAT (and others) having distinctive roles related to their positioning and convening power. </w:t>
      </w:r>
      <w:r w:rsidR="009716C7" w:rsidRPr="4E666B3A">
        <w:rPr>
          <w:sz w:val="21"/>
          <w:szCs w:val="21"/>
        </w:rPr>
        <w:t xml:space="preserve">Sector </w:t>
      </w:r>
      <w:r w:rsidR="00772EAF" w:rsidRPr="4E666B3A">
        <w:rPr>
          <w:sz w:val="21"/>
          <w:szCs w:val="21"/>
        </w:rPr>
        <w:t xml:space="preserve">Engagement </w:t>
      </w:r>
      <w:r w:rsidR="00872510">
        <w:rPr>
          <w:sz w:val="21"/>
          <w:szCs w:val="21"/>
        </w:rPr>
        <w:t xml:space="preserve">Strategies </w:t>
      </w:r>
      <w:r w:rsidR="562B8CAE" w:rsidRPr="4E666B3A">
        <w:rPr>
          <w:sz w:val="21"/>
          <w:szCs w:val="21"/>
        </w:rPr>
        <w:t>will include</w:t>
      </w:r>
      <w:r w:rsidR="00772EAF" w:rsidRPr="4E666B3A">
        <w:rPr>
          <w:sz w:val="21"/>
          <w:szCs w:val="21"/>
        </w:rPr>
        <w:t xml:space="preserve"> policy intent and objectives, stakeholders, political economy analysis, and roles and responsibilities of Delivery Partners.</w:t>
      </w:r>
      <w:r w:rsidR="00C92510" w:rsidRPr="4E666B3A">
        <w:rPr>
          <w:sz w:val="21"/>
          <w:szCs w:val="21"/>
        </w:rPr>
        <w:t xml:space="preserve"> </w:t>
      </w:r>
      <w:r w:rsidR="00772EAF" w:rsidRPr="4E666B3A">
        <w:rPr>
          <w:sz w:val="21"/>
          <w:szCs w:val="21"/>
        </w:rPr>
        <w:t xml:space="preserve">This will be the DFAT Post team’s primary management tool for program monitoring and oversight, with Activity and Project management delegated largely to the </w:t>
      </w:r>
      <w:r w:rsidR="00772EAF" w:rsidRPr="4E666B3A">
        <w:rPr>
          <w:sz w:val="21"/>
          <w:szCs w:val="21"/>
        </w:rPr>
        <w:lastRenderedPageBreak/>
        <w:t xml:space="preserve">Primary Contractor and other Delivery Partners, apart from </w:t>
      </w:r>
      <w:proofErr w:type="gramStart"/>
      <w:r w:rsidR="00772EAF" w:rsidRPr="4E666B3A">
        <w:rPr>
          <w:sz w:val="21"/>
          <w:szCs w:val="21"/>
        </w:rPr>
        <w:t>high risk</w:t>
      </w:r>
      <w:proofErr w:type="gramEnd"/>
      <w:r w:rsidR="00772EAF" w:rsidRPr="4E666B3A">
        <w:rPr>
          <w:sz w:val="21"/>
          <w:szCs w:val="21"/>
        </w:rPr>
        <w:t xml:space="preserve"> Activities and Projects</w:t>
      </w:r>
      <w:r w:rsidR="006D570F">
        <w:rPr>
          <w:sz w:val="21"/>
          <w:szCs w:val="21"/>
        </w:rPr>
        <w:t xml:space="preserve"> (including any </w:t>
      </w:r>
      <w:r w:rsidR="00772EAF" w:rsidRPr="4E666B3A">
        <w:rPr>
          <w:sz w:val="21"/>
          <w:szCs w:val="21"/>
        </w:rPr>
        <w:t>with limited line of sight to Program outputs and Intermediate Outcomes</w:t>
      </w:r>
      <w:r w:rsidR="006D570F">
        <w:rPr>
          <w:sz w:val="21"/>
          <w:szCs w:val="21"/>
        </w:rPr>
        <w:t>)</w:t>
      </w:r>
      <w:r w:rsidR="00772EAF" w:rsidRPr="4E666B3A">
        <w:rPr>
          <w:sz w:val="21"/>
          <w:szCs w:val="21"/>
        </w:rPr>
        <w:t>.</w:t>
      </w:r>
    </w:p>
    <w:p w14:paraId="7EE54CB1" w14:textId="56E4E1FB" w:rsidR="00C34F33" w:rsidRPr="003E18AD" w:rsidRDefault="00C34F33" w:rsidP="00686269">
      <w:pPr>
        <w:pStyle w:val="ListParagraph"/>
        <w:numPr>
          <w:ilvl w:val="0"/>
          <w:numId w:val="86"/>
        </w:numPr>
        <w:spacing w:before="0"/>
        <w:rPr>
          <w:sz w:val="21"/>
          <w:szCs w:val="21"/>
        </w:rPr>
      </w:pPr>
      <w:r w:rsidRPr="003E18AD">
        <w:rPr>
          <w:sz w:val="21"/>
          <w:szCs w:val="21"/>
        </w:rPr>
        <w:t xml:space="preserve">A dedicated Communications function will be embedded in the Primary Contractor to support all Partners efforts on </w:t>
      </w:r>
      <w:r w:rsidR="00120644">
        <w:rPr>
          <w:sz w:val="21"/>
          <w:szCs w:val="21"/>
        </w:rPr>
        <w:t>public diplomacy</w:t>
      </w:r>
      <w:r w:rsidRPr="003E18AD">
        <w:rPr>
          <w:sz w:val="21"/>
          <w:szCs w:val="21"/>
        </w:rPr>
        <w:t>, with direct links to the DFAT Post P</w:t>
      </w:r>
      <w:r w:rsidR="00120644">
        <w:rPr>
          <w:sz w:val="21"/>
          <w:szCs w:val="21"/>
        </w:rPr>
        <w:t xml:space="preserve">ublic </w:t>
      </w:r>
      <w:r w:rsidRPr="003E18AD">
        <w:rPr>
          <w:sz w:val="21"/>
          <w:szCs w:val="21"/>
        </w:rPr>
        <w:t>D</w:t>
      </w:r>
      <w:r w:rsidR="00120644">
        <w:rPr>
          <w:sz w:val="21"/>
          <w:szCs w:val="21"/>
        </w:rPr>
        <w:t>iplomacy</w:t>
      </w:r>
      <w:r w:rsidRPr="003E18AD">
        <w:rPr>
          <w:sz w:val="21"/>
          <w:szCs w:val="21"/>
        </w:rPr>
        <w:t xml:space="preserve"> and management teams.</w:t>
      </w:r>
    </w:p>
    <w:p w14:paraId="05BCA0A0" w14:textId="5890ADC0" w:rsidR="00736C9D" w:rsidRPr="003E18AD" w:rsidRDefault="00736C9D" w:rsidP="00D2498B">
      <w:pPr>
        <w:pStyle w:val="Heading2"/>
      </w:pPr>
      <w:bookmarkStart w:id="346" w:name="_Toc216260394"/>
      <w:bookmarkStart w:id="347" w:name="_Toc216264109"/>
      <w:bookmarkStart w:id="348" w:name="_Toc216270657"/>
      <w:r w:rsidRPr="003E18AD">
        <w:t xml:space="preserve">Scope and </w:t>
      </w:r>
      <w:r w:rsidR="00894DEB">
        <w:t>g</w:t>
      </w:r>
      <w:r w:rsidRPr="003E18AD">
        <w:t xml:space="preserve">eographic </w:t>
      </w:r>
      <w:r w:rsidR="00894DEB">
        <w:t>t</w:t>
      </w:r>
      <w:r w:rsidRPr="003E18AD">
        <w:t>argeting</w:t>
      </w:r>
      <w:bookmarkEnd w:id="346"/>
      <w:bookmarkEnd w:id="347"/>
      <w:bookmarkEnd w:id="348"/>
    </w:p>
    <w:p w14:paraId="2AFE0475" w14:textId="25BE32C0" w:rsidR="00736C9D" w:rsidRPr="003E18AD" w:rsidRDefault="00736C9D" w:rsidP="00736C9D">
      <w:pPr>
        <w:rPr>
          <w:rFonts w:eastAsia="Times New Roman" w:cs="Times New Roman"/>
          <w:sz w:val="21"/>
          <w:szCs w:val="21"/>
        </w:rPr>
      </w:pPr>
      <w:r w:rsidRPr="003E18AD">
        <w:rPr>
          <w:rFonts w:eastAsia="Times New Roman" w:cs="Times New Roman"/>
          <w:sz w:val="21"/>
          <w:szCs w:val="21"/>
        </w:rPr>
        <w:t xml:space="preserve">While the investment has a broad scope of intent reflected in the End of Program </w:t>
      </w:r>
      <w:r w:rsidR="009F243A">
        <w:rPr>
          <w:rFonts w:eastAsia="Times New Roman" w:cs="Times New Roman"/>
          <w:sz w:val="21"/>
          <w:szCs w:val="21"/>
        </w:rPr>
        <w:t>O</w:t>
      </w:r>
      <w:r w:rsidR="009F243A" w:rsidRPr="003E18AD">
        <w:rPr>
          <w:rFonts w:eastAsia="Times New Roman" w:cs="Times New Roman"/>
          <w:sz w:val="21"/>
          <w:szCs w:val="21"/>
        </w:rPr>
        <w:t>utcomes</w:t>
      </w:r>
      <w:r w:rsidRPr="003E18AD">
        <w:rPr>
          <w:rFonts w:eastAsia="Times New Roman" w:cs="Times New Roman"/>
          <w:sz w:val="21"/>
          <w:szCs w:val="21"/>
        </w:rPr>
        <w:t>, the design and management arrangements are structured to result in a set of integrated, coherent and interdependent activities that work together to achieve impact.</w:t>
      </w:r>
      <w:r w:rsidR="00C92510" w:rsidRPr="003E18AD">
        <w:rPr>
          <w:rFonts w:eastAsia="Times New Roman" w:cs="Times New Roman"/>
          <w:sz w:val="21"/>
          <w:szCs w:val="21"/>
        </w:rPr>
        <w:t xml:space="preserve"> </w:t>
      </w:r>
      <w:r w:rsidR="006B1E85" w:rsidRPr="003E18AD">
        <w:rPr>
          <w:rFonts w:eastAsia="Times New Roman" w:cs="Times New Roman"/>
          <w:sz w:val="21"/>
          <w:szCs w:val="21"/>
        </w:rPr>
        <w:t>Key features of the arrangements to achieve this include:</w:t>
      </w:r>
    </w:p>
    <w:p w14:paraId="6B3F9852" w14:textId="63564331" w:rsidR="006B1E85" w:rsidRPr="003E18AD" w:rsidRDefault="006B1E85" w:rsidP="00686269">
      <w:pPr>
        <w:pStyle w:val="ListParagraph"/>
        <w:numPr>
          <w:ilvl w:val="0"/>
          <w:numId w:val="87"/>
        </w:numPr>
        <w:spacing w:before="0"/>
        <w:contextualSpacing w:val="0"/>
        <w:rPr>
          <w:rFonts w:eastAsia="Times New Roman" w:cs="Times New Roman"/>
          <w:sz w:val="21"/>
          <w:szCs w:val="21"/>
        </w:rPr>
      </w:pPr>
      <w:r w:rsidRPr="003E18AD">
        <w:rPr>
          <w:rFonts w:eastAsia="Times New Roman" w:cs="Times New Roman"/>
          <w:sz w:val="21"/>
          <w:szCs w:val="21"/>
        </w:rPr>
        <w:t>An ‘outcome’ and ‘principles’ driven design which has a strategic approach and clear intent to guide decision making and behaviour when selecting Activities and Projects.</w:t>
      </w:r>
      <w:r w:rsidR="00C92510" w:rsidRPr="003E18AD">
        <w:rPr>
          <w:rFonts w:eastAsia="Times New Roman" w:cs="Times New Roman"/>
          <w:sz w:val="21"/>
          <w:szCs w:val="21"/>
        </w:rPr>
        <w:t xml:space="preserve"> </w:t>
      </w:r>
      <w:r w:rsidRPr="003E18AD">
        <w:rPr>
          <w:rFonts w:eastAsia="Times New Roman" w:cs="Times New Roman"/>
          <w:sz w:val="21"/>
          <w:szCs w:val="21"/>
        </w:rPr>
        <w:t>Building a collaborative partnership and learning culture is critical to effective decision making by all parties.</w:t>
      </w:r>
    </w:p>
    <w:p w14:paraId="11CEB0E5" w14:textId="70063C55" w:rsidR="006B1E85" w:rsidRPr="003E18AD" w:rsidRDefault="006B1E85" w:rsidP="00686269">
      <w:pPr>
        <w:pStyle w:val="ListParagraph"/>
        <w:numPr>
          <w:ilvl w:val="0"/>
          <w:numId w:val="87"/>
        </w:numPr>
        <w:spacing w:before="0"/>
        <w:contextualSpacing w:val="0"/>
        <w:rPr>
          <w:rFonts w:eastAsia="Times New Roman" w:cs="Times New Roman"/>
          <w:sz w:val="21"/>
          <w:szCs w:val="21"/>
        </w:rPr>
      </w:pPr>
      <w:r w:rsidRPr="4E666B3A">
        <w:rPr>
          <w:rFonts w:eastAsia="Times New Roman" w:cs="Times New Roman"/>
          <w:sz w:val="21"/>
          <w:szCs w:val="21"/>
        </w:rPr>
        <w:t xml:space="preserve">A clear set of core focus sectors, with common Activity and Project selection criteria, and delegated authority within clear boundaries of Sector Engagement </w:t>
      </w:r>
      <w:r w:rsidR="1E2FD4AD" w:rsidRPr="4E666B3A">
        <w:rPr>
          <w:rFonts w:eastAsia="Times New Roman" w:cs="Times New Roman"/>
          <w:sz w:val="21"/>
          <w:szCs w:val="21"/>
        </w:rPr>
        <w:t xml:space="preserve">Frameworks </w:t>
      </w:r>
      <w:r w:rsidRPr="4E666B3A">
        <w:rPr>
          <w:rFonts w:eastAsia="Times New Roman" w:cs="Times New Roman"/>
          <w:sz w:val="21"/>
          <w:szCs w:val="21"/>
        </w:rPr>
        <w:t>to incentivise focused planning</w:t>
      </w:r>
    </w:p>
    <w:p w14:paraId="254B29B3" w14:textId="4040A4AE" w:rsidR="006B1E85" w:rsidRPr="003E18AD" w:rsidRDefault="006B1E85" w:rsidP="00686269">
      <w:pPr>
        <w:pStyle w:val="ListParagraph"/>
        <w:numPr>
          <w:ilvl w:val="0"/>
          <w:numId w:val="87"/>
        </w:numPr>
        <w:spacing w:before="0"/>
        <w:contextualSpacing w:val="0"/>
        <w:rPr>
          <w:rFonts w:eastAsia="Times New Roman" w:cs="Times New Roman"/>
          <w:sz w:val="21"/>
          <w:szCs w:val="21"/>
        </w:rPr>
      </w:pPr>
      <w:r w:rsidRPr="003E18AD">
        <w:rPr>
          <w:rFonts w:eastAsia="Times New Roman" w:cs="Times New Roman"/>
          <w:sz w:val="21"/>
          <w:szCs w:val="21"/>
        </w:rPr>
        <w:t>An overall budget allocation providing guidelines for Activity and Project selection and funding availability (limiting discretion for activities marginal or out of scope)</w:t>
      </w:r>
    </w:p>
    <w:p w14:paraId="5EA983B8" w14:textId="7F32EB5B" w:rsidR="006B1E85" w:rsidRPr="003E18AD" w:rsidRDefault="5D37CE6A" w:rsidP="00686269">
      <w:pPr>
        <w:pStyle w:val="ListParagraph"/>
        <w:numPr>
          <w:ilvl w:val="0"/>
          <w:numId w:val="87"/>
        </w:numPr>
        <w:spacing w:before="0"/>
        <w:contextualSpacing w:val="0"/>
        <w:rPr>
          <w:rFonts w:eastAsia="Times New Roman" w:cs="Times New Roman"/>
          <w:sz w:val="21"/>
          <w:szCs w:val="21"/>
        </w:rPr>
      </w:pPr>
      <w:r w:rsidRPr="1169CFB7">
        <w:rPr>
          <w:rFonts w:eastAsia="Times New Roman" w:cs="Times New Roman"/>
          <w:sz w:val="21"/>
          <w:szCs w:val="21"/>
        </w:rPr>
        <w:t>An intent to wo</w:t>
      </w:r>
      <w:r w:rsidR="23114B62" w:rsidRPr="1169CFB7">
        <w:rPr>
          <w:rFonts w:eastAsia="Times New Roman" w:cs="Times New Roman"/>
          <w:sz w:val="21"/>
          <w:szCs w:val="21"/>
        </w:rPr>
        <w:t>r</w:t>
      </w:r>
      <w:r w:rsidRPr="1169CFB7">
        <w:rPr>
          <w:rFonts w:eastAsia="Times New Roman" w:cs="Times New Roman"/>
          <w:sz w:val="21"/>
          <w:szCs w:val="21"/>
        </w:rPr>
        <w:t>k end-to-end and join up Activities and Projects with others in the design/planning stages</w:t>
      </w:r>
    </w:p>
    <w:p w14:paraId="463E7715" w14:textId="27C646A8" w:rsidR="006B1E85" w:rsidRPr="003E18AD" w:rsidRDefault="006B1E85" w:rsidP="00686269">
      <w:pPr>
        <w:pStyle w:val="ListParagraph"/>
        <w:numPr>
          <w:ilvl w:val="0"/>
          <w:numId w:val="87"/>
        </w:numPr>
        <w:spacing w:before="0"/>
        <w:contextualSpacing w:val="0"/>
        <w:rPr>
          <w:rFonts w:eastAsia="Times New Roman" w:cs="Times New Roman"/>
          <w:sz w:val="21"/>
          <w:szCs w:val="21"/>
        </w:rPr>
      </w:pPr>
      <w:r w:rsidRPr="003E18AD">
        <w:rPr>
          <w:rFonts w:eastAsia="Times New Roman" w:cs="Times New Roman"/>
          <w:sz w:val="21"/>
          <w:szCs w:val="21"/>
        </w:rPr>
        <w:t>An emphasis on leveraging other funding sources (particularly private sector financing) so that few activities are ‘stand-alone’ or not scalable.</w:t>
      </w:r>
    </w:p>
    <w:p w14:paraId="68696E14" w14:textId="0CADBE0E" w:rsidR="006B1E85" w:rsidRPr="003E18AD" w:rsidRDefault="006B1E85" w:rsidP="00686269">
      <w:pPr>
        <w:pStyle w:val="ListParagraph"/>
        <w:numPr>
          <w:ilvl w:val="0"/>
          <w:numId w:val="87"/>
        </w:numPr>
        <w:spacing w:before="0"/>
        <w:contextualSpacing w:val="0"/>
        <w:rPr>
          <w:rFonts w:eastAsia="Times New Roman" w:cs="Times New Roman"/>
          <w:sz w:val="21"/>
          <w:szCs w:val="21"/>
        </w:rPr>
      </w:pPr>
      <w:r w:rsidRPr="003E18AD">
        <w:rPr>
          <w:rFonts w:eastAsia="Times New Roman" w:cs="Times New Roman"/>
          <w:sz w:val="21"/>
          <w:szCs w:val="21"/>
        </w:rPr>
        <w:t>Strong governance and decision</w:t>
      </w:r>
      <w:r w:rsidR="009F243A">
        <w:rPr>
          <w:rFonts w:eastAsia="Times New Roman" w:cs="Times New Roman"/>
          <w:sz w:val="21"/>
          <w:szCs w:val="21"/>
        </w:rPr>
        <w:t>-</w:t>
      </w:r>
      <w:r w:rsidRPr="003E18AD">
        <w:rPr>
          <w:rFonts w:eastAsia="Times New Roman" w:cs="Times New Roman"/>
          <w:sz w:val="21"/>
          <w:szCs w:val="21"/>
        </w:rPr>
        <w:t>making systems to impose discipline and focus.</w:t>
      </w:r>
    </w:p>
    <w:p w14:paraId="6D0D79E6" w14:textId="5A1617C3" w:rsidR="006B1E85" w:rsidRPr="003F0908" w:rsidRDefault="006B1E85" w:rsidP="00D2498B">
      <w:pPr>
        <w:pStyle w:val="Heading2"/>
      </w:pPr>
      <w:bookmarkStart w:id="349" w:name="_Toc216260395"/>
      <w:bookmarkStart w:id="350" w:name="_Toc216264110"/>
      <w:bookmarkStart w:id="351" w:name="_Toc216270658"/>
      <w:r w:rsidRPr="003F0908">
        <w:t>Location and targeting</w:t>
      </w:r>
      <w:bookmarkEnd w:id="349"/>
      <w:bookmarkEnd w:id="350"/>
      <w:bookmarkEnd w:id="351"/>
      <w:r w:rsidRPr="003F0908">
        <w:t xml:space="preserve"> </w:t>
      </w:r>
    </w:p>
    <w:p w14:paraId="55E55E35" w14:textId="3E0FE637" w:rsidR="00736C9D" w:rsidRPr="003E18AD" w:rsidRDefault="006B1E85" w:rsidP="0082216E">
      <w:pPr>
        <w:rPr>
          <w:rFonts w:eastAsia="Times New Roman" w:cs="Times New Roman"/>
          <w:sz w:val="21"/>
          <w:szCs w:val="21"/>
        </w:rPr>
      </w:pPr>
      <w:r w:rsidRPr="003E18AD">
        <w:rPr>
          <w:rFonts w:eastAsia="Times New Roman" w:cs="Times New Roman"/>
          <w:sz w:val="21"/>
          <w:szCs w:val="21"/>
        </w:rPr>
        <w:t>As a demand-driven responsive program Activities and Projects will emerge over time, in selected locations that build an inter-connected portfolio.</w:t>
      </w:r>
      <w:r w:rsidR="00C92510" w:rsidRPr="003E18AD">
        <w:rPr>
          <w:rFonts w:eastAsia="Times New Roman" w:cs="Times New Roman"/>
          <w:sz w:val="21"/>
          <w:szCs w:val="21"/>
        </w:rPr>
        <w:t xml:space="preserve"> </w:t>
      </w:r>
      <w:r w:rsidRPr="003E18AD">
        <w:rPr>
          <w:rFonts w:eastAsia="Times New Roman" w:cs="Times New Roman"/>
          <w:sz w:val="21"/>
          <w:szCs w:val="21"/>
        </w:rPr>
        <w:t>This enables judgement to be made about following opportunities in the political economy, being market driven and realistic about financing opportunities, while balancing the need to respond to locations most vulnerable to climate change and address the needs of people most affected while identifying the most significant opportunities to reduce emissions and achieve low carbon development using financing and infrastructure.</w:t>
      </w:r>
      <w:r w:rsidR="00C92510" w:rsidRPr="003E18AD">
        <w:rPr>
          <w:rFonts w:eastAsia="Times New Roman" w:cs="Times New Roman"/>
          <w:sz w:val="21"/>
          <w:szCs w:val="21"/>
        </w:rPr>
        <w:t xml:space="preserve"> </w:t>
      </w:r>
      <w:r w:rsidRPr="003E18AD">
        <w:rPr>
          <w:rFonts w:eastAsia="Times New Roman" w:cs="Times New Roman"/>
          <w:sz w:val="21"/>
          <w:szCs w:val="21"/>
        </w:rPr>
        <w:t xml:space="preserve">As part of the ‘balanced portfolio’ the Primary Contractor and other Delivery Partners will be mindful of addressing local government and </w:t>
      </w:r>
      <w:proofErr w:type="gramStart"/>
      <w:r w:rsidRPr="003E18AD">
        <w:rPr>
          <w:rFonts w:eastAsia="Times New Roman" w:cs="Times New Roman"/>
          <w:sz w:val="21"/>
          <w:szCs w:val="21"/>
        </w:rPr>
        <w:t>communities</w:t>
      </w:r>
      <w:proofErr w:type="gramEnd"/>
      <w:r w:rsidRPr="003E18AD">
        <w:rPr>
          <w:rFonts w:eastAsia="Times New Roman" w:cs="Times New Roman"/>
          <w:sz w:val="21"/>
          <w:szCs w:val="21"/>
        </w:rPr>
        <w:t xml:space="preserve"> priorities across Indonesia, with efforts needed at central and Provincial levels and in heavily populated centres where financing for development is more likely to be feasible.</w:t>
      </w:r>
      <w:r w:rsidR="00C92510" w:rsidRPr="003E18AD">
        <w:rPr>
          <w:rFonts w:eastAsia="Times New Roman" w:cs="Times New Roman"/>
          <w:sz w:val="21"/>
          <w:szCs w:val="21"/>
        </w:rPr>
        <w:t xml:space="preserve"> </w:t>
      </w:r>
      <w:r w:rsidRPr="003E18AD">
        <w:rPr>
          <w:rFonts w:eastAsia="Times New Roman" w:cs="Times New Roman"/>
          <w:sz w:val="21"/>
          <w:szCs w:val="21"/>
        </w:rPr>
        <w:t>This will be a significant focus for DFAT monitoring and reporting in the MERL system.</w:t>
      </w:r>
    </w:p>
    <w:p w14:paraId="066C3CA5" w14:textId="42D56442" w:rsidR="00A32858" w:rsidRPr="003E18AD" w:rsidRDefault="675EC150" w:rsidP="00D2498B">
      <w:pPr>
        <w:pStyle w:val="Heading2"/>
      </w:pPr>
      <w:bookmarkStart w:id="352" w:name="_Toc216260396"/>
      <w:bookmarkStart w:id="353" w:name="_Toc216270659"/>
      <w:r>
        <w:t xml:space="preserve">Governance </w:t>
      </w:r>
      <w:r w:rsidR="00894DEB">
        <w:t>a</w:t>
      </w:r>
      <w:r>
        <w:t xml:space="preserve">rrangements and </w:t>
      </w:r>
      <w:r w:rsidR="00894DEB">
        <w:t>s</w:t>
      </w:r>
      <w:r>
        <w:t>tructure</w:t>
      </w:r>
      <w:bookmarkEnd w:id="352"/>
      <w:bookmarkEnd w:id="353"/>
    </w:p>
    <w:p w14:paraId="39D035FD" w14:textId="1495335C" w:rsidR="0008352A" w:rsidRPr="003E18AD" w:rsidRDefault="007A723F" w:rsidP="0008352A">
      <w:pPr>
        <w:rPr>
          <w:rFonts w:eastAsia="Times New Roman" w:cs="Times New Roman"/>
          <w:sz w:val="21"/>
          <w:szCs w:val="21"/>
        </w:rPr>
      </w:pPr>
      <w:r w:rsidRPr="003E18AD">
        <w:rPr>
          <w:rFonts w:eastAsia="Times New Roman" w:cs="Times New Roman"/>
          <w:sz w:val="21"/>
          <w:szCs w:val="21"/>
        </w:rPr>
        <w:t>Governance of the investment operates at several levels that acknowledges the breadth and scope of the program and the participation of Delivery Partners, and multiple central and line Agencies of the GOI.</w:t>
      </w:r>
    </w:p>
    <w:p w14:paraId="3DF70C41" w14:textId="2F43CD99" w:rsidR="007A723F" w:rsidRPr="003E18AD" w:rsidRDefault="007436B9" w:rsidP="0008352A">
      <w:pPr>
        <w:rPr>
          <w:sz w:val="21"/>
          <w:szCs w:val="21"/>
        </w:rPr>
      </w:pPr>
      <w:bookmarkStart w:id="354" w:name="_Toc216260397"/>
      <w:bookmarkStart w:id="355" w:name="_Toc216264112"/>
      <w:bookmarkStart w:id="356" w:name="_Toc216269961"/>
      <w:bookmarkStart w:id="357" w:name="_Toc216270660"/>
      <w:r w:rsidRPr="007436B9">
        <w:rPr>
          <w:rStyle w:val="Heading3Char"/>
        </w:rPr>
        <w:t>Program Steering Committee (PSC)</w:t>
      </w:r>
      <w:bookmarkEnd w:id="354"/>
      <w:bookmarkEnd w:id="355"/>
      <w:bookmarkEnd w:id="356"/>
      <w:bookmarkEnd w:id="357"/>
      <w:r>
        <w:rPr>
          <w:sz w:val="21"/>
          <w:szCs w:val="21"/>
        </w:rPr>
        <w:br/>
      </w:r>
      <w:r w:rsidR="45550431" w:rsidRPr="1169CFB7">
        <w:rPr>
          <w:sz w:val="21"/>
          <w:szCs w:val="21"/>
        </w:rPr>
        <w:t xml:space="preserve">A formal bilateral </w:t>
      </w:r>
      <w:r w:rsidR="0078468F" w:rsidRPr="007436B9">
        <w:rPr>
          <w:rStyle w:val="Heading3Char"/>
          <w:b w:val="0"/>
          <w:bCs w:val="0"/>
        </w:rPr>
        <w:t>PSC</w:t>
      </w:r>
      <w:r w:rsidR="45550431" w:rsidRPr="007436B9">
        <w:rPr>
          <w:sz w:val="21"/>
          <w:szCs w:val="21"/>
        </w:rPr>
        <w:t xml:space="preserve"> between</w:t>
      </w:r>
      <w:r w:rsidR="45550431" w:rsidRPr="1169CFB7">
        <w:rPr>
          <w:sz w:val="21"/>
          <w:szCs w:val="21"/>
        </w:rPr>
        <w:t xml:space="preserve"> Australia and Indonesia will provide </w:t>
      </w:r>
      <w:r w:rsidR="45550431" w:rsidRPr="1169CFB7">
        <w:rPr>
          <w:rFonts w:eastAsia="Times New Roman" w:cs="Times New Roman"/>
          <w:sz w:val="21"/>
          <w:szCs w:val="21"/>
        </w:rPr>
        <w:t>strategic and policy oversight of the program.</w:t>
      </w:r>
      <w:r w:rsidR="25AEC871" w:rsidRPr="1169CFB7">
        <w:rPr>
          <w:rFonts w:eastAsia="Times New Roman" w:cs="Times New Roman"/>
          <w:sz w:val="21"/>
          <w:szCs w:val="21"/>
        </w:rPr>
        <w:t xml:space="preserve"> </w:t>
      </w:r>
      <w:r w:rsidR="45550431" w:rsidRPr="1169CFB7">
        <w:rPr>
          <w:rFonts w:eastAsia="Times New Roman" w:cs="Times New Roman"/>
          <w:sz w:val="21"/>
          <w:szCs w:val="21"/>
        </w:rPr>
        <w:t xml:space="preserve">This will be jointly chaired </w:t>
      </w:r>
      <w:r w:rsidR="006E5EB1">
        <w:rPr>
          <w:rFonts w:eastAsia="Times New Roman" w:cs="Times New Roman"/>
          <w:sz w:val="21"/>
          <w:szCs w:val="21"/>
        </w:rPr>
        <w:t xml:space="preserve">by the Australian Embassy </w:t>
      </w:r>
      <w:r w:rsidR="45550431" w:rsidRPr="1169CFB7">
        <w:rPr>
          <w:rFonts w:eastAsia="Times New Roman" w:cs="Times New Roman"/>
          <w:sz w:val="21"/>
          <w:szCs w:val="21"/>
        </w:rPr>
        <w:t xml:space="preserve">and </w:t>
      </w:r>
      <w:r w:rsidR="005854A0">
        <w:rPr>
          <w:rFonts w:eastAsia="Times New Roman" w:cs="Times New Roman"/>
          <w:sz w:val="21"/>
          <w:szCs w:val="21"/>
        </w:rPr>
        <w:t xml:space="preserve">Government of </w:t>
      </w:r>
      <w:r w:rsidR="006E5EB1">
        <w:rPr>
          <w:rFonts w:eastAsia="Times New Roman" w:cs="Times New Roman"/>
          <w:sz w:val="21"/>
          <w:szCs w:val="21"/>
        </w:rPr>
        <w:t>Indonesia</w:t>
      </w:r>
      <w:r w:rsidR="315643ED" w:rsidRPr="1169CFB7">
        <w:rPr>
          <w:rFonts w:eastAsia="Times New Roman" w:cs="Times New Roman"/>
          <w:sz w:val="21"/>
          <w:szCs w:val="21"/>
        </w:rPr>
        <w:t xml:space="preserve">. </w:t>
      </w:r>
      <w:r w:rsidR="45550431" w:rsidRPr="1169CFB7">
        <w:rPr>
          <w:sz w:val="21"/>
          <w:szCs w:val="21"/>
        </w:rPr>
        <w:t xml:space="preserve">Participants will include </w:t>
      </w:r>
      <w:r w:rsidR="78DB692D" w:rsidRPr="1169CFB7">
        <w:rPr>
          <w:sz w:val="21"/>
          <w:szCs w:val="21"/>
        </w:rPr>
        <w:t xml:space="preserve">representatives of other key GOI </w:t>
      </w:r>
      <w:r w:rsidR="425BD136" w:rsidRPr="1169CFB7">
        <w:rPr>
          <w:sz w:val="21"/>
          <w:szCs w:val="21"/>
        </w:rPr>
        <w:t>Ministries</w:t>
      </w:r>
      <w:r w:rsidR="45550431" w:rsidRPr="1169CFB7">
        <w:rPr>
          <w:sz w:val="21"/>
          <w:szCs w:val="21"/>
        </w:rPr>
        <w:t>. The P</w:t>
      </w:r>
      <w:r w:rsidR="004A7988">
        <w:rPr>
          <w:sz w:val="21"/>
          <w:szCs w:val="21"/>
        </w:rPr>
        <w:t>S</w:t>
      </w:r>
      <w:r w:rsidR="45550431" w:rsidRPr="1169CFB7">
        <w:rPr>
          <w:sz w:val="21"/>
          <w:szCs w:val="21"/>
        </w:rPr>
        <w:t>C will meet annually</w:t>
      </w:r>
      <w:r w:rsidR="2E1B8ABB" w:rsidRPr="1169CFB7">
        <w:rPr>
          <w:sz w:val="21"/>
          <w:szCs w:val="21"/>
        </w:rPr>
        <w:t xml:space="preserve"> and endo</w:t>
      </w:r>
      <w:r w:rsidR="004A7988">
        <w:rPr>
          <w:sz w:val="21"/>
          <w:szCs w:val="21"/>
        </w:rPr>
        <w:t>r</w:t>
      </w:r>
      <w:r w:rsidR="2E1B8ABB" w:rsidRPr="1169CFB7">
        <w:rPr>
          <w:sz w:val="21"/>
          <w:szCs w:val="21"/>
        </w:rPr>
        <w:t>se</w:t>
      </w:r>
      <w:r w:rsidR="004A7988">
        <w:rPr>
          <w:sz w:val="21"/>
          <w:szCs w:val="21"/>
        </w:rPr>
        <w:t xml:space="preserve"> </w:t>
      </w:r>
      <w:r w:rsidR="733E862B" w:rsidRPr="1169CFB7">
        <w:rPr>
          <w:sz w:val="21"/>
          <w:szCs w:val="21"/>
        </w:rPr>
        <w:t>t</w:t>
      </w:r>
      <w:r w:rsidR="3B72CB90" w:rsidRPr="1169CFB7">
        <w:rPr>
          <w:sz w:val="21"/>
          <w:szCs w:val="21"/>
        </w:rPr>
        <w:t xml:space="preserve">he Annual Plans (of all </w:t>
      </w:r>
      <w:r w:rsidR="3B72CB90" w:rsidRPr="1169CFB7">
        <w:rPr>
          <w:rFonts w:eastAsia="Times New Roman" w:cs="Times New Roman"/>
          <w:sz w:val="21"/>
          <w:szCs w:val="21"/>
        </w:rPr>
        <w:t>Partners</w:t>
      </w:r>
      <w:r w:rsidR="3B72CB90" w:rsidRPr="1169CFB7">
        <w:rPr>
          <w:sz w:val="21"/>
          <w:szCs w:val="21"/>
        </w:rPr>
        <w:t xml:space="preserve">) and Reports. </w:t>
      </w:r>
      <w:r w:rsidR="006E5EB1">
        <w:rPr>
          <w:sz w:val="21"/>
          <w:szCs w:val="21"/>
        </w:rPr>
        <w:t xml:space="preserve">The Primary Contractor </w:t>
      </w:r>
      <w:r w:rsidR="45550431" w:rsidRPr="1169CFB7">
        <w:rPr>
          <w:sz w:val="21"/>
          <w:szCs w:val="21"/>
        </w:rPr>
        <w:t>will operate as Secretariat for this formal meeting.</w:t>
      </w:r>
    </w:p>
    <w:p w14:paraId="63976847" w14:textId="77777777" w:rsidR="007436B9" w:rsidRDefault="007436B9" w:rsidP="0008352A">
      <w:pPr>
        <w:rPr>
          <w:sz w:val="21"/>
          <w:szCs w:val="21"/>
        </w:rPr>
      </w:pPr>
      <w:r w:rsidRPr="1169CFB7">
        <w:rPr>
          <w:b/>
          <w:bCs/>
          <w:sz w:val="21"/>
          <w:szCs w:val="21"/>
        </w:rPr>
        <w:t>Partnership Coordination Committee</w:t>
      </w:r>
      <w:r w:rsidRPr="1169CFB7">
        <w:rPr>
          <w:sz w:val="21"/>
          <w:szCs w:val="21"/>
        </w:rPr>
        <w:t xml:space="preserve"> </w:t>
      </w:r>
      <w:r w:rsidRPr="007F0EEE">
        <w:rPr>
          <w:b/>
          <w:bCs/>
          <w:sz w:val="21"/>
          <w:szCs w:val="21"/>
        </w:rPr>
        <w:t>(PCC)</w:t>
      </w:r>
      <w:r>
        <w:rPr>
          <w:sz w:val="21"/>
          <w:szCs w:val="21"/>
        </w:rPr>
        <w:t xml:space="preserve"> </w:t>
      </w:r>
      <w:r>
        <w:rPr>
          <w:sz w:val="21"/>
          <w:szCs w:val="21"/>
        </w:rPr>
        <w:br/>
      </w:r>
      <w:r w:rsidR="45550431" w:rsidRPr="1169CFB7">
        <w:rPr>
          <w:sz w:val="21"/>
          <w:szCs w:val="21"/>
        </w:rPr>
        <w:t>A</w:t>
      </w:r>
      <w:r w:rsidR="77776A30" w:rsidRPr="1169CFB7">
        <w:rPr>
          <w:sz w:val="21"/>
          <w:szCs w:val="21"/>
        </w:rPr>
        <w:t xml:space="preserve">n </w:t>
      </w:r>
      <w:r w:rsidR="45550431" w:rsidRPr="1169CFB7">
        <w:rPr>
          <w:sz w:val="21"/>
          <w:szCs w:val="21"/>
        </w:rPr>
        <w:t xml:space="preserve">operational multi-stakeholder </w:t>
      </w:r>
      <w:r w:rsidR="0078468F" w:rsidRPr="007436B9">
        <w:rPr>
          <w:sz w:val="21"/>
          <w:szCs w:val="21"/>
        </w:rPr>
        <w:t>PCC</w:t>
      </w:r>
      <w:r w:rsidR="0078468F">
        <w:rPr>
          <w:sz w:val="21"/>
          <w:szCs w:val="21"/>
        </w:rPr>
        <w:t xml:space="preserve"> </w:t>
      </w:r>
      <w:r w:rsidR="45550431" w:rsidRPr="1169CFB7">
        <w:rPr>
          <w:sz w:val="21"/>
          <w:szCs w:val="21"/>
        </w:rPr>
        <w:t>will provide operational direction, planning, review and learning for the program.</w:t>
      </w:r>
      <w:r w:rsidR="25AEC871" w:rsidRPr="1169CFB7">
        <w:rPr>
          <w:sz w:val="21"/>
          <w:szCs w:val="21"/>
        </w:rPr>
        <w:t xml:space="preserve"> </w:t>
      </w:r>
      <w:r w:rsidR="45550431" w:rsidRPr="1169CFB7">
        <w:rPr>
          <w:sz w:val="21"/>
          <w:szCs w:val="21"/>
        </w:rPr>
        <w:t>Participants will include senior representatives of all Delivery Partners participating in the program</w:t>
      </w:r>
      <w:r w:rsidR="006B3678">
        <w:rPr>
          <w:sz w:val="21"/>
          <w:szCs w:val="21"/>
        </w:rPr>
        <w:t>, including representatives from Disabled People’s Organisations</w:t>
      </w:r>
      <w:r w:rsidR="45550431" w:rsidRPr="1169CFB7">
        <w:rPr>
          <w:sz w:val="21"/>
          <w:szCs w:val="21"/>
        </w:rPr>
        <w:t>.</w:t>
      </w:r>
      <w:r w:rsidR="25AEC871" w:rsidRPr="1169CFB7">
        <w:rPr>
          <w:sz w:val="21"/>
          <w:szCs w:val="21"/>
        </w:rPr>
        <w:t xml:space="preserve"> </w:t>
      </w:r>
      <w:r w:rsidR="45550431" w:rsidRPr="1169CFB7">
        <w:rPr>
          <w:sz w:val="21"/>
          <w:szCs w:val="21"/>
        </w:rPr>
        <w:t>The P</w:t>
      </w:r>
      <w:r w:rsidR="004A7988">
        <w:rPr>
          <w:sz w:val="21"/>
          <w:szCs w:val="21"/>
        </w:rPr>
        <w:t>C</w:t>
      </w:r>
      <w:r w:rsidR="45550431" w:rsidRPr="1169CFB7">
        <w:rPr>
          <w:sz w:val="21"/>
          <w:szCs w:val="21"/>
        </w:rPr>
        <w:t>C will meet six monthly.</w:t>
      </w:r>
      <w:r w:rsidR="25AEC871" w:rsidRPr="1169CFB7">
        <w:rPr>
          <w:sz w:val="21"/>
          <w:szCs w:val="21"/>
        </w:rPr>
        <w:t xml:space="preserve"> </w:t>
      </w:r>
      <w:r w:rsidR="45550431" w:rsidRPr="1169CFB7">
        <w:rPr>
          <w:sz w:val="21"/>
          <w:szCs w:val="21"/>
        </w:rPr>
        <w:t xml:space="preserve">The </w:t>
      </w:r>
      <w:r w:rsidR="006E5EB1">
        <w:rPr>
          <w:sz w:val="21"/>
          <w:szCs w:val="21"/>
        </w:rPr>
        <w:t>P</w:t>
      </w:r>
      <w:r w:rsidR="45550431" w:rsidRPr="1169CFB7">
        <w:rPr>
          <w:sz w:val="21"/>
          <w:szCs w:val="21"/>
        </w:rPr>
        <w:t>rimary Contractor will function as Secretariat for this meeting.</w:t>
      </w:r>
      <w:r w:rsidR="25AEC871" w:rsidRPr="1169CFB7">
        <w:rPr>
          <w:sz w:val="21"/>
          <w:szCs w:val="21"/>
        </w:rPr>
        <w:t xml:space="preserve"> </w:t>
      </w:r>
      <w:r w:rsidR="45550431" w:rsidRPr="1169CFB7">
        <w:rPr>
          <w:sz w:val="21"/>
          <w:szCs w:val="21"/>
        </w:rPr>
        <w:t xml:space="preserve">Partners will report on progress, lessons and issues arising. </w:t>
      </w:r>
      <w:r w:rsidR="25AEC871" w:rsidRPr="1169CFB7">
        <w:rPr>
          <w:sz w:val="21"/>
          <w:szCs w:val="21"/>
        </w:rPr>
        <w:t xml:space="preserve"> </w:t>
      </w:r>
    </w:p>
    <w:p w14:paraId="01880228" w14:textId="77777777" w:rsidR="007436B9" w:rsidRDefault="007436B9" w:rsidP="0008352A">
      <w:pPr>
        <w:rPr>
          <w:sz w:val="21"/>
          <w:szCs w:val="21"/>
        </w:rPr>
      </w:pPr>
    </w:p>
    <w:p w14:paraId="233EED0C" w14:textId="3D0C7F0D" w:rsidR="007436B9" w:rsidRPr="007436B9" w:rsidRDefault="007436B9" w:rsidP="007436B9">
      <w:pPr>
        <w:pStyle w:val="Heading3"/>
        <w:numPr>
          <w:ilvl w:val="0"/>
          <w:numId w:val="0"/>
        </w:numPr>
        <w:rPr>
          <w:b w:val="0"/>
          <w:bCs w:val="0"/>
          <w:sz w:val="21"/>
          <w:szCs w:val="21"/>
        </w:rPr>
      </w:pPr>
      <w:bookmarkStart w:id="358" w:name="_Toc216260398"/>
      <w:bookmarkStart w:id="359" w:name="_Toc216264113"/>
      <w:bookmarkStart w:id="360" w:name="_Toc216269962"/>
      <w:bookmarkStart w:id="361" w:name="_Toc216270661"/>
      <w:r w:rsidRPr="007436B9">
        <w:t xml:space="preserve">Partnership Charter </w:t>
      </w:r>
      <w:r>
        <w:br/>
      </w:r>
      <w:r w:rsidR="45550431" w:rsidRPr="007436B9">
        <w:rPr>
          <w:b w:val="0"/>
          <w:bCs w:val="0"/>
          <w:sz w:val="21"/>
          <w:szCs w:val="21"/>
        </w:rPr>
        <w:t xml:space="preserve">The Partnership Charter will form the basis for agreed ways of </w:t>
      </w:r>
      <w:r w:rsidRPr="007436B9">
        <w:rPr>
          <w:b w:val="0"/>
          <w:bCs w:val="0"/>
          <w:sz w:val="21"/>
          <w:szCs w:val="21"/>
        </w:rPr>
        <w:t>working and</w:t>
      </w:r>
      <w:r w:rsidR="45550431" w:rsidRPr="007436B9">
        <w:rPr>
          <w:b w:val="0"/>
          <w:bCs w:val="0"/>
          <w:sz w:val="21"/>
          <w:szCs w:val="21"/>
        </w:rPr>
        <w:t xml:space="preserve"> will be reviewed and adapted at this meeting.</w:t>
      </w:r>
      <w:r w:rsidR="25AEC871" w:rsidRPr="007436B9">
        <w:rPr>
          <w:b w:val="0"/>
          <w:bCs w:val="0"/>
          <w:sz w:val="21"/>
          <w:szCs w:val="21"/>
        </w:rPr>
        <w:t xml:space="preserve"> </w:t>
      </w:r>
      <w:r w:rsidR="45550431" w:rsidRPr="007436B9">
        <w:rPr>
          <w:b w:val="0"/>
          <w:bCs w:val="0"/>
          <w:sz w:val="21"/>
          <w:szCs w:val="21"/>
        </w:rPr>
        <w:t xml:space="preserve"> The meeting may have an independent facilitator or Partnership Broker.</w:t>
      </w:r>
      <w:bookmarkEnd w:id="358"/>
      <w:bookmarkEnd w:id="359"/>
      <w:bookmarkEnd w:id="360"/>
      <w:bookmarkEnd w:id="361"/>
      <w:r w:rsidR="00F65852" w:rsidRPr="007436B9">
        <w:rPr>
          <w:b w:val="0"/>
          <w:bCs w:val="0"/>
          <w:sz w:val="21"/>
          <w:szCs w:val="21"/>
        </w:rPr>
        <w:t xml:space="preserve">  </w:t>
      </w:r>
    </w:p>
    <w:p w14:paraId="1BC664F1" w14:textId="0F8BC2EB" w:rsidR="00B41BC8" w:rsidRDefault="007436B9" w:rsidP="0008352A">
      <w:pPr>
        <w:rPr>
          <w:sz w:val="21"/>
          <w:szCs w:val="21"/>
        </w:rPr>
      </w:pPr>
      <w:bookmarkStart w:id="362" w:name="_Toc216260399"/>
      <w:bookmarkStart w:id="363" w:name="_Toc216264114"/>
      <w:bookmarkStart w:id="364" w:name="_Toc216269963"/>
      <w:bookmarkStart w:id="365" w:name="_Toc216270662"/>
      <w:r w:rsidRPr="007436B9">
        <w:rPr>
          <w:rStyle w:val="Heading3Char"/>
        </w:rPr>
        <w:t>Technical Working Groups</w:t>
      </w:r>
      <w:bookmarkEnd w:id="362"/>
      <w:bookmarkEnd w:id="363"/>
      <w:bookmarkEnd w:id="364"/>
      <w:bookmarkEnd w:id="365"/>
      <w:r>
        <w:rPr>
          <w:sz w:val="21"/>
          <w:szCs w:val="21"/>
        </w:rPr>
        <w:t xml:space="preserve"> </w:t>
      </w:r>
      <w:r>
        <w:rPr>
          <w:sz w:val="21"/>
          <w:szCs w:val="21"/>
        </w:rPr>
        <w:br/>
      </w:r>
      <w:r w:rsidR="00F65852">
        <w:rPr>
          <w:sz w:val="21"/>
          <w:szCs w:val="21"/>
        </w:rPr>
        <w:t xml:space="preserve">A set of </w:t>
      </w:r>
      <w:r w:rsidR="00F65852" w:rsidRPr="007436B9">
        <w:rPr>
          <w:sz w:val="21"/>
          <w:szCs w:val="21"/>
        </w:rPr>
        <w:t>Technical Working Groups for</w:t>
      </w:r>
      <w:r w:rsidR="00F65852">
        <w:rPr>
          <w:sz w:val="21"/>
          <w:szCs w:val="21"/>
        </w:rPr>
        <w:t xml:space="preserve"> each core sector of the program will provide </w:t>
      </w:r>
      <w:r w:rsidR="0065155D">
        <w:rPr>
          <w:sz w:val="21"/>
          <w:szCs w:val="21"/>
        </w:rPr>
        <w:t xml:space="preserve">more opportunities for the GOI line Ministries, Delivery Partners and sub-contractors to engage on specific Activities and Projects of the </w:t>
      </w:r>
      <w:r>
        <w:rPr>
          <w:sz w:val="21"/>
          <w:szCs w:val="21"/>
        </w:rPr>
        <w:t>program and</w:t>
      </w:r>
      <w:r w:rsidR="0065155D">
        <w:rPr>
          <w:sz w:val="21"/>
          <w:szCs w:val="21"/>
        </w:rPr>
        <w:t xml:space="preserve"> will advise on priority Activities and annual planning.</w:t>
      </w:r>
    </w:p>
    <w:p w14:paraId="0C8C8974" w14:textId="6BCC6833" w:rsidR="007A723F" w:rsidRPr="003E18AD" w:rsidRDefault="007A723F" w:rsidP="005E57A6">
      <w:pPr>
        <w:spacing w:before="0"/>
        <w:rPr>
          <w:sz w:val="21"/>
          <w:szCs w:val="21"/>
        </w:rPr>
      </w:pPr>
      <w:r w:rsidRPr="003E18AD">
        <w:rPr>
          <w:sz w:val="21"/>
          <w:szCs w:val="21"/>
        </w:rPr>
        <w:t xml:space="preserve">Governance of individual Partner relationships </w:t>
      </w:r>
      <w:r w:rsidR="006E5EB1">
        <w:rPr>
          <w:sz w:val="21"/>
          <w:szCs w:val="21"/>
        </w:rPr>
        <w:t xml:space="preserve">may also be </w:t>
      </w:r>
      <w:r w:rsidR="00BE2ABC">
        <w:rPr>
          <w:sz w:val="21"/>
          <w:szCs w:val="21"/>
        </w:rPr>
        <w:t xml:space="preserve">influenced </w:t>
      </w:r>
      <w:r w:rsidRPr="003E18AD">
        <w:rPr>
          <w:sz w:val="21"/>
          <w:szCs w:val="21"/>
        </w:rPr>
        <w:t>by existing formal arrangements in place or required by the parties.</w:t>
      </w:r>
      <w:r w:rsidR="00C92510" w:rsidRPr="003E18AD">
        <w:rPr>
          <w:sz w:val="21"/>
          <w:szCs w:val="21"/>
        </w:rPr>
        <w:t xml:space="preserve"> </w:t>
      </w:r>
      <w:r w:rsidRPr="003E18AD">
        <w:rPr>
          <w:sz w:val="21"/>
          <w:szCs w:val="21"/>
        </w:rPr>
        <w:t>This will include:</w:t>
      </w:r>
    </w:p>
    <w:p w14:paraId="4E22AE3D" w14:textId="45BF93F8" w:rsidR="007A723F" w:rsidRPr="003E18AD" w:rsidRDefault="45550431" w:rsidP="00686269">
      <w:pPr>
        <w:pStyle w:val="ListParagraph"/>
        <w:numPr>
          <w:ilvl w:val="0"/>
          <w:numId w:val="69"/>
        </w:numPr>
        <w:spacing w:before="0" w:after="40"/>
        <w:contextualSpacing w:val="0"/>
        <w:rPr>
          <w:sz w:val="21"/>
          <w:szCs w:val="21"/>
        </w:rPr>
      </w:pPr>
      <w:r w:rsidRPr="007436B9">
        <w:rPr>
          <w:sz w:val="21"/>
          <w:szCs w:val="21"/>
        </w:rPr>
        <w:t>Annual Dialogue</w:t>
      </w:r>
      <w:r w:rsidRPr="1169CFB7">
        <w:rPr>
          <w:sz w:val="21"/>
          <w:szCs w:val="21"/>
        </w:rPr>
        <w:t xml:space="preserve"> between DFAT and the ADB (encompassing A</w:t>
      </w:r>
      <w:r w:rsidR="0CF5D8D4" w:rsidRPr="1169CFB7">
        <w:rPr>
          <w:sz w:val="21"/>
          <w:szCs w:val="21"/>
        </w:rPr>
        <w:t>B</w:t>
      </w:r>
      <w:r w:rsidRPr="1169CFB7">
        <w:rPr>
          <w:sz w:val="21"/>
          <w:szCs w:val="21"/>
        </w:rPr>
        <w:t>Ds role in this program, but also other ADB/DFAT engagements).</w:t>
      </w:r>
      <w:r w:rsidR="25AEC871" w:rsidRPr="1169CFB7">
        <w:rPr>
          <w:sz w:val="21"/>
          <w:szCs w:val="21"/>
        </w:rPr>
        <w:t xml:space="preserve"> </w:t>
      </w:r>
      <w:r w:rsidRPr="1169CFB7">
        <w:rPr>
          <w:sz w:val="21"/>
          <w:szCs w:val="21"/>
        </w:rPr>
        <w:t xml:space="preserve">Outstanding operational issues from this program may </w:t>
      </w:r>
      <w:r w:rsidR="2BE778F3" w:rsidRPr="1169CFB7">
        <w:rPr>
          <w:sz w:val="21"/>
          <w:szCs w:val="21"/>
        </w:rPr>
        <w:t>b</w:t>
      </w:r>
      <w:r w:rsidRPr="1169CFB7">
        <w:rPr>
          <w:sz w:val="21"/>
          <w:szCs w:val="21"/>
        </w:rPr>
        <w:t>e elevated to this engagement.</w:t>
      </w:r>
    </w:p>
    <w:p w14:paraId="57D4C3A4" w14:textId="3093BA23" w:rsidR="007A723F" w:rsidRPr="003E18AD" w:rsidRDefault="007A723F" w:rsidP="00686269">
      <w:pPr>
        <w:pStyle w:val="ListParagraph"/>
        <w:numPr>
          <w:ilvl w:val="0"/>
          <w:numId w:val="69"/>
        </w:numPr>
        <w:spacing w:before="0" w:after="40"/>
        <w:contextualSpacing w:val="0"/>
        <w:rPr>
          <w:sz w:val="21"/>
          <w:szCs w:val="21"/>
        </w:rPr>
      </w:pPr>
      <w:r w:rsidRPr="007436B9">
        <w:rPr>
          <w:sz w:val="21"/>
          <w:szCs w:val="21"/>
        </w:rPr>
        <w:t>Annual Dialogue</w:t>
      </w:r>
      <w:r w:rsidRPr="003E18AD">
        <w:rPr>
          <w:sz w:val="21"/>
          <w:szCs w:val="21"/>
        </w:rPr>
        <w:t xml:space="preserve"> between DFAT and </w:t>
      </w:r>
      <w:r w:rsidR="00F9180D">
        <w:rPr>
          <w:sz w:val="21"/>
          <w:szCs w:val="21"/>
        </w:rPr>
        <w:t>the World Bank</w:t>
      </w:r>
      <w:r w:rsidRPr="003E18AD">
        <w:rPr>
          <w:sz w:val="21"/>
          <w:szCs w:val="21"/>
        </w:rPr>
        <w:t xml:space="preserve"> (including ABIP and other engagements).</w:t>
      </w:r>
    </w:p>
    <w:p w14:paraId="607FCFE1" w14:textId="4DBB7559" w:rsidR="007A723F" w:rsidRPr="003E18AD" w:rsidRDefault="004C2B77" w:rsidP="00686269">
      <w:pPr>
        <w:pStyle w:val="ListParagraph"/>
        <w:numPr>
          <w:ilvl w:val="0"/>
          <w:numId w:val="69"/>
        </w:numPr>
        <w:spacing w:before="0" w:after="40"/>
        <w:contextualSpacing w:val="0"/>
        <w:rPr>
          <w:sz w:val="21"/>
          <w:szCs w:val="21"/>
        </w:rPr>
      </w:pPr>
      <w:r w:rsidRPr="007436B9">
        <w:rPr>
          <w:sz w:val="21"/>
          <w:szCs w:val="21"/>
        </w:rPr>
        <w:t xml:space="preserve">Quarterly </w:t>
      </w:r>
      <w:r w:rsidR="007A723F" w:rsidRPr="007436B9">
        <w:rPr>
          <w:sz w:val="21"/>
          <w:szCs w:val="21"/>
        </w:rPr>
        <w:t xml:space="preserve">Partner </w:t>
      </w:r>
      <w:r w:rsidRPr="007436B9">
        <w:rPr>
          <w:sz w:val="21"/>
          <w:szCs w:val="21"/>
        </w:rPr>
        <w:t>Progress</w:t>
      </w:r>
      <w:r w:rsidR="007A723F" w:rsidRPr="007436B9">
        <w:rPr>
          <w:sz w:val="21"/>
          <w:szCs w:val="21"/>
        </w:rPr>
        <w:t xml:space="preserve"> </w:t>
      </w:r>
      <w:r w:rsidRPr="007436B9">
        <w:rPr>
          <w:sz w:val="21"/>
          <w:szCs w:val="21"/>
        </w:rPr>
        <w:t>M</w:t>
      </w:r>
      <w:r w:rsidR="007A723F" w:rsidRPr="007436B9">
        <w:rPr>
          <w:sz w:val="21"/>
          <w:szCs w:val="21"/>
        </w:rPr>
        <w:t>eeting</w:t>
      </w:r>
      <w:r w:rsidR="007A723F" w:rsidRPr="003E18AD">
        <w:rPr>
          <w:sz w:val="21"/>
          <w:szCs w:val="21"/>
        </w:rPr>
        <w:t xml:space="preserve"> </w:t>
      </w:r>
      <w:r w:rsidRPr="003E18AD">
        <w:rPr>
          <w:sz w:val="21"/>
          <w:szCs w:val="21"/>
        </w:rPr>
        <w:t>(</w:t>
      </w:r>
      <w:r w:rsidR="007A723F" w:rsidRPr="003E18AD">
        <w:rPr>
          <w:sz w:val="21"/>
          <w:szCs w:val="21"/>
        </w:rPr>
        <w:t xml:space="preserve">and </w:t>
      </w:r>
      <w:r w:rsidRPr="003E18AD">
        <w:rPr>
          <w:sz w:val="21"/>
          <w:szCs w:val="21"/>
        </w:rPr>
        <w:t xml:space="preserve">annual </w:t>
      </w:r>
      <w:r w:rsidR="007A723F" w:rsidRPr="003E18AD">
        <w:rPr>
          <w:sz w:val="21"/>
          <w:szCs w:val="21"/>
        </w:rPr>
        <w:t>assessment</w:t>
      </w:r>
      <w:r w:rsidRPr="003E18AD">
        <w:rPr>
          <w:sz w:val="21"/>
          <w:szCs w:val="21"/>
        </w:rPr>
        <w:t>)</w:t>
      </w:r>
      <w:r w:rsidR="007A723F" w:rsidRPr="003E18AD">
        <w:rPr>
          <w:sz w:val="21"/>
          <w:szCs w:val="21"/>
        </w:rPr>
        <w:t xml:space="preserve"> between DFAT and the Primary Contractor.</w:t>
      </w:r>
      <w:r w:rsidR="00C92510" w:rsidRPr="003E18AD">
        <w:rPr>
          <w:sz w:val="21"/>
          <w:szCs w:val="21"/>
        </w:rPr>
        <w:t xml:space="preserve"> </w:t>
      </w:r>
      <w:r w:rsidRPr="003E18AD">
        <w:rPr>
          <w:sz w:val="21"/>
          <w:szCs w:val="21"/>
        </w:rPr>
        <w:t>This will be a bilateral meeting between DFAT and the Contractor Representative, including review of progress, financial and contract performance and the risk register.</w:t>
      </w:r>
    </w:p>
    <w:p w14:paraId="052F3A31" w14:textId="38AC3E5F" w:rsidR="004C2B77" w:rsidRPr="003E18AD" w:rsidRDefault="004C2B77" w:rsidP="00686269">
      <w:pPr>
        <w:pStyle w:val="ListParagraph"/>
        <w:numPr>
          <w:ilvl w:val="0"/>
          <w:numId w:val="69"/>
        </w:numPr>
        <w:spacing w:before="0" w:after="40"/>
        <w:contextualSpacing w:val="0"/>
        <w:rPr>
          <w:sz w:val="21"/>
          <w:szCs w:val="21"/>
        </w:rPr>
      </w:pPr>
      <w:r w:rsidRPr="003E18AD">
        <w:rPr>
          <w:sz w:val="21"/>
          <w:szCs w:val="21"/>
        </w:rPr>
        <w:t xml:space="preserve">Strategic and policy oversight of PIDG and ADI </w:t>
      </w:r>
      <w:r w:rsidR="00BE2ABC">
        <w:rPr>
          <w:sz w:val="21"/>
          <w:szCs w:val="21"/>
        </w:rPr>
        <w:t xml:space="preserve">relationships </w:t>
      </w:r>
      <w:r w:rsidRPr="003E18AD">
        <w:rPr>
          <w:sz w:val="21"/>
          <w:szCs w:val="21"/>
        </w:rPr>
        <w:t>are undertaken by DFAT Canberra.</w:t>
      </w:r>
      <w:r w:rsidR="00C92510" w:rsidRPr="003E18AD">
        <w:rPr>
          <w:sz w:val="21"/>
          <w:szCs w:val="21"/>
        </w:rPr>
        <w:t xml:space="preserve"> </w:t>
      </w:r>
      <w:r w:rsidRPr="003E18AD">
        <w:rPr>
          <w:sz w:val="21"/>
          <w:szCs w:val="21"/>
        </w:rPr>
        <w:t>Jakarta Post will provide input and feedback to these processes as required.</w:t>
      </w:r>
    </w:p>
    <w:p w14:paraId="044DF5DB" w14:textId="7740E0C4" w:rsidR="003C0629" w:rsidRPr="003E18AD" w:rsidRDefault="003C0629" w:rsidP="00D2498B">
      <w:pPr>
        <w:pStyle w:val="Heading2"/>
      </w:pPr>
      <w:bookmarkStart w:id="366" w:name="_Toc216260400"/>
      <w:bookmarkStart w:id="367" w:name="_Toc216270663"/>
      <w:r w:rsidRPr="003E18AD">
        <w:t>Managem</w:t>
      </w:r>
      <w:r w:rsidR="0008352A" w:rsidRPr="003E18AD">
        <w:t>en</w:t>
      </w:r>
      <w:r w:rsidRPr="003E18AD">
        <w:t>t</w:t>
      </w:r>
      <w:bookmarkEnd w:id="366"/>
      <w:bookmarkEnd w:id="367"/>
    </w:p>
    <w:p w14:paraId="52FA21FF" w14:textId="66C7932D" w:rsidR="001F39F8" w:rsidRPr="003E18AD" w:rsidRDefault="004C2B77" w:rsidP="00E17732">
      <w:pPr>
        <w:rPr>
          <w:rFonts w:eastAsia="Times New Roman" w:cs="Times New Roman"/>
          <w:sz w:val="21"/>
          <w:szCs w:val="21"/>
        </w:rPr>
      </w:pPr>
      <w:r w:rsidRPr="003E18AD">
        <w:rPr>
          <w:rFonts w:eastAsia="Times New Roman" w:cs="Times New Roman"/>
          <w:sz w:val="21"/>
          <w:szCs w:val="21"/>
        </w:rPr>
        <w:t xml:space="preserve">Management across the </w:t>
      </w:r>
      <w:r w:rsidRPr="003E18AD">
        <w:rPr>
          <w:sz w:val="21"/>
          <w:szCs w:val="21"/>
        </w:rPr>
        <w:t>investment</w:t>
      </w:r>
      <w:r w:rsidRPr="003E18AD">
        <w:rPr>
          <w:rFonts w:eastAsia="Times New Roman" w:cs="Times New Roman"/>
          <w:sz w:val="21"/>
          <w:szCs w:val="21"/>
        </w:rPr>
        <w:t xml:space="preserve"> operates at the whole of program level, at Delivery Partner level, and at the Activity and Project level.</w:t>
      </w:r>
    </w:p>
    <w:p w14:paraId="4E40D96B" w14:textId="77777777" w:rsidR="007436B9" w:rsidRDefault="004C2B77" w:rsidP="00E17732">
      <w:pPr>
        <w:rPr>
          <w:rFonts w:eastAsia="Times New Roman" w:cs="Times New Roman"/>
          <w:b/>
          <w:bCs/>
          <w:i/>
          <w:iCs/>
          <w:sz w:val="21"/>
          <w:szCs w:val="21"/>
        </w:rPr>
      </w:pPr>
      <w:bookmarkStart w:id="368" w:name="_Toc216260401"/>
      <w:bookmarkStart w:id="369" w:name="_Toc216264116"/>
      <w:bookmarkStart w:id="370" w:name="_Toc216269965"/>
      <w:bookmarkStart w:id="371" w:name="_Toc216270664"/>
      <w:r w:rsidRPr="007436B9">
        <w:rPr>
          <w:rStyle w:val="Heading3Char"/>
        </w:rPr>
        <w:t>Whole of program level</w:t>
      </w:r>
      <w:bookmarkEnd w:id="368"/>
      <w:bookmarkEnd w:id="369"/>
      <w:bookmarkEnd w:id="370"/>
      <w:bookmarkEnd w:id="371"/>
    </w:p>
    <w:p w14:paraId="1459FF51" w14:textId="56E5F04F" w:rsidR="004C2B77" w:rsidRPr="003E18AD" w:rsidRDefault="00C92510" w:rsidP="00E17732">
      <w:pPr>
        <w:rPr>
          <w:rFonts w:eastAsia="Times New Roman" w:cs="Times New Roman"/>
          <w:sz w:val="21"/>
          <w:szCs w:val="21"/>
        </w:rPr>
      </w:pPr>
      <w:r w:rsidRPr="003E18AD">
        <w:rPr>
          <w:rFonts w:eastAsia="Times New Roman" w:cs="Times New Roman"/>
          <w:b/>
          <w:bCs/>
          <w:i/>
          <w:iCs/>
          <w:sz w:val="21"/>
          <w:szCs w:val="21"/>
        </w:rPr>
        <w:t xml:space="preserve"> </w:t>
      </w:r>
      <w:r w:rsidR="004C2B77" w:rsidRPr="003E18AD">
        <w:rPr>
          <w:rFonts w:eastAsia="Times New Roman" w:cs="Times New Roman"/>
          <w:sz w:val="21"/>
          <w:szCs w:val="21"/>
        </w:rPr>
        <w:t xml:space="preserve">The </w:t>
      </w:r>
      <w:r w:rsidR="004C2B77" w:rsidRPr="003E18AD">
        <w:rPr>
          <w:sz w:val="21"/>
          <w:szCs w:val="21"/>
        </w:rPr>
        <w:t>Primary</w:t>
      </w:r>
      <w:r w:rsidR="004C2B77" w:rsidRPr="003E18AD">
        <w:rPr>
          <w:rFonts w:eastAsia="Times New Roman" w:cs="Times New Roman"/>
          <w:sz w:val="21"/>
          <w:szCs w:val="21"/>
        </w:rPr>
        <w:t xml:space="preserve"> Contractor will have responsibility for supporting </w:t>
      </w:r>
      <w:r w:rsidR="00A12F0B">
        <w:rPr>
          <w:rFonts w:eastAsia="Times New Roman" w:cs="Times New Roman"/>
          <w:sz w:val="21"/>
          <w:szCs w:val="21"/>
        </w:rPr>
        <w:t xml:space="preserve">adaptive management, </w:t>
      </w:r>
      <w:r w:rsidR="004C2B77" w:rsidRPr="003E18AD">
        <w:rPr>
          <w:rFonts w:eastAsia="Times New Roman" w:cs="Times New Roman"/>
          <w:sz w:val="21"/>
          <w:szCs w:val="21"/>
        </w:rPr>
        <w:t>integration and coherence across the portfolio.</w:t>
      </w:r>
      <w:r w:rsidRPr="003E18AD">
        <w:rPr>
          <w:rFonts w:eastAsia="Times New Roman" w:cs="Times New Roman"/>
          <w:sz w:val="21"/>
          <w:szCs w:val="21"/>
        </w:rPr>
        <w:t xml:space="preserve"> </w:t>
      </w:r>
      <w:r w:rsidR="004C2B77" w:rsidRPr="003E18AD">
        <w:rPr>
          <w:rFonts w:eastAsia="Times New Roman" w:cs="Times New Roman"/>
          <w:sz w:val="21"/>
          <w:szCs w:val="21"/>
        </w:rPr>
        <w:t>Functions include:</w:t>
      </w:r>
    </w:p>
    <w:p w14:paraId="7E2F47E1" w14:textId="1B82E2E7" w:rsidR="004C2B77" w:rsidRPr="003E18AD" w:rsidRDefault="004C2B77" w:rsidP="00686269">
      <w:pPr>
        <w:pStyle w:val="ListParagraph"/>
        <w:numPr>
          <w:ilvl w:val="0"/>
          <w:numId w:val="70"/>
        </w:numPr>
        <w:tabs>
          <w:tab w:val="left" w:pos="284"/>
        </w:tabs>
        <w:suppressAutoHyphens w:val="0"/>
        <w:spacing w:before="0" w:line="280" w:lineRule="exact"/>
        <w:rPr>
          <w:rFonts w:eastAsia="Times New Roman" w:cs="Times New Roman"/>
          <w:sz w:val="21"/>
          <w:szCs w:val="21"/>
        </w:rPr>
      </w:pPr>
      <w:r w:rsidRPr="003E18AD">
        <w:rPr>
          <w:rFonts w:eastAsia="Times New Roman" w:cs="Times New Roman"/>
          <w:sz w:val="21"/>
          <w:szCs w:val="21"/>
        </w:rPr>
        <w:t>Developing guidelines for Activity and Project definition, structure, and reporting</w:t>
      </w:r>
    </w:p>
    <w:p w14:paraId="783B9208" w14:textId="5459E690" w:rsidR="008F43A9" w:rsidRPr="003E18AD" w:rsidRDefault="008F43A9" w:rsidP="00686269">
      <w:pPr>
        <w:pStyle w:val="ListParagraph"/>
        <w:numPr>
          <w:ilvl w:val="0"/>
          <w:numId w:val="70"/>
        </w:numPr>
        <w:tabs>
          <w:tab w:val="left" w:pos="284"/>
        </w:tabs>
        <w:suppressAutoHyphens w:val="0"/>
        <w:spacing w:before="40" w:after="0" w:line="280" w:lineRule="exact"/>
        <w:contextualSpacing w:val="0"/>
        <w:rPr>
          <w:rFonts w:eastAsia="Times New Roman" w:cs="Times New Roman"/>
          <w:sz w:val="21"/>
          <w:szCs w:val="21"/>
        </w:rPr>
      </w:pPr>
      <w:r w:rsidRPr="4E666B3A">
        <w:rPr>
          <w:rFonts w:eastAsia="Times New Roman" w:cs="Times New Roman"/>
          <w:sz w:val="21"/>
          <w:szCs w:val="21"/>
        </w:rPr>
        <w:t xml:space="preserve">Establishing common GEDSI </w:t>
      </w:r>
      <w:r w:rsidR="3EC6EC83" w:rsidRPr="4E666B3A">
        <w:rPr>
          <w:rFonts w:eastAsia="Times New Roman" w:cs="Times New Roman"/>
          <w:sz w:val="21"/>
          <w:szCs w:val="21"/>
        </w:rPr>
        <w:t xml:space="preserve">and localisation </w:t>
      </w:r>
      <w:r w:rsidRPr="4E666B3A">
        <w:rPr>
          <w:rFonts w:eastAsia="Times New Roman" w:cs="Times New Roman"/>
          <w:sz w:val="21"/>
          <w:szCs w:val="21"/>
        </w:rPr>
        <w:t xml:space="preserve">strategy and approach </w:t>
      </w:r>
    </w:p>
    <w:p w14:paraId="5AE14880" w14:textId="334023A2" w:rsidR="004C2B77" w:rsidRPr="003E18AD" w:rsidRDefault="004C2B77" w:rsidP="00686269">
      <w:pPr>
        <w:pStyle w:val="ListParagraph"/>
        <w:numPr>
          <w:ilvl w:val="0"/>
          <w:numId w:val="70"/>
        </w:numPr>
        <w:tabs>
          <w:tab w:val="left" w:pos="284"/>
        </w:tabs>
        <w:suppressAutoHyphens w:val="0"/>
        <w:spacing w:before="40" w:after="0" w:line="280" w:lineRule="exact"/>
        <w:contextualSpacing w:val="0"/>
        <w:rPr>
          <w:rFonts w:eastAsia="Times New Roman" w:cs="Times New Roman"/>
          <w:sz w:val="21"/>
          <w:szCs w:val="21"/>
        </w:rPr>
      </w:pPr>
      <w:r w:rsidRPr="003E18AD">
        <w:rPr>
          <w:rFonts w:eastAsia="Times New Roman" w:cs="Times New Roman"/>
          <w:sz w:val="21"/>
          <w:szCs w:val="21"/>
        </w:rPr>
        <w:t>Ensuring adoption of common minimum standards for screening and selection of Activities and Projects</w:t>
      </w:r>
      <w:r w:rsidR="00F26D45" w:rsidRPr="003E18AD">
        <w:rPr>
          <w:rFonts w:eastAsia="Times New Roman" w:cs="Times New Roman"/>
          <w:sz w:val="21"/>
          <w:szCs w:val="21"/>
        </w:rPr>
        <w:t>, including a common climate change strategy and investment criteria</w:t>
      </w:r>
    </w:p>
    <w:p w14:paraId="4F45174F" w14:textId="4C145E8F" w:rsidR="004C2B77" w:rsidRPr="003E18AD" w:rsidRDefault="004C2B77" w:rsidP="00686269">
      <w:pPr>
        <w:pStyle w:val="ListParagraph"/>
        <w:numPr>
          <w:ilvl w:val="0"/>
          <w:numId w:val="70"/>
        </w:numPr>
        <w:tabs>
          <w:tab w:val="left" w:pos="284"/>
        </w:tabs>
        <w:suppressAutoHyphens w:val="0"/>
        <w:spacing w:before="40" w:after="0" w:line="280" w:lineRule="exact"/>
        <w:contextualSpacing w:val="0"/>
        <w:rPr>
          <w:rFonts w:eastAsia="Times New Roman" w:cs="Times New Roman"/>
          <w:sz w:val="21"/>
          <w:szCs w:val="21"/>
        </w:rPr>
      </w:pPr>
      <w:r w:rsidRPr="003E18AD">
        <w:rPr>
          <w:rFonts w:eastAsia="Times New Roman" w:cs="Times New Roman"/>
          <w:sz w:val="21"/>
          <w:szCs w:val="21"/>
        </w:rPr>
        <w:t>Establishing a common approach to MERL, with guidelines, that can be adopted by all Delivery Partners</w:t>
      </w:r>
      <w:r w:rsidR="00C741BD">
        <w:rPr>
          <w:rFonts w:eastAsia="Times New Roman" w:cs="Times New Roman"/>
          <w:sz w:val="21"/>
          <w:szCs w:val="21"/>
        </w:rPr>
        <w:t>, with overall oversight of the Partnership-wide MERL approach, assessment and analysis against IOs and EOPOs</w:t>
      </w:r>
      <w:r w:rsidR="00A12F0B">
        <w:rPr>
          <w:rFonts w:eastAsia="Times New Roman" w:cs="Times New Roman"/>
          <w:sz w:val="21"/>
          <w:szCs w:val="21"/>
        </w:rPr>
        <w:t xml:space="preserve">, and ensuring that </w:t>
      </w:r>
      <w:r w:rsidR="00A75A2C">
        <w:rPr>
          <w:rFonts w:eastAsia="Times New Roman" w:cs="Times New Roman"/>
          <w:sz w:val="21"/>
          <w:szCs w:val="21"/>
        </w:rPr>
        <w:t>the MERL system supports adaptive management</w:t>
      </w:r>
    </w:p>
    <w:p w14:paraId="586D06DE" w14:textId="3E37DD33" w:rsidR="004C2B77" w:rsidRPr="003E18AD" w:rsidRDefault="008F43A9" w:rsidP="00686269">
      <w:pPr>
        <w:pStyle w:val="ListParagraph"/>
        <w:numPr>
          <w:ilvl w:val="0"/>
          <w:numId w:val="70"/>
        </w:numPr>
        <w:tabs>
          <w:tab w:val="left" w:pos="284"/>
        </w:tabs>
        <w:suppressAutoHyphens w:val="0"/>
        <w:spacing w:before="40" w:after="0" w:line="280" w:lineRule="exact"/>
        <w:contextualSpacing w:val="0"/>
        <w:rPr>
          <w:rFonts w:eastAsia="Times New Roman" w:cs="Times New Roman"/>
          <w:sz w:val="21"/>
          <w:szCs w:val="21"/>
        </w:rPr>
      </w:pPr>
      <w:r w:rsidRPr="003E18AD">
        <w:rPr>
          <w:rFonts w:eastAsia="Times New Roman" w:cs="Times New Roman"/>
          <w:sz w:val="21"/>
          <w:szCs w:val="21"/>
        </w:rPr>
        <w:t>Establishing and reviewing the performance of the Partnership Charter</w:t>
      </w:r>
    </w:p>
    <w:p w14:paraId="40B75EDF" w14:textId="13B0BE87" w:rsidR="008F43A9" w:rsidRPr="003E18AD" w:rsidRDefault="008F43A9" w:rsidP="00686269">
      <w:pPr>
        <w:pStyle w:val="ListParagraph"/>
        <w:numPr>
          <w:ilvl w:val="0"/>
          <w:numId w:val="70"/>
        </w:numPr>
        <w:tabs>
          <w:tab w:val="left" w:pos="284"/>
        </w:tabs>
        <w:suppressAutoHyphens w:val="0"/>
        <w:spacing w:before="40" w:after="0" w:line="280" w:lineRule="exact"/>
        <w:contextualSpacing w:val="0"/>
        <w:rPr>
          <w:rFonts w:eastAsia="Times New Roman" w:cs="Times New Roman"/>
          <w:sz w:val="21"/>
          <w:szCs w:val="21"/>
        </w:rPr>
      </w:pPr>
      <w:r w:rsidRPr="003E18AD">
        <w:rPr>
          <w:rFonts w:eastAsia="Times New Roman" w:cs="Times New Roman"/>
          <w:sz w:val="21"/>
          <w:szCs w:val="21"/>
        </w:rPr>
        <w:t>Communications and public diplomacy services for DFAT and all Delivery Partners</w:t>
      </w:r>
    </w:p>
    <w:p w14:paraId="7931BCB4" w14:textId="6399E17A" w:rsidR="008F43A9" w:rsidRPr="003E18AD" w:rsidRDefault="008F43A9" w:rsidP="00686269">
      <w:pPr>
        <w:pStyle w:val="ListParagraph"/>
        <w:numPr>
          <w:ilvl w:val="0"/>
          <w:numId w:val="70"/>
        </w:numPr>
        <w:tabs>
          <w:tab w:val="left" w:pos="284"/>
        </w:tabs>
        <w:suppressAutoHyphens w:val="0"/>
        <w:spacing w:before="40" w:after="0" w:line="280" w:lineRule="exact"/>
        <w:contextualSpacing w:val="0"/>
        <w:rPr>
          <w:rFonts w:eastAsia="Times New Roman" w:cs="Times New Roman"/>
          <w:sz w:val="21"/>
          <w:szCs w:val="21"/>
        </w:rPr>
      </w:pPr>
      <w:r w:rsidRPr="003E18AD">
        <w:rPr>
          <w:rFonts w:eastAsia="Times New Roman" w:cs="Times New Roman"/>
          <w:sz w:val="21"/>
          <w:szCs w:val="21"/>
        </w:rPr>
        <w:t xml:space="preserve">Establishing </w:t>
      </w:r>
      <w:r w:rsidR="00BE2ABC">
        <w:rPr>
          <w:rFonts w:eastAsia="Times New Roman" w:cs="Times New Roman"/>
          <w:sz w:val="21"/>
          <w:szCs w:val="21"/>
        </w:rPr>
        <w:t>governance mechanisms</w:t>
      </w:r>
      <w:r w:rsidR="00A12F0B">
        <w:rPr>
          <w:rFonts w:eastAsia="Times New Roman" w:cs="Times New Roman"/>
          <w:sz w:val="21"/>
          <w:szCs w:val="21"/>
        </w:rPr>
        <w:t xml:space="preserve"> and </w:t>
      </w:r>
      <w:r w:rsidRPr="003E18AD">
        <w:rPr>
          <w:rFonts w:eastAsia="Times New Roman" w:cs="Times New Roman"/>
          <w:sz w:val="21"/>
          <w:szCs w:val="21"/>
        </w:rPr>
        <w:t xml:space="preserve">Communities </w:t>
      </w:r>
      <w:r w:rsidR="00B245E8">
        <w:rPr>
          <w:rFonts w:eastAsia="Times New Roman" w:cs="Times New Roman"/>
          <w:sz w:val="21"/>
          <w:szCs w:val="21"/>
        </w:rPr>
        <w:t>of</w:t>
      </w:r>
      <w:r w:rsidR="00B245E8" w:rsidRPr="003E18AD">
        <w:rPr>
          <w:rFonts w:eastAsia="Times New Roman" w:cs="Times New Roman"/>
          <w:sz w:val="21"/>
          <w:szCs w:val="21"/>
        </w:rPr>
        <w:t xml:space="preserve"> </w:t>
      </w:r>
      <w:r w:rsidRPr="003E18AD">
        <w:rPr>
          <w:rFonts w:eastAsia="Times New Roman" w:cs="Times New Roman"/>
          <w:sz w:val="21"/>
          <w:szCs w:val="21"/>
        </w:rPr>
        <w:t>Practice in key sub-sectors</w:t>
      </w:r>
      <w:r w:rsidR="00A12F0B">
        <w:rPr>
          <w:rFonts w:eastAsia="Times New Roman" w:cs="Times New Roman"/>
          <w:sz w:val="21"/>
          <w:szCs w:val="21"/>
        </w:rPr>
        <w:t xml:space="preserve">. </w:t>
      </w:r>
    </w:p>
    <w:p w14:paraId="3DF5E001" w14:textId="6B58E040" w:rsidR="008F43A9" w:rsidRPr="003E18AD" w:rsidRDefault="007436B9" w:rsidP="007436B9">
      <w:pPr>
        <w:pStyle w:val="Heading3"/>
        <w:numPr>
          <w:ilvl w:val="0"/>
          <w:numId w:val="0"/>
        </w:numPr>
      </w:pPr>
      <w:r>
        <w:br/>
      </w:r>
      <w:bookmarkStart w:id="372" w:name="_Toc216260402"/>
      <w:bookmarkStart w:id="373" w:name="_Toc216264117"/>
      <w:bookmarkStart w:id="374" w:name="_Toc216269966"/>
      <w:bookmarkStart w:id="375" w:name="_Toc216270665"/>
      <w:r w:rsidR="008F43A9" w:rsidRPr="003E18AD">
        <w:t>Delivery Partner level</w:t>
      </w:r>
      <w:bookmarkEnd w:id="372"/>
      <w:bookmarkEnd w:id="373"/>
      <w:bookmarkEnd w:id="374"/>
      <w:bookmarkEnd w:id="375"/>
    </w:p>
    <w:p w14:paraId="2ACAFDD5" w14:textId="6A7E7DA8" w:rsidR="008F43A9" w:rsidRPr="003E18AD" w:rsidRDefault="008F43A9" w:rsidP="00E17732">
      <w:pPr>
        <w:rPr>
          <w:rFonts w:eastAsia="Times New Roman" w:cs="Times New Roman"/>
          <w:sz w:val="21"/>
          <w:szCs w:val="21"/>
        </w:rPr>
      </w:pPr>
      <w:r w:rsidRPr="0CBA0F42">
        <w:rPr>
          <w:rFonts w:eastAsia="Times New Roman" w:cs="Times New Roman"/>
          <w:sz w:val="21"/>
          <w:szCs w:val="21"/>
        </w:rPr>
        <w:t xml:space="preserve">The </w:t>
      </w:r>
      <w:r w:rsidRPr="00272DFB">
        <w:rPr>
          <w:rFonts w:eastAsia="Times New Roman" w:cs="Times New Roman"/>
          <w:b/>
          <w:bCs/>
          <w:sz w:val="21"/>
          <w:szCs w:val="21"/>
        </w:rPr>
        <w:t>Primary Contractor</w:t>
      </w:r>
      <w:r w:rsidRPr="0CBA0F42">
        <w:rPr>
          <w:rFonts w:eastAsia="Times New Roman" w:cs="Times New Roman"/>
          <w:sz w:val="21"/>
          <w:szCs w:val="21"/>
        </w:rPr>
        <w:t xml:space="preserve"> will be responsible for delivering policy and regularly and technical advisory services in the capability areas specified in Attachment A, as agreed under the Contract Scope of Requirements.</w:t>
      </w:r>
      <w:r w:rsidR="00C92510" w:rsidRPr="0CBA0F42">
        <w:rPr>
          <w:rFonts w:eastAsia="Times New Roman" w:cs="Times New Roman"/>
          <w:sz w:val="21"/>
          <w:szCs w:val="21"/>
        </w:rPr>
        <w:t xml:space="preserve"> </w:t>
      </w:r>
      <w:r w:rsidRPr="0CBA0F42">
        <w:rPr>
          <w:rFonts w:eastAsia="Times New Roman" w:cs="Times New Roman"/>
          <w:sz w:val="21"/>
          <w:szCs w:val="21"/>
        </w:rPr>
        <w:t xml:space="preserve">The Primary Contractor will also be responsible for contract and grant oversight and support for other Delivery Partners, including the Lead NGO Partner, Funds Management and </w:t>
      </w:r>
      <w:r w:rsidR="00C20EF7" w:rsidRPr="0CBA0F42">
        <w:rPr>
          <w:rFonts w:eastAsia="Times New Roman" w:cs="Times New Roman"/>
          <w:sz w:val="21"/>
          <w:szCs w:val="21"/>
        </w:rPr>
        <w:t>Financial Markets Advisory</w:t>
      </w:r>
      <w:r w:rsidR="00C92510" w:rsidRPr="0CBA0F42">
        <w:rPr>
          <w:rFonts w:eastAsia="Times New Roman" w:cs="Times New Roman"/>
          <w:sz w:val="21"/>
          <w:szCs w:val="21"/>
        </w:rPr>
        <w:t xml:space="preserve"> </w:t>
      </w:r>
      <w:r w:rsidRPr="0CBA0F42">
        <w:rPr>
          <w:rFonts w:eastAsia="Times New Roman" w:cs="Times New Roman"/>
          <w:sz w:val="21"/>
          <w:szCs w:val="21"/>
        </w:rPr>
        <w:t xml:space="preserve">Partner, and the </w:t>
      </w:r>
      <w:r w:rsidR="7BEE01F6" w:rsidRPr="0CBA0F42">
        <w:rPr>
          <w:rFonts w:eastAsia="Times New Roman" w:cs="Times New Roman"/>
          <w:sz w:val="21"/>
          <w:szCs w:val="21"/>
        </w:rPr>
        <w:t>TA</w:t>
      </w:r>
      <w:r w:rsidR="00F75680">
        <w:rPr>
          <w:rFonts w:eastAsia="Times New Roman" w:cs="Times New Roman"/>
          <w:sz w:val="21"/>
          <w:szCs w:val="21"/>
        </w:rPr>
        <w:t>G</w:t>
      </w:r>
      <w:r w:rsidRPr="0CBA0F42">
        <w:rPr>
          <w:rFonts w:eastAsia="Times New Roman" w:cs="Times New Roman"/>
          <w:sz w:val="21"/>
          <w:szCs w:val="21"/>
        </w:rPr>
        <w:t>.</w:t>
      </w:r>
      <w:r w:rsidR="00C92510" w:rsidRPr="0CBA0F42">
        <w:rPr>
          <w:rFonts w:eastAsia="Times New Roman" w:cs="Times New Roman"/>
          <w:sz w:val="21"/>
          <w:szCs w:val="21"/>
        </w:rPr>
        <w:t xml:space="preserve"> </w:t>
      </w:r>
      <w:r w:rsidRPr="0CBA0F42">
        <w:rPr>
          <w:rFonts w:eastAsia="Times New Roman" w:cs="Times New Roman"/>
          <w:sz w:val="21"/>
          <w:szCs w:val="21"/>
        </w:rPr>
        <w:t>The Contractor will also provide all contract and financial management, logistics, administrative, communications and secretariat services for program implementation.</w:t>
      </w:r>
      <w:r w:rsidR="00C92510" w:rsidRPr="0CBA0F42">
        <w:rPr>
          <w:rFonts w:eastAsia="Times New Roman" w:cs="Times New Roman"/>
          <w:sz w:val="21"/>
          <w:szCs w:val="21"/>
        </w:rPr>
        <w:t xml:space="preserve"> </w:t>
      </w:r>
    </w:p>
    <w:p w14:paraId="01AF7C7B" w14:textId="43C1273A" w:rsidR="008F43A9" w:rsidRPr="003E18AD" w:rsidRDefault="007436B9" w:rsidP="00E17732">
      <w:pPr>
        <w:rPr>
          <w:rFonts w:eastAsia="Times New Roman" w:cs="Times New Roman"/>
          <w:sz w:val="21"/>
          <w:szCs w:val="21"/>
        </w:rPr>
      </w:pPr>
      <w:bookmarkStart w:id="376" w:name="_Toc216260403"/>
      <w:bookmarkStart w:id="377" w:name="_Toc216264118"/>
      <w:bookmarkStart w:id="378" w:name="_Toc216269967"/>
      <w:bookmarkStart w:id="379" w:name="_Toc216270666"/>
      <w:r w:rsidRPr="007436B9">
        <w:rPr>
          <w:rStyle w:val="Heading3Char"/>
        </w:rPr>
        <w:t>The Asian Development Bank</w:t>
      </w:r>
      <w:bookmarkEnd w:id="376"/>
      <w:bookmarkEnd w:id="377"/>
      <w:bookmarkEnd w:id="378"/>
      <w:bookmarkEnd w:id="379"/>
      <w:r>
        <w:rPr>
          <w:rFonts w:eastAsia="Times New Roman" w:cs="Times New Roman"/>
          <w:sz w:val="21"/>
          <w:szCs w:val="21"/>
        </w:rPr>
        <w:br/>
      </w:r>
      <w:r w:rsidR="008F43A9" w:rsidRPr="003E18AD">
        <w:rPr>
          <w:rFonts w:eastAsia="Times New Roman" w:cs="Times New Roman"/>
          <w:sz w:val="21"/>
          <w:szCs w:val="21"/>
        </w:rPr>
        <w:t xml:space="preserve">The </w:t>
      </w:r>
      <w:r w:rsidR="008F43A9" w:rsidRPr="003E18AD">
        <w:rPr>
          <w:rFonts w:eastAsia="Times New Roman" w:cs="Times New Roman"/>
          <w:b/>
          <w:bCs/>
          <w:sz w:val="21"/>
          <w:szCs w:val="21"/>
        </w:rPr>
        <w:t>Asian Development Bank</w:t>
      </w:r>
      <w:r w:rsidR="008F43A9" w:rsidRPr="003E18AD">
        <w:rPr>
          <w:rFonts w:eastAsia="Times New Roman" w:cs="Times New Roman"/>
          <w:sz w:val="21"/>
          <w:szCs w:val="21"/>
        </w:rPr>
        <w:t xml:space="preserve"> will be responsible for providing technical, analytic and research services, and loan </w:t>
      </w:r>
      <w:r w:rsidR="008F43A9" w:rsidRPr="003E18AD">
        <w:rPr>
          <w:rFonts w:eastAsia="Times New Roman" w:cs="Times New Roman"/>
          <w:sz w:val="21"/>
          <w:szCs w:val="21"/>
        </w:rPr>
        <w:lastRenderedPageBreak/>
        <w:t xml:space="preserve">preparation services, in agreed sectors and sub-sectors specified in the Grant Agreement related to their </w:t>
      </w:r>
      <w:r w:rsidR="00D1648D" w:rsidRPr="003E18AD">
        <w:rPr>
          <w:rFonts w:eastAsia="Times New Roman" w:cs="Times New Roman"/>
          <w:sz w:val="21"/>
          <w:szCs w:val="21"/>
        </w:rPr>
        <w:t xml:space="preserve">separately agreed </w:t>
      </w:r>
      <w:r w:rsidR="008F43A9" w:rsidRPr="003E18AD">
        <w:rPr>
          <w:rFonts w:eastAsia="Times New Roman" w:cs="Times New Roman"/>
          <w:sz w:val="21"/>
          <w:szCs w:val="21"/>
        </w:rPr>
        <w:t>Proposal.</w:t>
      </w:r>
      <w:r w:rsidR="00C92510" w:rsidRPr="003E18AD">
        <w:rPr>
          <w:rFonts w:eastAsia="Times New Roman" w:cs="Times New Roman"/>
          <w:sz w:val="21"/>
          <w:szCs w:val="21"/>
        </w:rPr>
        <w:t xml:space="preserve"> </w:t>
      </w:r>
      <w:r w:rsidR="008F43A9" w:rsidRPr="003E18AD">
        <w:rPr>
          <w:rFonts w:eastAsia="Times New Roman" w:cs="Times New Roman"/>
          <w:sz w:val="21"/>
          <w:szCs w:val="21"/>
        </w:rPr>
        <w:t>This relationship will be managed directly by Post.</w:t>
      </w:r>
    </w:p>
    <w:p w14:paraId="108720AF" w14:textId="3A136D19" w:rsidR="008F43A9" w:rsidRPr="003E18AD" w:rsidRDefault="007436B9" w:rsidP="00E17732">
      <w:pPr>
        <w:rPr>
          <w:rFonts w:eastAsia="Times New Roman" w:cs="Times New Roman"/>
          <w:sz w:val="21"/>
          <w:szCs w:val="21"/>
        </w:rPr>
      </w:pPr>
      <w:bookmarkStart w:id="380" w:name="_Toc216260404"/>
      <w:bookmarkStart w:id="381" w:name="_Toc216264119"/>
      <w:bookmarkStart w:id="382" w:name="_Toc216269968"/>
      <w:bookmarkStart w:id="383" w:name="_Toc216270667"/>
      <w:r w:rsidRPr="007436B9">
        <w:rPr>
          <w:rStyle w:val="Heading3Char"/>
        </w:rPr>
        <w:t>The World Bank</w:t>
      </w:r>
      <w:bookmarkEnd w:id="380"/>
      <w:bookmarkEnd w:id="381"/>
      <w:bookmarkEnd w:id="382"/>
      <w:bookmarkEnd w:id="383"/>
      <w:r>
        <w:rPr>
          <w:rFonts w:eastAsia="Times New Roman" w:cs="Times New Roman"/>
          <w:sz w:val="21"/>
          <w:szCs w:val="21"/>
        </w:rPr>
        <w:br/>
      </w:r>
      <w:r w:rsidR="008F43A9" w:rsidRPr="007436B9">
        <w:rPr>
          <w:rFonts w:eastAsia="Times New Roman" w:cs="Times New Roman"/>
          <w:sz w:val="21"/>
          <w:szCs w:val="21"/>
        </w:rPr>
        <w:t>The World Bank</w:t>
      </w:r>
      <w:r w:rsidR="008F43A9" w:rsidRPr="003E18AD">
        <w:rPr>
          <w:rFonts w:eastAsia="Times New Roman" w:cs="Times New Roman"/>
          <w:sz w:val="21"/>
          <w:szCs w:val="21"/>
        </w:rPr>
        <w:t xml:space="preserve"> will provide complementary services under the ABIP Agreement (managed separately by DFAT Post).</w:t>
      </w:r>
    </w:p>
    <w:p w14:paraId="0F162E4A" w14:textId="41651FBF" w:rsidR="004C2B77" w:rsidRPr="003E18AD" w:rsidRDefault="007436B9" w:rsidP="00E17732">
      <w:pPr>
        <w:rPr>
          <w:rFonts w:eastAsia="Times New Roman" w:cs="Times New Roman"/>
          <w:sz w:val="21"/>
          <w:szCs w:val="21"/>
        </w:rPr>
      </w:pPr>
      <w:bookmarkStart w:id="384" w:name="_Toc216260405"/>
      <w:bookmarkStart w:id="385" w:name="_Toc216264120"/>
      <w:bookmarkStart w:id="386" w:name="_Toc216269969"/>
      <w:bookmarkStart w:id="387" w:name="_Toc216270668"/>
      <w:r w:rsidRPr="007436B9">
        <w:rPr>
          <w:rStyle w:val="Heading3Char"/>
        </w:rPr>
        <w:t>PIDG and ADI</w:t>
      </w:r>
      <w:bookmarkEnd w:id="384"/>
      <w:bookmarkEnd w:id="385"/>
      <w:bookmarkEnd w:id="386"/>
      <w:bookmarkEnd w:id="387"/>
      <w:r>
        <w:rPr>
          <w:rFonts w:eastAsia="Times New Roman" w:cs="Times New Roman"/>
          <w:b/>
          <w:bCs/>
          <w:sz w:val="21"/>
          <w:szCs w:val="21"/>
        </w:rPr>
        <w:br/>
      </w:r>
      <w:r w:rsidR="008F43A9" w:rsidRPr="007436B9">
        <w:rPr>
          <w:rFonts w:eastAsia="Times New Roman" w:cs="Times New Roman"/>
          <w:sz w:val="21"/>
          <w:szCs w:val="21"/>
        </w:rPr>
        <w:t>PIDG and ADI</w:t>
      </w:r>
      <w:r w:rsidR="008F43A9" w:rsidRPr="003E18AD">
        <w:rPr>
          <w:rFonts w:eastAsia="Times New Roman" w:cs="Times New Roman"/>
          <w:sz w:val="21"/>
          <w:szCs w:val="21"/>
        </w:rPr>
        <w:t xml:space="preserve"> will provide services in accordance with their mandates and Head Agreements with DFAT, and sub-Agreements (windows) as negotiated directly with DFAT.</w:t>
      </w:r>
      <w:r w:rsidR="00C92510" w:rsidRPr="003E18AD">
        <w:rPr>
          <w:rFonts w:eastAsia="Times New Roman" w:cs="Times New Roman"/>
          <w:sz w:val="21"/>
          <w:szCs w:val="21"/>
        </w:rPr>
        <w:t xml:space="preserve"> </w:t>
      </w:r>
      <w:r w:rsidR="008F43A9" w:rsidRPr="003E18AD">
        <w:rPr>
          <w:rFonts w:eastAsia="Times New Roman" w:cs="Times New Roman"/>
          <w:sz w:val="21"/>
          <w:szCs w:val="21"/>
        </w:rPr>
        <w:t>DFAT will manage these components directly from Post.</w:t>
      </w:r>
    </w:p>
    <w:p w14:paraId="2BA373BF" w14:textId="14CC18AB" w:rsidR="00963448" w:rsidRPr="008B64EA" w:rsidRDefault="007436B9" w:rsidP="008B64EA">
      <w:pPr>
        <w:rPr>
          <w:rFonts w:eastAsia="Times New Roman" w:cs="Times New Roman"/>
          <w:sz w:val="21"/>
          <w:szCs w:val="21"/>
        </w:rPr>
      </w:pPr>
      <w:bookmarkStart w:id="388" w:name="_Toc216260406"/>
      <w:bookmarkStart w:id="389" w:name="_Toc216264121"/>
      <w:bookmarkStart w:id="390" w:name="_Toc216269970"/>
      <w:bookmarkStart w:id="391" w:name="_Toc216270669"/>
      <w:r w:rsidRPr="007436B9">
        <w:rPr>
          <w:rStyle w:val="Heading3Char"/>
        </w:rPr>
        <w:t>Activity/Project Level</w:t>
      </w:r>
      <w:bookmarkEnd w:id="388"/>
      <w:bookmarkEnd w:id="389"/>
      <w:bookmarkEnd w:id="390"/>
      <w:bookmarkEnd w:id="391"/>
      <w:r>
        <w:rPr>
          <w:rFonts w:eastAsia="Times New Roman" w:cs="Times New Roman"/>
          <w:sz w:val="21"/>
          <w:szCs w:val="21"/>
        </w:rPr>
        <w:br/>
      </w:r>
      <w:r w:rsidR="005C254C" w:rsidRPr="003E18AD">
        <w:rPr>
          <w:rFonts w:eastAsia="Times New Roman" w:cs="Times New Roman"/>
          <w:sz w:val="21"/>
          <w:szCs w:val="21"/>
        </w:rPr>
        <w:t xml:space="preserve">At the </w:t>
      </w:r>
      <w:r w:rsidR="005C254C" w:rsidRPr="007436B9">
        <w:rPr>
          <w:rFonts w:eastAsia="Times New Roman" w:cs="Times New Roman"/>
          <w:sz w:val="21"/>
          <w:szCs w:val="21"/>
        </w:rPr>
        <w:t xml:space="preserve">Activity/Project level, </w:t>
      </w:r>
      <w:r w:rsidR="005C254C" w:rsidRPr="003E18AD">
        <w:rPr>
          <w:rFonts w:eastAsia="Times New Roman" w:cs="Times New Roman"/>
          <w:sz w:val="21"/>
          <w:szCs w:val="21"/>
        </w:rPr>
        <w:t>each Delivery Partner will have sub-contracts and grant agreements wi</w:t>
      </w:r>
      <w:r w:rsidR="00272DFB">
        <w:rPr>
          <w:rFonts w:eastAsia="Times New Roman" w:cs="Times New Roman"/>
          <w:sz w:val="21"/>
          <w:szCs w:val="21"/>
        </w:rPr>
        <w:t>th</w:t>
      </w:r>
      <w:r w:rsidR="005C254C" w:rsidRPr="003E18AD">
        <w:rPr>
          <w:rFonts w:eastAsia="Times New Roman" w:cs="Times New Roman"/>
          <w:sz w:val="21"/>
          <w:szCs w:val="21"/>
        </w:rPr>
        <w:t xml:space="preserve"> implementing parties, who will report directly to them.</w:t>
      </w:r>
    </w:p>
    <w:p w14:paraId="015F330D" w14:textId="533ECF4C" w:rsidR="00A32858" w:rsidRPr="003E18AD" w:rsidRDefault="002B60C2" w:rsidP="00D2498B">
      <w:pPr>
        <w:pStyle w:val="Heading2"/>
      </w:pPr>
      <w:bookmarkStart w:id="392" w:name="_Toc216260407"/>
      <w:bookmarkStart w:id="393" w:name="_Toc216270670"/>
      <w:r w:rsidRPr="003E18AD">
        <w:t>Early Activities</w:t>
      </w:r>
      <w:bookmarkEnd w:id="392"/>
      <w:bookmarkEnd w:id="393"/>
    </w:p>
    <w:p w14:paraId="3C363A89" w14:textId="7F0AD797" w:rsidR="00A32858" w:rsidRPr="003E18AD" w:rsidRDefault="005C254C" w:rsidP="0008352A">
      <w:pPr>
        <w:tabs>
          <w:tab w:val="left" w:pos="284"/>
        </w:tabs>
        <w:suppressAutoHyphens w:val="0"/>
        <w:spacing w:before="0" w:line="280" w:lineRule="exact"/>
        <w:rPr>
          <w:rFonts w:eastAsia="Times New Roman" w:cs="Times New Roman"/>
          <w:sz w:val="21"/>
          <w:szCs w:val="21"/>
        </w:rPr>
      </w:pPr>
      <w:r w:rsidRPr="003E18AD">
        <w:rPr>
          <w:rFonts w:eastAsia="Times New Roman" w:cs="Times New Roman"/>
          <w:sz w:val="21"/>
          <w:szCs w:val="21"/>
        </w:rPr>
        <w:t>Critical early activities include:</w:t>
      </w:r>
    </w:p>
    <w:p w14:paraId="6C46849F" w14:textId="608F1B0E" w:rsidR="005C254C" w:rsidRPr="003E18AD" w:rsidRDefault="005C254C" w:rsidP="00686269">
      <w:pPr>
        <w:pStyle w:val="ListParagraph"/>
        <w:numPr>
          <w:ilvl w:val="0"/>
          <w:numId w:val="71"/>
        </w:numPr>
        <w:tabs>
          <w:tab w:val="left" w:pos="284"/>
        </w:tabs>
        <w:suppressAutoHyphens w:val="0"/>
        <w:spacing w:before="0" w:line="280" w:lineRule="exact"/>
        <w:rPr>
          <w:rFonts w:eastAsia="Times New Roman" w:cs="Times New Roman"/>
          <w:sz w:val="21"/>
          <w:szCs w:val="21"/>
        </w:rPr>
      </w:pPr>
      <w:r w:rsidRPr="003E18AD">
        <w:rPr>
          <w:rFonts w:eastAsia="Times New Roman" w:cs="Times New Roman"/>
          <w:sz w:val="21"/>
          <w:szCs w:val="21"/>
        </w:rPr>
        <w:t>Novating Contracts and Agreements for ongoing Activities and Projects from previous programs (to be provided by DFAT and previous Contractor in Completion Report)</w:t>
      </w:r>
    </w:p>
    <w:p w14:paraId="2975E8AB" w14:textId="73B95818" w:rsidR="005C254C" w:rsidRPr="003E18AD" w:rsidRDefault="005C254C" w:rsidP="00686269">
      <w:pPr>
        <w:pStyle w:val="ListParagraph"/>
        <w:numPr>
          <w:ilvl w:val="0"/>
          <w:numId w:val="71"/>
        </w:numPr>
        <w:tabs>
          <w:tab w:val="left" w:pos="284"/>
        </w:tabs>
        <w:suppressAutoHyphens w:val="0"/>
        <w:spacing w:before="0" w:line="280" w:lineRule="exact"/>
        <w:rPr>
          <w:rFonts w:eastAsia="Times New Roman" w:cs="Times New Roman"/>
          <w:sz w:val="21"/>
          <w:szCs w:val="21"/>
        </w:rPr>
      </w:pPr>
      <w:r w:rsidRPr="003E18AD">
        <w:rPr>
          <w:rFonts w:eastAsia="Times New Roman" w:cs="Times New Roman"/>
          <w:sz w:val="21"/>
          <w:szCs w:val="21"/>
        </w:rPr>
        <w:t>Developing a Partnership Charter with all Delivery Partners</w:t>
      </w:r>
    </w:p>
    <w:p w14:paraId="72C69392" w14:textId="5069BE0D" w:rsidR="005C254C" w:rsidRPr="003E18AD" w:rsidRDefault="005C254C" w:rsidP="00686269">
      <w:pPr>
        <w:pStyle w:val="ListParagraph"/>
        <w:numPr>
          <w:ilvl w:val="0"/>
          <w:numId w:val="71"/>
        </w:numPr>
        <w:tabs>
          <w:tab w:val="left" w:pos="284"/>
        </w:tabs>
        <w:suppressAutoHyphens w:val="0"/>
        <w:spacing w:before="0" w:line="280" w:lineRule="exact"/>
        <w:rPr>
          <w:rFonts w:eastAsia="Times New Roman" w:cs="Times New Roman"/>
          <w:sz w:val="21"/>
          <w:szCs w:val="21"/>
        </w:rPr>
      </w:pPr>
      <w:r w:rsidRPr="003E18AD">
        <w:rPr>
          <w:rFonts w:eastAsia="Times New Roman" w:cs="Times New Roman"/>
          <w:sz w:val="21"/>
          <w:szCs w:val="21"/>
        </w:rPr>
        <w:t>Establishing basic Activity and Project structure guidelines for MERL</w:t>
      </w:r>
    </w:p>
    <w:p w14:paraId="78304744" w14:textId="56EAC0F0" w:rsidR="00363D1C" w:rsidRPr="003E18AD" w:rsidRDefault="009C7233" w:rsidP="00686269">
      <w:pPr>
        <w:pStyle w:val="ListParagraph"/>
        <w:numPr>
          <w:ilvl w:val="0"/>
          <w:numId w:val="71"/>
        </w:numPr>
        <w:tabs>
          <w:tab w:val="left" w:pos="284"/>
        </w:tabs>
        <w:suppressAutoHyphens w:val="0"/>
        <w:spacing w:before="0" w:line="280" w:lineRule="exact"/>
        <w:rPr>
          <w:rFonts w:eastAsia="Times New Roman" w:cs="Times New Roman"/>
          <w:sz w:val="21"/>
          <w:szCs w:val="21"/>
        </w:rPr>
      </w:pPr>
      <w:r w:rsidRPr="003E18AD">
        <w:rPr>
          <w:rFonts w:eastAsia="Times New Roman" w:cs="Times New Roman"/>
          <w:sz w:val="21"/>
          <w:szCs w:val="21"/>
        </w:rPr>
        <w:t>Finalising</w:t>
      </w:r>
      <w:r w:rsidR="00363D1C" w:rsidRPr="003E18AD">
        <w:rPr>
          <w:rFonts w:eastAsia="Times New Roman" w:cs="Times New Roman"/>
          <w:sz w:val="21"/>
          <w:szCs w:val="21"/>
        </w:rPr>
        <w:t xml:space="preserve"> and agreeing minimum screening and selection criteria</w:t>
      </w:r>
    </w:p>
    <w:p w14:paraId="5C7A11AC" w14:textId="23032F76" w:rsidR="00363D1C" w:rsidRPr="003E18AD" w:rsidRDefault="00363D1C" w:rsidP="00686269">
      <w:pPr>
        <w:pStyle w:val="ListParagraph"/>
        <w:numPr>
          <w:ilvl w:val="0"/>
          <w:numId w:val="71"/>
        </w:numPr>
        <w:tabs>
          <w:tab w:val="left" w:pos="284"/>
        </w:tabs>
        <w:suppressAutoHyphens w:val="0"/>
        <w:spacing w:before="0" w:line="280" w:lineRule="exact"/>
        <w:rPr>
          <w:rFonts w:eastAsia="Times New Roman" w:cs="Times New Roman"/>
          <w:sz w:val="21"/>
          <w:szCs w:val="21"/>
        </w:rPr>
      </w:pPr>
      <w:r w:rsidRPr="003E18AD">
        <w:rPr>
          <w:rFonts w:eastAsia="Times New Roman" w:cs="Times New Roman"/>
          <w:sz w:val="21"/>
          <w:szCs w:val="21"/>
        </w:rPr>
        <w:t xml:space="preserve">Developing </w:t>
      </w:r>
      <w:r w:rsidR="00736C9D" w:rsidRPr="003E18AD">
        <w:rPr>
          <w:rFonts w:eastAsia="Times New Roman" w:cs="Times New Roman"/>
          <w:sz w:val="21"/>
          <w:szCs w:val="21"/>
        </w:rPr>
        <w:t>a timetable and then preparing</w:t>
      </w:r>
      <w:r w:rsidR="00C92510" w:rsidRPr="003E18AD">
        <w:rPr>
          <w:rFonts w:eastAsia="Times New Roman" w:cs="Times New Roman"/>
          <w:sz w:val="21"/>
          <w:szCs w:val="21"/>
        </w:rPr>
        <w:t xml:space="preserve"> </w:t>
      </w:r>
      <w:r w:rsidRPr="003E18AD">
        <w:rPr>
          <w:rFonts w:eastAsia="Times New Roman" w:cs="Times New Roman"/>
          <w:sz w:val="21"/>
          <w:szCs w:val="21"/>
        </w:rPr>
        <w:t xml:space="preserve">the </w:t>
      </w:r>
      <w:r w:rsidR="00736C9D" w:rsidRPr="003E18AD">
        <w:rPr>
          <w:rFonts w:eastAsia="Times New Roman" w:cs="Times New Roman"/>
          <w:sz w:val="21"/>
          <w:szCs w:val="21"/>
        </w:rPr>
        <w:t xml:space="preserve">Sector Engagement </w:t>
      </w:r>
      <w:r w:rsidR="00A75A2C">
        <w:rPr>
          <w:rFonts w:eastAsia="Times New Roman" w:cs="Times New Roman"/>
          <w:sz w:val="21"/>
          <w:szCs w:val="21"/>
        </w:rPr>
        <w:t xml:space="preserve">Strategies </w:t>
      </w:r>
      <w:r w:rsidR="00736C9D" w:rsidRPr="003E18AD">
        <w:rPr>
          <w:rFonts w:eastAsia="Times New Roman" w:cs="Times New Roman"/>
          <w:sz w:val="21"/>
          <w:szCs w:val="21"/>
        </w:rPr>
        <w:t xml:space="preserve">that will </w:t>
      </w:r>
      <w:r w:rsidR="00213A8F">
        <w:rPr>
          <w:rFonts w:eastAsia="Times New Roman" w:cs="Times New Roman"/>
          <w:sz w:val="21"/>
          <w:szCs w:val="21"/>
        </w:rPr>
        <w:t xml:space="preserve">feed </w:t>
      </w:r>
      <w:proofErr w:type="gramStart"/>
      <w:r w:rsidR="00213A8F">
        <w:rPr>
          <w:rFonts w:eastAsia="Times New Roman" w:cs="Times New Roman"/>
          <w:sz w:val="21"/>
          <w:szCs w:val="21"/>
        </w:rPr>
        <w:t>in to</w:t>
      </w:r>
      <w:proofErr w:type="gramEnd"/>
      <w:r w:rsidR="00213A8F">
        <w:rPr>
          <w:rFonts w:eastAsia="Times New Roman" w:cs="Times New Roman"/>
          <w:sz w:val="21"/>
          <w:szCs w:val="21"/>
        </w:rPr>
        <w:t xml:space="preserve"> a </w:t>
      </w:r>
      <w:r w:rsidRPr="003E18AD">
        <w:rPr>
          <w:rFonts w:eastAsia="Times New Roman" w:cs="Times New Roman"/>
          <w:sz w:val="21"/>
          <w:szCs w:val="21"/>
        </w:rPr>
        <w:t>Policy Matrix</w:t>
      </w:r>
      <w:r w:rsidR="00736C9D" w:rsidRPr="003E18AD">
        <w:rPr>
          <w:rFonts w:eastAsia="Times New Roman" w:cs="Times New Roman"/>
          <w:sz w:val="21"/>
          <w:szCs w:val="21"/>
        </w:rPr>
        <w:t xml:space="preserve"> with</w:t>
      </w:r>
      <w:r w:rsidRPr="003E18AD">
        <w:rPr>
          <w:rFonts w:eastAsia="Times New Roman" w:cs="Times New Roman"/>
          <w:sz w:val="21"/>
          <w:szCs w:val="21"/>
        </w:rPr>
        <w:t xml:space="preserve"> DFAT and Delivery Partner engagement (DFAT responsibility).</w:t>
      </w:r>
    </w:p>
    <w:p w14:paraId="0770782F" w14:textId="4AF92413" w:rsidR="00A32858" w:rsidRPr="003E18AD" w:rsidRDefault="00A32858" w:rsidP="00D2498B">
      <w:pPr>
        <w:pStyle w:val="Heading2"/>
      </w:pPr>
      <w:bookmarkStart w:id="394" w:name="_Toc216260408"/>
      <w:bookmarkStart w:id="395" w:name="_Toc216270671"/>
      <w:r w:rsidRPr="003E18AD">
        <w:t>Policy Dialogue</w:t>
      </w:r>
      <w:bookmarkEnd w:id="394"/>
      <w:bookmarkEnd w:id="395"/>
    </w:p>
    <w:p w14:paraId="00BF5CEC" w14:textId="05414CEB" w:rsidR="00A32858" w:rsidRPr="003E18AD" w:rsidRDefault="00363D1C" w:rsidP="00E17732">
      <w:pPr>
        <w:rPr>
          <w:rFonts w:eastAsia="Times New Roman" w:cs="Times New Roman"/>
          <w:iCs/>
          <w:sz w:val="21"/>
          <w:szCs w:val="24"/>
          <w:lang w:eastAsia="en-AU"/>
        </w:rPr>
      </w:pPr>
      <w:r w:rsidRPr="003E18AD">
        <w:rPr>
          <w:rFonts w:eastAsia="Times New Roman" w:cs="Times New Roman"/>
          <w:iCs/>
          <w:sz w:val="21"/>
          <w:szCs w:val="24"/>
          <w:lang w:eastAsia="en-AU"/>
        </w:rPr>
        <w:t>Policy engagement between Australia and Delivery Partners with the GOI is a central strategy of the program to achieve its intended outcomes.</w:t>
      </w:r>
      <w:r w:rsidR="00C92510" w:rsidRPr="003E18AD">
        <w:rPr>
          <w:rFonts w:eastAsia="Times New Roman" w:cs="Times New Roman"/>
          <w:iCs/>
          <w:sz w:val="21"/>
          <w:szCs w:val="24"/>
          <w:lang w:eastAsia="en-AU"/>
        </w:rPr>
        <w:t xml:space="preserve"> </w:t>
      </w:r>
      <w:r w:rsidRPr="003E18AD">
        <w:rPr>
          <w:rFonts w:eastAsia="Times New Roman" w:cs="Times New Roman"/>
          <w:iCs/>
          <w:sz w:val="21"/>
          <w:szCs w:val="24"/>
          <w:lang w:eastAsia="en-AU"/>
        </w:rPr>
        <w:t xml:space="preserve"> Key mechanisms to pursue policy dialogue include:</w:t>
      </w:r>
    </w:p>
    <w:p w14:paraId="74AED2BA" w14:textId="0431248B" w:rsidR="00363D1C" w:rsidRPr="003E18AD" w:rsidRDefault="00363D1C" w:rsidP="00686269">
      <w:pPr>
        <w:pStyle w:val="ListParagraph"/>
        <w:numPr>
          <w:ilvl w:val="0"/>
          <w:numId w:val="19"/>
        </w:numPr>
        <w:spacing w:before="0" w:after="0"/>
        <w:ind w:left="714" w:hanging="357"/>
        <w:contextualSpacing w:val="0"/>
        <w:rPr>
          <w:rFonts w:eastAsia="Times New Roman" w:cs="Times New Roman"/>
          <w:sz w:val="21"/>
          <w:szCs w:val="21"/>
          <w:lang w:eastAsia="en-AU"/>
        </w:rPr>
      </w:pPr>
      <w:r w:rsidRPr="4E666B3A">
        <w:rPr>
          <w:rFonts w:eastAsia="Times New Roman" w:cs="Times New Roman"/>
          <w:sz w:val="21"/>
          <w:szCs w:val="21"/>
          <w:lang w:eastAsia="en-AU"/>
        </w:rPr>
        <w:t xml:space="preserve">The </w:t>
      </w:r>
      <w:r w:rsidR="00174352">
        <w:rPr>
          <w:rFonts w:eastAsia="Times New Roman" w:cs="Times New Roman"/>
          <w:sz w:val="21"/>
          <w:szCs w:val="21"/>
          <w:lang w:eastAsia="en-AU"/>
        </w:rPr>
        <w:t xml:space="preserve">Program Steering Committee </w:t>
      </w:r>
    </w:p>
    <w:p w14:paraId="429226CE" w14:textId="53E04F98" w:rsidR="00363D1C" w:rsidRPr="00665A6F" w:rsidRDefault="00363D1C" w:rsidP="00686269">
      <w:pPr>
        <w:pStyle w:val="ListParagraph"/>
        <w:numPr>
          <w:ilvl w:val="0"/>
          <w:numId w:val="19"/>
        </w:numPr>
        <w:rPr>
          <w:rFonts w:eastAsia="Times New Roman" w:cs="Times New Roman"/>
          <w:iCs/>
          <w:sz w:val="21"/>
          <w:szCs w:val="24"/>
          <w:lang w:eastAsia="en-AU"/>
        </w:rPr>
      </w:pPr>
      <w:r w:rsidRPr="00665A6F">
        <w:rPr>
          <w:rFonts w:eastAsia="Times New Roman" w:cs="Times New Roman"/>
          <w:iCs/>
          <w:sz w:val="21"/>
          <w:szCs w:val="24"/>
          <w:lang w:eastAsia="en-AU"/>
        </w:rPr>
        <w:t>Technical Working Groups and Communities of Practice (where technical and operational resolutions are proposed).</w:t>
      </w:r>
    </w:p>
    <w:p w14:paraId="485C85E7" w14:textId="77777777" w:rsidR="00A32858" w:rsidRPr="003E18AD" w:rsidRDefault="00A32858" w:rsidP="00D2498B">
      <w:pPr>
        <w:pStyle w:val="Heading2"/>
      </w:pPr>
      <w:bookmarkStart w:id="396" w:name="_Toc216260409"/>
      <w:bookmarkStart w:id="397" w:name="_Toc216270672"/>
      <w:r w:rsidRPr="003E18AD">
        <w:t>Profile and Public Diplomacy</w:t>
      </w:r>
      <w:bookmarkEnd w:id="396"/>
      <w:bookmarkEnd w:id="397"/>
    </w:p>
    <w:p w14:paraId="2089C34A" w14:textId="5538AA06" w:rsidR="009B6281" w:rsidRPr="003E18AD" w:rsidRDefault="00363D1C" w:rsidP="00E17732">
      <w:pPr>
        <w:rPr>
          <w:rFonts w:eastAsia="Times New Roman" w:cs="Times New Roman"/>
          <w:iCs/>
          <w:sz w:val="21"/>
          <w:szCs w:val="24"/>
          <w:lang w:eastAsia="en-AU"/>
        </w:rPr>
      </w:pPr>
      <w:r w:rsidRPr="003E18AD">
        <w:rPr>
          <w:rFonts w:eastAsia="Times New Roman" w:cs="Times New Roman"/>
          <w:iCs/>
          <w:sz w:val="21"/>
          <w:szCs w:val="24"/>
          <w:lang w:eastAsia="en-AU"/>
        </w:rPr>
        <w:t>The Primary Contractor will have responsibility for providing communications and PD support across the portfolio and directly for DFAT.</w:t>
      </w:r>
      <w:r w:rsidR="00C92510" w:rsidRPr="003E18AD">
        <w:rPr>
          <w:rFonts w:eastAsia="Times New Roman" w:cs="Times New Roman"/>
          <w:iCs/>
          <w:sz w:val="21"/>
          <w:szCs w:val="24"/>
          <w:lang w:eastAsia="en-AU"/>
        </w:rPr>
        <w:t xml:space="preserve"> </w:t>
      </w:r>
      <w:r w:rsidRPr="003E18AD">
        <w:rPr>
          <w:rFonts w:eastAsia="Times New Roman" w:cs="Times New Roman"/>
          <w:iCs/>
          <w:sz w:val="21"/>
          <w:szCs w:val="24"/>
          <w:lang w:eastAsia="en-AU"/>
        </w:rPr>
        <w:t>A Communications Strategy will be developed in the inception phase, and will include:</w:t>
      </w:r>
    </w:p>
    <w:p w14:paraId="5B0FC287" w14:textId="0D85D4FB" w:rsidR="00363D1C" w:rsidRPr="003E18AD" w:rsidRDefault="00363D1C" w:rsidP="00686269">
      <w:pPr>
        <w:pStyle w:val="ListParagraph"/>
        <w:numPr>
          <w:ilvl w:val="0"/>
          <w:numId w:val="16"/>
        </w:numPr>
        <w:tabs>
          <w:tab w:val="left" w:pos="284"/>
        </w:tabs>
        <w:suppressAutoHyphens w:val="0"/>
        <w:spacing w:before="0" w:after="0" w:line="260" w:lineRule="exact"/>
        <w:ind w:left="714" w:hanging="357"/>
        <w:rPr>
          <w:rFonts w:eastAsia="Times New Roman" w:cs="Times New Roman"/>
          <w:iCs/>
          <w:sz w:val="21"/>
          <w:szCs w:val="24"/>
          <w:lang w:eastAsia="en-AU"/>
        </w:rPr>
      </w:pPr>
      <w:r w:rsidRPr="003E18AD">
        <w:rPr>
          <w:rFonts w:eastAsia="Times New Roman" w:cs="Times New Roman"/>
          <w:iCs/>
          <w:sz w:val="21"/>
          <w:szCs w:val="24"/>
          <w:lang w:eastAsia="en-AU"/>
        </w:rPr>
        <w:t>Website and other social media distribution channels</w:t>
      </w:r>
    </w:p>
    <w:p w14:paraId="4537F6F4" w14:textId="77777777" w:rsidR="00363D1C" w:rsidRPr="003E18AD" w:rsidRDefault="00363D1C" w:rsidP="00686269">
      <w:pPr>
        <w:pStyle w:val="ListParagraph"/>
        <w:numPr>
          <w:ilvl w:val="0"/>
          <w:numId w:val="16"/>
        </w:numPr>
        <w:tabs>
          <w:tab w:val="left" w:pos="284"/>
        </w:tabs>
        <w:suppressAutoHyphens w:val="0"/>
        <w:spacing w:before="0" w:after="0" w:line="260" w:lineRule="exact"/>
        <w:ind w:left="714" w:hanging="357"/>
        <w:rPr>
          <w:rFonts w:eastAsia="Times New Roman" w:cs="Times New Roman"/>
          <w:iCs/>
          <w:sz w:val="21"/>
          <w:szCs w:val="24"/>
          <w:lang w:eastAsia="en-AU"/>
        </w:rPr>
      </w:pPr>
      <w:r w:rsidRPr="003E18AD">
        <w:rPr>
          <w:rFonts w:eastAsia="Times New Roman" w:cs="Times New Roman"/>
          <w:iCs/>
          <w:sz w:val="21"/>
          <w:szCs w:val="24"/>
          <w:lang w:eastAsia="en-AU"/>
        </w:rPr>
        <w:t>Publications and media engagement</w:t>
      </w:r>
    </w:p>
    <w:p w14:paraId="4FE86AA1" w14:textId="77777777" w:rsidR="00363D1C" w:rsidRPr="003E18AD" w:rsidRDefault="00363D1C" w:rsidP="00686269">
      <w:pPr>
        <w:pStyle w:val="ListParagraph"/>
        <w:numPr>
          <w:ilvl w:val="0"/>
          <w:numId w:val="16"/>
        </w:numPr>
        <w:tabs>
          <w:tab w:val="left" w:pos="284"/>
        </w:tabs>
        <w:suppressAutoHyphens w:val="0"/>
        <w:spacing w:before="0" w:after="0" w:line="260" w:lineRule="exact"/>
        <w:ind w:left="714" w:hanging="357"/>
        <w:rPr>
          <w:rFonts w:eastAsia="Times New Roman" w:cs="Times New Roman"/>
          <w:iCs/>
          <w:sz w:val="21"/>
          <w:szCs w:val="24"/>
          <w:lang w:eastAsia="en-AU"/>
        </w:rPr>
      </w:pPr>
      <w:r w:rsidRPr="003E18AD">
        <w:rPr>
          <w:rFonts w:eastAsia="Times New Roman" w:cs="Times New Roman"/>
          <w:iCs/>
          <w:sz w:val="21"/>
          <w:szCs w:val="24"/>
          <w:lang w:eastAsia="en-AU"/>
        </w:rPr>
        <w:t xml:space="preserve">Events </w:t>
      </w:r>
    </w:p>
    <w:p w14:paraId="5D8D4CAE" w14:textId="31B8ABB1" w:rsidR="00363D1C" w:rsidRPr="003E18AD" w:rsidRDefault="00363D1C" w:rsidP="00686269">
      <w:pPr>
        <w:pStyle w:val="ListParagraph"/>
        <w:numPr>
          <w:ilvl w:val="0"/>
          <w:numId w:val="16"/>
        </w:numPr>
        <w:tabs>
          <w:tab w:val="left" w:pos="284"/>
        </w:tabs>
        <w:suppressAutoHyphens w:val="0"/>
        <w:spacing w:before="0" w:after="0" w:line="260" w:lineRule="exact"/>
        <w:ind w:left="714" w:hanging="357"/>
        <w:rPr>
          <w:rFonts w:eastAsia="Times New Roman" w:cs="Times New Roman"/>
          <w:iCs/>
          <w:sz w:val="21"/>
          <w:szCs w:val="24"/>
          <w:lang w:eastAsia="en-AU"/>
        </w:rPr>
      </w:pPr>
      <w:r w:rsidRPr="003E18AD">
        <w:rPr>
          <w:rFonts w:eastAsia="Times New Roman" w:cs="Times New Roman"/>
          <w:iCs/>
          <w:sz w:val="21"/>
          <w:szCs w:val="24"/>
          <w:lang w:eastAsia="en-AU"/>
        </w:rPr>
        <w:t>High profile visits and missions</w:t>
      </w:r>
    </w:p>
    <w:p w14:paraId="0504432E" w14:textId="40742108" w:rsidR="002327B3" w:rsidRDefault="00363D1C" w:rsidP="00686269">
      <w:pPr>
        <w:pStyle w:val="ListParagraph"/>
        <w:numPr>
          <w:ilvl w:val="0"/>
          <w:numId w:val="16"/>
        </w:numPr>
        <w:tabs>
          <w:tab w:val="left" w:pos="284"/>
        </w:tabs>
        <w:suppressAutoHyphens w:val="0"/>
        <w:spacing w:before="0" w:after="0" w:line="260" w:lineRule="exact"/>
        <w:ind w:left="714" w:hanging="357"/>
        <w:rPr>
          <w:rFonts w:eastAsia="Times New Roman" w:cs="Times New Roman"/>
          <w:iCs/>
          <w:sz w:val="21"/>
          <w:szCs w:val="24"/>
          <w:lang w:eastAsia="en-AU"/>
        </w:rPr>
      </w:pPr>
      <w:r w:rsidRPr="003E18AD">
        <w:rPr>
          <w:rFonts w:eastAsia="Times New Roman" w:cs="Times New Roman"/>
          <w:iCs/>
          <w:sz w:val="21"/>
          <w:szCs w:val="24"/>
          <w:lang w:eastAsia="en-AU"/>
        </w:rPr>
        <w:t>International engagement opportunities (conferences, forums, intergovernmental meetings).</w:t>
      </w:r>
    </w:p>
    <w:p w14:paraId="271E7E47" w14:textId="3EDDC908" w:rsidR="00523796" w:rsidRPr="006E48B2" w:rsidRDefault="00523796" w:rsidP="00D2498B">
      <w:pPr>
        <w:pStyle w:val="Heading2"/>
      </w:pPr>
      <w:bookmarkStart w:id="398" w:name="_Toc216260410"/>
      <w:bookmarkStart w:id="399" w:name="_Toc216270673"/>
      <w:r w:rsidRPr="006E48B2">
        <w:t>Branding and communications</w:t>
      </w:r>
      <w:bookmarkEnd w:id="398"/>
      <w:bookmarkEnd w:id="399"/>
    </w:p>
    <w:p w14:paraId="3A8CE38C" w14:textId="31FDBA6A" w:rsidR="00523796" w:rsidRPr="00523796" w:rsidRDefault="00523796" w:rsidP="00523796">
      <w:pPr>
        <w:rPr>
          <w:rFonts w:eastAsia="Times New Roman" w:cs="Times New Roman"/>
          <w:iCs/>
          <w:sz w:val="21"/>
          <w:szCs w:val="24"/>
          <w:lang w:eastAsia="en-AU"/>
        </w:rPr>
      </w:pPr>
      <w:r w:rsidRPr="00523796">
        <w:rPr>
          <w:rFonts w:eastAsia="Times New Roman" w:cs="Times New Roman"/>
          <w:iCs/>
          <w:sz w:val="21"/>
          <w:szCs w:val="24"/>
          <w:lang w:eastAsia="en-AU"/>
        </w:rPr>
        <w:t xml:space="preserve">This Partnership will operate under the name KINETIK, expanding on the significant efforts to build this brand in Indonesia in </w:t>
      </w:r>
      <w:r w:rsidR="00174352">
        <w:rPr>
          <w:rFonts w:eastAsia="Times New Roman" w:cs="Times New Roman"/>
          <w:iCs/>
          <w:sz w:val="21"/>
          <w:szCs w:val="24"/>
          <w:lang w:eastAsia="en-AU"/>
        </w:rPr>
        <w:t xml:space="preserve">recent </w:t>
      </w:r>
      <w:r w:rsidRPr="00523796">
        <w:rPr>
          <w:rFonts w:eastAsia="Times New Roman" w:cs="Times New Roman"/>
          <w:iCs/>
          <w:sz w:val="21"/>
          <w:szCs w:val="24"/>
          <w:lang w:eastAsia="en-AU"/>
        </w:rPr>
        <w:t>year</w:t>
      </w:r>
      <w:r w:rsidR="00174352">
        <w:rPr>
          <w:rFonts w:eastAsia="Times New Roman" w:cs="Times New Roman"/>
          <w:iCs/>
          <w:sz w:val="21"/>
          <w:szCs w:val="24"/>
          <w:lang w:eastAsia="en-AU"/>
        </w:rPr>
        <w:t>s</w:t>
      </w:r>
      <w:r w:rsidRPr="00523796">
        <w:rPr>
          <w:rFonts w:eastAsia="Times New Roman" w:cs="Times New Roman"/>
          <w:iCs/>
          <w:sz w:val="21"/>
          <w:szCs w:val="24"/>
          <w:lang w:eastAsia="en-AU"/>
        </w:rPr>
        <w:t xml:space="preserve">. The name also signals </w:t>
      </w:r>
      <w:r w:rsidR="00174352">
        <w:rPr>
          <w:rFonts w:eastAsia="Times New Roman" w:cs="Times New Roman"/>
          <w:iCs/>
          <w:sz w:val="21"/>
          <w:szCs w:val="24"/>
          <w:lang w:eastAsia="en-AU"/>
        </w:rPr>
        <w:t xml:space="preserve">a </w:t>
      </w:r>
      <w:r w:rsidRPr="00523796">
        <w:rPr>
          <w:rFonts w:eastAsia="Times New Roman" w:cs="Times New Roman"/>
          <w:iCs/>
          <w:sz w:val="21"/>
          <w:szCs w:val="24"/>
          <w:lang w:eastAsia="en-AU"/>
        </w:rPr>
        <w:t xml:space="preserve">step-change from </w:t>
      </w:r>
      <w:r w:rsidR="00174352">
        <w:rPr>
          <w:rFonts w:eastAsia="Times New Roman" w:cs="Times New Roman"/>
          <w:iCs/>
          <w:sz w:val="21"/>
          <w:szCs w:val="24"/>
          <w:lang w:eastAsia="en-AU"/>
        </w:rPr>
        <w:t xml:space="preserve">a </w:t>
      </w:r>
      <w:proofErr w:type="gramStart"/>
      <w:r w:rsidRPr="00523796">
        <w:rPr>
          <w:rFonts w:eastAsia="Times New Roman" w:cs="Times New Roman"/>
          <w:iCs/>
          <w:sz w:val="21"/>
          <w:szCs w:val="24"/>
          <w:lang w:eastAsia="en-AU"/>
        </w:rPr>
        <w:t>technically-focused</w:t>
      </w:r>
      <w:proofErr w:type="gramEnd"/>
      <w:r w:rsidRPr="00523796">
        <w:rPr>
          <w:rFonts w:eastAsia="Times New Roman" w:cs="Times New Roman"/>
          <w:iCs/>
          <w:sz w:val="21"/>
          <w:szCs w:val="24"/>
          <w:lang w:eastAsia="en-AU"/>
        </w:rPr>
        <w:t xml:space="preserve"> approach taken under the KIAT </w:t>
      </w:r>
      <w:r w:rsidR="00174352">
        <w:rPr>
          <w:rFonts w:eastAsia="Times New Roman" w:cs="Times New Roman"/>
          <w:iCs/>
          <w:sz w:val="21"/>
          <w:szCs w:val="24"/>
          <w:lang w:eastAsia="en-AU"/>
        </w:rPr>
        <w:t>f</w:t>
      </w:r>
      <w:r w:rsidRPr="00523796">
        <w:rPr>
          <w:rFonts w:eastAsia="Times New Roman" w:cs="Times New Roman"/>
          <w:iCs/>
          <w:sz w:val="21"/>
          <w:szCs w:val="24"/>
          <w:lang w:eastAsia="en-AU"/>
        </w:rPr>
        <w:t xml:space="preserve">acility to a more </w:t>
      </w:r>
      <w:proofErr w:type="gramStart"/>
      <w:r w:rsidRPr="00523796">
        <w:rPr>
          <w:rFonts w:eastAsia="Times New Roman" w:cs="Times New Roman"/>
          <w:iCs/>
          <w:sz w:val="21"/>
          <w:szCs w:val="24"/>
          <w:lang w:eastAsia="en-AU"/>
        </w:rPr>
        <w:t>politically-engaged</w:t>
      </w:r>
      <w:proofErr w:type="gramEnd"/>
      <w:r w:rsidRPr="00523796">
        <w:rPr>
          <w:rFonts w:eastAsia="Times New Roman" w:cs="Times New Roman"/>
          <w:iCs/>
          <w:sz w:val="21"/>
          <w:szCs w:val="24"/>
          <w:lang w:eastAsia="en-AU"/>
        </w:rPr>
        <w:t xml:space="preserve">, climate-focused investment. In the lead-up to commencement of the Partnership, Jakarta Post will engage closely with GOI and other stakeholders to explain its scope, the KINETIK name and its relationship to previous programs. </w:t>
      </w:r>
    </w:p>
    <w:p w14:paraId="55EAFA84" w14:textId="6DE541E8" w:rsidR="00523796" w:rsidRPr="00523796" w:rsidRDefault="00523796" w:rsidP="00523796">
      <w:pPr>
        <w:contextualSpacing/>
        <w:rPr>
          <w:rFonts w:eastAsia="Times New Roman" w:cs="Times New Roman"/>
          <w:iCs/>
          <w:sz w:val="21"/>
          <w:szCs w:val="24"/>
          <w:lang w:eastAsia="en-AU"/>
        </w:rPr>
      </w:pPr>
      <w:r w:rsidRPr="00523796">
        <w:rPr>
          <w:rFonts w:eastAsia="Times New Roman" w:cs="Times New Roman"/>
          <w:iCs/>
          <w:sz w:val="21"/>
          <w:szCs w:val="24"/>
          <w:lang w:eastAsia="en-AU"/>
        </w:rPr>
        <w:lastRenderedPageBreak/>
        <w:t>The Partnership will incorporate existing KINETIK components and functions</w:t>
      </w:r>
      <w:r w:rsidR="00B566D6">
        <w:rPr>
          <w:rFonts w:eastAsia="Times New Roman" w:cs="Times New Roman"/>
          <w:iCs/>
          <w:sz w:val="21"/>
          <w:szCs w:val="24"/>
          <w:lang w:eastAsia="en-AU"/>
        </w:rPr>
        <w:t xml:space="preserve"> (with a transition period for some elements)</w:t>
      </w:r>
      <w:r w:rsidRPr="00523796">
        <w:rPr>
          <w:rFonts w:eastAsia="Times New Roman" w:cs="Times New Roman"/>
          <w:iCs/>
          <w:sz w:val="21"/>
          <w:szCs w:val="24"/>
          <w:lang w:eastAsia="en-AU"/>
        </w:rPr>
        <w:t>, including:</w:t>
      </w:r>
    </w:p>
    <w:p w14:paraId="329981A8" w14:textId="0F1E537A" w:rsidR="00523796" w:rsidRPr="00523796" w:rsidRDefault="00523796" w:rsidP="00686269">
      <w:pPr>
        <w:pStyle w:val="ListParagraph"/>
        <w:numPr>
          <w:ilvl w:val="0"/>
          <w:numId w:val="88"/>
        </w:numPr>
        <w:spacing w:before="0"/>
        <w:contextualSpacing w:val="0"/>
        <w:rPr>
          <w:rFonts w:eastAsia="Times New Roman" w:cs="Times New Roman"/>
          <w:iCs/>
          <w:sz w:val="21"/>
          <w:szCs w:val="24"/>
          <w:lang w:eastAsia="en-AU"/>
        </w:rPr>
      </w:pPr>
      <w:r w:rsidRPr="00523796">
        <w:rPr>
          <w:rFonts w:eastAsia="Times New Roman" w:cs="Times New Roman"/>
          <w:iCs/>
          <w:sz w:val="21"/>
          <w:szCs w:val="24"/>
          <w:lang w:eastAsia="en-AU"/>
        </w:rPr>
        <w:t xml:space="preserve">climate finance investments in </w:t>
      </w:r>
      <w:r w:rsidR="007E48D1">
        <w:rPr>
          <w:rFonts w:eastAsia="Times New Roman" w:cs="Times New Roman"/>
          <w:iCs/>
          <w:sz w:val="21"/>
          <w:szCs w:val="24"/>
          <w:lang w:eastAsia="en-AU"/>
        </w:rPr>
        <w:t>ADI</w:t>
      </w:r>
      <w:r w:rsidRPr="00523796">
        <w:rPr>
          <w:rFonts w:eastAsia="Times New Roman" w:cs="Times New Roman"/>
          <w:iCs/>
          <w:sz w:val="21"/>
          <w:szCs w:val="24"/>
          <w:lang w:eastAsia="en-AU"/>
        </w:rPr>
        <w:t xml:space="preserve"> and the Private Infrastructure Development Group (PIDG)</w:t>
      </w:r>
    </w:p>
    <w:p w14:paraId="460FCC7E" w14:textId="77777777" w:rsidR="00523796" w:rsidRPr="00523796" w:rsidRDefault="00523796" w:rsidP="00686269">
      <w:pPr>
        <w:pStyle w:val="ListParagraph"/>
        <w:numPr>
          <w:ilvl w:val="0"/>
          <w:numId w:val="88"/>
        </w:numPr>
        <w:rPr>
          <w:rFonts w:eastAsia="Times New Roman" w:cs="Times New Roman"/>
          <w:iCs/>
          <w:sz w:val="21"/>
          <w:szCs w:val="24"/>
          <w:lang w:eastAsia="en-AU"/>
        </w:rPr>
      </w:pPr>
      <w:r w:rsidRPr="00523796">
        <w:rPr>
          <w:rFonts w:eastAsia="Times New Roman" w:cs="Times New Roman"/>
          <w:iCs/>
          <w:sz w:val="21"/>
          <w:szCs w:val="24"/>
          <w:lang w:eastAsia="en-AU"/>
        </w:rPr>
        <w:t>KINETIK Hub functions that promote coherence between the financing and policy components of the program and advance GEDSI outcomes</w:t>
      </w:r>
    </w:p>
    <w:p w14:paraId="17078FE4" w14:textId="77777777" w:rsidR="003A2D8F" w:rsidRPr="003A2D8F" w:rsidRDefault="00523796" w:rsidP="00686269">
      <w:pPr>
        <w:pStyle w:val="ListParagraph"/>
        <w:numPr>
          <w:ilvl w:val="0"/>
          <w:numId w:val="88"/>
        </w:numPr>
        <w:spacing w:before="0" w:after="0"/>
        <w:rPr>
          <w:rFonts w:eastAsia="Times New Roman" w:cs="Times New Roman"/>
          <w:sz w:val="21"/>
          <w:szCs w:val="21"/>
          <w:lang w:val="en-US" w:eastAsia="en-AU"/>
        </w:rPr>
      </w:pPr>
      <w:r w:rsidRPr="003A2D8F">
        <w:rPr>
          <w:rFonts w:eastAsia="Times New Roman" w:cs="Times New Roman"/>
          <w:sz w:val="21"/>
          <w:szCs w:val="21"/>
          <w:lang w:eastAsia="en-AU"/>
        </w:rPr>
        <w:t xml:space="preserve">policy and regulatory efforts relating to Indonesia’s clean energy transition (currently delivered by </w:t>
      </w:r>
      <w:r w:rsidRPr="00661E99">
        <w:rPr>
          <w:rFonts w:eastAsiaTheme="minorEastAsia"/>
          <w:caps/>
          <w:sz w:val="21"/>
          <w:szCs w:val="21"/>
          <w:lang w:eastAsia="en-AU"/>
        </w:rPr>
        <w:t>Prospera</w:t>
      </w:r>
      <w:r w:rsidRPr="003A2D8F">
        <w:rPr>
          <w:rFonts w:eastAsiaTheme="minorEastAsia"/>
          <w:sz w:val="21"/>
          <w:szCs w:val="21"/>
          <w:lang w:eastAsia="en-AU"/>
        </w:rPr>
        <w:t xml:space="preserve"> with KINETIK funding).</w:t>
      </w:r>
    </w:p>
    <w:p w14:paraId="295A23A5" w14:textId="2B42FA4D" w:rsidR="00523796" w:rsidRPr="00523796" w:rsidDel="00B566D6" w:rsidRDefault="00523796" w:rsidP="00E167F7">
      <w:pPr>
        <w:spacing w:after="0"/>
        <w:rPr>
          <w:rFonts w:eastAsia="Times New Roman" w:cs="Times New Roman"/>
          <w:iCs/>
          <w:sz w:val="21"/>
          <w:szCs w:val="24"/>
          <w:lang w:eastAsia="en-AU"/>
        </w:rPr>
      </w:pPr>
      <w:r w:rsidRPr="00523796" w:rsidDel="00B566D6">
        <w:rPr>
          <w:rFonts w:eastAsia="Times New Roman" w:cs="Times New Roman"/>
          <w:iCs/>
          <w:sz w:val="21"/>
          <w:szCs w:val="24"/>
          <w:lang w:eastAsia="en-AU"/>
        </w:rPr>
        <w:t xml:space="preserve">This approach and retention of the KINETIK name will enable DFAT to build upon the relationships and brand recognition associated with the original </w:t>
      </w:r>
      <w:r w:rsidR="00661E99">
        <w:rPr>
          <w:rFonts w:eastAsia="Times New Roman" w:cs="Times New Roman"/>
          <w:iCs/>
          <w:sz w:val="21"/>
          <w:szCs w:val="24"/>
          <w:lang w:eastAsia="en-AU"/>
        </w:rPr>
        <w:t>AUD</w:t>
      </w:r>
      <w:r w:rsidRPr="00523796" w:rsidDel="00B566D6">
        <w:rPr>
          <w:rFonts w:eastAsia="Times New Roman" w:cs="Times New Roman"/>
          <w:iCs/>
          <w:sz w:val="21"/>
          <w:szCs w:val="24"/>
          <w:lang w:eastAsia="en-AU"/>
        </w:rPr>
        <w:t xml:space="preserve">200 million (2022-27) KINETIK investment announced by Prime Minister Albanese in 2022, while also enabling greater strategic and programmatic coherence in the years ahead. </w:t>
      </w:r>
    </w:p>
    <w:p w14:paraId="6015C10D" w14:textId="577A15F8" w:rsidR="00A32858" w:rsidRPr="003E18AD" w:rsidRDefault="00A32858" w:rsidP="00D2498B">
      <w:pPr>
        <w:pStyle w:val="Heading2"/>
      </w:pPr>
      <w:bookmarkStart w:id="400" w:name="_Toc216260411"/>
      <w:bookmarkStart w:id="401" w:name="_Toc216270674"/>
      <w:r w:rsidRPr="003E18AD">
        <w:t>Sustainability</w:t>
      </w:r>
      <w:bookmarkEnd w:id="400"/>
      <w:bookmarkEnd w:id="401"/>
    </w:p>
    <w:p w14:paraId="581075CE" w14:textId="42CBADA5" w:rsidR="005F5958" w:rsidRPr="003E18AD" w:rsidRDefault="005F5958" w:rsidP="005F5958">
      <w:pPr>
        <w:rPr>
          <w:rFonts w:eastAsia="Times New Roman" w:cs="Times New Roman"/>
          <w:iCs/>
          <w:sz w:val="21"/>
          <w:szCs w:val="24"/>
          <w:lang w:eastAsia="en-AU"/>
        </w:rPr>
      </w:pPr>
      <w:r w:rsidRPr="003E18AD">
        <w:rPr>
          <w:rFonts w:eastAsia="Times New Roman" w:cs="Times New Roman"/>
          <w:iCs/>
          <w:sz w:val="21"/>
          <w:szCs w:val="24"/>
          <w:lang w:eastAsia="en-AU"/>
        </w:rPr>
        <w:t xml:space="preserve">DFAT’s substantial investments in infrastructure-related programs over the past two decades-plus </w:t>
      </w:r>
      <w:r w:rsidR="00042EC1">
        <w:rPr>
          <w:rFonts w:eastAsia="Times New Roman" w:cs="Times New Roman"/>
          <w:iCs/>
          <w:sz w:val="21"/>
          <w:szCs w:val="24"/>
          <w:lang w:eastAsia="en-AU"/>
        </w:rPr>
        <w:t xml:space="preserve">have </w:t>
      </w:r>
      <w:r w:rsidRPr="003E18AD">
        <w:rPr>
          <w:rFonts w:eastAsia="Times New Roman" w:cs="Times New Roman"/>
          <w:iCs/>
          <w:sz w:val="21"/>
          <w:szCs w:val="24"/>
          <w:lang w:eastAsia="en-AU"/>
        </w:rPr>
        <w:t>inform</w:t>
      </w:r>
      <w:r w:rsidR="00042EC1">
        <w:rPr>
          <w:rFonts w:eastAsia="Times New Roman" w:cs="Times New Roman"/>
          <w:iCs/>
          <w:sz w:val="21"/>
          <w:szCs w:val="24"/>
          <w:lang w:eastAsia="en-AU"/>
        </w:rPr>
        <w:t>ed</w:t>
      </w:r>
      <w:r w:rsidRPr="003E18AD">
        <w:rPr>
          <w:rFonts w:eastAsia="Times New Roman" w:cs="Times New Roman"/>
          <w:iCs/>
          <w:sz w:val="21"/>
          <w:szCs w:val="24"/>
          <w:lang w:eastAsia="en-AU"/>
        </w:rPr>
        <w:t xml:space="preserve"> the design of </w:t>
      </w:r>
      <w:r w:rsidR="00531AE3">
        <w:rPr>
          <w:rFonts w:eastAsia="Times New Roman" w:cs="Times New Roman"/>
          <w:iCs/>
          <w:sz w:val="21"/>
          <w:szCs w:val="24"/>
          <w:lang w:eastAsia="en-AU"/>
        </w:rPr>
        <w:t xml:space="preserve">the Partnership </w:t>
      </w:r>
      <w:r w:rsidRPr="003E18AD">
        <w:rPr>
          <w:rFonts w:eastAsia="Times New Roman" w:cs="Times New Roman"/>
          <w:iCs/>
          <w:sz w:val="21"/>
          <w:szCs w:val="24"/>
          <w:lang w:eastAsia="en-AU"/>
        </w:rPr>
        <w:t>with respect to sustainability, along with more recent investments through KINETIK.</w:t>
      </w:r>
      <w:r w:rsidR="00C92510" w:rsidRPr="003E18AD">
        <w:rPr>
          <w:rFonts w:eastAsia="Times New Roman" w:cs="Times New Roman"/>
          <w:iCs/>
          <w:sz w:val="21"/>
          <w:szCs w:val="24"/>
          <w:lang w:eastAsia="en-AU"/>
        </w:rPr>
        <w:t xml:space="preserve"> </w:t>
      </w:r>
      <w:r w:rsidRPr="003E18AD">
        <w:rPr>
          <w:rFonts w:eastAsia="Times New Roman" w:cs="Times New Roman"/>
          <w:iCs/>
          <w:sz w:val="21"/>
          <w:szCs w:val="24"/>
          <w:lang w:eastAsia="en-AU"/>
        </w:rPr>
        <w:t xml:space="preserve">While the program </w:t>
      </w:r>
      <w:r w:rsidR="00E131C6">
        <w:rPr>
          <w:rFonts w:eastAsia="Times New Roman" w:cs="Times New Roman"/>
          <w:iCs/>
          <w:sz w:val="21"/>
          <w:szCs w:val="24"/>
          <w:lang w:eastAsia="en-AU"/>
        </w:rPr>
        <w:t>has some</w:t>
      </w:r>
      <w:r w:rsidRPr="003E18AD">
        <w:rPr>
          <w:rFonts w:eastAsia="Times New Roman" w:cs="Times New Roman"/>
          <w:iCs/>
          <w:sz w:val="21"/>
          <w:szCs w:val="24"/>
          <w:lang w:eastAsia="en-AU"/>
        </w:rPr>
        <w:t xml:space="preserve"> </w:t>
      </w:r>
      <w:r w:rsidR="703AF726" w:rsidRPr="456A268A">
        <w:rPr>
          <w:rFonts w:eastAsia="Times New Roman" w:cs="Times New Roman"/>
          <w:sz w:val="21"/>
          <w:szCs w:val="21"/>
          <w:lang w:eastAsia="en-AU"/>
        </w:rPr>
        <w:t xml:space="preserve">inherently </w:t>
      </w:r>
      <w:r w:rsidRPr="003E18AD">
        <w:rPr>
          <w:rFonts w:eastAsia="Times New Roman" w:cs="Times New Roman"/>
          <w:iCs/>
          <w:sz w:val="21"/>
          <w:szCs w:val="24"/>
          <w:lang w:eastAsia="en-AU"/>
        </w:rPr>
        <w:t>high-risk</w:t>
      </w:r>
      <w:r w:rsidR="00E131C6">
        <w:rPr>
          <w:rFonts w:eastAsia="Times New Roman" w:cs="Times New Roman"/>
          <w:iCs/>
          <w:sz w:val="21"/>
          <w:szCs w:val="24"/>
          <w:lang w:eastAsia="en-AU"/>
        </w:rPr>
        <w:t xml:space="preserve"> aspects</w:t>
      </w:r>
      <w:r w:rsidRPr="456A268A">
        <w:rPr>
          <w:rFonts w:eastAsia="Times New Roman" w:cs="Times New Roman"/>
          <w:sz w:val="21"/>
          <w:szCs w:val="21"/>
          <w:lang w:eastAsia="en-AU"/>
        </w:rPr>
        <w:t>,</w:t>
      </w:r>
      <w:r w:rsidRPr="003E18AD">
        <w:rPr>
          <w:rFonts w:eastAsia="Times New Roman" w:cs="Times New Roman"/>
          <w:iCs/>
          <w:sz w:val="21"/>
          <w:szCs w:val="24"/>
          <w:lang w:eastAsia="en-AU"/>
        </w:rPr>
        <w:t xml:space="preserve"> the potential for rewards is significant by building on lessons learned and Indonesia’s evolving frameworks for infrastructure and climate financing. </w:t>
      </w:r>
    </w:p>
    <w:p w14:paraId="002104A6" w14:textId="07A8654D" w:rsidR="00541D76" w:rsidRPr="00984EE9" w:rsidRDefault="009C7233" w:rsidP="00541D76">
      <w:pPr>
        <w:rPr>
          <w:rFonts w:eastAsia="Times New Roman" w:cs="Times New Roman"/>
          <w:iCs/>
          <w:sz w:val="21"/>
          <w:szCs w:val="24"/>
          <w:lang w:eastAsia="en-AU"/>
        </w:rPr>
      </w:pPr>
      <w:r w:rsidRPr="003E18AD">
        <w:rPr>
          <w:rFonts w:eastAsia="Times New Roman" w:cs="Times New Roman"/>
          <w:iCs/>
          <w:sz w:val="21"/>
          <w:szCs w:val="24"/>
          <w:lang w:eastAsia="en-AU"/>
        </w:rPr>
        <w:t>The</w:t>
      </w:r>
      <w:r w:rsidR="005F5958" w:rsidRPr="003E18AD">
        <w:rPr>
          <w:rFonts w:eastAsia="Times New Roman" w:cs="Times New Roman"/>
          <w:iCs/>
          <w:sz w:val="21"/>
          <w:szCs w:val="24"/>
          <w:lang w:eastAsia="en-AU"/>
        </w:rPr>
        <w:t xml:space="preserve"> </w:t>
      </w:r>
      <w:r w:rsidR="00541D76">
        <w:rPr>
          <w:rFonts w:eastAsia="Times New Roman" w:cs="Times New Roman"/>
          <w:iCs/>
          <w:sz w:val="21"/>
          <w:szCs w:val="24"/>
          <w:lang w:eastAsia="en-AU"/>
        </w:rPr>
        <w:t xml:space="preserve">Partnership </w:t>
      </w:r>
      <w:r w:rsidRPr="003E18AD">
        <w:rPr>
          <w:rFonts w:eastAsia="Times New Roman" w:cs="Times New Roman"/>
          <w:iCs/>
          <w:sz w:val="21"/>
          <w:szCs w:val="24"/>
          <w:lang w:eastAsia="en-AU"/>
        </w:rPr>
        <w:t>intends to</w:t>
      </w:r>
      <w:r w:rsidR="005F5958" w:rsidRPr="003E18AD">
        <w:rPr>
          <w:rFonts w:eastAsia="Times New Roman" w:cs="Times New Roman"/>
          <w:iCs/>
          <w:sz w:val="21"/>
          <w:szCs w:val="24"/>
          <w:lang w:eastAsia="en-AU"/>
        </w:rPr>
        <w:t xml:space="preserve"> contribute to a more sustainable, market-driven ecosystem for infrastructure and climate financing, while aiming to support Indonesia’s energy transition. Moreover, the </w:t>
      </w:r>
      <w:r w:rsidR="00541D76">
        <w:rPr>
          <w:rFonts w:eastAsia="Times New Roman" w:cs="Times New Roman"/>
          <w:iCs/>
          <w:sz w:val="21"/>
          <w:szCs w:val="24"/>
          <w:lang w:eastAsia="en-AU"/>
        </w:rPr>
        <w:t>Partnership</w:t>
      </w:r>
      <w:r w:rsidR="005F5958" w:rsidRPr="003E18AD">
        <w:rPr>
          <w:rFonts w:eastAsia="Times New Roman" w:cs="Times New Roman"/>
          <w:iCs/>
          <w:sz w:val="21"/>
          <w:szCs w:val="24"/>
          <w:lang w:eastAsia="en-AU"/>
        </w:rPr>
        <w:t xml:space="preserve"> will </w:t>
      </w:r>
      <w:r w:rsidR="002674F8">
        <w:rPr>
          <w:rFonts w:eastAsia="Times New Roman" w:cs="Times New Roman"/>
          <w:iCs/>
          <w:sz w:val="21"/>
          <w:szCs w:val="24"/>
          <w:lang w:eastAsia="en-AU"/>
        </w:rPr>
        <w:t>position Australia to con</w:t>
      </w:r>
      <w:r w:rsidR="00B326A4">
        <w:rPr>
          <w:rFonts w:eastAsia="Times New Roman" w:cs="Times New Roman"/>
          <w:iCs/>
          <w:sz w:val="21"/>
          <w:szCs w:val="24"/>
          <w:lang w:eastAsia="en-AU"/>
        </w:rPr>
        <w:t xml:space="preserve">tinue its strong infrastructure and climate partnership with </w:t>
      </w:r>
      <w:r w:rsidR="005F5958" w:rsidRPr="003E18AD">
        <w:rPr>
          <w:rFonts w:eastAsia="Times New Roman" w:cs="Times New Roman"/>
          <w:iCs/>
          <w:sz w:val="21"/>
          <w:szCs w:val="24"/>
          <w:lang w:eastAsia="en-AU"/>
        </w:rPr>
        <w:t>Australia</w:t>
      </w:r>
      <w:r w:rsidR="00B326A4">
        <w:rPr>
          <w:rFonts w:eastAsia="Times New Roman" w:cs="Times New Roman"/>
          <w:iCs/>
          <w:sz w:val="21"/>
          <w:szCs w:val="24"/>
          <w:lang w:eastAsia="en-AU"/>
        </w:rPr>
        <w:t xml:space="preserve"> beyond the horizon</w:t>
      </w:r>
      <w:r w:rsidR="00DE2B40">
        <w:rPr>
          <w:rFonts w:eastAsia="Times New Roman" w:cs="Times New Roman"/>
          <w:iCs/>
          <w:sz w:val="21"/>
          <w:szCs w:val="24"/>
          <w:lang w:eastAsia="en-AU"/>
        </w:rPr>
        <w:t xml:space="preserve"> of </w:t>
      </w:r>
      <w:r w:rsidR="004C33C7">
        <w:rPr>
          <w:rFonts w:eastAsia="Times New Roman" w:cs="Times New Roman"/>
          <w:iCs/>
          <w:sz w:val="21"/>
          <w:szCs w:val="24"/>
          <w:lang w:eastAsia="en-AU"/>
        </w:rPr>
        <w:t>Indonesia</w:t>
      </w:r>
      <w:r w:rsidR="005F6E17" w:rsidRPr="004C33C7">
        <w:rPr>
          <w:rFonts w:eastAsia="Times New Roman" w:cs="Times New Roman"/>
          <w:iCs/>
          <w:sz w:val="21"/>
          <w:szCs w:val="24"/>
          <w:lang w:eastAsia="en-AU"/>
        </w:rPr>
        <w:t xml:space="preserve"> transition</w:t>
      </w:r>
      <w:r w:rsidR="004C33C7" w:rsidRPr="004C33C7">
        <w:rPr>
          <w:rFonts w:eastAsia="Times New Roman" w:cs="Times New Roman"/>
          <w:iCs/>
          <w:sz w:val="21"/>
          <w:szCs w:val="24"/>
          <w:lang w:eastAsia="en-AU"/>
        </w:rPr>
        <w:t>ing</w:t>
      </w:r>
      <w:r w:rsidR="005F6E17" w:rsidRPr="004C33C7">
        <w:rPr>
          <w:rFonts w:eastAsia="Times New Roman" w:cs="Times New Roman"/>
          <w:iCs/>
          <w:sz w:val="21"/>
          <w:szCs w:val="24"/>
          <w:lang w:eastAsia="en-AU"/>
        </w:rPr>
        <w:t xml:space="preserve"> towards a post–ODA context</w:t>
      </w:r>
      <w:r w:rsidR="004C33C7">
        <w:rPr>
          <w:rFonts w:eastAsia="Times New Roman" w:cs="Times New Roman"/>
          <w:iCs/>
          <w:sz w:val="21"/>
          <w:szCs w:val="24"/>
          <w:lang w:eastAsia="en-AU"/>
        </w:rPr>
        <w:t>.</w:t>
      </w:r>
      <w:r w:rsidR="00541D76" w:rsidRPr="00541D76">
        <w:rPr>
          <w:rFonts w:eastAsia="Times New Roman" w:cs="Times New Roman"/>
          <w:iCs/>
          <w:sz w:val="21"/>
          <w:szCs w:val="24"/>
          <w:lang w:eastAsia="en-AU"/>
        </w:rPr>
        <w:t xml:space="preserve"> </w:t>
      </w:r>
      <w:r w:rsidR="00541D76">
        <w:rPr>
          <w:rFonts w:eastAsia="Times New Roman" w:cs="Times New Roman"/>
          <w:iCs/>
          <w:sz w:val="21"/>
          <w:szCs w:val="24"/>
          <w:lang w:eastAsia="en-AU"/>
        </w:rPr>
        <w:t xml:space="preserve">The Partnership </w:t>
      </w:r>
      <w:r w:rsidR="0054248D">
        <w:rPr>
          <w:rFonts w:eastAsia="Times New Roman" w:cs="Times New Roman"/>
          <w:iCs/>
          <w:sz w:val="21"/>
          <w:szCs w:val="24"/>
          <w:lang w:eastAsia="en-AU"/>
        </w:rPr>
        <w:t xml:space="preserve">is </w:t>
      </w:r>
      <w:r w:rsidR="00541D76">
        <w:rPr>
          <w:rFonts w:eastAsia="Times New Roman" w:cs="Times New Roman"/>
          <w:iCs/>
          <w:sz w:val="21"/>
          <w:szCs w:val="24"/>
          <w:lang w:eastAsia="en-AU"/>
        </w:rPr>
        <w:t xml:space="preserve">a facilitator of stronger bilateral </w:t>
      </w:r>
      <w:r w:rsidR="0054248D">
        <w:rPr>
          <w:rFonts w:eastAsia="Times New Roman" w:cs="Times New Roman"/>
          <w:iCs/>
          <w:sz w:val="21"/>
          <w:szCs w:val="24"/>
          <w:lang w:eastAsia="en-AU"/>
        </w:rPr>
        <w:t xml:space="preserve">economic </w:t>
      </w:r>
      <w:r w:rsidR="00541D76">
        <w:rPr>
          <w:rFonts w:eastAsia="Times New Roman" w:cs="Times New Roman"/>
          <w:iCs/>
          <w:sz w:val="21"/>
          <w:szCs w:val="24"/>
          <w:lang w:eastAsia="en-AU"/>
        </w:rPr>
        <w:t>ties for the mutual benefit of Indonesia and Australia</w:t>
      </w:r>
      <w:r w:rsidR="0054248D">
        <w:rPr>
          <w:rFonts w:eastAsia="Times New Roman" w:cs="Times New Roman"/>
          <w:iCs/>
          <w:sz w:val="21"/>
          <w:szCs w:val="24"/>
          <w:lang w:eastAsia="en-AU"/>
        </w:rPr>
        <w:t>,</w:t>
      </w:r>
      <w:r w:rsidR="00541D76">
        <w:rPr>
          <w:rFonts w:eastAsia="Times New Roman" w:cs="Times New Roman"/>
          <w:iCs/>
          <w:sz w:val="21"/>
          <w:szCs w:val="24"/>
          <w:lang w:eastAsia="en-AU"/>
        </w:rPr>
        <w:t xml:space="preserve"> as Indonesia moves </w:t>
      </w:r>
      <w:r w:rsidR="0054248D">
        <w:rPr>
          <w:rFonts w:eastAsia="Times New Roman" w:cs="Times New Roman"/>
          <w:iCs/>
          <w:sz w:val="21"/>
          <w:szCs w:val="24"/>
          <w:lang w:eastAsia="en-AU"/>
        </w:rPr>
        <w:t>towards</w:t>
      </w:r>
      <w:r w:rsidR="00541D76">
        <w:rPr>
          <w:rFonts w:eastAsia="Times New Roman" w:cs="Times New Roman"/>
          <w:iCs/>
          <w:sz w:val="21"/>
          <w:szCs w:val="24"/>
          <w:lang w:eastAsia="en-AU"/>
        </w:rPr>
        <w:t xml:space="preserve"> OECD accession and graduates from ODA eligibility.</w:t>
      </w:r>
    </w:p>
    <w:p w14:paraId="11658854" w14:textId="496790BC" w:rsidR="005F5958" w:rsidRPr="003E18AD" w:rsidRDefault="005F5958" w:rsidP="005F5958">
      <w:pPr>
        <w:rPr>
          <w:rFonts w:eastAsia="Times New Roman" w:cs="Times New Roman"/>
          <w:iCs/>
          <w:sz w:val="21"/>
          <w:szCs w:val="24"/>
          <w:lang w:eastAsia="en-AU"/>
        </w:rPr>
      </w:pPr>
      <w:r w:rsidRPr="003E18AD">
        <w:rPr>
          <w:rFonts w:eastAsia="Times New Roman" w:cs="Times New Roman"/>
          <w:iCs/>
          <w:sz w:val="21"/>
          <w:szCs w:val="24"/>
          <w:lang w:eastAsia="en-AU"/>
        </w:rPr>
        <w:t xml:space="preserve">The sustainability of the program is </w:t>
      </w:r>
      <w:r w:rsidR="00272BF6">
        <w:rPr>
          <w:rFonts w:eastAsia="Times New Roman" w:cs="Times New Roman"/>
          <w:iCs/>
          <w:sz w:val="21"/>
          <w:szCs w:val="24"/>
          <w:lang w:eastAsia="en-AU"/>
        </w:rPr>
        <w:t>of course</w:t>
      </w:r>
      <w:r w:rsidRPr="003E18AD">
        <w:rPr>
          <w:rFonts w:eastAsia="Times New Roman" w:cs="Times New Roman"/>
          <w:iCs/>
          <w:sz w:val="21"/>
          <w:szCs w:val="24"/>
          <w:lang w:eastAsia="en-AU"/>
        </w:rPr>
        <w:t xml:space="preserve"> dependent on </w:t>
      </w:r>
      <w:r w:rsidR="00272BF6">
        <w:rPr>
          <w:rFonts w:eastAsia="Times New Roman" w:cs="Times New Roman"/>
          <w:iCs/>
          <w:sz w:val="21"/>
          <w:szCs w:val="24"/>
          <w:lang w:eastAsia="en-AU"/>
        </w:rPr>
        <w:t xml:space="preserve">some external factors such as </w:t>
      </w:r>
      <w:r w:rsidRPr="003E18AD">
        <w:rPr>
          <w:rFonts w:eastAsia="Times New Roman" w:cs="Times New Roman"/>
          <w:iCs/>
          <w:sz w:val="21"/>
          <w:szCs w:val="24"/>
          <w:lang w:eastAsia="en-AU"/>
        </w:rPr>
        <w:t>the GOI</w:t>
      </w:r>
      <w:r w:rsidR="00272BF6">
        <w:rPr>
          <w:rFonts w:eastAsia="Times New Roman" w:cs="Times New Roman"/>
          <w:iCs/>
          <w:sz w:val="21"/>
          <w:szCs w:val="24"/>
          <w:lang w:eastAsia="en-AU"/>
        </w:rPr>
        <w:t xml:space="preserve">’s </w:t>
      </w:r>
      <w:r w:rsidRPr="003E18AD">
        <w:rPr>
          <w:rFonts w:eastAsia="Times New Roman" w:cs="Times New Roman"/>
          <w:iCs/>
          <w:sz w:val="21"/>
          <w:szCs w:val="24"/>
          <w:lang w:eastAsia="en-AU"/>
        </w:rPr>
        <w:t>commitment to improving the overall enabling environment for infrastructure and climate financing, particularly for private sector investment. Th</w:t>
      </w:r>
      <w:r w:rsidR="0018668D">
        <w:rPr>
          <w:rFonts w:eastAsia="Times New Roman" w:cs="Times New Roman"/>
          <w:iCs/>
          <w:sz w:val="21"/>
          <w:szCs w:val="24"/>
          <w:lang w:eastAsia="en-AU"/>
        </w:rPr>
        <w:t>is</w:t>
      </w:r>
      <w:r w:rsidRPr="003E18AD">
        <w:rPr>
          <w:rFonts w:eastAsia="Times New Roman" w:cs="Times New Roman"/>
          <w:iCs/>
          <w:sz w:val="21"/>
          <w:szCs w:val="24"/>
          <w:lang w:eastAsia="en-AU"/>
        </w:rPr>
        <w:t xml:space="preserve"> design recognises </w:t>
      </w:r>
      <w:r w:rsidR="0018668D">
        <w:rPr>
          <w:rFonts w:eastAsia="Times New Roman" w:cs="Times New Roman"/>
          <w:iCs/>
          <w:sz w:val="21"/>
          <w:szCs w:val="24"/>
          <w:lang w:eastAsia="en-AU"/>
        </w:rPr>
        <w:t xml:space="preserve">the importance of working politically and </w:t>
      </w:r>
      <w:r w:rsidRPr="003E18AD">
        <w:rPr>
          <w:rFonts w:eastAsia="Times New Roman" w:cs="Times New Roman"/>
          <w:iCs/>
          <w:sz w:val="21"/>
          <w:szCs w:val="24"/>
          <w:lang w:eastAsia="en-AU"/>
        </w:rPr>
        <w:t xml:space="preserve">factoring in political economy issues such as the role of SOEs and the political will to undertake energy policy reforms that advance the uptake of renewable energy sources. </w:t>
      </w:r>
    </w:p>
    <w:p w14:paraId="7F2BB62F" w14:textId="202A76C4" w:rsidR="005F5958" w:rsidRPr="003E18AD" w:rsidRDefault="005F5958" w:rsidP="00E17732">
      <w:pPr>
        <w:contextualSpacing/>
        <w:rPr>
          <w:rFonts w:eastAsia="Times New Roman" w:cs="Times New Roman"/>
          <w:iCs/>
          <w:sz w:val="21"/>
          <w:szCs w:val="24"/>
          <w:lang w:eastAsia="en-AU"/>
        </w:rPr>
      </w:pPr>
      <w:r w:rsidRPr="003E18AD">
        <w:rPr>
          <w:rFonts w:eastAsia="Times New Roman" w:cs="Times New Roman"/>
          <w:iCs/>
          <w:sz w:val="21"/>
          <w:szCs w:val="24"/>
          <w:lang w:eastAsia="en-AU"/>
        </w:rPr>
        <w:t xml:space="preserve">The design </w:t>
      </w:r>
      <w:r w:rsidR="0018668D">
        <w:rPr>
          <w:rFonts w:eastAsia="Times New Roman" w:cs="Times New Roman"/>
          <w:iCs/>
          <w:sz w:val="21"/>
          <w:szCs w:val="24"/>
          <w:lang w:eastAsia="en-AU"/>
        </w:rPr>
        <w:t xml:space="preserve">includes </w:t>
      </w:r>
      <w:r w:rsidRPr="003E18AD">
        <w:rPr>
          <w:rFonts w:eastAsia="Times New Roman" w:cs="Times New Roman"/>
          <w:iCs/>
          <w:sz w:val="21"/>
          <w:szCs w:val="24"/>
          <w:lang w:eastAsia="en-AU"/>
        </w:rPr>
        <w:t>a range of measures to ensure the sustainability of program outcomes</w:t>
      </w:r>
      <w:r w:rsidR="0018668D">
        <w:rPr>
          <w:rFonts w:eastAsia="Times New Roman" w:cs="Times New Roman"/>
          <w:iCs/>
          <w:sz w:val="21"/>
          <w:szCs w:val="24"/>
          <w:lang w:eastAsia="en-AU"/>
        </w:rPr>
        <w:t>, including</w:t>
      </w:r>
      <w:r w:rsidRPr="003E18AD">
        <w:rPr>
          <w:rFonts w:eastAsia="Times New Roman" w:cs="Times New Roman"/>
          <w:iCs/>
          <w:sz w:val="21"/>
          <w:szCs w:val="24"/>
          <w:lang w:eastAsia="en-AU"/>
        </w:rPr>
        <w:t>:</w:t>
      </w:r>
    </w:p>
    <w:p w14:paraId="4AF927B4" w14:textId="181AFF4B" w:rsidR="005F5958" w:rsidRPr="003E18AD" w:rsidRDefault="005F5958" w:rsidP="00686269">
      <w:pPr>
        <w:pStyle w:val="ListParagraph"/>
        <w:numPr>
          <w:ilvl w:val="0"/>
          <w:numId w:val="20"/>
        </w:numPr>
        <w:spacing w:before="0" w:after="40"/>
        <w:ind w:left="714" w:hanging="357"/>
        <w:contextualSpacing w:val="0"/>
        <w:rPr>
          <w:rFonts w:eastAsia="Times New Roman" w:cs="Times New Roman"/>
          <w:iCs/>
          <w:sz w:val="21"/>
          <w:szCs w:val="24"/>
          <w:lang w:eastAsia="en-AU"/>
        </w:rPr>
      </w:pPr>
      <w:r w:rsidRPr="003E18AD">
        <w:rPr>
          <w:rFonts w:eastAsia="Times New Roman" w:cs="Times New Roman"/>
          <w:iCs/>
          <w:sz w:val="21"/>
          <w:szCs w:val="24"/>
          <w:lang w:eastAsia="en-AU"/>
        </w:rPr>
        <w:t xml:space="preserve">In providing strategic and policy oversight of the program, the bilateral Program Coordination Committee </w:t>
      </w:r>
      <w:r w:rsidR="00C41226">
        <w:rPr>
          <w:rFonts w:eastAsia="Times New Roman" w:cs="Times New Roman"/>
          <w:iCs/>
          <w:sz w:val="21"/>
          <w:szCs w:val="24"/>
          <w:lang w:eastAsia="en-AU"/>
        </w:rPr>
        <w:t xml:space="preserve">and Steering Committee </w:t>
      </w:r>
      <w:r w:rsidRPr="003E18AD">
        <w:rPr>
          <w:rFonts w:eastAsia="Times New Roman" w:cs="Times New Roman"/>
          <w:iCs/>
          <w:sz w:val="21"/>
          <w:szCs w:val="24"/>
          <w:lang w:eastAsia="en-AU"/>
        </w:rPr>
        <w:t>will include sustainability issues and considerations as core function</w:t>
      </w:r>
      <w:r w:rsidR="00C41226">
        <w:rPr>
          <w:rFonts w:eastAsia="Times New Roman" w:cs="Times New Roman"/>
          <w:iCs/>
          <w:sz w:val="21"/>
          <w:szCs w:val="24"/>
          <w:lang w:eastAsia="en-AU"/>
        </w:rPr>
        <w:t>s and standing agenda items</w:t>
      </w:r>
      <w:r w:rsidRPr="003E18AD">
        <w:rPr>
          <w:rFonts w:eastAsia="Times New Roman" w:cs="Times New Roman"/>
          <w:iCs/>
          <w:sz w:val="21"/>
          <w:szCs w:val="24"/>
          <w:lang w:eastAsia="en-AU"/>
        </w:rPr>
        <w:t xml:space="preserve">. </w:t>
      </w:r>
    </w:p>
    <w:p w14:paraId="4A2770A8" w14:textId="09FF0703" w:rsidR="005F5958" w:rsidRPr="003E18AD" w:rsidRDefault="005F5958" w:rsidP="00686269">
      <w:pPr>
        <w:pStyle w:val="ListParagraph"/>
        <w:numPr>
          <w:ilvl w:val="0"/>
          <w:numId w:val="20"/>
        </w:numPr>
        <w:spacing w:before="0" w:after="40"/>
        <w:ind w:left="714" w:hanging="357"/>
        <w:contextualSpacing w:val="0"/>
        <w:rPr>
          <w:rFonts w:eastAsia="Times New Roman" w:cs="Times New Roman"/>
          <w:iCs/>
          <w:sz w:val="21"/>
          <w:szCs w:val="24"/>
          <w:lang w:eastAsia="en-AU"/>
        </w:rPr>
      </w:pPr>
      <w:r w:rsidRPr="003E18AD">
        <w:rPr>
          <w:rFonts w:eastAsia="Times New Roman" w:cs="Times New Roman"/>
          <w:iCs/>
          <w:sz w:val="21"/>
          <w:szCs w:val="24"/>
          <w:lang w:eastAsia="en-AU"/>
        </w:rPr>
        <w:t xml:space="preserve">At the operational level, the multi-stakeholder Partnership </w:t>
      </w:r>
      <w:r w:rsidR="00EC7098">
        <w:rPr>
          <w:rFonts w:eastAsia="Times New Roman" w:cs="Times New Roman"/>
          <w:iCs/>
          <w:sz w:val="21"/>
          <w:szCs w:val="24"/>
          <w:lang w:eastAsia="en-AU"/>
        </w:rPr>
        <w:t>Coordination</w:t>
      </w:r>
      <w:r w:rsidRPr="003E18AD">
        <w:rPr>
          <w:rFonts w:eastAsia="Times New Roman" w:cs="Times New Roman"/>
          <w:iCs/>
          <w:sz w:val="21"/>
          <w:szCs w:val="24"/>
          <w:lang w:eastAsia="en-AU"/>
        </w:rPr>
        <w:t xml:space="preserve"> Committee will employ</w:t>
      </w:r>
      <w:r w:rsidR="009C7233" w:rsidRPr="003E18AD">
        <w:rPr>
          <w:rFonts w:eastAsia="Times New Roman" w:cs="Times New Roman"/>
          <w:iCs/>
          <w:sz w:val="21"/>
          <w:szCs w:val="24"/>
          <w:lang w:eastAsia="en-AU"/>
        </w:rPr>
        <w:t xml:space="preserve"> </w:t>
      </w:r>
      <w:r w:rsidRPr="003E18AD">
        <w:rPr>
          <w:rFonts w:eastAsia="Times New Roman" w:cs="Times New Roman"/>
          <w:iCs/>
          <w:sz w:val="21"/>
          <w:szCs w:val="24"/>
          <w:lang w:eastAsia="en-AU"/>
        </w:rPr>
        <w:t xml:space="preserve">adaptive management across all program components, as knowledge is </w:t>
      </w:r>
      <w:r w:rsidR="00FF2955" w:rsidRPr="003E18AD">
        <w:rPr>
          <w:rFonts w:eastAsia="Times New Roman" w:cs="Times New Roman"/>
          <w:iCs/>
          <w:sz w:val="21"/>
          <w:szCs w:val="24"/>
          <w:lang w:eastAsia="en-AU"/>
        </w:rPr>
        <w:t>built,</w:t>
      </w:r>
      <w:r w:rsidRPr="003E18AD">
        <w:rPr>
          <w:rFonts w:eastAsia="Times New Roman" w:cs="Times New Roman"/>
          <w:iCs/>
          <w:sz w:val="21"/>
          <w:szCs w:val="24"/>
          <w:lang w:eastAsia="en-AU"/>
        </w:rPr>
        <w:t xml:space="preserve"> and conditions change. </w:t>
      </w:r>
    </w:p>
    <w:p w14:paraId="6619C182" w14:textId="5EC09BAA" w:rsidR="005F5958" w:rsidRPr="007932AD" w:rsidRDefault="007932AD" w:rsidP="00686269">
      <w:pPr>
        <w:pStyle w:val="ListParagraph"/>
        <w:numPr>
          <w:ilvl w:val="0"/>
          <w:numId w:val="20"/>
        </w:numPr>
        <w:spacing w:before="0" w:after="40"/>
        <w:ind w:left="714" w:hanging="357"/>
        <w:contextualSpacing w:val="0"/>
        <w:rPr>
          <w:rFonts w:eastAsia="Times New Roman" w:cs="Times New Roman"/>
          <w:iCs/>
          <w:sz w:val="21"/>
          <w:szCs w:val="24"/>
          <w:lang w:eastAsia="en-AU"/>
        </w:rPr>
      </w:pPr>
      <w:r>
        <w:rPr>
          <w:rFonts w:eastAsia="Times New Roman" w:cs="Times New Roman"/>
          <w:iCs/>
          <w:sz w:val="21"/>
          <w:szCs w:val="24"/>
          <w:lang w:eastAsia="en-AU"/>
        </w:rPr>
        <w:t>An ambitious</w:t>
      </w:r>
      <w:r w:rsidRPr="003E18AD">
        <w:rPr>
          <w:rFonts w:eastAsia="Times New Roman" w:cs="Times New Roman"/>
          <w:iCs/>
          <w:sz w:val="21"/>
          <w:szCs w:val="24"/>
          <w:lang w:eastAsia="en-AU"/>
        </w:rPr>
        <w:t xml:space="preserve"> localisation strategy</w:t>
      </w:r>
      <w:r>
        <w:rPr>
          <w:rFonts w:eastAsia="Times New Roman" w:cs="Times New Roman"/>
          <w:iCs/>
          <w:sz w:val="21"/>
          <w:szCs w:val="24"/>
          <w:lang w:eastAsia="en-AU"/>
        </w:rPr>
        <w:t xml:space="preserve"> will be developed in the inception phase</w:t>
      </w:r>
      <w:r w:rsidRPr="003E18AD">
        <w:rPr>
          <w:rFonts w:eastAsia="Times New Roman" w:cs="Times New Roman"/>
          <w:iCs/>
          <w:sz w:val="21"/>
          <w:szCs w:val="24"/>
          <w:lang w:eastAsia="en-AU"/>
        </w:rPr>
        <w:t xml:space="preserve">, including transitioning project preparation support to the </w:t>
      </w:r>
      <w:r>
        <w:rPr>
          <w:rFonts w:eastAsia="Times New Roman" w:cs="Times New Roman"/>
          <w:iCs/>
          <w:sz w:val="21"/>
          <w:szCs w:val="24"/>
          <w:lang w:eastAsia="en-AU"/>
        </w:rPr>
        <w:t xml:space="preserve">leadership and </w:t>
      </w:r>
      <w:r w:rsidRPr="003E18AD">
        <w:rPr>
          <w:rFonts w:eastAsia="Times New Roman" w:cs="Times New Roman"/>
          <w:iCs/>
          <w:sz w:val="21"/>
          <w:szCs w:val="24"/>
          <w:lang w:eastAsia="en-AU"/>
        </w:rPr>
        <w:t>ownership of the best-suited GOI</w:t>
      </w:r>
      <w:r>
        <w:rPr>
          <w:rFonts w:eastAsia="Times New Roman" w:cs="Times New Roman"/>
          <w:iCs/>
          <w:sz w:val="21"/>
          <w:szCs w:val="24"/>
          <w:lang w:eastAsia="en-AU"/>
        </w:rPr>
        <w:t xml:space="preserve"> and other Indonesian</w:t>
      </w:r>
      <w:r w:rsidRPr="003E18AD">
        <w:rPr>
          <w:rFonts w:eastAsia="Times New Roman" w:cs="Times New Roman"/>
          <w:iCs/>
          <w:sz w:val="21"/>
          <w:szCs w:val="24"/>
          <w:lang w:eastAsia="en-AU"/>
        </w:rPr>
        <w:t xml:space="preserve"> entities. </w:t>
      </w:r>
      <w:r>
        <w:rPr>
          <w:rFonts w:eastAsia="Times New Roman" w:cs="Times New Roman"/>
          <w:iCs/>
          <w:sz w:val="21"/>
          <w:szCs w:val="24"/>
          <w:lang w:eastAsia="en-AU"/>
        </w:rPr>
        <w:t xml:space="preserve"> </w:t>
      </w:r>
      <w:r w:rsidR="005F5958" w:rsidRPr="007932AD">
        <w:rPr>
          <w:rFonts w:eastAsia="Times New Roman" w:cs="Times New Roman"/>
          <w:iCs/>
          <w:sz w:val="21"/>
          <w:szCs w:val="24"/>
          <w:lang w:eastAsia="en-AU"/>
        </w:rPr>
        <w:t>To the maximum extent possible, the program will seek to carry out activities through Indonesian implementing partners. This includes the GOI and SMVs, SOEs, the private sector, NGOs, educational and research institutions, and think tanks. As appropriate, activities will incorporate capacity building</w:t>
      </w:r>
      <w:r w:rsidR="00605AC3" w:rsidRPr="007932AD">
        <w:rPr>
          <w:rFonts w:eastAsia="Times New Roman" w:cs="Times New Roman"/>
          <w:iCs/>
          <w:sz w:val="21"/>
          <w:szCs w:val="24"/>
          <w:lang w:eastAsia="en-AU"/>
        </w:rPr>
        <w:t xml:space="preserve"> and empowerment of local leadership</w:t>
      </w:r>
      <w:r w:rsidR="005F5958" w:rsidRPr="007932AD">
        <w:rPr>
          <w:rFonts w:eastAsia="Times New Roman" w:cs="Times New Roman"/>
          <w:iCs/>
          <w:sz w:val="21"/>
          <w:szCs w:val="24"/>
          <w:lang w:eastAsia="en-AU"/>
        </w:rPr>
        <w:t xml:space="preserve"> as key approach</w:t>
      </w:r>
      <w:r w:rsidR="00605AC3" w:rsidRPr="007932AD">
        <w:rPr>
          <w:rFonts w:eastAsia="Times New Roman" w:cs="Times New Roman"/>
          <w:iCs/>
          <w:sz w:val="21"/>
          <w:szCs w:val="24"/>
          <w:lang w:eastAsia="en-AU"/>
        </w:rPr>
        <w:t>es</w:t>
      </w:r>
      <w:r w:rsidR="005F5958" w:rsidRPr="007932AD">
        <w:rPr>
          <w:rFonts w:eastAsia="Times New Roman" w:cs="Times New Roman"/>
          <w:iCs/>
          <w:sz w:val="21"/>
          <w:szCs w:val="24"/>
          <w:lang w:eastAsia="en-AU"/>
        </w:rPr>
        <w:t xml:space="preserve">. </w:t>
      </w:r>
    </w:p>
    <w:p w14:paraId="7DE62937" w14:textId="29A0AF8D" w:rsidR="0026130E" w:rsidRPr="003E18AD" w:rsidRDefault="0026130E" w:rsidP="00686269">
      <w:pPr>
        <w:pStyle w:val="ListParagraph"/>
        <w:numPr>
          <w:ilvl w:val="0"/>
          <w:numId w:val="20"/>
        </w:numPr>
        <w:spacing w:before="0" w:after="40"/>
        <w:ind w:left="714" w:hanging="357"/>
        <w:contextualSpacing w:val="0"/>
        <w:rPr>
          <w:rFonts w:eastAsia="Times New Roman" w:cs="Times New Roman"/>
          <w:iCs/>
          <w:sz w:val="21"/>
          <w:szCs w:val="24"/>
          <w:lang w:eastAsia="en-AU"/>
        </w:rPr>
      </w:pPr>
      <w:r>
        <w:rPr>
          <w:rFonts w:eastAsia="Times New Roman" w:cs="Times New Roman"/>
          <w:iCs/>
          <w:sz w:val="21"/>
          <w:szCs w:val="24"/>
          <w:lang w:eastAsia="en-AU"/>
        </w:rPr>
        <w:t>Within the suite of infrastructure planning, financing and delivery</w:t>
      </w:r>
      <w:r w:rsidR="006B3678">
        <w:rPr>
          <w:rFonts w:eastAsia="Times New Roman" w:cs="Times New Roman"/>
          <w:iCs/>
          <w:sz w:val="21"/>
          <w:szCs w:val="24"/>
          <w:lang w:eastAsia="en-AU"/>
        </w:rPr>
        <w:t xml:space="preserve"> support</w:t>
      </w:r>
      <w:r>
        <w:rPr>
          <w:rFonts w:eastAsia="Times New Roman" w:cs="Times New Roman"/>
          <w:iCs/>
          <w:sz w:val="21"/>
          <w:szCs w:val="24"/>
          <w:lang w:eastAsia="en-AU"/>
        </w:rPr>
        <w:t xml:space="preserve"> activities, ongoing maintenance costs and management arrangements will be comprehensively incorporated into policy and planning</w:t>
      </w:r>
      <w:r w:rsidR="00C41226">
        <w:rPr>
          <w:rFonts w:eastAsia="Times New Roman" w:cs="Times New Roman"/>
          <w:iCs/>
          <w:sz w:val="21"/>
          <w:szCs w:val="24"/>
          <w:lang w:eastAsia="en-AU"/>
        </w:rPr>
        <w:t>.</w:t>
      </w:r>
      <w:r>
        <w:rPr>
          <w:rFonts w:eastAsia="Times New Roman" w:cs="Times New Roman"/>
          <w:iCs/>
          <w:sz w:val="21"/>
          <w:szCs w:val="24"/>
          <w:lang w:eastAsia="en-AU"/>
        </w:rPr>
        <w:t xml:space="preserve"> </w:t>
      </w:r>
    </w:p>
    <w:p w14:paraId="13090DBD" w14:textId="535C32A0" w:rsidR="002327B3" w:rsidRDefault="00C20EF7" w:rsidP="00686269">
      <w:pPr>
        <w:pStyle w:val="ListParagraph"/>
        <w:numPr>
          <w:ilvl w:val="0"/>
          <w:numId w:val="20"/>
        </w:numPr>
        <w:spacing w:before="0" w:after="0"/>
        <w:ind w:left="714" w:hanging="357"/>
        <w:contextualSpacing w:val="0"/>
        <w:rPr>
          <w:rFonts w:eastAsia="Times New Roman" w:cs="Times New Roman"/>
          <w:iCs/>
          <w:sz w:val="21"/>
          <w:szCs w:val="24"/>
          <w:lang w:eastAsia="en-AU"/>
        </w:rPr>
      </w:pPr>
      <w:r w:rsidRPr="005667D8">
        <w:rPr>
          <w:rFonts w:eastAsia="Times New Roman" w:cs="Times New Roman"/>
          <w:iCs/>
          <w:sz w:val="21"/>
          <w:szCs w:val="24"/>
          <w:lang w:eastAsia="en-AU"/>
        </w:rPr>
        <w:t xml:space="preserve">Promoting the mobilisation of innovative funding and financing sources, particularly in local currency, will support the development of more sustainable infrastructure and climate financing. The program will seek </w:t>
      </w:r>
      <w:r w:rsidR="00C41226" w:rsidRPr="005667D8">
        <w:rPr>
          <w:rFonts w:eastAsia="Times New Roman" w:cs="Times New Roman"/>
          <w:iCs/>
          <w:sz w:val="21"/>
          <w:szCs w:val="24"/>
          <w:lang w:eastAsia="en-AU"/>
        </w:rPr>
        <w:t xml:space="preserve">to </w:t>
      </w:r>
      <w:r w:rsidRPr="005667D8">
        <w:rPr>
          <w:rFonts w:eastAsia="Times New Roman" w:cs="Times New Roman"/>
          <w:iCs/>
          <w:sz w:val="21"/>
          <w:szCs w:val="24"/>
          <w:lang w:eastAsia="en-AU"/>
        </w:rPr>
        <w:t xml:space="preserve">cooperate to the maximum extent possible with local institutions including PT SMI, PT IFF and PT IIGF. </w:t>
      </w:r>
    </w:p>
    <w:p w14:paraId="7FC770DA" w14:textId="77777777" w:rsidR="00126856" w:rsidRPr="005667D8" w:rsidRDefault="00126856" w:rsidP="00126856">
      <w:pPr>
        <w:pStyle w:val="ListParagraph"/>
        <w:spacing w:before="0" w:after="0"/>
        <w:ind w:left="714"/>
        <w:contextualSpacing w:val="0"/>
        <w:rPr>
          <w:rFonts w:eastAsia="Times New Roman" w:cs="Times New Roman"/>
          <w:iCs/>
          <w:sz w:val="21"/>
          <w:szCs w:val="24"/>
          <w:lang w:eastAsia="en-AU"/>
        </w:rPr>
      </w:pPr>
    </w:p>
    <w:p w14:paraId="24EE21DC" w14:textId="4DA2C349" w:rsidR="00A32858" w:rsidRPr="00F44317" w:rsidRDefault="00A32858" w:rsidP="00AD769D">
      <w:pPr>
        <w:pStyle w:val="Heading1"/>
      </w:pPr>
      <w:bookmarkStart w:id="402" w:name="_Toc216260412"/>
      <w:bookmarkStart w:id="403" w:name="_Toc216270675"/>
      <w:r w:rsidRPr="00F44317">
        <w:lastRenderedPageBreak/>
        <w:t>Monitoring</w:t>
      </w:r>
      <w:r w:rsidR="00A07A84" w:rsidRPr="00F44317">
        <w:t>, Evaluation</w:t>
      </w:r>
      <w:r w:rsidR="00B53FC3" w:rsidRPr="00F44317">
        <w:t>, Reflection</w:t>
      </w:r>
      <w:r w:rsidR="00A07A84" w:rsidRPr="00F44317">
        <w:t xml:space="preserve"> and Learning (MEL)</w:t>
      </w:r>
      <w:r w:rsidRPr="00F44317">
        <w:t xml:space="preserve"> (How will DFAT measure performance?)</w:t>
      </w:r>
      <w:bookmarkEnd w:id="402"/>
      <w:bookmarkEnd w:id="403"/>
    </w:p>
    <w:p w14:paraId="25200B91" w14:textId="6FE654BB" w:rsidR="00A32858" w:rsidRPr="003E18AD" w:rsidRDefault="00B53FC3" w:rsidP="00E17732">
      <w:pPr>
        <w:tabs>
          <w:tab w:val="left" w:pos="284"/>
        </w:tabs>
        <w:suppressAutoHyphens w:val="0"/>
        <w:spacing w:line="260" w:lineRule="exact"/>
        <w:rPr>
          <w:rFonts w:eastAsia="Times New Roman" w:cs="Times New Roman"/>
          <w:sz w:val="21"/>
          <w:szCs w:val="24"/>
        </w:rPr>
      </w:pPr>
      <w:bookmarkStart w:id="404" w:name="_Hlk131516736"/>
      <w:r w:rsidRPr="003E18AD">
        <w:rPr>
          <w:rFonts w:eastAsia="Times New Roman" w:cs="Times New Roman"/>
          <w:sz w:val="21"/>
          <w:szCs w:val="24"/>
        </w:rPr>
        <w:t>The approach to monitoring, evaluation, reflection and learning is central to the design of the program as a portfolio of Activities and Projects implemented by a range of Delivery Partners.</w:t>
      </w:r>
      <w:r w:rsidR="00C92510" w:rsidRPr="003E18AD">
        <w:rPr>
          <w:rFonts w:eastAsia="Times New Roman" w:cs="Times New Roman"/>
          <w:sz w:val="21"/>
          <w:szCs w:val="24"/>
        </w:rPr>
        <w:t xml:space="preserve"> </w:t>
      </w:r>
      <w:r w:rsidRPr="003E18AD">
        <w:rPr>
          <w:rFonts w:eastAsia="Times New Roman" w:cs="Times New Roman"/>
          <w:sz w:val="21"/>
          <w:szCs w:val="24"/>
        </w:rPr>
        <w:t>The MERL system will enable individual Activities and Projects to have their own internal integrity, while linking them to program-wide Activities and program-wide outputs,</w:t>
      </w:r>
      <w:r w:rsidR="004A00D0" w:rsidRPr="003E18AD">
        <w:rPr>
          <w:rFonts w:eastAsia="Times New Roman" w:cs="Times New Roman"/>
          <w:sz w:val="21"/>
          <w:szCs w:val="24"/>
        </w:rPr>
        <w:t xml:space="preserve"> </w:t>
      </w:r>
      <w:r w:rsidRPr="003E18AD">
        <w:rPr>
          <w:rFonts w:eastAsia="Times New Roman" w:cs="Times New Roman"/>
          <w:sz w:val="21"/>
          <w:szCs w:val="24"/>
        </w:rPr>
        <w:t xml:space="preserve">and enabling an assessment of the impact of the program </w:t>
      </w:r>
      <w:proofErr w:type="gramStart"/>
      <w:r w:rsidRPr="003E18AD">
        <w:rPr>
          <w:rFonts w:eastAsia="Times New Roman" w:cs="Times New Roman"/>
          <w:sz w:val="21"/>
          <w:szCs w:val="24"/>
        </w:rPr>
        <w:t>as a whole through</w:t>
      </w:r>
      <w:proofErr w:type="gramEnd"/>
      <w:r w:rsidRPr="003E18AD">
        <w:rPr>
          <w:rFonts w:eastAsia="Times New Roman" w:cs="Times New Roman"/>
          <w:sz w:val="21"/>
          <w:szCs w:val="24"/>
        </w:rPr>
        <w:t xml:space="preserve"> the intermediate outcomes and end of program outcomes.</w:t>
      </w:r>
    </w:p>
    <w:p w14:paraId="0D375663" w14:textId="4236FBFF" w:rsidR="00B53FC3" w:rsidRPr="003E18AD" w:rsidRDefault="00D973A6" w:rsidP="00E17732">
      <w:pPr>
        <w:tabs>
          <w:tab w:val="left" w:pos="284"/>
        </w:tabs>
        <w:suppressAutoHyphens w:val="0"/>
        <w:spacing w:line="260" w:lineRule="exact"/>
        <w:rPr>
          <w:rFonts w:eastAsia="Times New Roman" w:cs="Times New Roman"/>
          <w:sz w:val="21"/>
          <w:szCs w:val="24"/>
        </w:rPr>
      </w:pPr>
      <w:r w:rsidRPr="003E18AD">
        <w:rPr>
          <w:rFonts w:eastAsia="Times New Roman" w:cs="Times New Roman"/>
          <w:sz w:val="21"/>
          <w:szCs w:val="24"/>
        </w:rPr>
        <w:t>The MERL Framework has several elements:</w:t>
      </w:r>
    </w:p>
    <w:p w14:paraId="6CA8246B" w14:textId="3F03ED67" w:rsidR="00D973A6" w:rsidRPr="003E18AD" w:rsidRDefault="00D973A6" w:rsidP="00686269">
      <w:pPr>
        <w:pStyle w:val="ListParagraph"/>
        <w:numPr>
          <w:ilvl w:val="0"/>
          <w:numId w:val="21"/>
        </w:numPr>
        <w:tabs>
          <w:tab w:val="left" w:pos="284"/>
        </w:tabs>
        <w:suppressAutoHyphens w:val="0"/>
        <w:spacing w:before="0" w:after="0" w:line="260" w:lineRule="exact"/>
        <w:ind w:left="714" w:hanging="357"/>
        <w:contextualSpacing w:val="0"/>
        <w:rPr>
          <w:rFonts w:eastAsia="Times New Roman" w:cs="Times New Roman"/>
          <w:sz w:val="21"/>
          <w:szCs w:val="24"/>
        </w:rPr>
      </w:pPr>
      <w:r w:rsidRPr="003E18AD">
        <w:rPr>
          <w:rFonts w:eastAsia="Times New Roman" w:cs="Times New Roman"/>
          <w:sz w:val="21"/>
          <w:szCs w:val="24"/>
        </w:rPr>
        <w:t>Activity and Project based data collection and reporting</w:t>
      </w:r>
    </w:p>
    <w:p w14:paraId="574791EB" w14:textId="72A01B29" w:rsidR="00D973A6" w:rsidRPr="003E18AD" w:rsidRDefault="00D973A6" w:rsidP="00686269">
      <w:pPr>
        <w:pStyle w:val="ListParagraph"/>
        <w:numPr>
          <w:ilvl w:val="0"/>
          <w:numId w:val="21"/>
        </w:numPr>
        <w:tabs>
          <w:tab w:val="left" w:pos="284"/>
        </w:tabs>
        <w:suppressAutoHyphens w:val="0"/>
        <w:spacing w:line="260" w:lineRule="exact"/>
        <w:rPr>
          <w:rFonts w:eastAsia="Times New Roman" w:cs="Times New Roman"/>
          <w:sz w:val="21"/>
          <w:szCs w:val="24"/>
        </w:rPr>
      </w:pPr>
      <w:r w:rsidRPr="003E18AD">
        <w:rPr>
          <w:rFonts w:eastAsia="Times New Roman" w:cs="Times New Roman"/>
          <w:sz w:val="21"/>
          <w:szCs w:val="24"/>
        </w:rPr>
        <w:t xml:space="preserve">Partner based outcomes and performance </w:t>
      </w:r>
    </w:p>
    <w:p w14:paraId="7A1F8482" w14:textId="561D113C" w:rsidR="00D973A6" w:rsidRDefault="00D973A6" w:rsidP="00686269">
      <w:pPr>
        <w:pStyle w:val="ListParagraph"/>
        <w:numPr>
          <w:ilvl w:val="0"/>
          <w:numId w:val="21"/>
        </w:numPr>
        <w:tabs>
          <w:tab w:val="left" w:pos="284"/>
        </w:tabs>
        <w:suppressAutoHyphens w:val="0"/>
        <w:spacing w:line="260" w:lineRule="exact"/>
        <w:rPr>
          <w:rFonts w:eastAsia="Times New Roman" w:cs="Times New Roman"/>
          <w:sz w:val="21"/>
          <w:szCs w:val="24"/>
        </w:rPr>
      </w:pPr>
      <w:r w:rsidRPr="003E18AD">
        <w:rPr>
          <w:rFonts w:eastAsia="Times New Roman" w:cs="Times New Roman"/>
          <w:sz w:val="21"/>
          <w:szCs w:val="24"/>
        </w:rPr>
        <w:t xml:space="preserve">Reporting of program-wide Activities and Outputs </w:t>
      </w:r>
    </w:p>
    <w:p w14:paraId="5747BA78" w14:textId="7F7635AC" w:rsidR="001C71E3" w:rsidRDefault="001C71E3" w:rsidP="00686269">
      <w:pPr>
        <w:pStyle w:val="ListParagraph"/>
        <w:numPr>
          <w:ilvl w:val="0"/>
          <w:numId w:val="21"/>
        </w:numPr>
        <w:tabs>
          <w:tab w:val="left" w:pos="284"/>
        </w:tabs>
        <w:suppressAutoHyphens w:val="0"/>
        <w:spacing w:line="260" w:lineRule="exact"/>
        <w:rPr>
          <w:rFonts w:eastAsia="Times New Roman" w:cs="Times New Roman"/>
          <w:sz w:val="21"/>
          <w:szCs w:val="24"/>
        </w:rPr>
      </w:pPr>
      <w:r>
        <w:rPr>
          <w:rFonts w:eastAsia="Times New Roman" w:cs="Times New Roman"/>
          <w:sz w:val="21"/>
          <w:szCs w:val="24"/>
        </w:rPr>
        <w:t>Monitoring of assumptions, risks, and changes in the political economy and context</w:t>
      </w:r>
    </w:p>
    <w:p w14:paraId="6920157F" w14:textId="7903A0E6" w:rsidR="00A845CB" w:rsidRPr="003E18AD" w:rsidRDefault="00A845CB" w:rsidP="00686269">
      <w:pPr>
        <w:pStyle w:val="ListParagraph"/>
        <w:numPr>
          <w:ilvl w:val="0"/>
          <w:numId w:val="21"/>
        </w:numPr>
        <w:tabs>
          <w:tab w:val="left" w:pos="284"/>
        </w:tabs>
        <w:suppressAutoHyphens w:val="0"/>
        <w:spacing w:line="260" w:lineRule="exact"/>
        <w:rPr>
          <w:rFonts w:eastAsia="Times New Roman" w:cs="Times New Roman"/>
          <w:sz w:val="21"/>
          <w:szCs w:val="24"/>
        </w:rPr>
      </w:pPr>
      <w:r>
        <w:rPr>
          <w:rFonts w:eastAsia="Times New Roman" w:cs="Times New Roman"/>
          <w:sz w:val="21"/>
          <w:szCs w:val="24"/>
        </w:rPr>
        <w:t>Use of GOI data for reporting on RPJMN outcomes in focus sectors</w:t>
      </w:r>
    </w:p>
    <w:p w14:paraId="4C62CB26" w14:textId="15D462F3" w:rsidR="00D973A6" w:rsidRPr="003E18AD" w:rsidRDefault="00D973A6" w:rsidP="00686269">
      <w:pPr>
        <w:pStyle w:val="ListParagraph"/>
        <w:numPr>
          <w:ilvl w:val="0"/>
          <w:numId w:val="21"/>
        </w:numPr>
        <w:tabs>
          <w:tab w:val="left" w:pos="284"/>
        </w:tabs>
        <w:suppressAutoHyphens w:val="0"/>
        <w:spacing w:line="260" w:lineRule="exact"/>
        <w:rPr>
          <w:rFonts w:eastAsia="Times New Roman" w:cs="Times New Roman"/>
          <w:sz w:val="21"/>
          <w:szCs w:val="24"/>
        </w:rPr>
      </w:pPr>
      <w:r w:rsidRPr="003E18AD">
        <w:rPr>
          <w:rFonts w:eastAsia="Times New Roman" w:cs="Times New Roman"/>
          <w:sz w:val="21"/>
          <w:szCs w:val="24"/>
        </w:rPr>
        <w:t xml:space="preserve">Program-wide assessment of outcomes (IOs and EOPOs) </w:t>
      </w:r>
    </w:p>
    <w:p w14:paraId="0EDD12D3" w14:textId="24C37CEA" w:rsidR="00B53FC3" w:rsidRPr="003E18AD" w:rsidRDefault="00D973A6" w:rsidP="00E17732">
      <w:pPr>
        <w:tabs>
          <w:tab w:val="left" w:pos="284"/>
        </w:tabs>
        <w:suppressAutoHyphens w:val="0"/>
        <w:spacing w:line="260" w:lineRule="exact"/>
        <w:rPr>
          <w:rFonts w:eastAsia="Times New Roman" w:cs="Times New Roman"/>
          <w:sz w:val="21"/>
          <w:szCs w:val="24"/>
        </w:rPr>
      </w:pPr>
      <w:r w:rsidRPr="003E18AD">
        <w:rPr>
          <w:rFonts w:eastAsia="Times New Roman" w:cs="Times New Roman"/>
          <w:sz w:val="21"/>
          <w:szCs w:val="24"/>
        </w:rPr>
        <w:t xml:space="preserve">The methodology and approach for each element responds to key evaluative </w:t>
      </w:r>
      <w:proofErr w:type="gramStart"/>
      <w:r w:rsidRPr="003E18AD">
        <w:rPr>
          <w:rFonts w:eastAsia="Times New Roman" w:cs="Times New Roman"/>
          <w:sz w:val="21"/>
          <w:szCs w:val="24"/>
        </w:rPr>
        <w:t>questions, and</w:t>
      </w:r>
      <w:proofErr w:type="gramEnd"/>
      <w:r w:rsidRPr="003E18AD">
        <w:rPr>
          <w:rFonts w:eastAsia="Times New Roman" w:cs="Times New Roman"/>
          <w:sz w:val="21"/>
          <w:szCs w:val="24"/>
        </w:rPr>
        <w:t xml:space="preserve"> allocates responsibilities to the relevant Partners.</w:t>
      </w:r>
      <w:r w:rsidR="00C92510" w:rsidRPr="003E18AD">
        <w:rPr>
          <w:rFonts w:eastAsia="Times New Roman" w:cs="Times New Roman"/>
          <w:sz w:val="21"/>
          <w:szCs w:val="24"/>
        </w:rPr>
        <w:t xml:space="preserve"> </w:t>
      </w:r>
      <w:r w:rsidR="006F39CA" w:rsidRPr="003E18AD">
        <w:rPr>
          <w:rFonts w:eastAsia="Times New Roman" w:cs="Times New Roman"/>
          <w:sz w:val="21"/>
          <w:szCs w:val="24"/>
        </w:rPr>
        <w:t>This enables mixed method approaches to data collection, reporting and analysis.</w:t>
      </w:r>
      <w:r w:rsidR="00C92510" w:rsidRPr="003E18AD">
        <w:rPr>
          <w:rFonts w:eastAsia="Times New Roman" w:cs="Times New Roman"/>
          <w:sz w:val="21"/>
          <w:szCs w:val="24"/>
        </w:rPr>
        <w:t xml:space="preserve"> </w:t>
      </w:r>
      <w:r w:rsidR="006F39CA" w:rsidRPr="003E18AD">
        <w:rPr>
          <w:rFonts w:eastAsia="Times New Roman" w:cs="Times New Roman"/>
          <w:sz w:val="21"/>
          <w:szCs w:val="24"/>
        </w:rPr>
        <w:t>In addition</w:t>
      </w:r>
      <w:r w:rsidR="00B22C13">
        <w:rPr>
          <w:rFonts w:eastAsia="Times New Roman" w:cs="Times New Roman"/>
          <w:sz w:val="21"/>
          <w:szCs w:val="24"/>
        </w:rPr>
        <w:t>,</w:t>
      </w:r>
      <w:r w:rsidR="006F39CA" w:rsidRPr="003E18AD">
        <w:rPr>
          <w:rFonts w:eastAsia="Times New Roman" w:cs="Times New Roman"/>
          <w:sz w:val="21"/>
          <w:szCs w:val="24"/>
        </w:rPr>
        <w:t xml:space="preserve"> a small set of basic indicators will be developed at each level of the Program Logic to broader DFAT aggregation and reporting obligations. </w:t>
      </w:r>
    </w:p>
    <w:p w14:paraId="32A1A338" w14:textId="11549D9C" w:rsidR="00EE0FB0" w:rsidRPr="00126856" w:rsidRDefault="00D973A6" w:rsidP="00126856">
      <w:pPr>
        <w:tabs>
          <w:tab w:val="left" w:pos="284"/>
        </w:tabs>
        <w:suppressAutoHyphens w:val="0"/>
        <w:spacing w:line="260" w:lineRule="exact"/>
        <w:rPr>
          <w:rFonts w:eastAsia="Times New Roman" w:cs="Times New Roman"/>
          <w:sz w:val="21"/>
          <w:szCs w:val="24"/>
        </w:rPr>
      </w:pPr>
      <w:r w:rsidRPr="003E18AD">
        <w:rPr>
          <w:rFonts w:eastAsia="Times New Roman" w:cs="Times New Roman"/>
          <w:sz w:val="21"/>
          <w:szCs w:val="24"/>
        </w:rPr>
        <w:t>The Primary Contractor is responsible for oversight of the program-wide MERL approach, supporting other Delivery Partners, and for undertaking the assessments and analysis across the Program against IOs and EOPOs.</w:t>
      </w:r>
      <w:r w:rsidR="00A845CB">
        <w:rPr>
          <w:rFonts w:eastAsia="Times New Roman" w:cs="Times New Roman"/>
          <w:sz w:val="21"/>
          <w:szCs w:val="24"/>
        </w:rPr>
        <w:t xml:space="preserve">  This function will need to be negotiated with each Delivery Partner, and for PIDG, ADI and other partners directly contracted or responsible to DFAT, negotiated by DFAT.</w:t>
      </w:r>
    </w:p>
    <w:p w14:paraId="1C9753C5" w14:textId="161EB20F" w:rsidR="00D973A6" w:rsidRPr="003E18AD" w:rsidRDefault="00D973A6" w:rsidP="00D2498B">
      <w:pPr>
        <w:pStyle w:val="Heading2"/>
      </w:pPr>
      <w:bookmarkStart w:id="405" w:name="_Toc216260413"/>
      <w:bookmarkStart w:id="406" w:name="_Toc216270676"/>
      <w:r w:rsidRPr="003E18AD">
        <w:t>Activity and Project</w:t>
      </w:r>
      <w:r w:rsidR="00CE095A">
        <w:t>-</w:t>
      </w:r>
      <w:r w:rsidRPr="003E18AD">
        <w:t>based data collection and reporting</w:t>
      </w:r>
      <w:bookmarkEnd w:id="405"/>
      <w:bookmarkEnd w:id="406"/>
    </w:p>
    <w:p w14:paraId="157F8CF5" w14:textId="3DBAA0AA" w:rsidR="00D973A6" w:rsidRPr="003E18AD" w:rsidRDefault="00EF3E15" w:rsidP="005A7D7C">
      <w:pPr>
        <w:tabs>
          <w:tab w:val="left" w:pos="284"/>
        </w:tabs>
        <w:suppressAutoHyphens w:val="0"/>
        <w:rPr>
          <w:rFonts w:eastAsia="Times New Roman" w:cs="Times New Roman"/>
          <w:sz w:val="21"/>
          <w:szCs w:val="24"/>
        </w:rPr>
      </w:pPr>
      <w:r w:rsidRPr="003E18AD">
        <w:rPr>
          <w:rFonts w:eastAsia="Times New Roman" w:cs="Times New Roman"/>
          <w:sz w:val="21"/>
          <w:szCs w:val="24"/>
        </w:rPr>
        <w:t xml:space="preserve">Activity and Project </w:t>
      </w:r>
      <w:r w:rsidR="00B3159D">
        <w:rPr>
          <w:rFonts w:eastAsia="Times New Roman" w:cs="Times New Roman"/>
          <w:sz w:val="21"/>
          <w:szCs w:val="24"/>
        </w:rPr>
        <w:t xml:space="preserve">data collection and </w:t>
      </w:r>
      <w:r w:rsidRPr="003E18AD">
        <w:rPr>
          <w:rFonts w:eastAsia="Times New Roman" w:cs="Times New Roman"/>
          <w:sz w:val="21"/>
          <w:szCs w:val="24"/>
        </w:rPr>
        <w:t xml:space="preserve">reporting will be the responsibility of the </w:t>
      </w:r>
      <w:r w:rsidR="00B3159D">
        <w:rPr>
          <w:rFonts w:eastAsia="Times New Roman" w:cs="Times New Roman"/>
          <w:sz w:val="21"/>
          <w:szCs w:val="24"/>
        </w:rPr>
        <w:t xml:space="preserve">relevant </w:t>
      </w:r>
      <w:r w:rsidRPr="003E18AD">
        <w:rPr>
          <w:rFonts w:eastAsia="Times New Roman" w:cs="Times New Roman"/>
          <w:sz w:val="21"/>
          <w:szCs w:val="24"/>
        </w:rPr>
        <w:t>Delivery Partner.</w:t>
      </w:r>
      <w:r w:rsidR="00C92510" w:rsidRPr="003E18AD">
        <w:rPr>
          <w:rFonts w:eastAsia="Times New Roman" w:cs="Times New Roman"/>
          <w:sz w:val="21"/>
          <w:szCs w:val="24"/>
        </w:rPr>
        <w:t xml:space="preserve"> </w:t>
      </w:r>
      <w:r w:rsidRPr="003E18AD">
        <w:rPr>
          <w:rFonts w:eastAsia="Times New Roman" w:cs="Times New Roman"/>
          <w:sz w:val="21"/>
          <w:szCs w:val="24"/>
        </w:rPr>
        <w:t xml:space="preserve">All Activities and Projects will be structured in the same manner across Delivery Partners so that the Primary Contractor can </w:t>
      </w:r>
      <w:r w:rsidR="00B3159D">
        <w:rPr>
          <w:rFonts w:eastAsia="Times New Roman" w:cs="Times New Roman"/>
          <w:sz w:val="21"/>
          <w:szCs w:val="24"/>
        </w:rPr>
        <w:t xml:space="preserve">quality control, </w:t>
      </w:r>
      <w:r w:rsidRPr="003E18AD">
        <w:rPr>
          <w:rFonts w:eastAsia="Times New Roman" w:cs="Times New Roman"/>
          <w:sz w:val="21"/>
          <w:szCs w:val="24"/>
        </w:rPr>
        <w:t>aggregate data</w:t>
      </w:r>
      <w:r w:rsidR="00233087">
        <w:rPr>
          <w:rFonts w:eastAsia="Times New Roman" w:cs="Times New Roman"/>
          <w:sz w:val="21"/>
          <w:szCs w:val="24"/>
        </w:rPr>
        <w:t>, analyse</w:t>
      </w:r>
      <w:r w:rsidRPr="003E18AD">
        <w:rPr>
          <w:rFonts w:eastAsia="Times New Roman" w:cs="Times New Roman"/>
          <w:sz w:val="21"/>
          <w:szCs w:val="24"/>
        </w:rPr>
        <w:t xml:space="preserve"> and synthesis</w:t>
      </w:r>
      <w:r w:rsidR="00B3159D">
        <w:rPr>
          <w:rFonts w:eastAsia="Times New Roman" w:cs="Times New Roman"/>
          <w:sz w:val="21"/>
          <w:szCs w:val="24"/>
        </w:rPr>
        <w:t>e</w:t>
      </w:r>
      <w:r w:rsidRPr="003E18AD">
        <w:rPr>
          <w:rFonts w:eastAsia="Times New Roman" w:cs="Times New Roman"/>
          <w:sz w:val="21"/>
          <w:szCs w:val="24"/>
        </w:rPr>
        <w:t xml:space="preserve"> contributions to program-wide Activities and Outputs.</w:t>
      </w:r>
    </w:p>
    <w:p w14:paraId="060039D8" w14:textId="77777777" w:rsidR="00985404" w:rsidRDefault="00EF3E15" w:rsidP="005A7D7C">
      <w:pPr>
        <w:tabs>
          <w:tab w:val="left" w:pos="284"/>
        </w:tabs>
        <w:suppressAutoHyphens w:val="0"/>
        <w:spacing w:after="120"/>
        <w:rPr>
          <w:rFonts w:eastAsia="Times New Roman" w:cs="Times New Roman"/>
          <w:sz w:val="21"/>
          <w:szCs w:val="24"/>
        </w:rPr>
      </w:pPr>
      <w:r w:rsidRPr="003E18AD">
        <w:rPr>
          <w:rFonts w:eastAsia="Times New Roman" w:cs="Times New Roman"/>
          <w:sz w:val="21"/>
          <w:szCs w:val="24"/>
        </w:rPr>
        <w:t>An Activity is a time-limited focused initiatives with one major deliverable (the output).</w:t>
      </w:r>
      <w:r w:rsidR="00C92510" w:rsidRPr="003E18AD">
        <w:rPr>
          <w:rFonts w:eastAsia="Times New Roman" w:cs="Times New Roman"/>
          <w:sz w:val="21"/>
          <w:szCs w:val="24"/>
        </w:rPr>
        <w:t xml:space="preserve"> </w:t>
      </w:r>
      <w:r w:rsidRPr="003E18AD">
        <w:rPr>
          <w:rFonts w:eastAsia="Times New Roman" w:cs="Times New Roman"/>
          <w:sz w:val="21"/>
          <w:szCs w:val="24"/>
        </w:rPr>
        <w:t>A Project is a set of deliverables (outputs) that lead to a clear Objective which is a statement of outcomes and results.</w:t>
      </w:r>
      <w:r w:rsidR="00C92510" w:rsidRPr="003E18AD">
        <w:rPr>
          <w:rFonts w:eastAsia="Times New Roman" w:cs="Times New Roman"/>
          <w:sz w:val="21"/>
          <w:szCs w:val="24"/>
        </w:rPr>
        <w:t xml:space="preserve"> </w:t>
      </w:r>
      <w:r w:rsidRPr="003E18AD">
        <w:rPr>
          <w:rFonts w:eastAsia="Times New Roman" w:cs="Times New Roman"/>
          <w:sz w:val="21"/>
          <w:szCs w:val="24"/>
        </w:rPr>
        <w:t xml:space="preserve">All Activity and Project deliverables and Objectives will be coded against the Program-wide Activity and Outputs of the program logic to allow aggregation of cost, sector, gender and disability disaggregation, </w:t>
      </w:r>
      <w:r w:rsidR="00931A0F" w:rsidRPr="003E18AD">
        <w:rPr>
          <w:rFonts w:eastAsia="Times New Roman" w:cs="Times New Roman"/>
          <w:sz w:val="21"/>
          <w:szCs w:val="24"/>
        </w:rPr>
        <w:t>GOI partners, and progress and performance.</w:t>
      </w:r>
      <w:r w:rsidR="00C92510" w:rsidRPr="003E18AD">
        <w:rPr>
          <w:rFonts w:eastAsia="Times New Roman" w:cs="Times New Roman"/>
          <w:sz w:val="21"/>
          <w:szCs w:val="24"/>
        </w:rPr>
        <w:t xml:space="preserve"> </w:t>
      </w:r>
    </w:p>
    <w:p w14:paraId="2EEF819E" w14:textId="77777777" w:rsidR="00126856" w:rsidRPr="00126856" w:rsidRDefault="00126856" w:rsidP="0010181F">
      <w:pPr>
        <w:pStyle w:val="Heading3"/>
        <w:numPr>
          <w:ilvl w:val="0"/>
          <w:numId w:val="0"/>
        </w:numPr>
        <w:rPr>
          <w:i/>
        </w:rPr>
      </w:pPr>
      <w:bookmarkStart w:id="407" w:name="_Toc216260414"/>
      <w:bookmarkStart w:id="408" w:name="_Toc216264129"/>
      <w:bookmarkStart w:id="409" w:name="_Toc216269978"/>
      <w:bookmarkStart w:id="410" w:name="_Toc216270677"/>
      <w:r w:rsidRPr="00126856">
        <w:t>Key Evaluative Questions</w:t>
      </w:r>
      <w:bookmarkEnd w:id="407"/>
      <w:bookmarkEnd w:id="408"/>
      <w:bookmarkEnd w:id="409"/>
      <w:bookmarkEnd w:id="410"/>
    </w:p>
    <w:p w14:paraId="354C6716" w14:textId="44394EE1" w:rsidR="00126856" w:rsidRPr="00126856" w:rsidRDefault="00126856" w:rsidP="00686269">
      <w:pPr>
        <w:pStyle w:val="ListParagraph"/>
        <w:numPr>
          <w:ilvl w:val="0"/>
          <w:numId w:val="59"/>
        </w:numPr>
        <w:tabs>
          <w:tab w:val="left" w:pos="284"/>
        </w:tabs>
        <w:suppressAutoHyphens w:val="0"/>
        <w:spacing w:before="60" w:line="260" w:lineRule="exact"/>
        <w:rPr>
          <w:rFonts w:eastAsia="Times New Roman" w:cs="Times New Roman"/>
          <w:sz w:val="21"/>
          <w:szCs w:val="24"/>
        </w:rPr>
      </w:pPr>
      <w:r w:rsidRPr="00126856">
        <w:rPr>
          <w:rFonts w:eastAsia="Times New Roman" w:cs="Times New Roman"/>
          <w:sz w:val="21"/>
          <w:szCs w:val="24"/>
        </w:rPr>
        <w:t xml:space="preserve">What </w:t>
      </w:r>
      <w:r>
        <w:rPr>
          <w:rFonts w:eastAsia="Times New Roman" w:cs="Times New Roman"/>
          <w:sz w:val="21"/>
          <w:szCs w:val="24"/>
        </w:rPr>
        <w:t>o</w:t>
      </w:r>
      <w:r w:rsidRPr="00126856">
        <w:rPr>
          <w:rFonts w:eastAsia="Times New Roman" w:cs="Times New Roman"/>
          <w:sz w:val="21"/>
          <w:szCs w:val="24"/>
        </w:rPr>
        <w:t xml:space="preserve">utputs (and </w:t>
      </w:r>
      <w:r>
        <w:rPr>
          <w:rFonts w:eastAsia="Times New Roman" w:cs="Times New Roman"/>
          <w:sz w:val="21"/>
          <w:szCs w:val="24"/>
        </w:rPr>
        <w:t>o</w:t>
      </w:r>
      <w:r w:rsidRPr="00126856">
        <w:rPr>
          <w:rFonts w:eastAsia="Times New Roman" w:cs="Times New Roman"/>
          <w:sz w:val="21"/>
          <w:szCs w:val="24"/>
        </w:rPr>
        <w:t>bjectives) were delivered (the deliverables)?</w:t>
      </w:r>
    </w:p>
    <w:p w14:paraId="4F1B84EB" w14:textId="77777777" w:rsidR="00126856" w:rsidRPr="00126856" w:rsidRDefault="00126856" w:rsidP="00686269">
      <w:pPr>
        <w:pStyle w:val="ListParagraph"/>
        <w:numPr>
          <w:ilvl w:val="0"/>
          <w:numId w:val="59"/>
        </w:numPr>
        <w:tabs>
          <w:tab w:val="left" w:pos="284"/>
        </w:tabs>
        <w:suppressAutoHyphens w:val="0"/>
        <w:spacing w:before="60" w:line="260" w:lineRule="exact"/>
        <w:rPr>
          <w:rFonts w:eastAsia="Times New Roman" w:cs="Times New Roman"/>
          <w:sz w:val="21"/>
          <w:szCs w:val="24"/>
        </w:rPr>
      </w:pPr>
      <w:r w:rsidRPr="00126856">
        <w:rPr>
          <w:rFonts w:eastAsia="Times New Roman" w:cs="Times New Roman"/>
          <w:sz w:val="21"/>
          <w:szCs w:val="24"/>
        </w:rPr>
        <w:t>What was the quality of the deliverables?</w:t>
      </w:r>
    </w:p>
    <w:p w14:paraId="6DC7019C" w14:textId="77777777" w:rsidR="00126856" w:rsidRPr="00126856" w:rsidRDefault="00126856" w:rsidP="00686269">
      <w:pPr>
        <w:pStyle w:val="ListParagraph"/>
        <w:numPr>
          <w:ilvl w:val="0"/>
          <w:numId w:val="59"/>
        </w:numPr>
        <w:tabs>
          <w:tab w:val="left" w:pos="284"/>
        </w:tabs>
        <w:suppressAutoHyphens w:val="0"/>
        <w:spacing w:before="60" w:line="260" w:lineRule="exact"/>
        <w:rPr>
          <w:rFonts w:eastAsia="Times New Roman" w:cs="Times New Roman"/>
          <w:sz w:val="21"/>
          <w:szCs w:val="24"/>
        </w:rPr>
      </w:pPr>
      <w:r w:rsidRPr="00126856">
        <w:rPr>
          <w:rFonts w:eastAsia="Times New Roman" w:cs="Times New Roman"/>
          <w:sz w:val="21"/>
          <w:szCs w:val="24"/>
        </w:rPr>
        <w:t>Were the inputs delivered on time and on budget?</w:t>
      </w:r>
    </w:p>
    <w:p w14:paraId="0695C080" w14:textId="702E84A0" w:rsidR="00126856" w:rsidRPr="00126856" w:rsidRDefault="00126856" w:rsidP="00686269">
      <w:pPr>
        <w:pStyle w:val="ListParagraph"/>
        <w:numPr>
          <w:ilvl w:val="0"/>
          <w:numId w:val="59"/>
        </w:numPr>
        <w:tabs>
          <w:tab w:val="left" w:pos="284"/>
        </w:tabs>
        <w:suppressAutoHyphens w:val="0"/>
        <w:spacing w:before="60" w:line="260" w:lineRule="exact"/>
        <w:rPr>
          <w:rFonts w:eastAsia="Times New Roman" w:cs="Times New Roman"/>
          <w:sz w:val="21"/>
          <w:szCs w:val="24"/>
        </w:rPr>
      </w:pPr>
      <w:r w:rsidRPr="00126856">
        <w:rPr>
          <w:rFonts w:eastAsia="Times New Roman" w:cs="Times New Roman"/>
          <w:sz w:val="21"/>
          <w:szCs w:val="24"/>
        </w:rPr>
        <w:t>What was the participation of men and women, people with disabilities? (including the Disability Equality Marker and disaggregated gender data), and what GEDSI Outputs and Objectives were progressed?</w:t>
      </w:r>
    </w:p>
    <w:p w14:paraId="3A06A7AC" w14:textId="77777777" w:rsidR="00126856" w:rsidRPr="00126856" w:rsidRDefault="00126856" w:rsidP="00686269">
      <w:pPr>
        <w:pStyle w:val="ListParagraph"/>
        <w:numPr>
          <w:ilvl w:val="0"/>
          <w:numId w:val="59"/>
        </w:numPr>
        <w:tabs>
          <w:tab w:val="left" w:pos="284"/>
        </w:tabs>
        <w:suppressAutoHyphens w:val="0"/>
        <w:spacing w:before="60" w:line="260" w:lineRule="exact"/>
        <w:rPr>
          <w:rFonts w:eastAsia="Times New Roman" w:cs="Times New Roman"/>
          <w:sz w:val="21"/>
          <w:szCs w:val="24"/>
        </w:rPr>
      </w:pPr>
      <w:r w:rsidRPr="00126856">
        <w:rPr>
          <w:rFonts w:eastAsia="Times New Roman" w:cs="Times New Roman"/>
          <w:sz w:val="21"/>
          <w:szCs w:val="24"/>
        </w:rPr>
        <w:t>What was the cost and assessment of value for money?</w:t>
      </w:r>
    </w:p>
    <w:p w14:paraId="2B778196" w14:textId="0D0995A6" w:rsidR="00126856" w:rsidRPr="00126856" w:rsidRDefault="00126856" w:rsidP="00686269">
      <w:pPr>
        <w:pStyle w:val="ListParagraph"/>
        <w:numPr>
          <w:ilvl w:val="0"/>
          <w:numId w:val="59"/>
        </w:numPr>
        <w:tabs>
          <w:tab w:val="left" w:pos="284"/>
        </w:tabs>
        <w:suppressAutoHyphens w:val="0"/>
        <w:spacing w:before="60" w:line="260" w:lineRule="exact"/>
        <w:rPr>
          <w:rFonts w:eastAsia="Times New Roman" w:cs="Times New Roman"/>
          <w:sz w:val="21"/>
          <w:szCs w:val="24"/>
        </w:rPr>
      </w:pPr>
      <w:r w:rsidRPr="00126856">
        <w:rPr>
          <w:rFonts w:eastAsia="Times New Roman" w:cs="Times New Roman"/>
          <w:sz w:val="21"/>
          <w:szCs w:val="24"/>
        </w:rPr>
        <w:t>To which program-wide Activities and Outputs did the deliverable contribute?</w:t>
      </w:r>
      <w:r w:rsidRPr="00126856">
        <w:rPr>
          <w:rFonts w:eastAsia="Times New Roman" w:cs="Times New Roman"/>
          <w:sz w:val="21"/>
          <w:szCs w:val="24"/>
        </w:rPr>
        <w:br/>
        <w:t>What was the utilisation and impact of the Activity/Project?</w:t>
      </w:r>
    </w:p>
    <w:p w14:paraId="6A8E121E" w14:textId="0E6DF5B3" w:rsidR="00931A0F" w:rsidRPr="003E18AD" w:rsidRDefault="003D7DC2" w:rsidP="005A7D7C">
      <w:pPr>
        <w:tabs>
          <w:tab w:val="left" w:pos="284"/>
        </w:tabs>
        <w:suppressAutoHyphens w:val="0"/>
        <w:rPr>
          <w:rFonts w:eastAsia="Times New Roman" w:cs="Times New Roman"/>
          <w:sz w:val="21"/>
          <w:szCs w:val="24"/>
        </w:rPr>
      </w:pPr>
      <w:r>
        <w:rPr>
          <w:rFonts w:eastAsia="Times New Roman" w:cs="Times New Roman"/>
          <w:sz w:val="21"/>
          <w:szCs w:val="24"/>
        </w:rPr>
        <w:t xml:space="preserve">The relevant </w:t>
      </w:r>
      <w:r w:rsidR="00931A0F" w:rsidRPr="003E18AD">
        <w:rPr>
          <w:rFonts w:eastAsia="Times New Roman" w:cs="Times New Roman"/>
          <w:sz w:val="21"/>
          <w:szCs w:val="24"/>
        </w:rPr>
        <w:t>Delivery Partner and Primary Contractor will commission ongoing selected case study (DP) and thematic evaluations across the portfolio in areas of emerging interest, key learning, or significant results.</w:t>
      </w:r>
    </w:p>
    <w:p w14:paraId="74756DC0" w14:textId="3A26746D" w:rsidR="00D973A6" w:rsidRPr="003E18AD" w:rsidRDefault="00D973A6" w:rsidP="00D2498B">
      <w:pPr>
        <w:pStyle w:val="Heading2"/>
      </w:pPr>
      <w:bookmarkStart w:id="411" w:name="_Toc216260415"/>
      <w:bookmarkStart w:id="412" w:name="_Toc216270678"/>
      <w:r w:rsidRPr="003E18AD">
        <w:lastRenderedPageBreak/>
        <w:t>Partner</w:t>
      </w:r>
      <w:r w:rsidR="00CE095A">
        <w:t>-</w:t>
      </w:r>
      <w:r w:rsidRPr="003E18AD">
        <w:t>based outcomes and performance</w:t>
      </w:r>
      <w:bookmarkEnd w:id="411"/>
      <w:bookmarkEnd w:id="412"/>
      <w:r w:rsidRPr="003E18AD">
        <w:t xml:space="preserve"> </w:t>
      </w:r>
    </w:p>
    <w:p w14:paraId="13109A9D" w14:textId="51BDB37C" w:rsidR="00931A0F" w:rsidRDefault="00931A0F" w:rsidP="000D2E60">
      <w:pPr>
        <w:tabs>
          <w:tab w:val="left" w:pos="284"/>
        </w:tabs>
        <w:suppressAutoHyphens w:val="0"/>
        <w:spacing w:after="120"/>
        <w:rPr>
          <w:rFonts w:eastAsia="Times New Roman" w:cs="Times New Roman"/>
          <w:sz w:val="21"/>
          <w:szCs w:val="24"/>
        </w:rPr>
      </w:pPr>
      <w:r w:rsidRPr="003E18AD">
        <w:rPr>
          <w:rFonts w:eastAsia="Times New Roman" w:cs="Times New Roman"/>
          <w:sz w:val="21"/>
          <w:szCs w:val="24"/>
        </w:rPr>
        <w:t xml:space="preserve">Each Delivery Partner will prepare </w:t>
      </w:r>
      <w:r w:rsidR="00144E6C">
        <w:rPr>
          <w:rFonts w:eastAsia="Times New Roman" w:cs="Times New Roman"/>
          <w:sz w:val="21"/>
          <w:szCs w:val="24"/>
        </w:rPr>
        <w:t>six-</w:t>
      </w:r>
      <w:r w:rsidRPr="003E18AD">
        <w:rPr>
          <w:rFonts w:eastAsia="Times New Roman" w:cs="Times New Roman"/>
          <w:sz w:val="21"/>
          <w:szCs w:val="24"/>
        </w:rPr>
        <w:t xml:space="preserve">monthly progress reports, which summarise the Activity and Project reporting </w:t>
      </w:r>
      <w:r w:rsidR="008B76B1">
        <w:rPr>
          <w:rFonts w:eastAsia="Times New Roman" w:cs="Times New Roman"/>
          <w:sz w:val="21"/>
          <w:szCs w:val="24"/>
        </w:rPr>
        <w:t>during</w:t>
      </w:r>
      <w:r w:rsidR="008B76B1" w:rsidRPr="003E18AD">
        <w:rPr>
          <w:rFonts w:eastAsia="Times New Roman" w:cs="Times New Roman"/>
          <w:sz w:val="21"/>
          <w:szCs w:val="24"/>
        </w:rPr>
        <w:t xml:space="preserve"> </w:t>
      </w:r>
      <w:r w:rsidRPr="003E18AD">
        <w:rPr>
          <w:rFonts w:eastAsia="Times New Roman" w:cs="Times New Roman"/>
          <w:sz w:val="21"/>
          <w:szCs w:val="24"/>
        </w:rPr>
        <w:t xml:space="preserve">the </w:t>
      </w:r>
      <w:r w:rsidR="008B76B1">
        <w:rPr>
          <w:rFonts w:eastAsia="Times New Roman" w:cs="Times New Roman"/>
          <w:sz w:val="21"/>
          <w:szCs w:val="24"/>
        </w:rPr>
        <w:t xml:space="preserve">reporting </w:t>
      </w:r>
      <w:r w:rsidRPr="003E18AD">
        <w:rPr>
          <w:rFonts w:eastAsia="Times New Roman" w:cs="Times New Roman"/>
          <w:sz w:val="21"/>
          <w:szCs w:val="24"/>
        </w:rPr>
        <w:t>period, as well as undertake an ongoing longitudinal assessment against the relevant Program-wide Output.</w:t>
      </w:r>
      <w:r w:rsidR="00C92510" w:rsidRPr="003E18AD">
        <w:rPr>
          <w:rFonts w:eastAsia="Times New Roman" w:cs="Times New Roman"/>
          <w:sz w:val="21"/>
          <w:szCs w:val="24"/>
        </w:rPr>
        <w:t xml:space="preserve"> </w:t>
      </w:r>
      <w:r w:rsidRPr="003E18AD">
        <w:rPr>
          <w:rFonts w:eastAsia="Times New Roman" w:cs="Times New Roman"/>
          <w:sz w:val="21"/>
          <w:szCs w:val="24"/>
        </w:rPr>
        <w:t>A baseline data set for each Output will be established at inception, with support of the Primary Contractor, and a suitable methodology developed for ongoing data collection and analysis.</w:t>
      </w:r>
    </w:p>
    <w:p w14:paraId="52426ABD" w14:textId="77777777" w:rsidR="00126856" w:rsidRPr="007F0F29" w:rsidRDefault="00126856" w:rsidP="0010181F">
      <w:pPr>
        <w:pStyle w:val="Heading3"/>
        <w:numPr>
          <w:ilvl w:val="0"/>
          <w:numId w:val="0"/>
        </w:numPr>
        <w:rPr>
          <w:i/>
        </w:rPr>
      </w:pPr>
      <w:bookmarkStart w:id="413" w:name="_Toc216260416"/>
      <w:bookmarkStart w:id="414" w:name="_Toc216264131"/>
      <w:bookmarkStart w:id="415" w:name="_Toc216269980"/>
      <w:bookmarkStart w:id="416" w:name="_Toc216270679"/>
      <w:r w:rsidRPr="007F0F29">
        <w:t>Key Evaluative Questions</w:t>
      </w:r>
      <w:bookmarkEnd w:id="413"/>
      <w:bookmarkEnd w:id="414"/>
      <w:bookmarkEnd w:id="415"/>
      <w:bookmarkEnd w:id="416"/>
    </w:p>
    <w:p w14:paraId="5905C880" w14:textId="5650D7B2" w:rsidR="00126856" w:rsidRPr="007F0F29" w:rsidRDefault="00126856" w:rsidP="00686269">
      <w:pPr>
        <w:pStyle w:val="ListParagraph"/>
        <w:numPr>
          <w:ilvl w:val="0"/>
          <w:numId w:val="59"/>
        </w:numPr>
        <w:tabs>
          <w:tab w:val="left" w:pos="284"/>
        </w:tabs>
        <w:suppressAutoHyphens w:val="0"/>
        <w:spacing w:before="60" w:line="260" w:lineRule="exact"/>
        <w:rPr>
          <w:rFonts w:eastAsia="Times New Roman" w:cs="Times New Roman"/>
          <w:sz w:val="21"/>
          <w:szCs w:val="24"/>
        </w:rPr>
      </w:pPr>
      <w:r w:rsidRPr="007F0F29">
        <w:rPr>
          <w:rFonts w:eastAsia="Times New Roman" w:cs="Times New Roman"/>
          <w:sz w:val="21"/>
          <w:szCs w:val="24"/>
        </w:rPr>
        <w:t>To what extent have GOI Agencies introduced and learnt from innovation in Activity and Project implementation?</w:t>
      </w:r>
    </w:p>
    <w:p w14:paraId="4DE9A94C" w14:textId="5E8B8720" w:rsidR="00126856" w:rsidRPr="007F0F29" w:rsidRDefault="00126856" w:rsidP="00686269">
      <w:pPr>
        <w:pStyle w:val="ListParagraph"/>
        <w:numPr>
          <w:ilvl w:val="0"/>
          <w:numId w:val="59"/>
        </w:numPr>
        <w:tabs>
          <w:tab w:val="left" w:pos="284"/>
        </w:tabs>
        <w:suppressAutoHyphens w:val="0"/>
        <w:spacing w:before="60" w:line="260" w:lineRule="exact"/>
        <w:rPr>
          <w:rFonts w:eastAsia="Times New Roman" w:cs="Times New Roman"/>
          <w:sz w:val="21"/>
          <w:szCs w:val="24"/>
        </w:rPr>
      </w:pPr>
      <w:r w:rsidRPr="007F0F29">
        <w:rPr>
          <w:rFonts w:eastAsia="Times New Roman" w:cs="Times New Roman"/>
          <w:sz w:val="21"/>
          <w:szCs w:val="24"/>
        </w:rPr>
        <w:t xml:space="preserve">What has changed in the level of private sector participation and confidence in investment opportunities in Indonesia? </w:t>
      </w:r>
    </w:p>
    <w:p w14:paraId="18109770" w14:textId="29CBBD81" w:rsidR="00126856" w:rsidRPr="007F0F29" w:rsidRDefault="00126856" w:rsidP="00686269">
      <w:pPr>
        <w:pStyle w:val="ListParagraph"/>
        <w:numPr>
          <w:ilvl w:val="0"/>
          <w:numId w:val="59"/>
        </w:numPr>
        <w:tabs>
          <w:tab w:val="left" w:pos="284"/>
        </w:tabs>
        <w:suppressAutoHyphens w:val="0"/>
        <w:spacing w:before="60" w:line="260" w:lineRule="exact"/>
        <w:rPr>
          <w:rFonts w:eastAsia="Times New Roman" w:cs="Times New Roman"/>
          <w:sz w:val="21"/>
          <w:szCs w:val="24"/>
        </w:rPr>
      </w:pPr>
      <w:r w:rsidRPr="007F0F29">
        <w:rPr>
          <w:rFonts w:eastAsia="Times New Roman" w:cs="Times New Roman"/>
          <w:sz w:val="21"/>
          <w:szCs w:val="24"/>
        </w:rPr>
        <w:t>To what extent and what ways are communities (particularly women and people with disabilities) more genuinely involved across the infrastructure lifecycle?</w:t>
      </w:r>
    </w:p>
    <w:p w14:paraId="4F8E5A76" w14:textId="0831C067" w:rsidR="00126856" w:rsidRPr="007F0F29" w:rsidRDefault="00126856" w:rsidP="00686269">
      <w:pPr>
        <w:pStyle w:val="ListParagraph"/>
        <w:numPr>
          <w:ilvl w:val="0"/>
          <w:numId w:val="59"/>
        </w:numPr>
        <w:tabs>
          <w:tab w:val="left" w:pos="284"/>
        </w:tabs>
        <w:suppressAutoHyphens w:val="0"/>
        <w:spacing w:before="60" w:line="260" w:lineRule="exact"/>
        <w:rPr>
          <w:rFonts w:eastAsia="Times New Roman" w:cs="Times New Roman"/>
          <w:sz w:val="21"/>
          <w:szCs w:val="24"/>
        </w:rPr>
      </w:pPr>
      <w:r w:rsidRPr="007F0F29">
        <w:rPr>
          <w:rFonts w:eastAsia="Times New Roman" w:cs="Times New Roman"/>
          <w:sz w:val="21"/>
          <w:szCs w:val="24"/>
        </w:rPr>
        <w:t>To what extent has the GOI attracted high quality finance from multiple sources with support from the MDBs in this period?</w:t>
      </w:r>
    </w:p>
    <w:p w14:paraId="44E03B9F" w14:textId="77AEEE48" w:rsidR="00126856" w:rsidRPr="007F0F29" w:rsidRDefault="00126856" w:rsidP="00686269">
      <w:pPr>
        <w:pStyle w:val="ListParagraph"/>
        <w:numPr>
          <w:ilvl w:val="0"/>
          <w:numId w:val="59"/>
        </w:numPr>
        <w:tabs>
          <w:tab w:val="left" w:pos="284"/>
        </w:tabs>
        <w:suppressAutoHyphens w:val="0"/>
        <w:spacing w:before="60" w:line="260" w:lineRule="exact"/>
        <w:rPr>
          <w:rFonts w:eastAsia="Times New Roman" w:cs="Times New Roman"/>
          <w:sz w:val="21"/>
          <w:szCs w:val="24"/>
        </w:rPr>
      </w:pPr>
      <w:r w:rsidRPr="007F0F29">
        <w:rPr>
          <w:rFonts w:eastAsia="Times New Roman" w:cs="Times New Roman"/>
          <w:sz w:val="21"/>
          <w:szCs w:val="24"/>
        </w:rPr>
        <w:t>What policy and regulatory reform has been stimulated by stakeholder coalitions, responding to market interests and government priorities?</w:t>
      </w:r>
    </w:p>
    <w:p w14:paraId="58006000" w14:textId="62F8409E" w:rsidR="00D973A6" w:rsidRPr="003E18AD" w:rsidRDefault="00D973A6" w:rsidP="00D2498B">
      <w:pPr>
        <w:pStyle w:val="Heading2"/>
      </w:pPr>
      <w:bookmarkStart w:id="417" w:name="_Toc216260417"/>
      <w:bookmarkStart w:id="418" w:name="_Toc216270680"/>
      <w:r w:rsidRPr="003E18AD">
        <w:t>Reporting of program-wide Activities and Outputs</w:t>
      </w:r>
      <w:bookmarkEnd w:id="417"/>
      <w:bookmarkEnd w:id="418"/>
      <w:r w:rsidRPr="003E18AD">
        <w:t xml:space="preserve"> </w:t>
      </w:r>
    </w:p>
    <w:p w14:paraId="24DB215B" w14:textId="5577CC4A" w:rsidR="00F40BA6" w:rsidRDefault="007768A0" w:rsidP="00EC3DCA">
      <w:pPr>
        <w:tabs>
          <w:tab w:val="left" w:pos="284"/>
        </w:tabs>
        <w:suppressAutoHyphens w:val="0"/>
        <w:spacing w:after="120" w:line="260" w:lineRule="exact"/>
        <w:rPr>
          <w:rFonts w:eastAsia="Times New Roman" w:cs="Times New Roman"/>
          <w:sz w:val="21"/>
          <w:szCs w:val="24"/>
        </w:rPr>
      </w:pPr>
      <w:r w:rsidRPr="003E18AD">
        <w:rPr>
          <w:rFonts w:eastAsia="Times New Roman" w:cs="Times New Roman"/>
          <w:sz w:val="21"/>
          <w:szCs w:val="24"/>
        </w:rPr>
        <w:t xml:space="preserve">The Primary Contractor will </w:t>
      </w:r>
      <w:r w:rsidR="00233087">
        <w:rPr>
          <w:rFonts w:eastAsia="Times New Roman" w:cs="Times New Roman"/>
          <w:sz w:val="21"/>
          <w:szCs w:val="24"/>
        </w:rPr>
        <w:t xml:space="preserve">analyse and </w:t>
      </w:r>
      <w:r w:rsidRPr="003E18AD">
        <w:rPr>
          <w:rFonts w:eastAsia="Times New Roman" w:cs="Times New Roman"/>
          <w:sz w:val="21"/>
          <w:szCs w:val="24"/>
        </w:rPr>
        <w:t>synthesis</w:t>
      </w:r>
      <w:r w:rsidR="008B76B1">
        <w:rPr>
          <w:rFonts w:eastAsia="Times New Roman" w:cs="Times New Roman"/>
          <w:sz w:val="21"/>
          <w:szCs w:val="24"/>
        </w:rPr>
        <w:t>e</w:t>
      </w:r>
      <w:r w:rsidRPr="003E18AD">
        <w:rPr>
          <w:rFonts w:eastAsia="Times New Roman" w:cs="Times New Roman"/>
          <w:sz w:val="21"/>
          <w:szCs w:val="24"/>
        </w:rPr>
        <w:t xml:space="preserve"> information from Delivery Partners on Activities and Projects, a</w:t>
      </w:r>
      <w:r w:rsidR="00DC62FE" w:rsidRPr="003E18AD">
        <w:rPr>
          <w:rFonts w:eastAsia="Times New Roman" w:cs="Times New Roman"/>
          <w:sz w:val="21"/>
          <w:szCs w:val="24"/>
        </w:rPr>
        <w:t>n</w:t>
      </w:r>
      <w:r w:rsidRPr="003E18AD">
        <w:rPr>
          <w:rFonts w:eastAsia="Times New Roman" w:cs="Times New Roman"/>
          <w:sz w:val="21"/>
          <w:szCs w:val="24"/>
        </w:rPr>
        <w:t>d provide a summary report each 6 months on program-wide progress.</w:t>
      </w:r>
      <w:r w:rsidR="00C92510" w:rsidRPr="003E18AD">
        <w:rPr>
          <w:rFonts w:eastAsia="Times New Roman" w:cs="Times New Roman"/>
          <w:sz w:val="21"/>
          <w:szCs w:val="24"/>
        </w:rPr>
        <w:t xml:space="preserve"> </w:t>
      </w:r>
      <w:r w:rsidR="00F36D71" w:rsidRPr="003E18AD">
        <w:rPr>
          <w:rFonts w:eastAsia="Times New Roman" w:cs="Times New Roman"/>
          <w:sz w:val="21"/>
          <w:szCs w:val="24"/>
        </w:rPr>
        <w:t>‘Engagement Strategies’ for key focus sectors and for cross-cutting themes (GEDSI</w:t>
      </w:r>
      <w:r w:rsidR="008A026E">
        <w:rPr>
          <w:rFonts w:eastAsia="Times New Roman" w:cs="Times New Roman"/>
          <w:sz w:val="21"/>
          <w:szCs w:val="24"/>
        </w:rPr>
        <w:t xml:space="preserve"> </w:t>
      </w:r>
      <w:r w:rsidR="00F36D71" w:rsidRPr="003E18AD">
        <w:rPr>
          <w:rFonts w:eastAsia="Times New Roman" w:cs="Times New Roman"/>
          <w:sz w:val="21"/>
          <w:szCs w:val="24"/>
        </w:rPr>
        <w:t xml:space="preserve">and automation/digitalisation) will provide </w:t>
      </w:r>
      <w:r w:rsidR="00233087">
        <w:rPr>
          <w:rFonts w:eastAsia="Times New Roman" w:cs="Times New Roman"/>
          <w:sz w:val="21"/>
          <w:szCs w:val="24"/>
        </w:rPr>
        <w:t xml:space="preserve">the </w:t>
      </w:r>
      <w:r w:rsidR="00F36D71" w:rsidRPr="003E18AD">
        <w:rPr>
          <w:rFonts w:eastAsia="Times New Roman" w:cs="Times New Roman"/>
          <w:sz w:val="21"/>
          <w:szCs w:val="24"/>
        </w:rPr>
        <w:t>baseline against which narrative reporting can be made.</w:t>
      </w:r>
      <w:r w:rsidRPr="003E18AD">
        <w:rPr>
          <w:rFonts w:eastAsia="Times New Roman" w:cs="Times New Roman"/>
          <w:sz w:val="21"/>
          <w:szCs w:val="24"/>
        </w:rPr>
        <w:t xml:space="preserve"> The data presentation and analysis will address the following evaluative questions.</w:t>
      </w:r>
    </w:p>
    <w:p w14:paraId="59F8EA2B" w14:textId="77777777" w:rsidR="0098575A" w:rsidRPr="007F0F29" w:rsidRDefault="0098575A" w:rsidP="0010181F">
      <w:pPr>
        <w:pStyle w:val="Heading3"/>
        <w:numPr>
          <w:ilvl w:val="0"/>
          <w:numId w:val="0"/>
        </w:numPr>
      </w:pPr>
      <w:bookmarkStart w:id="419" w:name="_Toc216260418"/>
      <w:bookmarkStart w:id="420" w:name="_Toc216264133"/>
      <w:bookmarkStart w:id="421" w:name="_Toc216269982"/>
      <w:bookmarkStart w:id="422" w:name="_Toc216270681"/>
      <w:r w:rsidRPr="007F0F29">
        <w:t>Key Evaluative Questions</w:t>
      </w:r>
      <w:bookmarkEnd w:id="419"/>
      <w:bookmarkEnd w:id="420"/>
      <w:bookmarkEnd w:id="421"/>
      <w:bookmarkEnd w:id="422"/>
    </w:p>
    <w:p w14:paraId="3D3C5BC6" w14:textId="508F3D0C" w:rsidR="0098575A" w:rsidRPr="007F0F29" w:rsidRDefault="0098575A" w:rsidP="00686269">
      <w:pPr>
        <w:pStyle w:val="ListParagraph"/>
        <w:numPr>
          <w:ilvl w:val="0"/>
          <w:numId w:val="60"/>
        </w:numPr>
      </w:pPr>
      <w:r w:rsidRPr="007F0F29">
        <w:t>To what extent is the balance of the portfolio optimised across domains (climate, finance and infrastructure) and sub-sectors?</w:t>
      </w:r>
    </w:p>
    <w:p w14:paraId="4F9980D6" w14:textId="5FAAABE7" w:rsidR="0098575A" w:rsidRPr="007F0F29" w:rsidRDefault="0098575A" w:rsidP="00686269">
      <w:pPr>
        <w:pStyle w:val="ListParagraph"/>
        <w:numPr>
          <w:ilvl w:val="0"/>
          <w:numId w:val="60"/>
        </w:numPr>
      </w:pPr>
      <w:r w:rsidRPr="007F0F29">
        <w:t>To what extent does the program address climate adaptation and mitigation?</w:t>
      </w:r>
    </w:p>
    <w:p w14:paraId="4EF07DA3" w14:textId="756AEBB5" w:rsidR="0098575A" w:rsidRPr="007F0F29" w:rsidRDefault="0098575A" w:rsidP="00686269">
      <w:pPr>
        <w:pStyle w:val="ListParagraph"/>
        <w:numPr>
          <w:ilvl w:val="0"/>
          <w:numId w:val="60"/>
        </w:numPr>
      </w:pPr>
      <w:r w:rsidRPr="007F0F29">
        <w:t>To what extent is the program working in an integrated and collective manner?</w:t>
      </w:r>
    </w:p>
    <w:p w14:paraId="7B10C5A1" w14:textId="00740C93" w:rsidR="0098575A" w:rsidRPr="007F0F29" w:rsidRDefault="0098575A" w:rsidP="00686269">
      <w:pPr>
        <w:pStyle w:val="ListParagraph"/>
        <w:numPr>
          <w:ilvl w:val="0"/>
          <w:numId w:val="60"/>
        </w:numPr>
      </w:pPr>
      <w:r w:rsidRPr="007F0F29">
        <w:t xml:space="preserve">To what extent is the program working effectively on end-to-end engagement in focus sectors (water, sanitation and waste management; transport and urban mobility; energy transition and renewables) </w:t>
      </w:r>
    </w:p>
    <w:p w14:paraId="4D7AB583" w14:textId="3191B21B" w:rsidR="0098575A" w:rsidRPr="0098575A" w:rsidRDefault="0098575A" w:rsidP="00686269">
      <w:pPr>
        <w:pStyle w:val="ListParagraph"/>
        <w:numPr>
          <w:ilvl w:val="0"/>
          <w:numId w:val="60"/>
        </w:numPr>
      </w:pPr>
      <w:r w:rsidRPr="0098575A">
        <w:t>To what extent is policy, reform, financing and performance changing in each sub-sector (water, energy, transport)?</w:t>
      </w:r>
    </w:p>
    <w:p w14:paraId="77923E86" w14:textId="3D6A92F2" w:rsidR="0098575A" w:rsidRPr="0098575A" w:rsidRDefault="0098575A" w:rsidP="00686269">
      <w:pPr>
        <w:pStyle w:val="ListParagraph"/>
        <w:numPr>
          <w:ilvl w:val="0"/>
          <w:numId w:val="60"/>
        </w:numPr>
      </w:pPr>
      <w:r w:rsidRPr="0098575A">
        <w:t>To what extent and in what ways is GOI progressing its ambition in renewable energy and meeting stated targets?</w:t>
      </w:r>
    </w:p>
    <w:p w14:paraId="40759603" w14:textId="77777777" w:rsidR="0098575A" w:rsidRPr="0098575A" w:rsidRDefault="0098575A" w:rsidP="00686269">
      <w:pPr>
        <w:pStyle w:val="ListParagraph"/>
        <w:numPr>
          <w:ilvl w:val="0"/>
          <w:numId w:val="60"/>
        </w:numPr>
      </w:pPr>
      <w:r w:rsidRPr="0098575A">
        <w:t>To what extent and in what ways is the GOI addressing constraints and opportunities in waste management (and services provided by water utilities of clean safe water and sanitation)?</w:t>
      </w:r>
    </w:p>
    <w:p w14:paraId="7A08CA54" w14:textId="77777777" w:rsidR="0098575A" w:rsidRPr="0098575A" w:rsidRDefault="0098575A" w:rsidP="00686269">
      <w:pPr>
        <w:pStyle w:val="ListParagraph"/>
        <w:numPr>
          <w:ilvl w:val="0"/>
          <w:numId w:val="60"/>
        </w:numPr>
      </w:pPr>
      <w:r w:rsidRPr="0098575A">
        <w:t>To what extent and in what ways is the GOI addressing low carbon development in transport systems and urban connectivity)?</w:t>
      </w:r>
    </w:p>
    <w:p w14:paraId="3E46DF2B" w14:textId="2CEC0E16" w:rsidR="0098575A" w:rsidRPr="0098575A" w:rsidRDefault="0098575A" w:rsidP="00686269">
      <w:pPr>
        <w:pStyle w:val="ListParagraph"/>
        <w:numPr>
          <w:ilvl w:val="0"/>
          <w:numId w:val="60"/>
        </w:numPr>
      </w:pPr>
      <w:r w:rsidRPr="0098575A">
        <w:t xml:space="preserve">In what ways are engagement strategies (particularly adopting gender and disability perspectives) considered in all Activities? </w:t>
      </w:r>
    </w:p>
    <w:p w14:paraId="3FEC48C4" w14:textId="12CD2E4E" w:rsidR="0098575A" w:rsidRPr="0098575A" w:rsidRDefault="0098575A" w:rsidP="00686269">
      <w:pPr>
        <w:pStyle w:val="ListParagraph"/>
        <w:numPr>
          <w:ilvl w:val="0"/>
          <w:numId w:val="60"/>
        </w:numPr>
      </w:pPr>
      <w:r w:rsidRPr="0098575A">
        <w:t>What range of existing and innovative financing modalities are being utilised by the GOI and the program? (grants, loans, equity, investment, climate financing)?</w:t>
      </w:r>
    </w:p>
    <w:p w14:paraId="66B0605E" w14:textId="02A5B6BF" w:rsidR="0098575A" w:rsidRPr="0098575A" w:rsidRDefault="0098575A" w:rsidP="00686269">
      <w:pPr>
        <w:pStyle w:val="ListParagraph"/>
        <w:numPr>
          <w:ilvl w:val="0"/>
          <w:numId w:val="60"/>
        </w:numPr>
      </w:pPr>
      <w:r w:rsidRPr="0098575A">
        <w:t>What is being learnt from collaboration and innovation in MERL and feedback cycles? (including use of digital technologies)? How effectively are these learnings being integrated into decision-making and program adaptation?</w:t>
      </w:r>
    </w:p>
    <w:p w14:paraId="1B70BF15" w14:textId="19811767" w:rsidR="00644BA3" w:rsidRPr="0098575A" w:rsidRDefault="0098575A" w:rsidP="00686269">
      <w:pPr>
        <w:pStyle w:val="ListParagraph"/>
        <w:numPr>
          <w:ilvl w:val="0"/>
          <w:numId w:val="60"/>
        </w:numPr>
      </w:pPr>
      <w:r w:rsidRPr="0098575A">
        <w:t xml:space="preserve">To what extent is policy engagement and public diplomacy being undertaken across the program, and what change is being </w:t>
      </w:r>
      <w:r w:rsidR="007436B9" w:rsidRPr="0098575A">
        <w:t>affected</w:t>
      </w:r>
      <w:r w:rsidRPr="0098575A">
        <w:t>?</w:t>
      </w:r>
    </w:p>
    <w:p w14:paraId="216FC694" w14:textId="0094949B" w:rsidR="00D973A6" w:rsidRPr="003E18AD" w:rsidRDefault="00D973A6" w:rsidP="00D2498B">
      <w:pPr>
        <w:pStyle w:val="Heading2"/>
      </w:pPr>
      <w:bookmarkStart w:id="423" w:name="_Toc216260419"/>
      <w:bookmarkStart w:id="424" w:name="_Toc216270682"/>
      <w:r w:rsidRPr="003E18AD">
        <w:lastRenderedPageBreak/>
        <w:t>Program-wide assessment of outcomes (IOs and EOPOs)</w:t>
      </w:r>
      <w:bookmarkEnd w:id="423"/>
      <w:bookmarkEnd w:id="424"/>
      <w:r w:rsidRPr="003E18AD">
        <w:t xml:space="preserve"> </w:t>
      </w:r>
    </w:p>
    <w:p w14:paraId="2DD7EEBB" w14:textId="1F846376" w:rsidR="00097E2D" w:rsidRPr="003E18AD" w:rsidRDefault="00AD662E" w:rsidP="000D2E60">
      <w:pPr>
        <w:tabs>
          <w:tab w:val="left" w:pos="284"/>
        </w:tabs>
        <w:suppressAutoHyphens w:val="0"/>
        <w:rPr>
          <w:rFonts w:eastAsia="Times New Roman" w:cs="Times New Roman"/>
          <w:sz w:val="21"/>
          <w:szCs w:val="24"/>
        </w:rPr>
      </w:pPr>
      <w:r w:rsidRPr="003E18AD">
        <w:rPr>
          <w:rFonts w:eastAsia="Times New Roman" w:cs="Times New Roman"/>
          <w:sz w:val="21"/>
          <w:szCs w:val="24"/>
        </w:rPr>
        <w:t xml:space="preserve">A major challenge </w:t>
      </w:r>
      <w:r w:rsidR="00DC62FE" w:rsidRPr="003E18AD">
        <w:rPr>
          <w:rFonts w:eastAsia="Times New Roman" w:cs="Times New Roman"/>
          <w:sz w:val="21"/>
          <w:szCs w:val="24"/>
        </w:rPr>
        <w:t>for</w:t>
      </w:r>
      <w:r w:rsidRPr="003E18AD">
        <w:rPr>
          <w:rFonts w:eastAsia="Times New Roman" w:cs="Times New Roman"/>
          <w:sz w:val="21"/>
          <w:szCs w:val="24"/>
        </w:rPr>
        <w:t xml:space="preserve"> many program</w:t>
      </w:r>
      <w:r w:rsidR="00DC62FE" w:rsidRPr="003E18AD">
        <w:rPr>
          <w:rFonts w:eastAsia="Times New Roman" w:cs="Times New Roman"/>
          <w:sz w:val="21"/>
          <w:szCs w:val="24"/>
        </w:rPr>
        <w:t>s</w:t>
      </w:r>
      <w:r w:rsidRPr="003E18AD">
        <w:rPr>
          <w:rFonts w:eastAsia="Times New Roman" w:cs="Times New Roman"/>
          <w:sz w:val="21"/>
          <w:szCs w:val="24"/>
        </w:rPr>
        <w:t xml:space="preserve"> is that analysis of outcomes is attempted by reviewing Activity and Project level information.</w:t>
      </w:r>
      <w:r w:rsidR="00C92510" w:rsidRPr="003E18AD">
        <w:rPr>
          <w:rFonts w:eastAsia="Times New Roman" w:cs="Times New Roman"/>
          <w:sz w:val="21"/>
          <w:szCs w:val="24"/>
        </w:rPr>
        <w:t xml:space="preserve"> </w:t>
      </w:r>
      <w:r w:rsidRPr="003E18AD">
        <w:rPr>
          <w:rFonts w:eastAsia="Times New Roman" w:cs="Times New Roman"/>
          <w:sz w:val="21"/>
          <w:szCs w:val="24"/>
        </w:rPr>
        <w:t>For this program, specific methods and approaches for data collection and analysis</w:t>
      </w:r>
      <w:r w:rsidR="00356DA3" w:rsidRPr="003E18AD">
        <w:rPr>
          <w:rFonts w:eastAsia="Times New Roman" w:cs="Times New Roman"/>
          <w:sz w:val="21"/>
          <w:szCs w:val="24"/>
        </w:rPr>
        <w:t xml:space="preserve"> at the outcomes level</w:t>
      </w:r>
      <w:r w:rsidRPr="003E18AD">
        <w:rPr>
          <w:rFonts w:eastAsia="Times New Roman" w:cs="Times New Roman"/>
          <w:sz w:val="21"/>
          <w:szCs w:val="24"/>
        </w:rPr>
        <w:t xml:space="preserve"> will be undertaken by the Primary Contractor, with participation from key stakeholders including the GOI and Delivery Partners, </w:t>
      </w:r>
      <w:r w:rsidR="007436B9" w:rsidRPr="003E18AD">
        <w:rPr>
          <w:rFonts w:eastAsia="Times New Roman" w:cs="Times New Roman"/>
          <w:sz w:val="21"/>
          <w:szCs w:val="24"/>
        </w:rPr>
        <w:t>to</w:t>
      </w:r>
      <w:r w:rsidRPr="003E18AD">
        <w:rPr>
          <w:rFonts w:eastAsia="Times New Roman" w:cs="Times New Roman"/>
          <w:sz w:val="21"/>
          <w:szCs w:val="24"/>
        </w:rPr>
        <w:t xml:space="preserve"> provide a meaningful and ongoing review of impact (at Intermediate outcomes and End of Program outcomes level).</w:t>
      </w:r>
      <w:r w:rsidR="00C92510" w:rsidRPr="003E18AD">
        <w:rPr>
          <w:rFonts w:eastAsia="Times New Roman" w:cs="Times New Roman"/>
          <w:sz w:val="21"/>
          <w:szCs w:val="24"/>
        </w:rPr>
        <w:t xml:space="preserve"> </w:t>
      </w:r>
      <w:r w:rsidRPr="003E18AD">
        <w:rPr>
          <w:rFonts w:eastAsia="Times New Roman" w:cs="Times New Roman"/>
          <w:sz w:val="21"/>
          <w:szCs w:val="24"/>
        </w:rPr>
        <w:t>This will require sufficient allocation of resources and personnel, well justified for a program of this scale and complexity.</w:t>
      </w:r>
    </w:p>
    <w:p w14:paraId="25493D6E" w14:textId="77777777" w:rsidR="003D64C6" w:rsidRDefault="00AD662E" w:rsidP="000D2E60">
      <w:pPr>
        <w:tabs>
          <w:tab w:val="left" w:pos="284"/>
        </w:tabs>
        <w:suppressAutoHyphens w:val="0"/>
        <w:spacing w:before="0" w:after="120"/>
        <w:rPr>
          <w:rFonts w:eastAsia="Times New Roman" w:cs="Times New Roman"/>
          <w:sz w:val="21"/>
          <w:szCs w:val="24"/>
        </w:rPr>
      </w:pPr>
      <w:r w:rsidRPr="003E18AD">
        <w:rPr>
          <w:rFonts w:eastAsia="Times New Roman" w:cs="Times New Roman"/>
          <w:sz w:val="21"/>
          <w:szCs w:val="24"/>
        </w:rPr>
        <w:t>The approach includes addressing the evaluative questions</w:t>
      </w:r>
      <w:r w:rsidR="004A00D0" w:rsidRPr="003E18AD">
        <w:rPr>
          <w:rFonts w:eastAsia="Times New Roman" w:cs="Times New Roman"/>
          <w:sz w:val="21"/>
          <w:szCs w:val="24"/>
        </w:rPr>
        <w:t xml:space="preserve"> with appropriate methodologies as follows</w:t>
      </w:r>
      <w:r w:rsidRPr="003E18AD">
        <w:rPr>
          <w:rFonts w:eastAsia="Times New Roman" w:cs="Times New Roman"/>
          <w:sz w:val="21"/>
          <w:szCs w:val="24"/>
        </w:rPr>
        <w:t>.</w:t>
      </w:r>
    </w:p>
    <w:p w14:paraId="1A334A3D" w14:textId="5F414BA9" w:rsidR="008B64EA" w:rsidRPr="007F0F29" w:rsidRDefault="008B64EA" w:rsidP="0010181F">
      <w:pPr>
        <w:pStyle w:val="Heading3"/>
        <w:numPr>
          <w:ilvl w:val="0"/>
          <w:numId w:val="0"/>
        </w:numPr>
      </w:pPr>
      <w:bookmarkStart w:id="425" w:name="_Toc216260420"/>
      <w:bookmarkStart w:id="426" w:name="_Toc216264135"/>
      <w:bookmarkStart w:id="427" w:name="_Toc216269984"/>
      <w:bookmarkStart w:id="428" w:name="_Toc216270683"/>
      <w:r w:rsidRPr="007F0F29">
        <w:t>Key Evaluative Questions and Data Collection Meth</w:t>
      </w:r>
      <w:r w:rsidR="0010181F">
        <w:t>o</w:t>
      </w:r>
      <w:r w:rsidRPr="007F0F29">
        <w:t>d</w:t>
      </w:r>
      <w:bookmarkEnd w:id="425"/>
      <w:bookmarkEnd w:id="426"/>
      <w:bookmarkEnd w:id="427"/>
      <w:bookmarkEnd w:id="428"/>
    </w:p>
    <w:p w14:paraId="3CB3BAD6" w14:textId="77777777" w:rsidR="008B64EA" w:rsidRPr="007F0F29" w:rsidRDefault="008B64EA" w:rsidP="0010181F">
      <w:pPr>
        <w:pStyle w:val="Heading4"/>
        <w:numPr>
          <w:ilvl w:val="0"/>
          <w:numId w:val="0"/>
        </w:numPr>
      </w:pPr>
      <w:r w:rsidRPr="007F0F29">
        <w:t>Intermediate Outcomes</w:t>
      </w:r>
    </w:p>
    <w:p w14:paraId="561371D1" w14:textId="77777777" w:rsidR="008B64EA" w:rsidRPr="007F0F29" w:rsidRDefault="008B64EA" w:rsidP="00686269">
      <w:pPr>
        <w:pStyle w:val="ListParagraph"/>
        <w:numPr>
          <w:ilvl w:val="0"/>
          <w:numId w:val="61"/>
        </w:numPr>
        <w:tabs>
          <w:tab w:val="left" w:pos="284"/>
        </w:tabs>
        <w:suppressAutoHyphens w:val="0"/>
        <w:spacing w:before="60" w:after="160" w:line="260" w:lineRule="exact"/>
      </w:pPr>
      <w:r w:rsidRPr="007F0F29">
        <w:t>Is the GOI Public-Private Project Pipeline available and attractive to investors? Data collected through ongoing review of GOI pipeline against baseline assessment.</w:t>
      </w:r>
    </w:p>
    <w:p w14:paraId="4302431B" w14:textId="77777777" w:rsidR="008B64EA" w:rsidRPr="007F0F29" w:rsidRDefault="008B64EA" w:rsidP="00686269">
      <w:pPr>
        <w:pStyle w:val="ListParagraph"/>
        <w:numPr>
          <w:ilvl w:val="0"/>
          <w:numId w:val="61"/>
        </w:numPr>
        <w:tabs>
          <w:tab w:val="left" w:pos="284"/>
        </w:tabs>
        <w:suppressAutoHyphens w:val="0"/>
        <w:spacing w:before="60" w:after="160" w:line="260" w:lineRule="exact"/>
      </w:pPr>
      <w:r w:rsidRPr="007F0F29">
        <w:t>To what extent are Indonesian agencies increasingly adopting GEDSI transformative practices across the infrastructure lifecycle? Data collected through ongoing longitudinal research, using case studies and program data, and independent research with CBOs.</w:t>
      </w:r>
    </w:p>
    <w:p w14:paraId="48D53707" w14:textId="77777777" w:rsidR="008B64EA" w:rsidRPr="007F0F29" w:rsidRDefault="008B64EA" w:rsidP="00686269">
      <w:pPr>
        <w:pStyle w:val="ListParagraph"/>
        <w:numPr>
          <w:ilvl w:val="0"/>
          <w:numId w:val="61"/>
        </w:numPr>
        <w:tabs>
          <w:tab w:val="left" w:pos="284"/>
        </w:tabs>
        <w:suppressAutoHyphens w:val="0"/>
        <w:spacing w:before="60" w:after="160" w:line="260" w:lineRule="exact"/>
      </w:pPr>
      <w:r w:rsidRPr="007F0F29">
        <w:t>In what ways are Indonesian agencies and the private sector increasing the use of digital technology and automation (including artificial intelligence)? Data collected through ongoing internal review, against the Thematic Engagement Strategy.</w:t>
      </w:r>
    </w:p>
    <w:p w14:paraId="36ACE7AD" w14:textId="77777777" w:rsidR="008B64EA" w:rsidRPr="007F0F29" w:rsidRDefault="008B64EA" w:rsidP="00686269">
      <w:pPr>
        <w:pStyle w:val="ListParagraph"/>
        <w:numPr>
          <w:ilvl w:val="0"/>
          <w:numId w:val="61"/>
        </w:numPr>
        <w:tabs>
          <w:tab w:val="left" w:pos="284"/>
        </w:tabs>
        <w:suppressAutoHyphens w:val="0"/>
        <w:spacing w:before="60" w:after="160" w:line="260" w:lineRule="exact"/>
      </w:pPr>
      <w:r w:rsidRPr="007F0F29">
        <w:t>How have changes in Indonesia's policy and regulatory environment affected financial capital markets to enable them to take advantage of innovative, green and climate finance opportunities in infrastructure development? Data collected through longitudinal PEA analysis against baseline study using key data and metrics which can be replicated.</w:t>
      </w:r>
    </w:p>
    <w:p w14:paraId="2240B36A" w14:textId="77777777" w:rsidR="008B64EA" w:rsidRPr="007F0F29" w:rsidRDefault="008B64EA" w:rsidP="00686269">
      <w:pPr>
        <w:pStyle w:val="ListParagraph"/>
        <w:numPr>
          <w:ilvl w:val="0"/>
          <w:numId w:val="61"/>
        </w:numPr>
        <w:tabs>
          <w:tab w:val="left" w:pos="284"/>
        </w:tabs>
        <w:suppressAutoHyphens w:val="0"/>
        <w:spacing w:before="60" w:after="160" w:line="260" w:lineRule="exact"/>
      </w:pPr>
      <w:r w:rsidRPr="007F0F29">
        <w:t>How has Australia and Indonesia’s bilateral partnership supported a transition from ODA grants-based mechanisms to alternative development financing? Data collected through policy analysis and review of program performance, drawing on all reporting and information.</w:t>
      </w:r>
    </w:p>
    <w:p w14:paraId="272F9BA3" w14:textId="77777777" w:rsidR="008B64EA" w:rsidRPr="007F0F29" w:rsidRDefault="008B64EA" w:rsidP="0010181F">
      <w:pPr>
        <w:pStyle w:val="Heading4"/>
        <w:numPr>
          <w:ilvl w:val="0"/>
          <w:numId w:val="0"/>
        </w:numPr>
      </w:pPr>
      <w:r w:rsidRPr="007F0F29">
        <w:t>End of Program Outcomes</w:t>
      </w:r>
    </w:p>
    <w:p w14:paraId="6872838B" w14:textId="77777777" w:rsidR="008B64EA" w:rsidRPr="007F0F29" w:rsidRDefault="008B64EA" w:rsidP="00686269">
      <w:pPr>
        <w:pStyle w:val="ListParagraph"/>
        <w:numPr>
          <w:ilvl w:val="0"/>
          <w:numId w:val="61"/>
        </w:numPr>
        <w:tabs>
          <w:tab w:val="left" w:pos="284"/>
        </w:tabs>
        <w:suppressAutoHyphens w:val="0"/>
        <w:spacing w:before="60" w:after="160" w:line="260" w:lineRule="exact"/>
      </w:pPr>
      <w:r w:rsidRPr="007F0F29">
        <w:t>To what extent are economic investments from government, private and community actors increasingly contribute to reducing emissions and adapting to, and minimising the risks from, climate change? Data collected through annual review of investment in Indonesia from all sources against the RPJMN, drawing on external sources including the GOI's NDC reporting.</w:t>
      </w:r>
    </w:p>
    <w:p w14:paraId="0C2D68B4" w14:textId="77777777" w:rsidR="008B64EA" w:rsidRPr="007F0F29" w:rsidRDefault="008B64EA" w:rsidP="00686269">
      <w:pPr>
        <w:pStyle w:val="ListParagraph"/>
        <w:numPr>
          <w:ilvl w:val="0"/>
          <w:numId w:val="61"/>
        </w:numPr>
        <w:tabs>
          <w:tab w:val="left" w:pos="284"/>
        </w:tabs>
        <w:suppressAutoHyphens w:val="0"/>
        <w:spacing w:before="60" w:after="160" w:line="260" w:lineRule="exact"/>
      </w:pPr>
      <w:r w:rsidRPr="007F0F29">
        <w:t>In what ways have the Governments of Indonesia and Australia increased utilisation of diverse, innovative and high-quality financing for investment that support Indonesia's development? Data collected through annual review of GOI infrastructure program, including domestic budget and financing, and external financing sources.</w:t>
      </w:r>
    </w:p>
    <w:p w14:paraId="18ABD9AD" w14:textId="43647166" w:rsidR="008B64EA" w:rsidRPr="007F0F29" w:rsidRDefault="008B64EA" w:rsidP="00686269">
      <w:pPr>
        <w:pStyle w:val="ListParagraph"/>
        <w:numPr>
          <w:ilvl w:val="0"/>
          <w:numId w:val="61"/>
        </w:numPr>
        <w:tabs>
          <w:tab w:val="left" w:pos="284"/>
        </w:tabs>
        <w:suppressAutoHyphens w:val="0"/>
        <w:spacing w:before="60" w:after="160" w:line="260" w:lineRule="exact"/>
      </w:pPr>
      <w:r w:rsidRPr="007F0F29">
        <w:t>To what extent does the GOI delivers sustainable economic infrastructure (particularly in water, transport and energy) that meets the needs and expectations of the community (women and men, boys and girls, people with disabilities and marginalized communities)? Data collected through annual review of Indonesia's NDC reporting.</w:t>
      </w:r>
    </w:p>
    <w:p w14:paraId="0E3EB05F" w14:textId="15AA53E1" w:rsidR="001C71E3" w:rsidRDefault="001C71E3" w:rsidP="00D2498B">
      <w:pPr>
        <w:pStyle w:val="Heading2"/>
      </w:pPr>
      <w:bookmarkStart w:id="429" w:name="_Toc216260421"/>
      <w:bookmarkStart w:id="430" w:name="_Toc216270684"/>
      <w:r>
        <w:t>Monitoring of assumptions and risks, and changes to the political economy and context</w:t>
      </w:r>
      <w:bookmarkEnd w:id="429"/>
      <w:bookmarkEnd w:id="430"/>
    </w:p>
    <w:p w14:paraId="6F3EB7C4" w14:textId="673B6538" w:rsidR="001C71E3" w:rsidRDefault="001C71E3" w:rsidP="00AE5EBB">
      <w:pPr>
        <w:tabs>
          <w:tab w:val="left" w:pos="284"/>
        </w:tabs>
        <w:suppressAutoHyphens w:val="0"/>
        <w:spacing w:after="120"/>
        <w:rPr>
          <w:rFonts w:eastAsia="Times New Roman" w:cs="Times New Roman"/>
          <w:sz w:val="21"/>
          <w:szCs w:val="24"/>
        </w:rPr>
      </w:pPr>
      <w:r w:rsidRPr="00984EE9">
        <w:rPr>
          <w:rFonts w:eastAsia="Times New Roman" w:cs="Times New Roman"/>
          <w:sz w:val="21"/>
          <w:szCs w:val="24"/>
        </w:rPr>
        <w:t>As a</w:t>
      </w:r>
      <w:r>
        <w:rPr>
          <w:rFonts w:eastAsia="Times New Roman" w:cs="Times New Roman"/>
          <w:sz w:val="21"/>
          <w:szCs w:val="24"/>
        </w:rPr>
        <w:t xml:space="preserve"> program responding to complexity and an open systems approach, there are key assumptions and factors outside the direct control of the program which significantly influence the achievement of outcomes.  Ongoing monitoring of the changes in the context is critical to good decision making at management and governance levels.</w:t>
      </w:r>
      <w:r w:rsidR="00DB0C58">
        <w:rPr>
          <w:rFonts w:eastAsia="Times New Roman" w:cs="Times New Roman"/>
          <w:sz w:val="21"/>
          <w:szCs w:val="24"/>
        </w:rPr>
        <w:t xml:space="preserve">  The MERL framework includes the following key questions and methods for monitoring assumptions, risks and changes in the context.</w:t>
      </w:r>
      <w:r w:rsidR="006E4B69">
        <w:rPr>
          <w:rFonts w:eastAsia="Times New Roman" w:cs="Times New Roman"/>
          <w:sz w:val="21"/>
          <w:szCs w:val="24"/>
        </w:rPr>
        <w:t xml:space="preserve">   </w:t>
      </w:r>
    </w:p>
    <w:p w14:paraId="61E4A3E3" w14:textId="6143F9C2" w:rsidR="00AD662E" w:rsidRPr="003E18AD" w:rsidRDefault="004A00D0" w:rsidP="002E2228">
      <w:pPr>
        <w:tabs>
          <w:tab w:val="left" w:pos="284"/>
        </w:tabs>
        <w:suppressAutoHyphens w:val="0"/>
        <w:spacing w:before="160"/>
        <w:rPr>
          <w:rFonts w:eastAsia="Times New Roman" w:cs="Times New Roman"/>
          <w:sz w:val="21"/>
          <w:szCs w:val="24"/>
        </w:rPr>
      </w:pPr>
      <w:proofErr w:type="gramStart"/>
      <w:r w:rsidRPr="003E18AD">
        <w:rPr>
          <w:rFonts w:eastAsia="Times New Roman" w:cs="Times New Roman"/>
          <w:sz w:val="21"/>
          <w:szCs w:val="24"/>
        </w:rPr>
        <w:t>In order to</w:t>
      </w:r>
      <w:proofErr w:type="gramEnd"/>
      <w:r w:rsidRPr="003E18AD">
        <w:rPr>
          <w:rFonts w:eastAsia="Times New Roman" w:cs="Times New Roman"/>
          <w:sz w:val="21"/>
          <w:szCs w:val="24"/>
        </w:rPr>
        <w:t xml:space="preserve"> implement this challenging MERL approach for a complex and large-scale program, the </w:t>
      </w:r>
      <w:r w:rsidR="001804AB">
        <w:rPr>
          <w:rFonts w:eastAsia="Times New Roman" w:cs="Times New Roman"/>
          <w:sz w:val="21"/>
          <w:szCs w:val="24"/>
        </w:rPr>
        <w:t xml:space="preserve">Primary </w:t>
      </w:r>
      <w:r w:rsidRPr="003E18AD">
        <w:rPr>
          <w:rFonts w:eastAsia="Times New Roman" w:cs="Times New Roman"/>
          <w:sz w:val="21"/>
          <w:szCs w:val="24"/>
        </w:rPr>
        <w:t xml:space="preserve">Contractor will require a dedicated MERL team, with a lead specialist with significant experience in multi-method </w:t>
      </w:r>
      <w:r w:rsidRPr="003E18AD">
        <w:rPr>
          <w:rFonts w:eastAsia="Times New Roman" w:cs="Times New Roman"/>
          <w:sz w:val="21"/>
          <w:szCs w:val="24"/>
        </w:rPr>
        <w:lastRenderedPageBreak/>
        <w:t>approaches.</w:t>
      </w:r>
      <w:r w:rsidR="00C92510" w:rsidRPr="003E18AD">
        <w:rPr>
          <w:rFonts w:eastAsia="Times New Roman" w:cs="Times New Roman"/>
          <w:sz w:val="21"/>
          <w:szCs w:val="24"/>
        </w:rPr>
        <w:t xml:space="preserve"> </w:t>
      </w:r>
      <w:r w:rsidRPr="003E18AD">
        <w:rPr>
          <w:rFonts w:eastAsia="Times New Roman" w:cs="Times New Roman"/>
          <w:sz w:val="21"/>
          <w:szCs w:val="24"/>
        </w:rPr>
        <w:t>The MERL team will be required to train and support all other specialists in the PC Technical and Advisory team to develop the methods and undertake data collection and analysis as required; and to support other Delivery Partners in implementing the common approaches to Activity and Project structing and basic data collection and reporting.</w:t>
      </w:r>
      <w:r w:rsidR="00C92510" w:rsidRPr="003E18AD">
        <w:rPr>
          <w:rFonts w:eastAsia="Times New Roman" w:cs="Times New Roman"/>
          <w:sz w:val="21"/>
          <w:szCs w:val="24"/>
        </w:rPr>
        <w:t xml:space="preserve"> </w:t>
      </w:r>
      <w:r w:rsidR="00097E2D" w:rsidRPr="003E18AD">
        <w:rPr>
          <w:rFonts w:eastAsia="Times New Roman" w:cs="Times New Roman"/>
          <w:sz w:val="21"/>
          <w:szCs w:val="24"/>
        </w:rPr>
        <w:t>The indicators of the MERL Framework (</w:t>
      </w:r>
      <w:r w:rsidR="00097E2D" w:rsidRPr="003E18AD">
        <w:rPr>
          <w:rFonts w:eastAsia="Times New Roman" w:cs="Times New Roman"/>
          <w:i/>
          <w:iCs/>
          <w:sz w:val="21"/>
          <w:szCs w:val="24"/>
        </w:rPr>
        <w:t>See separate attachment, to be further developed in inception)</w:t>
      </w:r>
      <w:r w:rsidR="00097E2D" w:rsidRPr="003E18AD">
        <w:rPr>
          <w:rFonts w:eastAsia="Times New Roman" w:cs="Times New Roman"/>
          <w:sz w:val="21"/>
          <w:szCs w:val="24"/>
        </w:rPr>
        <w:t xml:space="preserve"> will be standardised by all Delivery Partners in Activity and Project planning as far as possible.</w:t>
      </w:r>
    </w:p>
    <w:p w14:paraId="7F01C858" w14:textId="0515F2CD" w:rsidR="004A00D0" w:rsidRPr="003E18AD" w:rsidRDefault="004A00D0" w:rsidP="00BB5739">
      <w:pPr>
        <w:tabs>
          <w:tab w:val="left" w:pos="284"/>
        </w:tabs>
        <w:suppressAutoHyphens w:val="0"/>
        <w:rPr>
          <w:rFonts w:eastAsia="Times New Roman" w:cs="Times New Roman"/>
          <w:sz w:val="21"/>
          <w:szCs w:val="24"/>
        </w:rPr>
      </w:pPr>
      <w:r w:rsidRPr="003E18AD">
        <w:rPr>
          <w:rFonts w:eastAsia="Times New Roman" w:cs="Times New Roman"/>
          <w:sz w:val="21"/>
          <w:szCs w:val="24"/>
        </w:rPr>
        <w:t>Several longitudinal studies will be commissioned to local research institutions to provide impartial and independent analysis (as indicated in the tables)</w:t>
      </w:r>
      <w:r w:rsidR="006B3678">
        <w:rPr>
          <w:rFonts w:eastAsia="Times New Roman" w:cs="Times New Roman"/>
          <w:sz w:val="21"/>
          <w:szCs w:val="24"/>
        </w:rPr>
        <w:t>, funded as separately approved Activities under the Activity Cost budget allocation.</w:t>
      </w:r>
      <w:r w:rsidR="00C92510" w:rsidRPr="003E18AD">
        <w:rPr>
          <w:rFonts w:eastAsia="Times New Roman" w:cs="Times New Roman"/>
          <w:sz w:val="21"/>
          <w:szCs w:val="24"/>
        </w:rPr>
        <w:t xml:space="preserve"> </w:t>
      </w:r>
    </w:p>
    <w:p w14:paraId="62E60E14" w14:textId="50D35B87" w:rsidR="004A00D0" w:rsidRDefault="004A00D0" w:rsidP="002E2228">
      <w:pPr>
        <w:tabs>
          <w:tab w:val="left" w:pos="284"/>
        </w:tabs>
        <w:suppressAutoHyphens w:val="0"/>
        <w:rPr>
          <w:rFonts w:eastAsia="Times New Roman" w:cs="Times New Roman"/>
          <w:sz w:val="21"/>
          <w:szCs w:val="24"/>
        </w:rPr>
      </w:pPr>
      <w:r w:rsidRPr="003E18AD">
        <w:rPr>
          <w:rFonts w:eastAsia="Times New Roman" w:cs="Times New Roman"/>
          <w:sz w:val="21"/>
          <w:szCs w:val="24"/>
        </w:rPr>
        <w:t xml:space="preserve">Attention will need to be paid to establishing the Engagement Strategies for the focus sectors and Thematic Areas, </w:t>
      </w:r>
      <w:proofErr w:type="gramStart"/>
      <w:r w:rsidRPr="003E18AD">
        <w:rPr>
          <w:rFonts w:eastAsia="Times New Roman" w:cs="Times New Roman"/>
          <w:sz w:val="21"/>
          <w:szCs w:val="24"/>
        </w:rPr>
        <w:t>in order for</w:t>
      </w:r>
      <w:proofErr w:type="gramEnd"/>
      <w:r w:rsidRPr="003E18AD">
        <w:rPr>
          <w:rFonts w:eastAsia="Times New Roman" w:cs="Times New Roman"/>
          <w:sz w:val="21"/>
          <w:szCs w:val="24"/>
        </w:rPr>
        <w:t xml:space="preserve"> baseline studies to be prepared.</w:t>
      </w:r>
      <w:r w:rsidR="00C92510" w:rsidRPr="003E18AD">
        <w:rPr>
          <w:rFonts w:eastAsia="Times New Roman" w:cs="Times New Roman"/>
          <w:sz w:val="21"/>
          <w:szCs w:val="24"/>
        </w:rPr>
        <w:t xml:space="preserve"> </w:t>
      </w:r>
      <w:r w:rsidRPr="003E18AD">
        <w:rPr>
          <w:rFonts w:eastAsia="Times New Roman" w:cs="Times New Roman"/>
          <w:sz w:val="21"/>
          <w:szCs w:val="24"/>
        </w:rPr>
        <w:t>Considerable data sources and information is available from the previous programs as strong basis for this work.</w:t>
      </w:r>
    </w:p>
    <w:p w14:paraId="6001B805" w14:textId="01EF67BE" w:rsidR="00A845CB" w:rsidRPr="003E18AD" w:rsidRDefault="00A845CB" w:rsidP="002E2228">
      <w:pPr>
        <w:tabs>
          <w:tab w:val="left" w:pos="284"/>
        </w:tabs>
        <w:suppressAutoHyphens w:val="0"/>
        <w:rPr>
          <w:rFonts w:eastAsia="Times New Roman" w:cs="Times New Roman"/>
          <w:sz w:val="21"/>
          <w:szCs w:val="24"/>
        </w:rPr>
      </w:pPr>
      <w:r>
        <w:rPr>
          <w:rFonts w:eastAsia="Times New Roman" w:cs="Times New Roman"/>
          <w:sz w:val="21"/>
          <w:szCs w:val="24"/>
        </w:rPr>
        <w:t xml:space="preserve">The budget available for the MERL consists of the separate allocation for the </w:t>
      </w:r>
      <w:r w:rsidR="00774308">
        <w:rPr>
          <w:rFonts w:eastAsia="Times New Roman" w:cs="Times New Roman"/>
          <w:sz w:val="21"/>
          <w:szCs w:val="24"/>
        </w:rPr>
        <w:t xml:space="preserve">TAG </w:t>
      </w:r>
      <w:r>
        <w:rPr>
          <w:rFonts w:eastAsia="Times New Roman" w:cs="Times New Roman"/>
          <w:sz w:val="21"/>
          <w:szCs w:val="24"/>
        </w:rPr>
        <w:t>and DFAT costs, the internal Primary Contractor management costs associated with core staff and systems, and approved Activities and Projects identified and approved through the program life cycle for specific MERL tools, methods and processes which are sub-contracted to other parties.  This is expected to be in the order of 7-10% of overall activity costs.</w:t>
      </w:r>
    </w:p>
    <w:p w14:paraId="6CBF0EA3" w14:textId="355A6E50" w:rsidR="00061B18" w:rsidRPr="003E18AD" w:rsidRDefault="00061B18" w:rsidP="00D2498B">
      <w:pPr>
        <w:pStyle w:val="Heading2"/>
      </w:pPr>
      <w:bookmarkStart w:id="431" w:name="_Toc216260422"/>
      <w:bookmarkStart w:id="432" w:name="_Toc216270685"/>
      <w:r w:rsidRPr="003E18AD">
        <w:t>Key MERL Events and Deliverables</w:t>
      </w:r>
      <w:bookmarkEnd w:id="431"/>
      <w:bookmarkEnd w:id="432"/>
    </w:p>
    <w:p w14:paraId="78A178A0" w14:textId="77777777" w:rsidR="00061B18" w:rsidRPr="003E18AD" w:rsidRDefault="00061B18" w:rsidP="002E2228">
      <w:pPr>
        <w:tabs>
          <w:tab w:val="left" w:pos="284"/>
        </w:tabs>
        <w:suppressAutoHyphens w:val="0"/>
        <w:spacing w:before="0"/>
        <w:rPr>
          <w:rFonts w:eastAsia="Times New Roman" w:cs="Times New Roman"/>
          <w:sz w:val="21"/>
          <w:szCs w:val="24"/>
        </w:rPr>
      </w:pPr>
      <w:r w:rsidRPr="003E18AD">
        <w:rPr>
          <w:rFonts w:eastAsia="Times New Roman" w:cs="Times New Roman"/>
          <w:sz w:val="21"/>
          <w:szCs w:val="24"/>
        </w:rPr>
        <w:t>The following key events and deliverables will be undertaken through the annual program cycle which integrate reflection and learning, with accountability and reporting:</w:t>
      </w:r>
    </w:p>
    <w:p w14:paraId="659D843D" w14:textId="561DB5F4" w:rsidR="00061B18" w:rsidRPr="003E18AD" w:rsidRDefault="00061B18" w:rsidP="00686269">
      <w:pPr>
        <w:pStyle w:val="ListParagraph"/>
        <w:numPr>
          <w:ilvl w:val="0"/>
          <w:numId w:val="17"/>
        </w:numPr>
        <w:tabs>
          <w:tab w:val="left" w:pos="284"/>
        </w:tabs>
        <w:suppressAutoHyphens w:val="0"/>
        <w:spacing w:before="0"/>
        <w:rPr>
          <w:rFonts w:eastAsia="Times New Roman" w:cs="Times New Roman"/>
          <w:sz w:val="21"/>
          <w:szCs w:val="24"/>
        </w:rPr>
      </w:pPr>
      <w:r w:rsidRPr="003E18AD">
        <w:rPr>
          <w:rFonts w:eastAsia="Times New Roman" w:cs="Times New Roman"/>
          <w:sz w:val="21"/>
          <w:szCs w:val="24"/>
        </w:rPr>
        <w:t>Quarterly reflections with Communities of Practice</w:t>
      </w:r>
      <w:r w:rsidR="00B40113">
        <w:rPr>
          <w:rFonts w:eastAsia="Times New Roman" w:cs="Times New Roman"/>
          <w:sz w:val="21"/>
          <w:szCs w:val="24"/>
        </w:rPr>
        <w:t xml:space="preserve"> or Technical Working Groups</w:t>
      </w:r>
      <w:r w:rsidRPr="003E18AD">
        <w:rPr>
          <w:rFonts w:eastAsia="Times New Roman" w:cs="Times New Roman"/>
          <w:sz w:val="21"/>
          <w:szCs w:val="24"/>
        </w:rPr>
        <w:t>, led by MERL specialists</w:t>
      </w:r>
    </w:p>
    <w:p w14:paraId="66E70A93" w14:textId="77777777" w:rsidR="00061B18" w:rsidRDefault="00061B18" w:rsidP="00686269">
      <w:pPr>
        <w:pStyle w:val="ListParagraph"/>
        <w:numPr>
          <w:ilvl w:val="0"/>
          <w:numId w:val="17"/>
        </w:numPr>
        <w:tabs>
          <w:tab w:val="left" w:pos="284"/>
        </w:tabs>
        <w:suppressAutoHyphens w:val="0"/>
        <w:spacing w:before="0"/>
        <w:rPr>
          <w:rFonts w:eastAsia="Times New Roman" w:cs="Times New Roman"/>
          <w:sz w:val="21"/>
          <w:szCs w:val="24"/>
        </w:rPr>
      </w:pPr>
      <w:r w:rsidRPr="003E18AD">
        <w:rPr>
          <w:rFonts w:eastAsia="Times New Roman" w:cs="Times New Roman"/>
          <w:sz w:val="21"/>
          <w:szCs w:val="24"/>
        </w:rPr>
        <w:t>6 monthly Delivery Partner reporting</w:t>
      </w:r>
    </w:p>
    <w:p w14:paraId="1088EC2A" w14:textId="5DA1210D" w:rsidR="00361758" w:rsidRPr="003E18AD" w:rsidRDefault="00361758" w:rsidP="00686269">
      <w:pPr>
        <w:pStyle w:val="ListParagraph"/>
        <w:numPr>
          <w:ilvl w:val="0"/>
          <w:numId w:val="17"/>
        </w:numPr>
        <w:tabs>
          <w:tab w:val="left" w:pos="284"/>
        </w:tabs>
        <w:suppressAutoHyphens w:val="0"/>
        <w:spacing w:before="0"/>
        <w:rPr>
          <w:rFonts w:eastAsia="Times New Roman" w:cs="Times New Roman"/>
          <w:sz w:val="21"/>
          <w:szCs w:val="24"/>
        </w:rPr>
      </w:pPr>
      <w:r>
        <w:rPr>
          <w:rFonts w:eastAsia="Times New Roman" w:cs="Times New Roman"/>
          <w:sz w:val="21"/>
          <w:szCs w:val="24"/>
        </w:rPr>
        <w:t>6 monthly Partnership-wide report</w:t>
      </w:r>
      <w:r w:rsidR="007E6FE2">
        <w:rPr>
          <w:rFonts w:eastAsia="Times New Roman" w:cs="Times New Roman"/>
          <w:sz w:val="21"/>
          <w:szCs w:val="24"/>
        </w:rPr>
        <w:t>ing</w:t>
      </w:r>
    </w:p>
    <w:p w14:paraId="7A0A3B02" w14:textId="77777777" w:rsidR="00061B18" w:rsidRPr="003E18AD" w:rsidRDefault="00061B18" w:rsidP="00686269">
      <w:pPr>
        <w:pStyle w:val="ListParagraph"/>
        <w:numPr>
          <w:ilvl w:val="0"/>
          <w:numId w:val="17"/>
        </w:numPr>
        <w:tabs>
          <w:tab w:val="left" w:pos="284"/>
        </w:tabs>
        <w:suppressAutoHyphens w:val="0"/>
        <w:spacing w:before="0"/>
        <w:rPr>
          <w:rFonts w:eastAsia="Times New Roman" w:cs="Times New Roman"/>
          <w:sz w:val="21"/>
          <w:szCs w:val="24"/>
        </w:rPr>
      </w:pPr>
      <w:r w:rsidRPr="003E18AD">
        <w:rPr>
          <w:rFonts w:eastAsia="Times New Roman" w:cs="Times New Roman"/>
          <w:sz w:val="21"/>
          <w:szCs w:val="24"/>
        </w:rPr>
        <w:t>6 monthly Partnership Meetings</w:t>
      </w:r>
    </w:p>
    <w:p w14:paraId="7586B81B" w14:textId="797A12CE" w:rsidR="00061B18" w:rsidRPr="003E18AD" w:rsidRDefault="00061B18" w:rsidP="00686269">
      <w:pPr>
        <w:pStyle w:val="ListParagraph"/>
        <w:numPr>
          <w:ilvl w:val="0"/>
          <w:numId w:val="17"/>
        </w:numPr>
        <w:tabs>
          <w:tab w:val="left" w:pos="284"/>
        </w:tabs>
        <w:suppressAutoHyphens w:val="0"/>
        <w:spacing w:before="0"/>
        <w:rPr>
          <w:rFonts w:eastAsia="Times New Roman" w:cs="Times New Roman"/>
          <w:sz w:val="21"/>
          <w:szCs w:val="21"/>
        </w:rPr>
      </w:pPr>
      <w:r w:rsidRPr="4E666B3A">
        <w:rPr>
          <w:rFonts w:eastAsia="Times New Roman" w:cs="Times New Roman"/>
          <w:sz w:val="21"/>
          <w:szCs w:val="21"/>
        </w:rPr>
        <w:t>6 monthly review and reflection (update of Policy Matrix)</w:t>
      </w:r>
    </w:p>
    <w:p w14:paraId="4C51D1BA" w14:textId="7797EA5E" w:rsidR="00B40113" w:rsidRDefault="00061B18" w:rsidP="00686269">
      <w:pPr>
        <w:pStyle w:val="ListParagraph"/>
        <w:numPr>
          <w:ilvl w:val="0"/>
          <w:numId w:val="17"/>
        </w:numPr>
        <w:tabs>
          <w:tab w:val="left" w:pos="284"/>
        </w:tabs>
        <w:suppressAutoHyphens w:val="0"/>
        <w:spacing w:before="0"/>
        <w:rPr>
          <w:rFonts w:eastAsia="Times New Roman" w:cs="Times New Roman"/>
          <w:sz w:val="21"/>
          <w:szCs w:val="21"/>
        </w:rPr>
      </w:pPr>
      <w:r w:rsidRPr="5A972D64">
        <w:rPr>
          <w:rFonts w:eastAsia="Times New Roman" w:cs="Times New Roman"/>
          <w:sz w:val="21"/>
          <w:szCs w:val="21"/>
        </w:rPr>
        <w:t>Annual Outcome Harvesting Report</w:t>
      </w:r>
    </w:p>
    <w:p w14:paraId="01ECF045" w14:textId="5DDD4BFF" w:rsidR="00050EB6" w:rsidRDefault="00050EB6" w:rsidP="00686269">
      <w:pPr>
        <w:pStyle w:val="ListParagraph"/>
        <w:numPr>
          <w:ilvl w:val="0"/>
          <w:numId w:val="17"/>
        </w:numPr>
        <w:tabs>
          <w:tab w:val="left" w:pos="284"/>
        </w:tabs>
        <w:suppressAutoHyphens w:val="0"/>
        <w:spacing w:before="0"/>
        <w:rPr>
          <w:rFonts w:eastAsia="Times New Roman" w:cs="Times New Roman"/>
          <w:sz w:val="21"/>
          <w:szCs w:val="21"/>
        </w:rPr>
      </w:pPr>
      <w:r>
        <w:rPr>
          <w:rFonts w:eastAsia="Times New Roman" w:cs="Times New Roman"/>
          <w:sz w:val="21"/>
          <w:szCs w:val="21"/>
        </w:rPr>
        <w:t>Annual Partnership-wide report</w:t>
      </w:r>
    </w:p>
    <w:p w14:paraId="79E7B864" w14:textId="77777777" w:rsidR="00061B18" w:rsidRPr="003E18AD" w:rsidRDefault="00061B18" w:rsidP="00686269">
      <w:pPr>
        <w:pStyle w:val="ListParagraph"/>
        <w:numPr>
          <w:ilvl w:val="0"/>
          <w:numId w:val="17"/>
        </w:numPr>
        <w:tabs>
          <w:tab w:val="left" w:pos="284"/>
        </w:tabs>
        <w:suppressAutoHyphens w:val="0"/>
        <w:spacing w:before="0"/>
        <w:rPr>
          <w:rFonts w:eastAsia="Times New Roman" w:cs="Times New Roman"/>
          <w:sz w:val="21"/>
          <w:szCs w:val="24"/>
        </w:rPr>
      </w:pPr>
      <w:r w:rsidRPr="003E18AD">
        <w:rPr>
          <w:rFonts w:eastAsia="Times New Roman" w:cs="Times New Roman"/>
          <w:sz w:val="21"/>
          <w:szCs w:val="24"/>
        </w:rPr>
        <w:t>Longitudinal studies, with real-time period reporting updates conducted by independent entities</w:t>
      </w:r>
    </w:p>
    <w:p w14:paraId="4999BCC7" w14:textId="77777777" w:rsidR="00061B18" w:rsidRPr="003E18AD" w:rsidRDefault="00061B18" w:rsidP="00686269">
      <w:pPr>
        <w:pStyle w:val="ListParagraph"/>
        <w:numPr>
          <w:ilvl w:val="0"/>
          <w:numId w:val="17"/>
        </w:numPr>
        <w:tabs>
          <w:tab w:val="left" w:pos="284"/>
        </w:tabs>
        <w:suppressAutoHyphens w:val="0"/>
        <w:spacing w:before="0"/>
        <w:rPr>
          <w:rFonts w:eastAsia="Times New Roman" w:cs="Times New Roman"/>
          <w:sz w:val="21"/>
          <w:szCs w:val="24"/>
        </w:rPr>
      </w:pPr>
      <w:r w:rsidRPr="003E18AD">
        <w:rPr>
          <w:rFonts w:eastAsia="Times New Roman" w:cs="Times New Roman"/>
          <w:sz w:val="21"/>
          <w:szCs w:val="24"/>
        </w:rPr>
        <w:t>Communications and public diplomacy products in line with agreed Strategy and annual plan</w:t>
      </w:r>
    </w:p>
    <w:p w14:paraId="29EC003A" w14:textId="5F1270D3" w:rsidR="00061B18" w:rsidRPr="003E18AD" w:rsidRDefault="00061B18" w:rsidP="00686269">
      <w:pPr>
        <w:pStyle w:val="ListParagraph"/>
        <w:numPr>
          <w:ilvl w:val="0"/>
          <w:numId w:val="17"/>
        </w:numPr>
        <w:tabs>
          <w:tab w:val="left" w:pos="284"/>
        </w:tabs>
        <w:suppressAutoHyphens w:val="0"/>
        <w:spacing w:before="0"/>
        <w:rPr>
          <w:rFonts w:eastAsia="Times New Roman" w:cs="Times New Roman"/>
          <w:sz w:val="21"/>
          <w:szCs w:val="24"/>
        </w:rPr>
      </w:pPr>
      <w:r w:rsidRPr="003E18AD">
        <w:rPr>
          <w:rFonts w:eastAsia="Times New Roman" w:cs="Times New Roman"/>
          <w:sz w:val="21"/>
          <w:szCs w:val="24"/>
        </w:rPr>
        <w:t>Ann</w:t>
      </w:r>
      <w:r w:rsidR="00A845CB">
        <w:rPr>
          <w:rFonts w:eastAsia="Times New Roman" w:cs="Times New Roman"/>
          <w:sz w:val="21"/>
          <w:szCs w:val="24"/>
        </w:rPr>
        <w:t>u</w:t>
      </w:r>
      <w:r w:rsidRPr="003E18AD">
        <w:rPr>
          <w:rFonts w:eastAsia="Times New Roman" w:cs="Times New Roman"/>
          <w:sz w:val="21"/>
          <w:szCs w:val="24"/>
        </w:rPr>
        <w:t>al INMR, Partner Performance Assessments (all Delivery Partners)</w:t>
      </w:r>
    </w:p>
    <w:p w14:paraId="01DB7A2B" w14:textId="38530F72" w:rsidR="00061B18" w:rsidRPr="003E18AD" w:rsidRDefault="00061B18" w:rsidP="00D2498B">
      <w:pPr>
        <w:pStyle w:val="Heading2"/>
      </w:pPr>
      <w:bookmarkStart w:id="433" w:name="_Toc216260423"/>
      <w:bookmarkStart w:id="434" w:name="_Toc216270686"/>
      <w:r w:rsidRPr="003E18AD">
        <w:t xml:space="preserve">Mid-term </w:t>
      </w:r>
      <w:r w:rsidR="00CE095A">
        <w:t>i</w:t>
      </w:r>
      <w:r w:rsidRPr="003E18AD">
        <w:t xml:space="preserve">ndependent </w:t>
      </w:r>
      <w:r w:rsidR="00CE095A">
        <w:t>e</w:t>
      </w:r>
      <w:r w:rsidRPr="003E18AD">
        <w:t xml:space="preserve">valuation and Investment Completion </w:t>
      </w:r>
      <w:r w:rsidR="00CE095A">
        <w:t>R</w:t>
      </w:r>
      <w:r w:rsidRPr="003E18AD">
        <w:t>eport</w:t>
      </w:r>
      <w:bookmarkEnd w:id="433"/>
      <w:bookmarkEnd w:id="434"/>
    </w:p>
    <w:p w14:paraId="5BEA6C4E" w14:textId="77777777" w:rsidR="00061B18" w:rsidRPr="003E18AD" w:rsidRDefault="00061B18" w:rsidP="00AE5EBB">
      <w:pPr>
        <w:tabs>
          <w:tab w:val="left" w:pos="284"/>
        </w:tabs>
        <w:suppressAutoHyphens w:val="0"/>
        <w:rPr>
          <w:rFonts w:eastAsia="Times New Roman" w:cs="Times New Roman"/>
          <w:sz w:val="21"/>
          <w:szCs w:val="24"/>
        </w:rPr>
      </w:pPr>
      <w:r w:rsidRPr="003E18AD">
        <w:rPr>
          <w:rFonts w:eastAsia="Times New Roman" w:cs="Times New Roman"/>
          <w:sz w:val="21"/>
          <w:szCs w:val="24"/>
        </w:rPr>
        <w:t>An independent evaluation will be undertaken at the end of year 3 of the program to provide recommendations for extending the option from years 5-10 and to recommend program quality improvements and changes.</w:t>
      </w:r>
    </w:p>
    <w:p w14:paraId="4B49DE61" w14:textId="2C3CEFCF" w:rsidR="00061B18" w:rsidRPr="003E18AD" w:rsidRDefault="00061B18" w:rsidP="00AE5EBB">
      <w:pPr>
        <w:tabs>
          <w:tab w:val="left" w:pos="284"/>
        </w:tabs>
        <w:suppressAutoHyphens w:val="0"/>
        <w:rPr>
          <w:rFonts w:eastAsia="Times New Roman" w:cs="Times New Roman"/>
          <w:sz w:val="21"/>
          <w:szCs w:val="24"/>
        </w:rPr>
      </w:pPr>
      <w:r w:rsidRPr="003E18AD">
        <w:rPr>
          <w:rFonts w:eastAsia="Times New Roman" w:cs="Times New Roman"/>
          <w:sz w:val="21"/>
          <w:szCs w:val="24"/>
        </w:rPr>
        <w:t xml:space="preserve">The Primary Contractor will prepare an End of Program Completion report in year 5, with input </w:t>
      </w:r>
      <w:r w:rsidR="00474FA9">
        <w:rPr>
          <w:rFonts w:eastAsia="Times New Roman" w:cs="Times New Roman"/>
          <w:sz w:val="21"/>
          <w:szCs w:val="24"/>
        </w:rPr>
        <w:t>from</w:t>
      </w:r>
      <w:r w:rsidRPr="003E18AD">
        <w:rPr>
          <w:rFonts w:eastAsia="Times New Roman" w:cs="Times New Roman"/>
          <w:sz w:val="21"/>
          <w:szCs w:val="24"/>
        </w:rPr>
        <w:t xml:space="preserve"> all Delivery Partners.</w:t>
      </w:r>
    </w:p>
    <w:p w14:paraId="4087075A" w14:textId="4D158E2A" w:rsidR="00D973A6" w:rsidRPr="00F44317" w:rsidRDefault="00A32858" w:rsidP="00AD769D">
      <w:pPr>
        <w:pStyle w:val="Heading1"/>
      </w:pPr>
      <w:bookmarkStart w:id="435" w:name="_Toc216270687"/>
      <w:bookmarkEnd w:id="404"/>
      <w:r w:rsidRPr="00F44317">
        <w:t>Gender</w:t>
      </w:r>
      <w:r w:rsidR="005509E9" w:rsidRPr="00F44317">
        <w:t xml:space="preserve"> Equality</w:t>
      </w:r>
      <w:r w:rsidRPr="00F44317">
        <w:t>, Disability</w:t>
      </w:r>
      <w:r w:rsidR="00D714CC" w:rsidRPr="00F44317">
        <w:t xml:space="preserve"> </w:t>
      </w:r>
      <w:r w:rsidR="008B0BE0" w:rsidRPr="00F44317">
        <w:t>I</w:t>
      </w:r>
      <w:r w:rsidR="00D714CC" w:rsidRPr="00F44317">
        <w:t>nclusi</w:t>
      </w:r>
      <w:r w:rsidR="005509E9" w:rsidRPr="00F44317">
        <w:t>veness, Climate Change,</w:t>
      </w:r>
      <w:r w:rsidRPr="00F44317">
        <w:t xml:space="preserve"> and Other </w:t>
      </w:r>
      <w:r w:rsidR="00546F37" w:rsidRPr="00F44317">
        <w:t>Cross-</w:t>
      </w:r>
      <w:r w:rsidRPr="00F44317">
        <w:t>Cutting Issues</w:t>
      </w:r>
      <w:bookmarkEnd w:id="435"/>
    </w:p>
    <w:p w14:paraId="209F9BB3" w14:textId="020DB2F9" w:rsidR="00A32858" w:rsidRPr="003E18AD" w:rsidRDefault="00A32858" w:rsidP="00D2498B">
      <w:pPr>
        <w:pStyle w:val="Heading2"/>
      </w:pPr>
      <w:bookmarkStart w:id="436" w:name="_Toc216260424"/>
      <w:bookmarkStart w:id="437" w:name="_Toc216270688"/>
      <w:r w:rsidRPr="003E18AD">
        <w:t xml:space="preserve">Gender </w:t>
      </w:r>
      <w:r w:rsidR="00F2612C">
        <w:t>e</w:t>
      </w:r>
      <w:r w:rsidRPr="003E18AD">
        <w:t>quality</w:t>
      </w:r>
      <w:bookmarkEnd w:id="436"/>
      <w:bookmarkEnd w:id="437"/>
    </w:p>
    <w:p w14:paraId="0890F627" w14:textId="420CFC2A" w:rsidR="00FE2BB1" w:rsidRPr="003E18AD" w:rsidRDefault="00FE2BB1" w:rsidP="00CF045D">
      <w:pPr>
        <w:tabs>
          <w:tab w:val="left" w:pos="284"/>
        </w:tabs>
        <w:suppressAutoHyphens w:val="0"/>
        <w:rPr>
          <w:rFonts w:eastAsia="Times New Roman" w:cs="Times New Roman"/>
          <w:sz w:val="21"/>
          <w:szCs w:val="24"/>
        </w:rPr>
      </w:pPr>
      <w:r w:rsidRPr="003E18AD">
        <w:rPr>
          <w:rFonts w:eastAsia="Times New Roman" w:cs="Times New Roman"/>
          <w:sz w:val="21"/>
          <w:szCs w:val="24"/>
        </w:rPr>
        <w:t xml:space="preserve">The GEDSI (Gender Equality, Disability, and Social Inclusion) Strategy </w:t>
      </w:r>
      <w:r w:rsidR="009246D7">
        <w:rPr>
          <w:rFonts w:eastAsia="Times New Roman" w:cs="Times New Roman"/>
          <w:sz w:val="21"/>
          <w:szCs w:val="24"/>
        </w:rPr>
        <w:t xml:space="preserve">aligns with </w:t>
      </w:r>
      <w:r w:rsidRPr="003E18AD">
        <w:rPr>
          <w:rFonts w:eastAsia="Times New Roman" w:cs="Times New Roman"/>
          <w:sz w:val="21"/>
          <w:szCs w:val="24"/>
        </w:rPr>
        <w:t>the GOI</w:t>
      </w:r>
      <w:r w:rsidR="00B36A5B">
        <w:rPr>
          <w:rFonts w:eastAsia="Times New Roman" w:cs="Times New Roman"/>
          <w:sz w:val="21"/>
          <w:szCs w:val="24"/>
        </w:rPr>
        <w:t>’s</w:t>
      </w:r>
      <w:r w:rsidRPr="003E18AD">
        <w:rPr>
          <w:rFonts w:eastAsia="Times New Roman" w:cs="Times New Roman"/>
          <w:sz w:val="21"/>
          <w:szCs w:val="24"/>
        </w:rPr>
        <w:t xml:space="preserve"> commitments and strategic approach to embedding GEDSI principles within major policy frameworks for climate resilience, and infrastructure planning and implementation. It emphasizes how Indonesia’s evolving financial investment landscape can facilitate mainstreaming GEDSI and </w:t>
      </w:r>
      <w:r w:rsidR="009246D7">
        <w:rPr>
          <w:rFonts w:eastAsia="Times New Roman" w:cs="Times New Roman"/>
          <w:sz w:val="21"/>
          <w:szCs w:val="24"/>
        </w:rPr>
        <w:t>c</w:t>
      </w:r>
      <w:r w:rsidRPr="003E18AD">
        <w:rPr>
          <w:rFonts w:eastAsia="Times New Roman" w:cs="Times New Roman"/>
          <w:sz w:val="21"/>
          <w:szCs w:val="24"/>
        </w:rPr>
        <w:t xml:space="preserve">limate </w:t>
      </w:r>
      <w:r w:rsidR="009246D7">
        <w:rPr>
          <w:rFonts w:eastAsia="Times New Roman" w:cs="Times New Roman"/>
          <w:sz w:val="21"/>
          <w:szCs w:val="24"/>
        </w:rPr>
        <w:t>c</w:t>
      </w:r>
      <w:r w:rsidRPr="003E18AD">
        <w:rPr>
          <w:rFonts w:eastAsia="Times New Roman" w:cs="Times New Roman"/>
          <w:sz w:val="21"/>
          <w:szCs w:val="24"/>
        </w:rPr>
        <w:t xml:space="preserve">hange considerations, including leveraging contributions from Australia’s private sector and academic institutions. A robust and inclusive consultation </w:t>
      </w:r>
      <w:r w:rsidRPr="003E18AD">
        <w:rPr>
          <w:rFonts w:eastAsia="Times New Roman" w:cs="Times New Roman"/>
          <w:sz w:val="21"/>
          <w:szCs w:val="24"/>
        </w:rPr>
        <w:lastRenderedPageBreak/>
        <w:t>process will be instituted, ensuring meaningful engagement with representative organizations of women, persons with disabilities, and other marginal groups’ representative.</w:t>
      </w:r>
      <w:r w:rsidR="00C92510" w:rsidRPr="003E18AD">
        <w:rPr>
          <w:rFonts w:eastAsia="Times New Roman" w:cs="Times New Roman"/>
          <w:sz w:val="21"/>
          <w:szCs w:val="24"/>
        </w:rPr>
        <w:t xml:space="preserve"> </w:t>
      </w:r>
      <w:r w:rsidRPr="003E18AD">
        <w:rPr>
          <w:rFonts w:eastAsia="Times New Roman" w:cs="Times New Roman"/>
          <w:sz w:val="21"/>
          <w:szCs w:val="24"/>
        </w:rPr>
        <w:t xml:space="preserve">This strategy builds on the lessons learnt from KIAT, the ADB, </w:t>
      </w:r>
      <w:r w:rsidR="00EA24DF">
        <w:rPr>
          <w:rFonts w:eastAsia="Times New Roman" w:cs="Times New Roman"/>
          <w:sz w:val="21"/>
          <w:szCs w:val="24"/>
        </w:rPr>
        <w:t>World Bank,</w:t>
      </w:r>
      <w:r w:rsidRPr="003E18AD">
        <w:rPr>
          <w:rFonts w:eastAsia="Times New Roman" w:cs="Times New Roman"/>
          <w:sz w:val="21"/>
          <w:szCs w:val="24"/>
        </w:rPr>
        <w:t xml:space="preserve"> and other DFAT initiatives in Indonesia.</w:t>
      </w:r>
    </w:p>
    <w:p w14:paraId="7BFC1602" w14:textId="1BFF80F5" w:rsidR="00FE2BB1" w:rsidRDefault="00FE2BB1" w:rsidP="00AE5EBB">
      <w:pPr>
        <w:tabs>
          <w:tab w:val="left" w:pos="284"/>
        </w:tabs>
        <w:suppressAutoHyphens w:val="0"/>
        <w:rPr>
          <w:rFonts w:eastAsia="Times New Roman" w:cs="Times New Roman"/>
          <w:sz w:val="21"/>
          <w:szCs w:val="24"/>
        </w:rPr>
      </w:pPr>
      <w:r w:rsidRPr="003E18AD">
        <w:rPr>
          <w:rFonts w:eastAsia="Times New Roman" w:cs="Times New Roman"/>
          <w:sz w:val="21"/>
          <w:szCs w:val="24"/>
        </w:rPr>
        <w:t>The GEDSI Strategy adopts a two-pronged approach: external and internal.</w:t>
      </w:r>
      <w:r w:rsidR="0026130E">
        <w:rPr>
          <w:rFonts w:eastAsia="Times New Roman" w:cs="Times New Roman"/>
          <w:sz w:val="21"/>
          <w:szCs w:val="24"/>
        </w:rPr>
        <w:t xml:space="preserve"> Gender equality and social inclusion is intended as a significant focus of the investment, where Australia can add-value and impact to all climate and infrastructure policy and planning in Indonesia. </w:t>
      </w:r>
      <w:r w:rsidR="00C92510" w:rsidRPr="003E18AD">
        <w:rPr>
          <w:rFonts w:eastAsia="Times New Roman" w:cs="Times New Roman"/>
          <w:sz w:val="21"/>
          <w:szCs w:val="24"/>
        </w:rPr>
        <w:t xml:space="preserve"> </w:t>
      </w:r>
      <w:r w:rsidRPr="003E18AD">
        <w:rPr>
          <w:rFonts w:eastAsia="Times New Roman" w:cs="Times New Roman"/>
          <w:sz w:val="21"/>
          <w:szCs w:val="24"/>
        </w:rPr>
        <w:t>This goes beyond the usual two-track approach of mainstreaming and dedicated activities within the program to using a GEDSI focus to influence others for scale up and replicability.</w:t>
      </w:r>
      <w:r w:rsidR="00C92510" w:rsidRPr="003E18AD">
        <w:rPr>
          <w:rFonts w:eastAsia="Times New Roman" w:cs="Times New Roman"/>
          <w:sz w:val="21"/>
          <w:szCs w:val="24"/>
        </w:rPr>
        <w:t xml:space="preserve"> </w:t>
      </w:r>
      <w:r w:rsidRPr="003E18AD">
        <w:rPr>
          <w:rFonts w:eastAsia="Times New Roman" w:cs="Times New Roman"/>
          <w:sz w:val="21"/>
          <w:szCs w:val="24"/>
        </w:rPr>
        <w:t xml:space="preserve">This incorporates gender (along with </w:t>
      </w:r>
      <w:r w:rsidR="006E104C">
        <w:rPr>
          <w:rFonts w:eastAsia="Times New Roman" w:cs="Times New Roman"/>
          <w:sz w:val="21"/>
          <w:szCs w:val="24"/>
        </w:rPr>
        <w:t xml:space="preserve">disability and </w:t>
      </w:r>
      <w:r w:rsidRPr="003E18AD">
        <w:rPr>
          <w:rFonts w:eastAsia="Times New Roman" w:cs="Times New Roman"/>
          <w:sz w:val="21"/>
          <w:szCs w:val="24"/>
        </w:rPr>
        <w:t>social inclusion) as equivalent to a sub-sector of the program, with dedicated budget, team and strategic objectives (reflected throughout the Program Logic).</w:t>
      </w:r>
      <w:r w:rsidR="0010181F">
        <w:rPr>
          <w:rFonts w:eastAsia="Times New Roman" w:cs="Times New Roman"/>
          <w:sz w:val="21"/>
          <w:szCs w:val="24"/>
        </w:rPr>
        <w:br/>
      </w:r>
      <w:r w:rsidR="007436B9">
        <w:rPr>
          <w:rFonts w:eastAsia="Times New Roman" w:cs="Times New Roman"/>
          <w:sz w:val="21"/>
          <w:szCs w:val="24"/>
        </w:rPr>
        <w:br/>
      </w:r>
      <w:r w:rsidRPr="003E18AD">
        <w:rPr>
          <w:rFonts w:eastAsia="Times New Roman" w:cs="Times New Roman"/>
          <w:sz w:val="21"/>
          <w:szCs w:val="24"/>
        </w:rPr>
        <w:t xml:space="preserve">The </w:t>
      </w:r>
      <w:r w:rsidRPr="0010181F">
        <w:rPr>
          <w:rStyle w:val="Heading3Char"/>
        </w:rPr>
        <w:t>external focus</w:t>
      </w:r>
      <w:r w:rsidRPr="003E18AD">
        <w:rPr>
          <w:rFonts w:eastAsia="Times New Roman" w:cs="Times New Roman"/>
          <w:sz w:val="21"/>
          <w:szCs w:val="24"/>
        </w:rPr>
        <w:t xml:space="preserve"> aims to influence decision-makers across infrastructure, climate, and investment sectors by demonstrating the importance of GEDSI integration. This element focuses on integrating GEDSI considerations into Indonesia’s flagship strategic projects, such as </w:t>
      </w:r>
      <w:proofErr w:type="spellStart"/>
      <w:r w:rsidRPr="003E18AD">
        <w:rPr>
          <w:rFonts w:eastAsia="Times New Roman" w:cs="Times New Roman"/>
          <w:sz w:val="21"/>
          <w:szCs w:val="24"/>
        </w:rPr>
        <w:t>Danantara</w:t>
      </w:r>
      <w:proofErr w:type="spellEnd"/>
      <w:r w:rsidRPr="003E18AD">
        <w:rPr>
          <w:rFonts w:eastAsia="Times New Roman" w:cs="Times New Roman"/>
          <w:sz w:val="21"/>
          <w:szCs w:val="24"/>
        </w:rPr>
        <w:t>, National Strategic Projects, and other key initiatives. These projects are overseen by the Secretary of State-Owned Enterprises</w:t>
      </w:r>
      <w:r w:rsidR="00170A3B">
        <w:rPr>
          <w:rFonts w:eastAsia="Times New Roman" w:cs="Times New Roman"/>
          <w:sz w:val="21"/>
          <w:szCs w:val="24"/>
        </w:rPr>
        <w:t xml:space="preserve">, </w:t>
      </w:r>
      <w:proofErr w:type="spellStart"/>
      <w:r w:rsidRPr="003E18AD">
        <w:rPr>
          <w:rFonts w:eastAsia="Times New Roman" w:cs="Times New Roman"/>
          <w:sz w:val="21"/>
          <w:szCs w:val="24"/>
        </w:rPr>
        <w:t>Danantara</w:t>
      </w:r>
      <w:proofErr w:type="spellEnd"/>
      <w:r w:rsidRPr="003E18AD">
        <w:rPr>
          <w:rFonts w:eastAsia="Times New Roman" w:cs="Times New Roman"/>
          <w:sz w:val="21"/>
          <w:szCs w:val="24"/>
        </w:rPr>
        <w:t xml:space="preserve"> and the Coordinating Ministry of Economic Affairs, </w:t>
      </w:r>
      <w:r w:rsidR="00170A3B">
        <w:rPr>
          <w:rFonts w:eastAsia="Times New Roman" w:cs="Times New Roman"/>
          <w:sz w:val="21"/>
          <w:szCs w:val="24"/>
        </w:rPr>
        <w:t xml:space="preserve">who are </w:t>
      </w:r>
      <w:r w:rsidRPr="003E18AD">
        <w:rPr>
          <w:rFonts w:eastAsia="Times New Roman" w:cs="Times New Roman"/>
          <w:sz w:val="21"/>
          <w:szCs w:val="24"/>
        </w:rPr>
        <w:t xml:space="preserve">responsible for overarching national development programs including infrastructure, climate resilience, and investment. </w:t>
      </w:r>
      <w:proofErr w:type="gramStart"/>
      <w:r w:rsidRPr="003E18AD">
        <w:rPr>
          <w:rFonts w:eastAsia="Times New Roman" w:cs="Times New Roman"/>
          <w:sz w:val="21"/>
          <w:szCs w:val="24"/>
        </w:rPr>
        <w:t>Particular initiatives</w:t>
      </w:r>
      <w:proofErr w:type="gramEnd"/>
      <w:r w:rsidR="00482514">
        <w:rPr>
          <w:rFonts w:eastAsia="Times New Roman" w:cs="Times New Roman"/>
          <w:sz w:val="21"/>
          <w:szCs w:val="24"/>
        </w:rPr>
        <w:t xml:space="preserve"> may</w:t>
      </w:r>
      <w:r w:rsidRPr="003E18AD">
        <w:rPr>
          <w:rFonts w:eastAsia="Times New Roman" w:cs="Times New Roman"/>
          <w:sz w:val="21"/>
          <w:szCs w:val="24"/>
        </w:rPr>
        <w:t xml:space="preserve"> include collaborating with the Financial Services Authority (OJK) and other stakeholders to embed GEDSI and climate components within loan agreements with private sector banks—drawing on best practices from Brazilian banks and the African Development Bank. Additionally, knowledge-sharing between Australian private sector entities and Indonesian counterparts will be prioritized to foster mutual learning to promote inclusive finance and development practices and to enhance Indonesia’s private sector capacities to the next level.</w:t>
      </w:r>
      <w:r w:rsidR="00C92510" w:rsidRPr="003E18AD">
        <w:rPr>
          <w:rFonts w:eastAsia="Times New Roman" w:cs="Times New Roman"/>
          <w:sz w:val="21"/>
          <w:szCs w:val="24"/>
        </w:rPr>
        <w:t xml:space="preserve"> </w:t>
      </w:r>
      <w:r w:rsidR="008A6AAC" w:rsidRPr="003E18AD">
        <w:rPr>
          <w:rFonts w:eastAsia="Times New Roman" w:cs="Times New Roman"/>
          <w:sz w:val="21"/>
          <w:szCs w:val="24"/>
        </w:rPr>
        <w:t>The external focus will be funded and delivered as Activities and Projects under the Activity Implementation budget, requiring activity identification and selection as part of the approval process.</w:t>
      </w:r>
      <w:r w:rsidR="00C92510" w:rsidRPr="003E18AD">
        <w:rPr>
          <w:rFonts w:eastAsia="Times New Roman" w:cs="Times New Roman"/>
          <w:sz w:val="21"/>
          <w:szCs w:val="24"/>
        </w:rPr>
        <w:t xml:space="preserve"> </w:t>
      </w:r>
      <w:r w:rsidR="008A6AAC" w:rsidRPr="003E18AD">
        <w:rPr>
          <w:rFonts w:eastAsia="Times New Roman" w:cs="Times New Roman"/>
          <w:sz w:val="21"/>
          <w:szCs w:val="24"/>
        </w:rPr>
        <w:t>The GEDSI team will be involved in stimulating activity and project identification by working with GOI officials and other stakeholders, in the same way as other sectoral technical leads and Primary Contractor leadership staff.</w:t>
      </w:r>
      <w:r w:rsidR="007436B9">
        <w:rPr>
          <w:rFonts w:eastAsia="Times New Roman" w:cs="Times New Roman"/>
          <w:sz w:val="21"/>
          <w:szCs w:val="24"/>
        </w:rPr>
        <w:br/>
      </w:r>
      <w:r w:rsidR="0010181F">
        <w:rPr>
          <w:rFonts w:eastAsia="Times New Roman" w:cs="Times New Roman"/>
          <w:sz w:val="21"/>
          <w:szCs w:val="24"/>
        </w:rPr>
        <w:br/>
      </w:r>
      <w:r w:rsidR="008A6AAC" w:rsidRPr="003E18AD">
        <w:rPr>
          <w:rFonts w:eastAsia="Times New Roman" w:cs="Times New Roman"/>
          <w:sz w:val="21"/>
          <w:szCs w:val="24"/>
        </w:rPr>
        <w:t xml:space="preserve">The </w:t>
      </w:r>
      <w:r w:rsidR="008A6AAC" w:rsidRPr="0010181F">
        <w:rPr>
          <w:rStyle w:val="Heading3Char"/>
        </w:rPr>
        <w:t>internal focus</w:t>
      </w:r>
      <w:r w:rsidRPr="003E18AD">
        <w:rPr>
          <w:rFonts w:eastAsia="Times New Roman" w:cs="Times New Roman"/>
          <w:b/>
          <w:bCs/>
          <w:i/>
          <w:iCs/>
          <w:sz w:val="21"/>
          <w:szCs w:val="24"/>
        </w:rPr>
        <w:t xml:space="preserve"> </w:t>
      </w:r>
      <w:r w:rsidRPr="003E18AD">
        <w:rPr>
          <w:rFonts w:eastAsia="Times New Roman" w:cs="Times New Roman"/>
          <w:sz w:val="21"/>
          <w:szCs w:val="24"/>
        </w:rPr>
        <w:t>concentrates on mainstreaming GEDSI principles within organizations and project teams</w:t>
      </w:r>
      <w:r w:rsidR="008A6AAC" w:rsidRPr="003E18AD">
        <w:rPr>
          <w:rFonts w:eastAsia="Times New Roman" w:cs="Times New Roman"/>
          <w:sz w:val="21"/>
          <w:szCs w:val="24"/>
        </w:rPr>
        <w:t xml:space="preserve"> involved in program delivery</w:t>
      </w:r>
      <w:r w:rsidRPr="003E18AD">
        <w:rPr>
          <w:rFonts w:eastAsia="Times New Roman" w:cs="Times New Roman"/>
          <w:sz w:val="21"/>
          <w:szCs w:val="24"/>
        </w:rPr>
        <w:t>. It encompasses technical project implementation, staffing policies, capacity building, human resource development, and monitoring and evaluation systems. Central to this approach is persuading technical leaders and experts on the importance of integrating GEDSI into their operational frameworks to ensure sustainability and technical robustness.</w:t>
      </w:r>
    </w:p>
    <w:p w14:paraId="4FB46C2F" w14:textId="69D6A3AC" w:rsidR="004013D7" w:rsidRDefault="004013D7" w:rsidP="004F6436">
      <w:pPr>
        <w:tabs>
          <w:tab w:val="left" w:pos="284"/>
        </w:tabs>
        <w:suppressAutoHyphens w:val="0"/>
        <w:rPr>
          <w:rFonts w:eastAsia="Times New Roman" w:cs="Times New Roman"/>
          <w:sz w:val="21"/>
          <w:szCs w:val="24"/>
        </w:rPr>
      </w:pPr>
      <w:r w:rsidRPr="003E18AD">
        <w:rPr>
          <w:rFonts w:eastAsia="Times New Roman" w:cs="Times New Roman"/>
          <w:sz w:val="21"/>
          <w:szCs w:val="24"/>
        </w:rPr>
        <w:t xml:space="preserve">The Strategy will be informed by analysis to examine gender equality, disability and social inclusion across the program’s focus areas and identify the interconnecting factors that contribute to inequality and exclusion. The Strategy will outline how </w:t>
      </w:r>
      <w:r>
        <w:rPr>
          <w:rFonts w:eastAsia="Times New Roman" w:cs="Times New Roman"/>
          <w:sz w:val="21"/>
          <w:szCs w:val="24"/>
        </w:rPr>
        <w:t>GEDSI</w:t>
      </w:r>
      <w:r w:rsidRPr="003E18AD">
        <w:rPr>
          <w:rFonts w:eastAsia="Times New Roman" w:cs="Times New Roman"/>
          <w:sz w:val="21"/>
          <w:szCs w:val="24"/>
        </w:rPr>
        <w:t xml:space="preserve"> issues will be considered and integrated at both the Project and Activity levels, using a twin track approach of mainstreaming and targeted initiatives. The Strategy will include indicators to monitor the effectiveness of initiatives. The Strategy will be informed by consultations with key partners (DFAT, AGEs, women’s organisations, and OPDs to understand the barriers, opportunities, and necessary support. The GEDSI Strategy and Action Plan (including the gender equality analysis) will be developed during the inception phase and supported by a dedicated budget.</w:t>
      </w:r>
    </w:p>
    <w:p w14:paraId="1114224B" w14:textId="429BB8E0" w:rsidR="004013D7" w:rsidRPr="003E18AD" w:rsidRDefault="004013D7" w:rsidP="004F6436">
      <w:pPr>
        <w:tabs>
          <w:tab w:val="left" w:pos="284"/>
        </w:tabs>
        <w:suppressAutoHyphens w:val="0"/>
        <w:rPr>
          <w:rFonts w:eastAsia="Times New Roman" w:cs="Times New Roman"/>
          <w:sz w:val="21"/>
          <w:szCs w:val="24"/>
        </w:rPr>
      </w:pPr>
      <w:r w:rsidRPr="003E18AD">
        <w:rPr>
          <w:rFonts w:eastAsia="Times New Roman" w:cs="Times New Roman"/>
          <w:sz w:val="21"/>
          <w:szCs w:val="24"/>
        </w:rPr>
        <w:t>A G</w:t>
      </w:r>
      <w:r>
        <w:rPr>
          <w:rFonts w:eastAsia="Times New Roman" w:cs="Times New Roman"/>
          <w:sz w:val="21"/>
          <w:szCs w:val="24"/>
        </w:rPr>
        <w:t>EDSI</w:t>
      </w:r>
      <w:r w:rsidRPr="003E18AD">
        <w:rPr>
          <w:rFonts w:eastAsia="Times New Roman" w:cs="Times New Roman"/>
          <w:sz w:val="21"/>
          <w:szCs w:val="24"/>
        </w:rPr>
        <w:t xml:space="preserve"> Action Plan will be developed to define the approach and identify initiatives, entry points and resources across the program and activity levels and delivered in each thematic area. The Action Plan will be reviewed annually. </w:t>
      </w:r>
    </w:p>
    <w:p w14:paraId="48727308" w14:textId="5001584E" w:rsidR="00FE2BB1" w:rsidRPr="003E18AD" w:rsidRDefault="0026130E" w:rsidP="004F6436">
      <w:pPr>
        <w:tabs>
          <w:tab w:val="left" w:pos="284"/>
        </w:tabs>
        <w:suppressAutoHyphens w:val="0"/>
        <w:rPr>
          <w:rFonts w:eastAsia="Times New Roman" w:cs="Times New Roman"/>
          <w:sz w:val="21"/>
          <w:szCs w:val="24"/>
        </w:rPr>
      </w:pPr>
      <w:r w:rsidRPr="007F0EEE">
        <w:rPr>
          <w:rFonts w:eastAsia="Times New Roman" w:cs="Times New Roman"/>
          <w:sz w:val="21"/>
          <w:szCs w:val="24"/>
        </w:rPr>
        <w:t xml:space="preserve">The Primary Contractor will </w:t>
      </w:r>
      <w:r w:rsidR="009D6C6E">
        <w:rPr>
          <w:rFonts w:eastAsia="Times New Roman" w:cs="Times New Roman"/>
          <w:sz w:val="21"/>
          <w:szCs w:val="24"/>
        </w:rPr>
        <w:t xml:space="preserve">drive implementation of </w:t>
      </w:r>
      <w:r w:rsidRPr="007F0EEE">
        <w:rPr>
          <w:rFonts w:eastAsia="Times New Roman" w:cs="Times New Roman"/>
          <w:sz w:val="21"/>
          <w:szCs w:val="24"/>
        </w:rPr>
        <w:t xml:space="preserve">the GEDSI </w:t>
      </w:r>
      <w:r w:rsidR="009D6C6E">
        <w:rPr>
          <w:rFonts w:eastAsia="Times New Roman" w:cs="Times New Roman"/>
          <w:sz w:val="21"/>
          <w:szCs w:val="24"/>
        </w:rPr>
        <w:t>S</w:t>
      </w:r>
      <w:r w:rsidRPr="007F0EEE">
        <w:rPr>
          <w:rFonts w:eastAsia="Times New Roman" w:cs="Times New Roman"/>
          <w:sz w:val="21"/>
          <w:szCs w:val="24"/>
        </w:rPr>
        <w:t xml:space="preserve">trategy </w:t>
      </w:r>
      <w:r w:rsidR="004013D7">
        <w:rPr>
          <w:rFonts w:eastAsia="Times New Roman" w:cs="Times New Roman"/>
          <w:sz w:val="21"/>
          <w:szCs w:val="24"/>
        </w:rPr>
        <w:t xml:space="preserve">and GEDSI Action Plan </w:t>
      </w:r>
      <w:r w:rsidRPr="007F0EEE">
        <w:rPr>
          <w:rFonts w:eastAsia="Times New Roman" w:cs="Times New Roman"/>
          <w:sz w:val="21"/>
          <w:szCs w:val="24"/>
        </w:rPr>
        <w:t xml:space="preserve">across the portfolio and </w:t>
      </w:r>
      <w:r w:rsidR="009D6C6E">
        <w:rPr>
          <w:rFonts w:eastAsia="Times New Roman" w:cs="Times New Roman"/>
          <w:sz w:val="21"/>
          <w:szCs w:val="24"/>
        </w:rPr>
        <w:t xml:space="preserve">in collaboration </w:t>
      </w:r>
      <w:r w:rsidRPr="007F0EEE">
        <w:rPr>
          <w:rFonts w:eastAsia="Times New Roman" w:cs="Times New Roman"/>
          <w:sz w:val="21"/>
          <w:szCs w:val="24"/>
        </w:rPr>
        <w:t xml:space="preserve">with all Delivery Partners.  The NGO Lead partner will also implement specific GEDSI related Activities and Projects as part of the community engagement and demand-side strategy of the investment. </w:t>
      </w:r>
      <w:r w:rsidR="00FE2BB1" w:rsidRPr="007F0EEE">
        <w:rPr>
          <w:rFonts w:eastAsia="Times New Roman" w:cs="Times New Roman"/>
          <w:sz w:val="21"/>
          <w:szCs w:val="24"/>
        </w:rPr>
        <w:t xml:space="preserve">Coordination will be facilitated through ongoing dialogue with the GEDSI Hub at DFAT, the GEDSI unit within </w:t>
      </w:r>
      <w:r w:rsidR="00FE2BB1" w:rsidRPr="003E18AD">
        <w:rPr>
          <w:rFonts w:eastAsia="Times New Roman" w:cs="Times New Roman"/>
          <w:sz w:val="21"/>
          <w:szCs w:val="24"/>
        </w:rPr>
        <w:t xml:space="preserve">the </w:t>
      </w:r>
      <w:r w:rsidR="009D6C6E">
        <w:rPr>
          <w:rFonts w:eastAsia="Times New Roman" w:cs="Times New Roman"/>
          <w:sz w:val="21"/>
          <w:szCs w:val="24"/>
        </w:rPr>
        <w:t>Partnership</w:t>
      </w:r>
      <w:r w:rsidR="00FE2BB1" w:rsidRPr="003E18AD">
        <w:rPr>
          <w:rFonts w:eastAsia="Times New Roman" w:cs="Times New Roman"/>
          <w:sz w:val="21"/>
          <w:szCs w:val="24"/>
        </w:rPr>
        <w:t>, and project-specific teams. Furthermore, knowledge exchange will be extended from the initial KIAT initiative to other DFAT-supported projects such as INKLUSI, SKALA, SIAP-SIAGA, among others, as well as with relevant donor agencies and stakeholder groups.</w:t>
      </w:r>
    </w:p>
    <w:p w14:paraId="32D7B7AC" w14:textId="77777777" w:rsidR="00FE2BB1" w:rsidRPr="003E18AD" w:rsidRDefault="00FE2BB1" w:rsidP="004F6436">
      <w:pPr>
        <w:tabs>
          <w:tab w:val="left" w:pos="284"/>
        </w:tabs>
        <w:suppressAutoHyphens w:val="0"/>
        <w:rPr>
          <w:rFonts w:eastAsia="Times New Roman" w:cs="Times New Roman"/>
          <w:sz w:val="21"/>
          <w:szCs w:val="24"/>
        </w:rPr>
      </w:pPr>
      <w:r w:rsidRPr="003E18AD">
        <w:rPr>
          <w:rFonts w:eastAsia="Times New Roman" w:cs="Times New Roman"/>
          <w:sz w:val="21"/>
          <w:szCs w:val="24"/>
        </w:rPr>
        <w:lastRenderedPageBreak/>
        <w:t>This internal approach aims to deepen understanding and operationalization of gender equality, disability inclusion, and social inclusion—particularly targeting marginalized and remote communities—contributing to informed policy discussions and enhancing the strategic coherence of external initiatives.</w:t>
      </w:r>
    </w:p>
    <w:p w14:paraId="222F7EB5" w14:textId="1967C78B" w:rsidR="00FE2BB1" w:rsidRPr="003E18AD" w:rsidRDefault="00FE2BB1" w:rsidP="004F6436">
      <w:pPr>
        <w:tabs>
          <w:tab w:val="left" w:pos="284"/>
        </w:tabs>
        <w:suppressAutoHyphens w:val="0"/>
        <w:rPr>
          <w:rFonts w:eastAsia="Times New Roman" w:cs="Times New Roman"/>
          <w:sz w:val="21"/>
          <w:szCs w:val="24"/>
        </w:rPr>
      </w:pPr>
      <w:r w:rsidRPr="003E18AD">
        <w:rPr>
          <w:rFonts w:eastAsia="Times New Roman" w:cs="Times New Roman"/>
          <w:sz w:val="21"/>
          <w:szCs w:val="24"/>
        </w:rPr>
        <w:t xml:space="preserve">Each Delivery Partner will be required to develop separate </w:t>
      </w:r>
      <w:r w:rsidR="004013D7">
        <w:rPr>
          <w:rFonts w:eastAsia="Times New Roman" w:cs="Times New Roman"/>
          <w:sz w:val="21"/>
          <w:szCs w:val="24"/>
        </w:rPr>
        <w:t xml:space="preserve">GEDSI </w:t>
      </w:r>
      <w:r w:rsidRPr="003E18AD">
        <w:rPr>
          <w:rFonts w:eastAsia="Times New Roman" w:cs="Times New Roman"/>
          <w:sz w:val="21"/>
          <w:szCs w:val="24"/>
        </w:rPr>
        <w:t>analysis and</w:t>
      </w:r>
      <w:r w:rsidR="004013D7">
        <w:rPr>
          <w:rFonts w:eastAsia="Times New Roman" w:cs="Times New Roman"/>
          <w:sz w:val="21"/>
          <w:szCs w:val="24"/>
        </w:rPr>
        <w:t xml:space="preserve"> action plans specific to their Activities</w:t>
      </w:r>
      <w:r w:rsidRPr="003E18AD">
        <w:rPr>
          <w:rFonts w:eastAsia="Times New Roman" w:cs="Times New Roman"/>
          <w:sz w:val="21"/>
          <w:szCs w:val="24"/>
        </w:rPr>
        <w:t xml:space="preserve">. Local women’s organisations, OPDs and relevant civil society organisations will be consulted to understand the barriers and enablers for GEDSI relevant to each Partner. </w:t>
      </w:r>
    </w:p>
    <w:p w14:paraId="131CB8B4" w14:textId="799CAE74" w:rsidR="00FE2BB1" w:rsidRPr="003E18AD" w:rsidRDefault="00FE2BB1" w:rsidP="00AE5EBB">
      <w:pPr>
        <w:tabs>
          <w:tab w:val="left" w:pos="284"/>
        </w:tabs>
        <w:suppressAutoHyphens w:val="0"/>
        <w:rPr>
          <w:rFonts w:eastAsia="Times New Roman" w:cs="Times New Roman"/>
          <w:sz w:val="21"/>
          <w:szCs w:val="24"/>
        </w:rPr>
      </w:pPr>
      <w:r w:rsidRPr="003E18AD">
        <w:rPr>
          <w:rFonts w:eastAsia="Times New Roman" w:cs="Times New Roman"/>
          <w:sz w:val="21"/>
          <w:szCs w:val="24"/>
        </w:rPr>
        <w:t>A full</w:t>
      </w:r>
      <w:r w:rsidRPr="003E18AD">
        <w:rPr>
          <w:rFonts w:eastAsia="Times New Roman" w:cs="Times New Roman"/>
          <w:sz w:val="21"/>
          <w:szCs w:val="24"/>
        </w:rPr>
        <w:noBreakHyphen/>
        <w:t xml:space="preserve">time GEDSI Manager and supporting team </w:t>
      </w:r>
      <w:r w:rsidR="004013D7">
        <w:rPr>
          <w:rFonts w:eastAsia="Times New Roman" w:cs="Times New Roman"/>
          <w:sz w:val="21"/>
          <w:szCs w:val="24"/>
        </w:rPr>
        <w:t xml:space="preserve">within the Primary Contractor </w:t>
      </w:r>
      <w:r w:rsidRPr="003E18AD">
        <w:rPr>
          <w:rFonts w:eastAsia="Times New Roman" w:cs="Times New Roman"/>
          <w:sz w:val="21"/>
          <w:szCs w:val="24"/>
        </w:rPr>
        <w:t xml:space="preserve">will lead the implementation of the program’s </w:t>
      </w:r>
      <w:r w:rsidR="004013D7">
        <w:rPr>
          <w:rFonts w:eastAsia="Times New Roman" w:cs="Times New Roman"/>
          <w:sz w:val="21"/>
          <w:szCs w:val="24"/>
        </w:rPr>
        <w:t xml:space="preserve">GEDSI </w:t>
      </w:r>
      <w:r w:rsidRPr="003E18AD">
        <w:rPr>
          <w:rFonts w:eastAsia="Times New Roman" w:cs="Times New Roman"/>
          <w:sz w:val="21"/>
          <w:szCs w:val="24"/>
        </w:rPr>
        <w:t xml:space="preserve">approach and initiatives. The GEDSI Manager will be a member of the </w:t>
      </w:r>
      <w:r w:rsidR="004013D7">
        <w:rPr>
          <w:rFonts w:eastAsia="Times New Roman" w:cs="Times New Roman"/>
          <w:sz w:val="21"/>
          <w:szCs w:val="24"/>
        </w:rPr>
        <w:t xml:space="preserve">Partnership </w:t>
      </w:r>
      <w:r w:rsidRPr="003E18AD">
        <w:rPr>
          <w:rFonts w:eastAsia="Times New Roman" w:cs="Times New Roman"/>
          <w:sz w:val="21"/>
          <w:szCs w:val="24"/>
        </w:rPr>
        <w:t xml:space="preserve">Leadership Team to ensure </w:t>
      </w:r>
      <w:r w:rsidR="004013D7">
        <w:rPr>
          <w:rFonts w:eastAsia="Times New Roman" w:cs="Times New Roman"/>
          <w:sz w:val="21"/>
          <w:szCs w:val="24"/>
        </w:rPr>
        <w:t>GEDSI</w:t>
      </w:r>
      <w:r w:rsidRPr="003E18AD">
        <w:rPr>
          <w:rFonts w:eastAsia="Times New Roman" w:cs="Times New Roman"/>
          <w:sz w:val="21"/>
          <w:szCs w:val="24"/>
        </w:rPr>
        <w:t xml:space="preserve"> is a key consideration in program decision-making processes. A funding allocation will be allocated to support gender initiatives. </w:t>
      </w:r>
    </w:p>
    <w:p w14:paraId="06A4B79D" w14:textId="1F5D4CCD" w:rsidR="00FC20C7" w:rsidRPr="003E18AD" w:rsidRDefault="00356DA3" w:rsidP="00AE5EBB">
      <w:pPr>
        <w:tabs>
          <w:tab w:val="left" w:pos="284"/>
        </w:tabs>
        <w:suppressAutoHyphens w:val="0"/>
        <w:rPr>
          <w:rFonts w:eastAsia="Times New Roman" w:cs="Times New Roman"/>
          <w:sz w:val="21"/>
          <w:szCs w:val="24"/>
        </w:rPr>
      </w:pPr>
      <w:r w:rsidRPr="003E18AD">
        <w:rPr>
          <w:rFonts w:eastAsia="Times New Roman" w:cs="Times New Roman"/>
          <w:sz w:val="21"/>
          <w:szCs w:val="24"/>
        </w:rPr>
        <w:t>The program</w:t>
      </w:r>
      <w:r w:rsidR="00FC20C7" w:rsidRPr="003E18AD">
        <w:rPr>
          <w:rFonts w:eastAsia="Times New Roman" w:cs="Times New Roman"/>
          <w:sz w:val="21"/>
          <w:szCs w:val="24"/>
        </w:rPr>
        <w:t xml:space="preserve"> aligns with DFAT's Gender Equality Strategy </w:t>
      </w:r>
      <w:r w:rsidR="001E6CBD" w:rsidRPr="003E18AD">
        <w:rPr>
          <w:rFonts w:eastAsia="Times New Roman" w:cs="Times New Roman"/>
          <w:sz w:val="21"/>
          <w:szCs w:val="24"/>
        </w:rPr>
        <w:t>in the areas of promoting</w:t>
      </w:r>
      <w:r w:rsidR="00FC20C7" w:rsidRPr="003E18AD">
        <w:rPr>
          <w:rFonts w:eastAsia="Times New Roman" w:cs="Times New Roman"/>
          <w:sz w:val="21"/>
          <w:szCs w:val="24"/>
        </w:rPr>
        <w:t xml:space="preserve"> women's economic </w:t>
      </w:r>
      <w:r w:rsidR="001E6CBD" w:rsidRPr="003E18AD">
        <w:rPr>
          <w:rFonts w:eastAsia="Times New Roman" w:cs="Times New Roman"/>
          <w:sz w:val="21"/>
          <w:szCs w:val="24"/>
        </w:rPr>
        <w:t xml:space="preserve">equality, gender equitable climate action and support for locally led approaches to women’s leadership. The program </w:t>
      </w:r>
      <w:r w:rsidR="00FC20C7" w:rsidRPr="003E18AD">
        <w:rPr>
          <w:rFonts w:eastAsia="Times New Roman" w:cs="Times New Roman"/>
          <w:sz w:val="21"/>
          <w:szCs w:val="24"/>
        </w:rPr>
        <w:t>will support the participation of women from government agencies in the development of policies, infrastructure projects and financing by addressing factors that limit the consideration of women’s perspectives, priorities and lived experiences.</w:t>
      </w:r>
      <w:r w:rsidR="00085B35" w:rsidRPr="003E18AD">
        <w:rPr>
          <w:rFonts w:eastAsia="Times New Roman" w:cs="Times New Roman"/>
          <w:sz w:val="21"/>
          <w:szCs w:val="24"/>
        </w:rPr>
        <w:t xml:space="preserve"> The </w:t>
      </w:r>
      <w:r w:rsidR="00171330" w:rsidRPr="003E18AD">
        <w:rPr>
          <w:rFonts w:eastAsia="Times New Roman" w:cs="Times New Roman"/>
          <w:sz w:val="21"/>
          <w:szCs w:val="24"/>
        </w:rPr>
        <w:t>program has been designed with consideration to the Gender and Climate Outcomes Handbook (DFAT 2024)</w:t>
      </w:r>
      <w:r w:rsidR="00073C0C" w:rsidRPr="003E18AD">
        <w:rPr>
          <w:rFonts w:eastAsia="Times New Roman" w:cs="Times New Roman"/>
          <w:sz w:val="21"/>
          <w:szCs w:val="24"/>
        </w:rPr>
        <w:t xml:space="preserve"> and acknowledges the differentiate</w:t>
      </w:r>
      <w:r w:rsidR="007C79B6" w:rsidRPr="003E18AD">
        <w:rPr>
          <w:rFonts w:eastAsia="Times New Roman" w:cs="Times New Roman"/>
          <w:sz w:val="21"/>
          <w:szCs w:val="24"/>
        </w:rPr>
        <w:t>d</w:t>
      </w:r>
      <w:r w:rsidR="00F84433" w:rsidRPr="003E18AD">
        <w:rPr>
          <w:rFonts w:eastAsia="Times New Roman" w:cs="Times New Roman"/>
          <w:sz w:val="21"/>
          <w:szCs w:val="24"/>
        </w:rPr>
        <w:t xml:space="preserve"> climate and disaster risks and</w:t>
      </w:r>
      <w:r w:rsidR="00073C0C" w:rsidRPr="003E18AD">
        <w:rPr>
          <w:rFonts w:eastAsia="Times New Roman" w:cs="Times New Roman"/>
          <w:sz w:val="21"/>
          <w:szCs w:val="24"/>
        </w:rPr>
        <w:t xml:space="preserve"> impacts </w:t>
      </w:r>
      <w:r w:rsidR="00F84433" w:rsidRPr="003E18AD">
        <w:rPr>
          <w:rFonts w:eastAsia="Times New Roman" w:cs="Times New Roman"/>
          <w:sz w:val="21"/>
          <w:szCs w:val="24"/>
        </w:rPr>
        <w:t>on men</w:t>
      </w:r>
      <w:r w:rsidR="007C79B6" w:rsidRPr="003E18AD">
        <w:rPr>
          <w:rFonts w:eastAsia="Times New Roman" w:cs="Times New Roman"/>
          <w:sz w:val="21"/>
          <w:szCs w:val="24"/>
        </w:rPr>
        <w:t xml:space="preserve"> and</w:t>
      </w:r>
      <w:r w:rsidR="00F84433" w:rsidRPr="003E18AD">
        <w:rPr>
          <w:rFonts w:eastAsia="Times New Roman" w:cs="Times New Roman"/>
          <w:sz w:val="21"/>
          <w:szCs w:val="24"/>
        </w:rPr>
        <w:t xml:space="preserve"> women, persons with disability and other marginalised groups</w:t>
      </w:r>
      <w:r w:rsidR="007C79B6" w:rsidRPr="003E18AD">
        <w:rPr>
          <w:rFonts w:eastAsia="Times New Roman" w:cs="Times New Roman"/>
          <w:sz w:val="21"/>
          <w:szCs w:val="24"/>
        </w:rPr>
        <w:t>. The GEDSI approach</w:t>
      </w:r>
      <w:r w:rsidR="009E6EFF" w:rsidRPr="003E18AD">
        <w:rPr>
          <w:rFonts w:eastAsia="Times New Roman" w:cs="Times New Roman"/>
          <w:sz w:val="21"/>
          <w:szCs w:val="24"/>
        </w:rPr>
        <w:t xml:space="preserve"> responds to the potential for climate and disaster risks and impacts to </w:t>
      </w:r>
      <w:r w:rsidR="007C79B6" w:rsidRPr="003E18AD">
        <w:rPr>
          <w:rFonts w:eastAsia="Times New Roman" w:cs="Times New Roman"/>
          <w:sz w:val="21"/>
          <w:szCs w:val="24"/>
        </w:rPr>
        <w:t>compound existing vulnerabilities</w:t>
      </w:r>
      <w:r w:rsidR="00194F1D" w:rsidRPr="003E18AD">
        <w:rPr>
          <w:rFonts w:eastAsia="Times New Roman" w:cs="Times New Roman"/>
          <w:sz w:val="21"/>
          <w:szCs w:val="24"/>
        </w:rPr>
        <w:t>. It also builds on</w:t>
      </w:r>
      <w:r w:rsidR="0052693E" w:rsidRPr="003E18AD">
        <w:rPr>
          <w:rFonts w:eastAsia="Times New Roman" w:cs="Times New Roman"/>
          <w:sz w:val="21"/>
          <w:szCs w:val="24"/>
        </w:rPr>
        <w:t xml:space="preserve"> the opportunity for better climate and disaster response outcomes when </w:t>
      </w:r>
      <w:r w:rsidR="008D6BB5" w:rsidRPr="003E18AD">
        <w:rPr>
          <w:rFonts w:eastAsia="Times New Roman" w:cs="Times New Roman"/>
          <w:sz w:val="21"/>
          <w:szCs w:val="24"/>
        </w:rPr>
        <w:t xml:space="preserve">there </w:t>
      </w:r>
      <w:proofErr w:type="gramStart"/>
      <w:r w:rsidR="008D6BB5" w:rsidRPr="003E18AD">
        <w:rPr>
          <w:rFonts w:eastAsia="Times New Roman" w:cs="Times New Roman"/>
          <w:sz w:val="21"/>
          <w:szCs w:val="24"/>
        </w:rPr>
        <w:t>is</w:t>
      </w:r>
      <w:proofErr w:type="gramEnd"/>
      <w:r w:rsidR="008D6BB5" w:rsidRPr="003E18AD">
        <w:rPr>
          <w:rFonts w:eastAsia="Times New Roman" w:cs="Times New Roman"/>
          <w:sz w:val="21"/>
          <w:szCs w:val="24"/>
        </w:rPr>
        <w:t xml:space="preserve"> </w:t>
      </w:r>
      <w:r w:rsidR="0052693E" w:rsidRPr="003E18AD">
        <w:rPr>
          <w:rFonts w:eastAsia="Times New Roman" w:cs="Times New Roman"/>
          <w:sz w:val="21"/>
          <w:szCs w:val="24"/>
        </w:rPr>
        <w:t>diverse and inclusive</w:t>
      </w:r>
      <w:r w:rsidR="009E6EFF" w:rsidRPr="003E18AD">
        <w:rPr>
          <w:rFonts w:eastAsia="Times New Roman" w:cs="Times New Roman"/>
          <w:sz w:val="21"/>
          <w:szCs w:val="24"/>
        </w:rPr>
        <w:t xml:space="preserve"> leadership and representation</w:t>
      </w:r>
      <w:r w:rsidR="007C79B6" w:rsidRPr="003E18AD">
        <w:rPr>
          <w:rFonts w:eastAsia="Times New Roman" w:cs="Times New Roman"/>
          <w:sz w:val="21"/>
          <w:szCs w:val="24"/>
        </w:rPr>
        <w:t xml:space="preserve">. </w:t>
      </w:r>
    </w:p>
    <w:p w14:paraId="6BE3A88E" w14:textId="77777777" w:rsidR="00974D4D" w:rsidRPr="003E18AD" w:rsidRDefault="00974D4D" w:rsidP="00AE5EBB">
      <w:pPr>
        <w:tabs>
          <w:tab w:val="left" w:pos="284"/>
        </w:tabs>
        <w:suppressAutoHyphens w:val="0"/>
        <w:rPr>
          <w:rFonts w:eastAsia="Times New Roman" w:cs="Times New Roman"/>
          <w:sz w:val="21"/>
          <w:szCs w:val="24"/>
        </w:rPr>
      </w:pPr>
      <w:r w:rsidRPr="003E18AD">
        <w:rPr>
          <w:rFonts w:eastAsia="Times New Roman" w:cs="Times New Roman"/>
          <w:sz w:val="21"/>
          <w:szCs w:val="24"/>
        </w:rPr>
        <w:t>Australia has supported gender equality in Indonesia’s infrastructure sector by embedding inclusive practices across the infrastructure lifecycle. This has included influencing national policies and technical guidelines to reflect women’s needs, promoting gender-sensitive design in transport and water infrastructure, and supporting women’s participation in local planning forums. Through KIAT, Australia has integrated gender considerations into infrastructure financing tools, including PPP screening mechanisms, to ensure that projects account for inclusive consultation, employment, and respond to corporate gender policies. KINETIK has supported early work on supporting women’s participation and leadership in the energy sector as part of Indonesia’s transition to a sustainable, net-zero economy.</w:t>
      </w:r>
    </w:p>
    <w:p w14:paraId="7A8D8BE5" w14:textId="59580E51" w:rsidR="00585621" w:rsidRPr="003E18AD" w:rsidRDefault="00585621" w:rsidP="00AE5EBB">
      <w:pPr>
        <w:tabs>
          <w:tab w:val="left" w:pos="284"/>
        </w:tabs>
        <w:suppressAutoHyphens w:val="0"/>
        <w:rPr>
          <w:rFonts w:eastAsia="Times New Roman" w:cs="Times New Roman"/>
          <w:sz w:val="21"/>
          <w:szCs w:val="24"/>
        </w:rPr>
      </w:pPr>
      <w:r w:rsidRPr="003E18AD">
        <w:rPr>
          <w:rFonts w:eastAsia="Times New Roman" w:cs="Times New Roman"/>
          <w:sz w:val="21"/>
          <w:szCs w:val="24"/>
        </w:rPr>
        <w:t>Consultations and gender analysis conducted as part of the design</w:t>
      </w:r>
      <w:r w:rsidR="005008E5" w:rsidRPr="003E18AD">
        <w:rPr>
          <w:rFonts w:eastAsia="Times New Roman" w:cs="Times New Roman"/>
          <w:sz w:val="21"/>
          <w:szCs w:val="24"/>
        </w:rPr>
        <w:t xml:space="preserve"> however</w:t>
      </w:r>
      <w:r w:rsidRPr="003E18AD">
        <w:rPr>
          <w:rFonts w:eastAsia="Times New Roman" w:cs="Times New Roman"/>
          <w:sz w:val="21"/>
          <w:szCs w:val="24"/>
        </w:rPr>
        <w:t xml:space="preserve"> identified critical gaps that directly shaped </w:t>
      </w:r>
      <w:r w:rsidR="00C34050" w:rsidRPr="003E18AD">
        <w:rPr>
          <w:rFonts w:eastAsia="Times New Roman" w:cs="Times New Roman"/>
          <w:sz w:val="21"/>
          <w:szCs w:val="24"/>
        </w:rPr>
        <w:t xml:space="preserve">the </w:t>
      </w:r>
      <w:r w:rsidRPr="003E18AD">
        <w:rPr>
          <w:rFonts w:eastAsia="Times New Roman" w:cs="Times New Roman"/>
          <w:sz w:val="21"/>
          <w:szCs w:val="24"/>
        </w:rPr>
        <w:t xml:space="preserve">program design including women's limited participation in climate finance decision-making, restricted access to capital for women-led businesses, and insufficient integration of gender considerations in climate policy. While women own nearly 60% of Indonesia's micro, small, and medium enterprises, they face significant barriers accessing capital and scaling businesses in climate technology sectors. Additionally, women constitute only 6.8% of Indonesia's construction workforce and are underrepresented in infrastructure related ministry leadership positions (e.g. 30% of Ministry of Public Works staff, 3% at Echelon I level). </w:t>
      </w:r>
    </w:p>
    <w:p w14:paraId="2EA6DD61" w14:textId="1F236D16" w:rsidR="005008E5" w:rsidRPr="003E18AD" w:rsidRDefault="005008E5" w:rsidP="00AE5EBB">
      <w:pPr>
        <w:tabs>
          <w:tab w:val="left" w:pos="284"/>
        </w:tabs>
        <w:suppressAutoHyphens w:val="0"/>
        <w:rPr>
          <w:rFonts w:eastAsia="Times New Roman" w:cs="Times New Roman"/>
          <w:sz w:val="21"/>
          <w:szCs w:val="24"/>
        </w:rPr>
      </w:pPr>
      <w:r w:rsidRPr="003E18AD">
        <w:rPr>
          <w:rFonts w:eastAsia="Times New Roman" w:cs="Times New Roman"/>
          <w:sz w:val="21"/>
          <w:szCs w:val="24"/>
        </w:rPr>
        <w:t>Building on this and lessons from Australia’s support to the infrastructure sector, the program will strengthen institutional capacity to apply gender equality principles more systematically, scale performance-based incentives that reward inclusive outcomes, and embed gender considerations earlier in project preparation and public investment planning. Australia’s continued support will help ensure that infrastructure investments actively contribute to women’s empowerment, equitable access, and long-term social and economic outcomes.</w:t>
      </w:r>
    </w:p>
    <w:p w14:paraId="0A4BA23F" w14:textId="57F0B861" w:rsidR="00FC20C7" w:rsidRPr="003E18AD" w:rsidRDefault="005008E5" w:rsidP="00AE5EBB">
      <w:pPr>
        <w:tabs>
          <w:tab w:val="left" w:pos="284"/>
        </w:tabs>
        <w:suppressAutoHyphens w:val="0"/>
        <w:rPr>
          <w:rFonts w:eastAsia="Times New Roman" w:cs="Times New Roman"/>
          <w:sz w:val="21"/>
          <w:szCs w:val="21"/>
        </w:rPr>
      </w:pPr>
      <w:r w:rsidRPr="50C8EA8D">
        <w:rPr>
          <w:rFonts w:eastAsia="Times New Roman" w:cs="Times New Roman"/>
          <w:sz w:val="21"/>
          <w:szCs w:val="21"/>
        </w:rPr>
        <w:t xml:space="preserve">Other </w:t>
      </w:r>
      <w:r w:rsidR="00576865" w:rsidRPr="50C8EA8D">
        <w:rPr>
          <w:rFonts w:eastAsia="Times New Roman" w:cs="Times New Roman"/>
          <w:sz w:val="21"/>
          <w:szCs w:val="21"/>
        </w:rPr>
        <w:t xml:space="preserve">gender </w:t>
      </w:r>
      <w:r w:rsidR="00585621" w:rsidRPr="50C8EA8D">
        <w:rPr>
          <w:rFonts w:eastAsia="Times New Roman" w:cs="Times New Roman"/>
          <w:sz w:val="21"/>
          <w:szCs w:val="21"/>
        </w:rPr>
        <w:t xml:space="preserve">entry points </w:t>
      </w:r>
      <w:r w:rsidR="00FC20C7" w:rsidRPr="50C8EA8D">
        <w:rPr>
          <w:rFonts w:eastAsia="Times New Roman" w:cs="Times New Roman"/>
          <w:sz w:val="21"/>
          <w:szCs w:val="21"/>
        </w:rPr>
        <w:t xml:space="preserve">include </w:t>
      </w:r>
      <w:r w:rsidR="00612CF8" w:rsidRPr="50C8EA8D">
        <w:rPr>
          <w:rFonts w:eastAsia="Times New Roman" w:cs="Times New Roman"/>
          <w:sz w:val="21"/>
          <w:szCs w:val="21"/>
        </w:rPr>
        <w:t xml:space="preserve">building on KIAT’s GESIT model to support the selection of infrastructure investment proposals in terms of their potential contribution to the goals of gender equality and social inclusion. </w:t>
      </w:r>
      <w:r w:rsidR="00075763" w:rsidRPr="50C8EA8D">
        <w:rPr>
          <w:rFonts w:eastAsia="Times New Roman" w:cs="Times New Roman"/>
          <w:sz w:val="21"/>
          <w:szCs w:val="21"/>
        </w:rPr>
        <w:t>The aim is to enable more</w:t>
      </w:r>
      <w:r w:rsidR="00612CF8" w:rsidRPr="50C8EA8D">
        <w:rPr>
          <w:rFonts w:eastAsia="Times New Roman" w:cs="Times New Roman"/>
          <w:sz w:val="21"/>
          <w:szCs w:val="21"/>
        </w:rPr>
        <w:t xml:space="preserve"> effective participation of women in planning and monitoring </w:t>
      </w:r>
      <w:r w:rsidR="00AA0E9A" w:rsidRPr="50C8EA8D">
        <w:rPr>
          <w:rFonts w:eastAsia="Times New Roman" w:cs="Times New Roman"/>
          <w:sz w:val="21"/>
          <w:szCs w:val="21"/>
        </w:rPr>
        <w:t>infrastructure and</w:t>
      </w:r>
      <w:r w:rsidR="00075763" w:rsidRPr="50C8EA8D">
        <w:rPr>
          <w:rFonts w:eastAsia="Times New Roman" w:cs="Times New Roman"/>
          <w:sz w:val="21"/>
          <w:szCs w:val="21"/>
        </w:rPr>
        <w:t xml:space="preserve"> providing</w:t>
      </w:r>
      <w:r w:rsidR="00612CF8" w:rsidRPr="50C8EA8D">
        <w:rPr>
          <w:rFonts w:eastAsia="Times New Roman" w:cs="Times New Roman"/>
          <w:sz w:val="21"/>
          <w:szCs w:val="21"/>
        </w:rPr>
        <w:t xml:space="preserve"> employment opportunities.</w:t>
      </w:r>
      <w:r w:rsidR="00075763" w:rsidRPr="50C8EA8D">
        <w:rPr>
          <w:rFonts w:eastAsia="Times New Roman" w:cs="Times New Roman"/>
          <w:sz w:val="21"/>
          <w:szCs w:val="21"/>
        </w:rPr>
        <w:t xml:space="preserve"> Additionally, </w:t>
      </w:r>
      <w:r w:rsidR="00FC20C7" w:rsidRPr="50C8EA8D">
        <w:rPr>
          <w:rFonts w:eastAsia="Times New Roman" w:cs="Times New Roman"/>
          <w:sz w:val="21"/>
          <w:szCs w:val="21"/>
        </w:rPr>
        <w:t>collaborating with the Financial Services Authority (OJK) and other stakeholders to embed GEDSI and climate components within loan agreements with private sector banks</w:t>
      </w:r>
      <w:r w:rsidR="00C34050" w:rsidRPr="50C8EA8D">
        <w:rPr>
          <w:rFonts w:eastAsia="Times New Roman" w:cs="Times New Roman"/>
          <w:sz w:val="21"/>
          <w:szCs w:val="21"/>
        </w:rPr>
        <w:t xml:space="preserve">. </w:t>
      </w:r>
      <w:r w:rsidR="00FC20C7" w:rsidRPr="50C8EA8D">
        <w:rPr>
          <w:rFonts w:eastAsia="Times New Roman" w:cs="Times New Roman"/>
          <w:sz w:val="21"/>
          <w:szCs w:val="21"/>
        </w:rPr>
        <w:t xml:space="preserve">Additionally, knowledge-sharing between Australian private sector entities and Indonesian counterparts will be prioritized to foster mutual learning to promote inclusive finance and development practices and to enhance Indonesia’s private sector capacities to the next level. </w:t>
      </w:r>
    </w:p>
    <w:p w14:paraId="28260190" w14:textId="7A27DA91" w:rsidR="007E00B6" w:rsidRPr="003E18AD" w:rsidRDefault="00A32858" w:rsidP="00D2498B">
      <w:pPr>
        <w:pStyle w:val="Heading2"/>
      </w:pPr>
      <w:bookmarkStart w:id="438" w:name="_Toc216260425"/>
      <w:bookmarkStart w:id="439" w:name="_Toc216270689"/>
      <w:r w:rsidRPr="003E18AD">
        <w:lastRenderedPageBreak/>
        <w:t xml:space="preserve">Disability </w:t>
      </w:r>
      <w:r w:rsidR="00F2612C">
        <w:t>i</w:t>
      </w:r>
      <w:r w:rsidRPr="003E18AD">
        <w:t>nclusiveness</w:t>
      </w:r>
      <w:bookmarkEnd w:id="438"/>
      <w:bookmarkEnd w:id="439"/>
    </w:p>
    <w:p w14:paraId="2CE10AE6" w14:textId="77777777" w:rsidR="00E806FE" w:rsidRPr="003E18AD" w:rsidRDefault="00E806FE" w:rsidP="00AE5EBB">
      <w:pPr>
        <w:tabs>
          <w:tab w:val="left" w:pos="284"/>
        </w:tabs>
        <w:suppressAutoHyphens w:val="0"/>
        <w:rPr>
          <w:rFonts w:eastAsia="Times New Roman" w:cs="Times New Roman"/>
          <w:sz w:val="21"/>
          <w:szCs w:val="24"/>
        </w:rPr>
      </w:pPr>
      <w:r w:rsidRPr="003E18AD">
        <w:rPr>
          <w:rFonts w:eastAsia="Times New Roman" w:cs="Times New Roman"/>
          <w:sz w:val="21"/>
          <w:szCs w:val="24"/>
        </w:rPr>
        <w:t xml:space="preserve">In Indonesia, disability inclusion in infrastructure remains underdeveloped with gaps in design, participation, financing, institutional capacity, and enforcement. Key challenges include a widespread absence of universal design in planning and construction, resulting in infrastructure that is physically inaccessible for people with disabilities (i.e. lack of ramps, elevators, accessible toilets and tactile signage). Participation of persons with disabilities in planning and decision-making processes is often limited or tokenistic, with their needs treated as secondary or add-ons rather than being embedded from the outset. Institutional capacity remains weak, with many government and private sector actors lacking the knowledge, tools, and accountability mechanisms to deliver accessible infrastructure. Financing systems rarely include strong disability inclusion criteria, and there is a lack of disaggregated data to inform inclusive planning or track usage by people with disabilities. Even when inclusive elements are planned, they are frequently not implemented due to weak enforcement and low prioritisation during delivery. </w:t>
      </w:r>
    </w:p>
    <w:p w14:paraId="506BF74A" w14:textId="77777777" w:rsidR="00E806FE" w:rsidRPr="003E18AD" w:rsidRDefault="00E806FE" w:rsidP="00AE5EBB">
      <w:pPr>
        <w:tabs>
          <w:tab w:val="left" w:pos="284"/>
        </w:tabs>
        <w:suppressAutoHyphens w:val="0"/>
        <w:rPr>
          <w:rFonts w:eastAsia="Times New Roman" w:cs="Times New Roman"/>
          <w:sz w:val="21"/>
          <w:szCs w:val="24"/>
        </w:rPr>
      </w:pPr>
      <w:r w:rsidRPr="003E18AD">
        <w:rPr>
          <w:rFonts w:eastAsia="Times New Roman" w:cs="Times New Roman"/>
          <w:sz w:val="21"/>
          <w:szCs w:val="24"/>
        </w:rPr>
        <w:t xml:space="preserve">Climate change poses heightened risks for people with disabilities, but the intersection of climate and disability remains underdeveloped in infrastructure policy, practice and financing. Climate-resilient infrastructure such as transport and water systems needs to better consider the specific vulnerabilities and access needs of people with disabilities, particularly in emergencies, which is not consistently addressed in planning or implementation. </w:t>
      </w:r>
    </w:p>
    <w:p w14:paraId="58FAB4A3" w14:textId="751A17EA" w:rsidR="00E806FE" w:rsidRPr="003E18AD" w:rsidRDefault="00E806FE" w:rsidP="00AE5EBB">
      <w:pPr>
        <w:tabs>
          <w:tab w:val="left" w:pos="284"/>
        </w:tabs>
        <w:suppressAutoHyphens w:val="0"/>
        <w:rPr>
          <w:rFonts w:eastAsia="Times New Roman" w:cs="Times New Roman"/>
          <w:sz w:val="21"/>
          <w:szCs w:val="24"/>
        </w:rPr>
      </w:pPr>
      <w:r w:rsidRPr="003E18AD">
        <w:rPr>
          <w:rFonts w:eastAsia="Times New Roman" w:cs="Times New Roman"/>
          <w:sz w:val="21"/>
          <w:szCs w:val="24"/>
        </w:rPr>
        <w:t xml:space="preserve">This design builds on the disability inclusion efforts of KIAT and KINETIK while creating space for new, system-strengthening approaches. A key focus will be on inclusive climate finance, addressing the current gaps in financing mechanisms and project preparation tools that often overlook the needs of persons with disabilities. Consultations identified significant opportunities to strengthen safeguards, screening tools, and institutional capacity to ensure disability inclusion is integral to climate adaptation and infrastructure resilience. The program can support GOI </w:t>
      </w:r>
      <w:r w:rsidR="0001462D">
        <w:rPr>
          <w:rFonts w:eastAsia="Times New Roman" w:cs="Times New Roman"/>
          <w:sz w:val="21"/>
          <w:szCs w:val="24"/>
        </w:rPr>
        <w:t>to</w:t>
      </w:r>
      <w:r w:rsidRPr="003E18AD">
        <w:rPr>
          <w:rFonts w:eastAsia="Times New Roman" w:cs="Times New Roman"/>
          <w:sz w:val="21"/>
          <w:szCs w:val="24"/>
        </w:rPr>
        <w:t xml:space="preserve"> embed universal design principles in infrastructure planning and standards, ensuring accessibility is incorporated from the outset. It will also promote meaningful participation by formalising engagement with persons with disabilities in program decision-making </w:t>
      </w:r>
      <w:proofErr w:type="gramStart"/>
      <w:r w:rsidRPr="003E18AD">
        <w:rPr>
          <w:rFonts w:eastAsia="Times New Roman" w:cs="Times New Roman"/>
          <w:sz w:val="21"/>
          <w:szCs w:val="24"/>
        </w:rPr>
        <w:t>processes, and</w:t>
      </w:r>
      <w:proofErr w:type="gramEnd"/>
      <w:r w:rsidRPr="003E18AD">
        <w:rPr>
          <w:rFonts w:eastAsia="Times New Roman" w:cs="Times New Roman"/>
          <w:sz w:val="21"/>
          <w:szCs w:val="24"/>
        </w:rPr>
        <w:t xml:space="preserve"> build program capability through targeted training and the integration of disability expertise within the program team. Support will aim to embed disability inclusion in public investment and financing systems.</w:t>
      </w:r>
    </w:p>
    <w:p w14:paraId="24F0BA7E" w14:textId="7951DEEA" w:rsidR="00E806FE" w:rsidRPr="003E18AD" w:rsidRDefault="00E806FE" w:rsidP="00AE5EBB">
      <w:pPr>
        <w:tabs>
          <w:tab w:val="left" w:pos="284"/>
        </w:tabs>
        <w:suppressAutoHyphens w:val="0"/>
        <w:rPr>
          <w:rFonts w:eastAsia="Times New Roman" w:cs="Times New Roman"/>
          <w:sz w:val="21"/>
          <w:szCs w:val="24"/>
        </w:rPr>
      </w:pPr>
      <w:r w:rsidRPr="003E18AD">
        <w:rPr>
          <w:rFonts w:eastAsia="Times New Roman" w:cs="Times New Roman"/>
          <w:sz w:val="21"/>
          <w:szCs w:val="24"/>
        </w:rPr>
        <w:t xml:space="preserve">Consultation was undertaken with </w:t>
      </w:r>
      <w:r w:rsidR="00D0762A">
        <w:rPr>
          <w:rFonts w:eastAsia="Times New Roman" w:cs="Times New Roman"/>
          <w:sz w:val="21"/>
          <w:szCs w:val="24"/>
        </w:rPr>
        <w:t>OPDs</w:t>
      </w:r>
      <w:r w:rsidRPr="003E18AD">
        <w:rPr>
          <w:rFonts w:eastAsia="Times New Roman" w:cs="Times New Roman"/>
          <w:sz w:val="21"/>
          <w:szCs w:val="24"/>
        </w:rPr>
        <w:t xml:space="preserve"> in development of this design. There is clear and intentional integration of Australia’s disability strategy throughout the program logic at activity and outcomes levels.</w:t>
      </w:r>
      <w:r w:rsidR="0026130E">
        <w:rPr>
          <w:rFonts w:eastAsia="Times New Roman" w:cs="Times New Roman"/>
          <w:sz w:val="21"/>
          <w:szCs w:val="24"/>
        </w:rPr>
        <w:t xml:space="preserve"> Efforts will be made to enable participation of </w:t>
      </w:r>
      <w:r w:rsidR="00D0762A">
        <w:rPr>
          <w:rFonts w:eastAsia="Times New Roman" w:cs="Times New Roman"/>
          <w:sz w:val="21"/>
          <w:szCs w:val="24"/>
        </w:rPr>
        <w:t xml:space="preserve">OPD </w:t>
      </w:r>
      <w:r w:rsidR="0026130E">
        <w:rPr>
          <w:rFonts w:eastAsia="Times New Roman" w:cs="Times New Roman"/>
          <w:sz w:val="21"/>
          <w:szCs w:val="24"/>
        </w:rPr>
        <w:t xml:space="preserve">representatives in governance structures. </w:t>
      </w:r>
      <w:r w:rsidR="00C92510" w:rsidRPr="003E18AD">
        <w:rPr>
          <w:rFonts w:eastAsia="Times New Roman" w:cs="Times New Roman"/>
          <w:sz w:val="21"/>
          <w:szCs w:val="24"/>
        </w:rPr>
        <w:t xml:space="preserve"> </w:t>
      </w:r>
      <w:r w:rsidRPr="003E18AD">
        <w:rPr>
          <w:rFonts w:eastAsia="Times New Roman" w:cs="Times New Roman"/>
          <w:sz w:val="21"/>
          <w:szCs w:val="24"/>
        </w:rPr>
        <w:t xml:space="preserve">A small grants scheme will provide funds to build the capacity of people with disabilities to participate in governance and management of infrastructure planning and delivery, as well as to undertake their own community-based activities. A full-time disability inclusion team member will support efforts to operationalise the disability inclusion components of the GEDSI Action Plan. </w:t>
      </w:r>
      <w:r w:rsidR="00B31A31">
        <w:rPr>
          <w:rFonts w:eastAsia="Times New Roman" w:cs="Times New Roman"/>
          <w:sz w:val="21"/>
          <w:szCs w:val="24"/>
        </w:rPr>
        <w:t xml:space="preserve"> The Disability Equality Marker will be incorporated into the MERL MIS system.</w:t>
      </w:r>
    </w:p>
    <w:p w14:paraId="422F2F1E" w14:textId="5CFD035A" w:rsidR="00E806FE" w:rsidRPr="003E18AD" w:rsidRDefault="00E806FE" w:rsidP="00D2498B">
      <w:pPr>
        <w:pStyle w:val="Heading2"/>
      </w:pPr>
      <w:bookmarkStart w:id="440" w:name="_Toc216260426"/>
      <w:bookmarkStart w:id="441" w:name="_Toc216270690"/>
      <w:r w:rsidRPr="003E18AD">
        <w:t xml:space="preserve">Social </w:t>
      </w:r>
      <w:r w:rsidR="00F2612C">
        <w:t>i</w:t>
      </w:r>
      <w:r w:rsidRPr="003E18AD">
        <w:t>nclusion</w:t>
      </w:r>
      <w:bookmarkEnd w:id="440"/>
      <w:bookmarkEnd w:id="441"/>
      <w:r w:rsidRPr="003E18AD">
        <w:t xml:space="preserve"> </w:t>
      </w:r>
    </w:p>
    <w:p w14:paraId="272F6658" w14:textId="77777777" w:rsidR="00E806FE" w:rsidRPr="003E18AD" w:rsidRDefault="00E806FE" w:rsidP="00E17732">
      <w:pPr>
        <w:tabs>
          <w:tab w:val="left" w:pos="284"/>
        </w:tabs>
        <w:suppressAutoHyphens w:val="0"/>
        <w:spacing w:line="260" w:lineRule="exact"/>
        <w:rPr>
          <w:rFonts w:eastAsia="Times New Roman" w:cs="Times New Roman"/>
          <w:sz w:val="21"/>
          <w:szCs w:val="24"/>
        </w:rPr>
      </w:pPr>
      <w:r w:rsidRPr="003E18AD">
        <w:rPr>
          <w:rFonts w:eastAsia="Times New Roman" w:cs="Times New Roman"/>
          <w:sz w:val="21"/>
          <w:szCs w:val="24"/>
        </w:rPr>
        <w:t xml:space="preserve">Social inclusion refers to the meaningful participation of marginalised groups who are often excluded from decision-making processes that directly affect their lives. This includes the poorest communities, traditional or </w:t>
      </w:r>
      <w:proofErr w:type="spellStart"/>
      <w:r w:rsidRPr="007F0EEE">
        <w:rPr>
          <w:rFonts w:eastAsia="Times New Roman" w:cs="Times New Roman"/>
          <w:i/>
          <w:iCs/>
          <w:sz w:val="21"/>
          <w:szCs w:val="24"/>
        </w:rPr>
        <w:t>adat</w:t>
      </w:r>
      <w:proofErr w:type="spellEnd"/>
      <w:r w:rsidRPr="003E18AD">
        <w:rPr>
          <w:rFonts w:eastAsia="Times New Roman" w:cs="Times New Roman"/>
          <w:sz w:val="21"/>
          <w:szCs w:val="24"/>
        </w:rPr>
        <w:t xml:space="preserve"> groups, displaced populations, and those living in remote or geographically disadvantaged areas. These groups typically face significant barriers to accessing resources, services, and influence, reinforcing cycles of poverty and exclusion.</w:t>
      </w:r>
    </w:p>
    <w:p w14:paraId="60760CA4" w14:textId="71C2E427" w:rsidR="00E806FE" w:rsidRDefault="00E806FE" w:rsidP="00E17732">
      <w:pPr>
        <w:tabs>
          <w:tab w:val="left" w:pos="284"/>
        </w:tabs>
        <w:suppressAutoHyphens w:val="0"/>
        <w:spacing w:line="260" w:lineRule="exact"/>
        <w:rPr>
          <w:rFonts w:eastAsia="Times New Roman" w:cs="Times New Roman"/>
          <w:sz w:val="21"/>
          <w:szCs w:val="24"/>
        </w:rPr>
      </w:pPr>
      <w:r w:rsidRPr="003E18AD">
        <w:rPr>
          <w:rFonts w:eastAsia="Times New Roman" w:cs="Times New Roman"/>
          <w:sz w:val="21"/>
          <w:szCs w:val="24"/>
        </w:rPr>
        <w:t>Infrastructure projects, particularly those affecting traditional communities, must balance the rights, cultures, and environmental connections of marginalised groups with economic outcomes. Inclusive planning processes,</w:t>
      </w:r>
      <w:r w:rsidR="00EB0CB8">
        <w:rPr>
          <w:rFonts w:eastAsia="Times New Roman" w:cs="Times New Roman"/>
          <w:sz w:val="21"/>
          <w:szCs w:val="24"/>
        </w:rPr>
        <w:t xml:space="preserve"> </w:t>
      </w:r>
      <w:r w:rsidRPr="003E18AD">
        <w:rPr>
          <w:rFonts w:eastAsia="Times New Roman" w:cs="Times New Roman"/>
          <w:sz w:val="21"/>
          <w:szCs w:val="24"/>
        </w:rPr>
        <w:t xml:space="preserve">respect for land tenure, and culturally sensitive design are essential to prevent harm and ensure equitable benefits to these groups. For the program, traditional knowledge systems offer valuable insights for climate adaptation and environmental stewardship. Opportunities for collaboration exist, such as integrating DFAT-funded </w:t>
      </w:r>
      <w:r w:rsidR="00EA24DF">
        <w:rPr>
          <w:rFonts w:eastAsia="Times New Roman" w:cs="Times New Roman"/>
          <w:sz w:val="21"/>
          <w:szCs w:val="24"/>
        </w:rPr>
        <w:t xml:space="preserve">World Bank’s </w:t>
      </w:r>
      <w:r w:rsidRPr="003E18AD">
        <w:rPr>
          <w:rFonts w:eastAsia="Times New Roman" w:cs="Times New Roman"/>
          <w:sz w:val="21"/>
          <w:szCs w:val="24"/>
        </w:rPr>
        <w:t>work on land documentation and aligning with programs like SIAP-SIAGA to strengthen disaster risk reduction approaches.</w:t>
      </w:r>
    </w:p>
    <w:p w14:paraId="3E3C124E" w14:textId="52E9C652" w:rsidR="00AF798F" w:rsidRPr="003E18AD" w:rsidRDefault="00AF798F" w:rsidP="00D2498B">
      <w:pPr>
        <w:pStyle w:val="Heading2"/>
      </w:pPr>
      <w:bookmarkStart w:id="442" w:name="_Toc216260427"/>
      <w:bookmarkStart w:id="443" w:name="_Toc216270691"/>
      <w:r w:rsidRPr="003E18AD">
        <w:lastRenderedPageBreak/>
        <w:t xml:space="preserve">Climate </w:t>
      </w:r>
      <w:r w:rsidR="00F2612C">
        <w:t>c</w:t>
      </w:r>
      <w:r w:rsidRPr="003E18AD">
        <w:t>hange</w:t>
      </w:r>
      <w:bookmarkEnd w:id="442"/>
      <w:bookmarkEnd w:id="443"/>
    </w:p>
    <w:p w14:paraId="21971D05" w14:textId="2F44EADF" w:rsidR="00AF798F" w:rsidRPr="003E18AD" w:rsidRDefault="00AF798F" w:rsidP="00AF798F">
      <w:pPr>
        <w:tabs>
          <w:tab w:val="left" w:pos="284"/>
        </w:tabs>
        <w:suppressAutoHyphens w:val="0"/>
        <w:spacing w:line="260" w:lineRule="exact"/>
        <w:rPr>
          <w:rFonts w:eastAsia="Times New Roman" w:cs="Times New Roman"/>
          <w:sz w:val="21"/>
          <w:szCs w:val="24"/>
        </w:rPr>
      </w:pPr>
      <w:r w:rsidRPr="003E18AD">
        <w:rPr>
          <w:rFonts w:eastAsia="Times New Roman" w:cs="Times New Roman"/>
          <w:sz w:val="21"/>
          <w:szCs w:val="24"/>
        </w:rPr>
        <w:t xml:space="preserve">The program has a direct focus on climate change, </w:t>
      </w:r>
      <w:r>
        <w:rPr>
          <w:rFonts w:eastAsia="Times New Roman" w:cs="Times New Roman"/>
          <w:sz w:val="21"/>
          <w:szCs w:val="24"/>
        </w:rPr>
        <w:t xml:space="preserve">which is </w:t>
      </w:r>
      <w:r w:rsidRPr="003E18AD">
        <w:rPr>
          <w:rFonts w:eastAsia="Times New Roman" w:cs="Times New Roman"/>
          <w:sz w:val="21"/>
          <w:szCs w:val="24"/>
        </w:rPr>
        <w:t>fully integrated into the program logic, management and implementation arrangements. (Earlier sections provide the analysis, justification and approach to climate activities and climate financing)</w:t>
      </w:r>
      <w:r>
        <w:rPr>
          <w:rFonts w:eastAsia="Times New Roman" w:cs="Times New Roman"/>
          <w:sz w:val="21"/>
          <w:szCs w:val="24"/>
        </w:rPr>
        <w:t xml:space="preserve">. </w:t>
      </w:r>
      <w:r w:rsidRPr="003E18AD">
        <w:rPr>
          <w:rFonts w:eastAsia="Times New Roman" w:cs="Times New Roman"/>
          <w:sz w:val="21"/>
          <w:szCs w:val="24"/>
        </w:rPr>
        <w:t xml:space="preserve"> A climate change </w:t>
      </w:r>
      <w:r>
        <w:rPr>
          <w:rFonts w:eastAsia="Times New Roman" w:cs="Times New Roman"/>
          <w:sz w:val="21"/>
          <w:szCs w:val="24"/>
        </w:rPr>
        <w:t xml:space="preserve">and disaster risk resilience </w:t>
      </w:r>
      <w:r w:rsidRPr="003E18AD">
        <w:rPr>
          <w:rFonts w:eastAsia="Times New Roman" w:cs="Times New Roman"/>
          <w:sz w:val="21"/>
          <w:szCs w:val="24"/>
        </w:rPr>
        <w:t xml:space="preserve">strategy will be developed </w:t>
      </w:r>
      <w:r>
        <w:rPr>
          <w:rFonts w:eastAsia="Times New Roman" w:cs="Times New Roman"/>
          <w:sz w:val="21"/>
          <w:szCs w:val="24"/>
        </w:rPr>
        <w:t xml:space="preserve">during the Inception Phase </w:t>
      </w:r>
      <w:r w:rsidRPr="003E18AD">
        <w:rPr>
          <w:rFonts w:eastAsia="Times New Roman" w:cs="Times New Roman"/>
          <w:sz w:val="21"/>
          <w:szCs w:val="24"/>
        </w:rPr>
        <w:t xml:space="preserve">to define the approach </w:t>
      </w:r>
      <w:r>
        <w:rPr>
          <w:rFonts w:eastAsia="Times New Roman" w:cs="Times New Roman"/>
          <w:sz w:val="21"/>
          <w:szCs w:val="24"/>
        </w:rPr>
        <w:t xml:space="preserve">and to </w:t>
      </w:r>
      <w:r w:rsidRPr="003E18AD">
        <w:rPr>
          <w:rFonts w:eastAsia="Times New Roman" w:cs="Times New Roman"/>
          <w:sz w:val="21"/>
          <w:szCs w:val="24"/>
        </w:rPr>
        <w:t xml:space="preserve">ensure climate change mitigation, adaptation, disaster risk and resilience are a core objective of all activities under the program and comprehensively integrated into all activities under the program, including where they are not the primary objective of the activity. It will </w:t>
      </w:r>
      <w:r>
        <w:rPr>
          <w:rFonts w:eastAsia="Times New Roman" w:cs="Times New Roman"/>
          <w:sz w:val="21"/>
          <w:szCs w:val="24"/>
        </w:rPr>
        <w:t>p</w:t>
      </w:r>
      <w:r w:rsidRPr="003E18AD">
        <w:rPr>
          <w:rFonts w:eastAsia="Times New Roman" w:cs="Times New Roman"/>
          <w:sz w:val="21"/>
          <w:szCs w:val="24"/>
        </w:rPr>
        <w:t xml:space="preserve">rovide operational guidance to ensure the achievement of the climate change ambition and consistent application of principles across the investment through both external and internally focus. The strategy will be finalised in consultation with DFAT, including through support from </w:t>
      </w:r>
      <w:r w:rsidR="00B94218">
        <w:rPr>
          <w:rFonts w:eastAsia="Times New Roman" w:cs="Times New Roman"/>
          <w:sz w:val="21"/>
          <w:szCs w:val="24"/>
        </w:rPr>
        <w:t xml:space="preserve">DFAT’s Climate Resilient Community </w:t>
      </w:r>
      <w:r w:rsidR="00D03FA9">
        <w:rPr>
          <w:rFonts w:eastAsia="Times New Roman" w:cs="Times New Roman"/>
          <w:sz w:val="21"/>
          <w:szCs w:val="24"/>
        </w:rPr>
        <w:t xml:space="preserve">Support Unit </w:t>
      </w:r>
      <w:r w:rsidR="00B94218">
        <w:rPr>
          <w:rFonts w:eastAsia="Times New Roman" w:cs="Times New Roman"/>
          <w:sz w:val="21"/>
          <w:szCs w:val="24"/>
        </w:rPr>
        <w:t>(</w:t>
      </w:r>
      <w:r w:rsidRPr="003E18AD">
        <w:rPr>
          <w:rFonts w:eastAsia="Times New Roman" w:cs="Times New Roman"/>
          <w:sz w:val="21"/>
          <w:szCs w:val="24"/>
        </w:rPr>
        <w:t>CRC</w:t>
      </w:r>
      <w:r w:rsidR="00D03FA9">
        <w:rPr>
          <w:rFonts w:eastAsia="Times New Roman" w:cs="Times New Roman"/>
          <w:sz w:val="21"/>
          <w:szCs w:val="24"/>
        </w:rPr>
        <w:t>SU</w:t>
      </w:r>
      <w:r w:rsidR="00B94218">
        <w:rPr>
          <w:rFonts w:eastAsia="Times New Roman" w:cs="Times New Roman"/>
          <w:sz w:val="21"/>
          <w:szCs w:val="24"/>
        </w:rPr>
        <w:t xml:space="preserve">) </w:t>
      </w:r>
      <w:r w:rsidRPr="003E18AD">
        <w:rPr>
          <w:rFonts w:eastAsia="Times New Roman" w:cs="Times New Roman"/>
          <w:sz w:val="21"/>
          <w:szCs w:val="24"/>
        </w:rPr>
        <w:t>if required</w:t>
      </w:r>
      <w:r w:rsidR="00A800A8">
        <w:rPr>
          <w:rFonts w:eastAsia="Times New Roman" w:cs="Times New Roman"/>
          <w:sz w:val="21"/>
          <w:szCs w:val="24"/>
        </w:rPr>
        <w:t>,</w:t>
      </w:r>
      <w:r w:rsidRPr="003E18AD">
        <w:rPr>
          <w:rFonts w:eastAsia="Times New Roman" w:cs="Times New Roman"/>
          <w:sz w:val="21"/>
          <w:szCs w:val="24"/>
        </w:rPr>
        <w:t xml:space="preserve"> and will cover key definitions, principles, processes (e.g. risk screening, climate investment criteria), climate-GEDSI nexus and alignment with GEDSI processes. </w:t>
      </w:r>
    </w:p>
    <w:p w14:paraId="33B677F5" w14:textId="6363DF2B" w:rsidR="006B3678" w:rsidRPr="003E18AD" w:rsidRDefault="00AF798F" w:rsidP="00E17732">
      <w:pPr>
        <w:tabs>
          <w:tab w:val="left" w:pos="284"/>
        </w:tabs>
        <w:suppressAutoHyphens w:val="0"/>
        <w:spacing w:line="260" w:lineRule="exact"/>
        <w:rPr>
          <w:rFonts w:eastAsia="Times New Roman" w:cs="Times New Roman"/>
          <w:sz w:val="21"/>
          <w:szCs w:val="24"/>
        </w:rPr>
      </w:pPr>
      <w:r w:rsidRPr="003E18AD">
        <w:rPr>
          <w:rFonts w:eastAsia="Times New Roman" w:cs="Times New Roman"/>
          <w:sz w:val="21"/>
          <w:szCs w:val="24"/>
        </w:rPr>
        <w:t>It is anticipated that this investment will be 100% classified as climate finance. The breakdown of the classification between the mitigation, adaptation and/or co-benefits categories will be estimated during the development of the climate change strategy and reported on under that function.</w:t>
      </w:r>
    </w:p>
    <w:p w14:paraId="7102E424" w14:textId="569D7313" w:rsidR="004F2AF9" w:rsidRPr="003E18AD" w:rsidRDefault="004F2AF9" w:rsidP="00D2498B">
      <w:pPr>
        <w:pStyle w:val="Heading2"/>
      </w:pPr>
      <w:bookmarkStart w:id="444" w:name="_Toc216260428"/>
      <w:bookmarkStart w:id="445" w:name="_Toc216270692"/>
      <w:r w:rsidRPr="003E18AD">
        <w:t xml:space="preserve">Private </w:t>
      </w:r>
      <w:r w:rsidR="00C21B3E">
        <w:t>s</w:t>
      </w:r>
      <w:r w:rsidRPr="003E18AD">
        <w:t>ector</w:t>
      </w:r>
      <w:r w:rsidR="00D04AE9" w:rsidRPr="003E18AD">
        <w:t xml:space="preserve"> </w:t>
      </w:r>
      <w:r w:rsidR="00C21B3E">
        <w:t>e</w:t>
      </w:r>
      <w:r w:rsidR="00D04AE9" w:rsidRPr="003E18AD">
        <w:t>ngagement</w:t>
      </w:r>
      <w:r w:rsidR="00061B18" w:rsidRPr="003E18AD">
        <w:t xml:space="preserve"> and innovation</w:t>
      </w:r>
      <w:bookmarkEnd w:id="444"/>
      <w:bookmarkEnd w:id="445"/>
      <w:r w:rsidR="00061B18" w:rsidRPr="003E18AD">
        <w:t xml:space="preserve"> </w:t>
      </w:r>
    </w:p>
    <w:p w14:paraId="16F72640" w14:textId="7E79B1A6" w:rsidR="004F2AF9" w:rsidRPr="003E18AD" w:rsidRDefault="007E00B6" w:rsidP="00E17732">
      <w:pPr>
        <w:tabs>
          <w:tab w:val="left" w:pos="284"/>
        </w:tabs>
        <w:suppressAutoHyphens w:val="0"/>
        <w:spacing w:line="260" w:lineRule="exact"/>
        <w:rPr>
          <w:rFonts w:eastAsia="Times New Roman" w:cs="Times New Roman"/>
          <w:sz w:val="21"/>
          <w:szCs w:val="24"/>
        </w:rPr>
      </w:pPr>
      <w:r w:rsidRPr="003E18AD">
        <w:rPr>
          <w:rFonts w:eastAsia="Times New Roman" w:cs="Times New Roman"/>
          <w:sz w:val="21"/>
          <w:szCs w:val="24"/>
        </w:rPr>
        <w:t>Private sector engagement is a key focus for the investment, with integrated into program wide activities and outcomes.</w:t>
      </w:r>
      <w:r w:rsidR="00C92510" w:rsidRPr="003E18AD">
        <w:rPr>
          <w:rFonts w:eastAsia="Times New Roman" w:cs="Times New Roman"/>
          <w:sz w:val="21"/>
          <w:szCs w:val="24"/>
        </w:rPr>
        <w:t xml:space="preserve"> </w:t>
      </w:r>
      <w:r w:rsidRPr="003E18AD">
        <w:rPr>
          <w:rFonts w:eastAsia="Times New Roman" w:cs="Times New Roman"/>
          <w:sz w:val="21"/>
          <w:szCs w:val="24"/>
        </w:rPr>
        <w:t>Analysis in earlier sections provide discussion of the challenges facing the private sector in investing in Indonesia, and the program is structured to engage and partner with private sector entities.</w:t>
      </w:r>
      <w:r w:rsidR="00B31A31">
        <w:rPr>
          <w:rFonts w:eastAsia="Times New Roman" w:cs="Times New Roman"/>
          <w:sz w:val="21"/>
          <w:szCs w:val="24"/>
        </w:rPr>
        <w:t xml:space="preserve"> The Lead Market Advisory Delivery Partner will have responsibility for convening forums for private sector actors in addition to the mechanisms afforded in the Partnership Coordination Committee.  Funds have been anticipated for </w:t>
      </w:r>
      <w:proofErr w:type="spellStart"/>
      <w:r w:rsidR="00B31A31">
        <w:rPr>
          <w:rFonts w:eastAsia="Times New Roman" w:cs="Times New Roman"/>
          <w:sz w:val="21"/>
          <w:szCs w:val="24"/>
        </w:rPr>
        <w:t>digitilisation</w:t>
      </w:r>
      <w:proofErr w:type="spellEnd"/>
      <w:r w:rsidR="00B31A31">
        <w:rPr>
          <w:rFonts w:eastAsia="Times New Roman" w:cs="Times New Roman"/>
          <w:sz w:val="21"/>
          <w:szCs w:val="24"/>
        </w:rPr>
        <w:t xml:space="preserve"> and automation in the allocation of Activity Costs to enable specific activities and projects to be developed.</w:t>
      </w:r>
    </w:p>
    <w:p w14:paraId="3A241F17" w14:textId="55080F11" w:rsidR="00D20714" w:rsidRPr="003E18AD" w:rsidRDefault="22C5B69A" w:rsidP="00D2498B">
      <w:pPr>
        <w:pStyle w:val="Heading2"/>
      </w:pPr>
      <w:bookmarkStart w:id="446" w:name="_Toc216260429"/>
      <w:bookmarkStart w:id="447" w:name="_Toc216270693"/>
      <w:proofErr w:type="gramStart"/>
      <w:r>
        <w:t>Locally</w:t>
      </w:r>
      <w:r w:rsidR="00C21B3E">
        <w:t>-</w:t>
      </w:r>
      <w:r>
        <w:t>led</w:t>
      </w:r>
      <w:proofErr w:type="gramEnd"/>
      <w:r>
        <w:t xml:space="preserve"> development and localisation</w:t>
      </w:r>
      <w:bookmarkEnd w:id="446"/>
      <w:bookmarkEnd w:id="447"/>
    </w:p>
    <w:p w14:paraId="2A5B7961" w14:textId="66FDBCE7" w:rsidR="000F4B3B" w:rsidRPr="003E18AD" w:rsidRDefault="00A56C2D" w:rsidP="002E3731">
      <w:pPr>
        <w:tabs>
          <w:tab w:val="left" w:pos="284"/>
        </w:tabs>
        <w:suppressAutoHyphens w:val="0"/>
        <w:spacing w:after="120" w:line="260" w:lineRule="exact"/>
        <w:rPr>
          <w:rFonts w:eastAsia="Times New Roman" w:cs="Times New Roman"/>
          <w:sz w:val="21"/>
          <w:szCs w:val="24"/>
        </w:rPr>
      </w:pPr>
      <w:r>
        <w:rPr>
          <w:rFonts w:eastAsia="Times New Roman" w:cs="Times New Roman"/>
          <w:sz w:val="21"/>
          <w:szCs w:val="24"/>
        </w:rPr>
        <w:t xml:space="preserve">The sustainability section above highlights the ways in which an ambitious localisation strategy for the Partnership will embed long-term sustainability. </w:t>
      </w:r>
      <w:r w:rsidR="002529B8" w:rsidRPr="003E18AD">
        <w:rPr>
          <w:rFonts w:eastAsia="Times New Roman" w:cs="Times New Roman"/>
          <w:sz w:val="21"/>
          <w:szCs w:val="24"/>
        </w:rPr>
        <w:t xml:space="preserve">DFAT’s Localisation Practice Note defines localisation as a method to drive more effective development outcomes by improving the agency of affected people and local actors (including partner governments) so that development action is locally informed, locally led and meets the needs of local people. </w:t>
      </w:r>
      <w:r w:rsidR="000F4B3B" w:rsidRPr="003E18AD">
        <w:rPr>
          <w:rFonts w:eastAsia="Times New Roman" w:cs="Times New Roman"/>
          <w:sz w:val="21"/>
          <w:szCs w:val="24"/>
        </w:rPr>
        <w:t xml:space="preserve">The approach </w:t>
      </w:r>
      <w:r w:rsidR="002D7620" w:rsidRPr="003E18AD">
        <w:rPr>
          <w:rFonts w:eastAsia="Times New Roman" w:cs="Times New Roman"/>
          <w:sz w:val="21"/>
          <w:szCs w:val="24"/>
        </w:rPr>
        <w:t>is intertwined with the program’s sustainability efforts</w:t>
      </w:r>
      <w:r w:rsidR="001E589B" w:rsidRPr="003E18AD">
        <w:rPr>
          <w:rFonts w:eastAsia="Times New Roman" w:cs="Times New Roman"/>
          <w:sz w:val="21"/>
          <w:szCs w:val="24"/>
        </w:rPr>
        <w:t>. A</w:t>
      </w:r>
      <w:r w:rsidR="00797887">
        <w:rPr>
          <w:rFonts w:eastAsia="Times New Roman" w:cs="Times New Roman"/>
          <w:sz w:val="21"/>
          <w:szCs w:val="24"/>
        </w:rPr>
        <w:t>n ambitious</w:t>
      </w:r>
      <w:r w:rsidR="000F4B3B" w:rsidRPr="003E18AD">
        <w:rPr>
          <w:rFonts w:eastAsia="Times New Roman" w:cs="Times New Roman"/>
          <w:sz w:val="21"/>
          <w:szCs w:val="24"/>
        </w:rPr>
        <w:t xml:space="preserve"> Sustainability and Localisation Strategy </w:t>
      </w:r>
      <w:r w:rsidR="004A37DC" w:rsidRPr="003E18AD">
        <w:rPr>
          <w:rFonts w:eastAsia="Times New Roman" w:cs="Times New Roman"/>
          <w:sz w:val="21"/>
          <w:szCs w:val="24"/>
        </w:rPr>
        <w:t xml:space="preserve">will be developed </w:t>
      </w:r>
      <w:r w:rsidR="00797887">
        <w:rPr>
          <w:rFonts w:eastAsia="Times New Roman" w:cs="Times New Roman"/>
          <w:sz w:val="21"/>
          <w:szCs w:val="24"/>
        </w:rPr>
        <w:t xml:space="preserve">during the Inception Phase, </w:t>
      </w:r>
      <w:r w:rsidR="000F4B3B" w:rsidRPr="003E18AD">
        <w:rPr>
          <w:rFonts w:eastAsia="Times New Roman" w:cs="Times New Roman"/>
          <w:sz w:val="21"/>
          <w:szCs w:val="24"/>
        </w:rPr>
        <w:t>includ</w:t>
      </w:r>
      <w:r w:rsidR="00797887">
        <w:rPr>
          <w:rFonts w:eastAsia="Times New Roman" w:cs="Times New Roman"/>
          <w:sz w:val="21"/>
          <w:szCs w:val="24"/>
        </w:rPr>
        <w:t>ing</w:t>
      </w:r>
      <w:r w:rsidR="000F4B3B" w:rsidRPr="003E18AD">
        <w:rPr>
          <w:rFonts w:eastAsia="Times New Roman" w:cs="Times New Roman"/>
          <w:sz w:val="21"/>
          <w:szCs w:val="24"/>
        </w:rPr>
        <w:t xml:space="preserve"> approaches such as: </w:t>
      </w:r>
    </w:p>
    <w:tbl>
      <w:tblPr>
        <w:tblStyle w:val="TableGrid"/>
        <w:tblW w:w="4920" w:type="pct"/>
        <w:tblLook w:val="04A0" w:firstRow="1" w:lastRow="0" w:firstColumn="1" w:lastColumn="0" w:noHBand="0" w:noVBand="1"/>
        <w:tblCaption w:val="DFAT indicators for locally-led development and program approach"/>
        <w:tblDescription w:val="A table outlining the indicators and the program approach"/>
      </w:tblPr>
      <w:tblGrid>
        <w:gridCol w:w="3115"/>
        <w:gridCol w:w="6359"/>
      </w:tblGrid>
      <w:tr w:rsidR="000F4B3B" w:rsidRPr="003E18AD" w14:paraId="1A9A7401" w14:textId="77777777" w:rsidTr="00ED5396">
        <w:trPr>
          <w:trHeight w:val="393"/>
        </w:trPr>
        <w:tc>
          <w:tcPr>
            <w:tcW w:w="1644" w:type="pct"/>
          </w:tcPr>
          <w:p w14:paraId="124C3FCE" w14:textId="77777777" w:rsidR="000F4B3B" w:rsidRPr="007F0F29" w:rsidRDefault="000F4B3B" w:rsidP="009A2D4E">
            <w:pPr>
              <w:spacing w:before="0" w:after="0" w:line="240" w:lineRule="auto"/>
              <w:rPr>
                <w:color w:val="007C89" w:themeColor="accent6"/>
                <w:sz w:val="21"/>
                <w:szCs w:val="21"/>
              </w:rPr>
            </w:pPr>
            <w:r w:rsidRPr="007F0F29">
              <w:rPr>
                <w:color w:val="007C89" w:themeColor="accent6"/>
                <w:sz w:val="21"/>
                <w:szCs w:val="21"/>
              </w:rPr>
              <w:t>DFAT indicators of Advanced Localisation</w:t>
            </w:r>
          </w:p>
        </w:tc>
        <w:tc>
          <w:tcPr>
            <w:tcW w:w="3356" w:type="pct"/>
          </w:tcPr>
          <w:p w14:paraId="123872D8" w14:textId="5F5CC6AC" w:rsidR="000F4B3B" w:rsidRPr="007F0F29" w:rsidRDefault="000F4B3B" w:rsidP="009A2D4E">
            <w:pPr>
              <w:spacing w:before="0" w:after="0" w:line="240" w:lineRule="auto"/>
              <w:rPr>
                <w:color w:val="007C89" w:themeColor="accent6"/>
                <w:sz w:val="21"/>
                <w:szCs w:val="21"/>
              </w:rPr>
            </w:pPr>
            <w:r w:rsidRPr="007F0F29">
              <w:rPr>
                <w:color w:val="007C89" w:themeColor="accent6"/>
                <w:sz w:val="21"/>
                <w:szCs w:val="21"/>
              </w:rPr>
              <w:t xml:space="preserve">Program approach </w:t>
            </w:r>
          </w:p>
        </w:tc>
      </w:tr>
      <w:tr w:rsidR="000F4B3B" w:rsidRPr="003E18AD" w14:paraId="68F8B027" w14:textId="77777777" w:rsidTr="00ED5396">
        <w:trPr>
          <w:trHeight w:val="790"/>
        </w:trPr>
        <w:tc>
          <w:tcPr>
            <w:tcW w:w="1644" w:type="pct"/>
          </w:tcPr>
          <w:p w14:paraId="3261124C" w14:textId="41BF5E8D" w:rsidR="000F4B3B" w:rsidRPr="007F0F29" w:rsidRDefault="000F4B3B" w:rsidP="009A2D4E">
            <w:pPr>
              <w:spacing w:before="0" w:after="0" w:line="240" w:lineRule="auto"/>
              <w:rPr>
                <w:sz w:val="21"/>
                <w:szCs w:val="21"/>
              </w:rPr>
            </w:pPr>
            <w:r w:rsidRPr="007F0F29">
              <w:rPr>
                <w:sz w:val="21"/>
                <w:szCs w:val="21"/>
              </w:rPr>
              <w:t>Local actors have a high degree of responsibility for programs – determining priorities, managing resources, &amp; making decisions.</w:t>
            </w:r>
          </w:p>
        </w:tc>
        <w:tc>
          <w:tcPr>
            <w:tcW w:w="3356" w:type="pct"/>
          </w:tcPr>
          <w:p w14:paraId="2EE381D6" w14:textId="2CCF27CF" w:rsidR="000F4B3B" w:rsidRPr="007F0F29" w:rsidRDefault="00396BFE" w:rsidP="00235118">
            <w:pPr>
              <w:pStyle w:val="TableBullet1"/>
              <w:spacing w:before="0" w:after="0" w:line="240" w:lineRule="auto"/>
              <w:ind w:left="0" w:firstLine="0"/>
              <w:rPr>
                <w:rFonts w:asciiTheme="minorHAnsi" w:hAnsiTheme="minorHAnsi" w:cstheme="minorHAnsi"/>
                <w:sz w:val="21"/>
                <w:szCs w:val="21"/>
              </w:rPr>
            </w:pPr>
            <w:r w:rsidRPr="007F0F29">
              <w:rPr>
                <w:rFonts w:asciiTheme="minorHAnsi" w:hAnsiTheme="minorHAnsi" w:cstheme="minorHAnsi"/>
                <w:sz w:val="21"/>
                <w:szCs w:val="21"/>
              </w:rPr>
              <w:t>GOI partner ministries co-chair governance arrangements and set priorities that drive activity selection. Infrastructure project screening and approval led by GOI leaders and follows GOI processes. Support for local and international financing mechanisms that enable Indonesian sovereign wealth funds, SOEs and financial institutions to develop sustainable finance markets and invest in infrastructure projects.</w:t>
            </w:r>
            <w:r w:rsidR="0033724F" w:rsidRPr="007F0F29">
              <w:rPr>
                <w:rFonts w:asciiTheme="minorHAnsi" w:hAnsiTheme="minorHAnsi" w:cstheme="minorHAnsi"/>
                <w:sz w:val="21"/>
                <w:szCs w:val="21"/>
              </w:rPr>
              <w:t xml:space="preserve"> Phased handover of core program functions </w:t>
            </w:r>
            <w:r w:rsidR="00EE120C" w:rsidRPr="007F0F29">
              <w:rPr>
                <w:rFonts w:asciiTheme="minorHAnsi" w:hAnsiTheme="minorHAnsi" w:cstheme="minorHAnsi"/>
                <w:sz w:val="21"/>
                <w:szCs w:val="21"/>
              </w:rPr>
              <w:t xml:space="preserve">to GOI </w:t>
            </w:r>
            <w:r w:rsidR="0033724F" w:rsidRPr="007F0F29">
              <w:rPr>
                <w:rFonts w:asciiTheme="minorHAnsi" w:hAnsiTheme="minorHAnsi" w:cstheme="minorHAnsi"/>
                <w:sz w:val="21"/>
                <w:szCs w:val="21"/>
              </w:rPr>
              <w:t xml:space="preserve">such as the project preparation facility. </w:t>
            </w:r>
          </w:p>
        </w:tc>
      </w:tr>
      <w:tr w:rsidR="000F4B3B" w:rsidRPr="003E18AD" w14:paraId="5071C10D" w14:textId="77777777" w:rsidTr="00ED5396">
        <w:trPr>
          <w:trHeight w:val="826"/>
        </w:trPr>
        <w:tc>
          <w:tcPr>
            <w:tcW w:w="1644" w:type="pct"/>
          </w:tcPr>
          <w:p w14:paraId="278AB7F6" w14:textId="071A6225" w:rsidR="000F4B3B" w:rsidRPr="007F0F29" w:rsidRDefault="000F4B3B" w:rsidP="009A2D4E">
            <w:pPr>
              <w:spacing w:before="0" w:after="0" w:line="240" w:lineRule="auto"/>
              <w:rPr>
                <w:sz w:val="21"/>
                <w:szCs w:val="21"/>
              </w:rPr>
            </w:pPr>
            <w:r w:rsidRPr="007F0F29">
              <w:rPr>
                <w:sz w:val="21"/>
                <w:szCs w:val="21"/>
              </w:rPr>
              <w:t>Resources provided directly to local stakeholders, to partner governments. Advisory support plays a support role.</w:t>
            </w:r>
          </w:p>
        </w:tc>
        <w:tc>
          <w:tcPr>
            <w:tcW w:w="3356" w:type="pct"/>
          </w:tcPr>
          <w:p w14:paraId="5B5E6C68" w14:textId="183A380E" w:rsidR="000F4B3B" w:rsidRPr="007F0F29" w:rsidRDefault="0033724F" w:rsidP="00235118">
            <w:pPr>
              <w:pStyle w:val="TableBullet1"/>
              <w:spacing w:before="0" w:after="0" w:line="240" w:lineRule="auto"/>
              <w:ind w:left="0" w:firstLine="0"/>
              <w:rPr>
                <w:rFonts w:asciiTheme="minorHAnsi" w:hAnsiTheme="minorHAnsi" w:cstheme="minorHAnsi"/>
                <w:sz w:val="21"/>
                <w:szCs w:val="21"/>
              </w:rPr>
            </w:pPr>
            <w:r w:rsidRPr="007F0F29">
              <w:rPr>
                <w:rFonts w:asciiTheme="minorHAnsi" w:hAnsiTheme="minorHAnsi" w:cstheme="minorHAnsi"/>
                <w:sz w:val="21"/>
                <w:szCs w:val="21"/>
              </w:rPr>
              <w:t xml:space="preserve">Funding and capability building for CSOs through small grants and training to participate in infrastructure planning and other activities. </w:t>
            </w:r>
            <w:r w:rsidR="00EE120C" w:rsidRPr="007F0F29">
              <w:rPr>
                <w:rFonts w:asciiTheme="minorHAnsi" w:hAnsiTheme="minorHAnsi" w:cstheme="minorHAnsi"/>
                <w:sz w:val="21"/>
                <w:szCs w:val="21"/>
              </w:rPr>
              <w:t>ADI/PIDGI investments invest in local businesses.</w:t>
            </w:r>
            <w:r w:rsidR="00C92510" w:rsidRPr="007F0F29">
              <w:rPr>
                <w:rFonts w:asciiTheme="minorHAnsi" w:hAnsiTheme="minorHAnsi" w:cstheme="minorHAnsi"/>
                <w:sz w:val="21"/>
                <w:szCs w:val="21"/>
              </w:rPr>
              <w:t xml:space="preserve"> </w:t>
            </w:r>
            <w:r w:rsidRPr="007F0F29">
              <w:rPr>
                <w:rFonts w:asciiTheme="minorHAnsi" w:hAnsiTheme="minorHAnsi" w:cstheme="minorHAnsi"/>
                <w:sz w:val="21"/>
                <w:szCs w:val="21"/>
              </w:rPr>
              <w:t xml:space="preserve">Preference for Indonesian entities to deliver activities and implementation to meet local content regulations. Direct engagement with Indonesian private sector to participate and inform market enabling work and development </w:t>
            </w:r>
            <w:r w:rsidRPr="007F0F29">
              <w:rPr>
                <w:rFonts w:asciiTheme="minorHAnsi" w:hAnsiTheme="minorHAnsi" w:cstheme="minorHAnsi"/>
                <w:sz w:val="21"/>
                <w:szCs w:val="21"/>
              </w:rPr>
              <w:lastRenderedPageBreak/>
              <w:t xml:space="preserve">of new finance mechanisms. </w:t>
            </w:r>
            <w:r w:rsidR="00235118" w:rsidRPr="007F0F29">
              <w:rPr>
                <w:rFonts w:asciiTheme="minorHAnsi" w:hAnsiTheme="minorHAnsi" w:cstheme="minorHAnsi"/>
                <w:sz w:val="21"/>
                <w:szCs w:val="21"/>
              </w:rPr>
              <w:t>Primary Contractor prioritise</w:t>
            </w:r>
            <w:r w:rsidR="002163B0" w:rsidRPr="007F0F29">
              <w:rPr>
                <w:rFonts w:asciiTheme="minorHAnsi" w:hAnsiTheme="minorHAnsi" w:cstheme="minorHAnsi"/>
                <w:sz w:val="21"/>
                <w:szCs w:val="21"/>
              </w:rPr>
              <w:t>s</w:t>
            </w:r>
            <w:r w:rsidR="00235118" w:rsidRPr="007F0F29">
              <w:rPr>
                <w:rFonts w:asciiTheme="minorHAnsi" w:hAnsiTheme="minorHAnsi" w:cstheme="minorHAnsi"/>
                <w:sz w:val="21"/>
                <w:szCs w:val="21"/>
              </w:rPr>
              <w:t xml:space="preserve"> local entities for sub-contracts and consultancies.</w:t>
            </w:r>
          </w:p>
        </w:tc>
      </w:tr>
    </w:tbl>
    <w:p w14:paraId="0F73C095" w14:textId="77777777" w:rsidR="00126856" w:rsidRDefault="00126856" w:rsidP="00126856">
      <w:pPr>
        <w:pStyle w:val="Heading1"/>
        <w:numPr>
          <w:ilvl w:val="0"/>
          <w:numId w:val="0"/>
        </w:numPr>
        <w:ind w:left="567"/>
      </w:pPr>
    </w:p>
    <w:p w14:paraId="5BA24603" w14:textId="66601789" w:rsidR="00FE5860" w:rsidRPr="00F44317" w:rsidRDefault="00FE5860" w:rsidP="00AD769D">
      <w:pPr>
        <w:pStyle w:val="Heading1"/>
      </w:pPr>
      <w:bookmarkStart w:id="448" w:name="_Toc216260430"/>
      <w:bookmarkStart w:id="449" w:name="_Toc216264145"/>
      <w:bookmarkStart w:id="450" w:name="_Toc216270694"/>
      <w:r w:rsidRPr="00F44317">
        <w:t>Budget and Resources (What will it cost?)</w:t>
      </w:r>
      <w:bookmarkEnd w:id="448"/>
      <w:bookmarkEnd w:id="449"/>
      <w:bookmarkEnd w:id="450"/>
    </w:p>
    <w:p w14:paraId="3339C406" w14:textId="551737AB" w:rsidR="002D628F" w:rsidRDefault="00F93387" w:rsidP="00A84303">
      <w:pPr>
        <w:tabs>
          <w:tab w:val="left" w:pos="284"/>
        </w:tabs>
        <w:suppressAutoHyphens w:val="0"/>
        <w:spacing w:line="260" w:lineRule="exact"/>
        <w:rPr>
          <w:rFonts w:eastAsia="Times New Roman" w:cs="Times New Roman"/>
          <w:sz w:val="21"/>
          <w:szCs w:val="21"/>
        </w:rPr>
      </w:pPr>
      <w:r w:rsidRPr="003E18AD">
        <w:rPr>
          <w:rFonts w:eastAsia="Times New Roman" w:cs="Times New Roman"/>
          <w:sz w:val="21"/>
          <w:szCs w:val="21"/>
        </w:rPr>
        <w:t xml:space="preserve">An allocation of up to </w:t>
      </w:r>
      <w:r w:rsidR="00A800A8">
        <w:rPr>
          <w:rFonts w:eastAsia="Times New Roman" w:cs="Times New Roman"/>
          <w:sz w:val="21"/>
          <w:szCs w:val="21"/>
        </w:rPr>
        <w:t>AUD</w:t>
      </w:r>
      <w:r w:rsidRPr="003E18AD">
        <w:rPr>
          <w:rFonts w:eastAsia="Times New Roman" w:cs="Times New Roman"/>
          <w:sz w:val="21"/>
          <w:szCs w:val="21"/>
        </w:rPr>
        <w:t xml:space="preserve">650 million over ten years is anticipated for this investment. The budget has been developed as an </w:t>
      </w:r>
      <w:r w:rsidR="00A56C2D">
        <w:rPr>
          <w:rFonts w:eastAsia="Times New Roman" w:cs="Times New Roman"/>
          <w:sz w:val="21"/>
          <w:szCs w:val="21"/>
        </w:rPr>
        <w:t xml:space="preserve">indicative </w:t>
      </w:r>
      <w:r w:rsidRPr="003E18AD">
        <w:rPr>
          <w:rFonts w:eastAsia="Times New Roman" w:cs="Times New Roman"/>
          <w:sz w:val="21"/>
          <w:szCs w:val="21"/>
        </w:rPr>
        <w:t xml:space="preserve">Annual Allocation of </w:t>
      </w:r>
      <w:r w:rsidR="00A800A8">
        <w:rPr>
          <w:rFonts w:eastAsia="Times New Roman" w:cs="Times New Roman"/>
          <w:sz w:val="21"/>
          <w:szCs w:val="21"/>
        </w:rPr>
        <w:t>AUD</w:t>
      </w:r>
      <w:r>
        <w:rPr>
          <w:rFonts w:eastAsia="Times New Roman" w:cs="Times New Roman"/>
          <w:sz w:val="21"/>
          <w:szCs w:val="21"/>
        </w:rPr>
        <w:t>5</w:t>
      </w:r>
      <w:r w:rsidRPr="003E18AD">
        <w:rPr>
          <w:rFonts w:eastAsia="Times New Roman" w:cs="Times New Roman"/>
          <w:sz w:val="21"/>
          <w:szCs w:val="21"/>
        </w:rPr>
        <w:t>0 million per year</w:t>
      </w:r>
      <w:r>
        <w:rPr>
          <w:rFonts w:eastAsia="Times New Roman" w:cs="Times New Roman"/>
          <w:sz w:val="21"/>
          <w:szCs w:val="21"/>
        </w:rPr>
        <w:t xml:space="preserve"> for </w:t>
      </w:r>
      <w:r w:rsidRPr="003E18AD">
        <w:rPr>
          <w:rFonts w:eastAsia="Times New Roman" w:cs="Times New Roman"/>
          <w:sz w:val="21"/>
          <w:szCs w:val="21"/>
        </w:rPr>
        <w:t xml:space="preserve">Implementation costs for Activities and Projects against the Focus sectors and sub-sectors (of the three program domains, or EOPOs) </w:t>
      </w:r>
      <w:r>
        <w:rPr>
          <w:rFonts w:eastAsia="Times New Roman" w:cs="Times New Roman"/>
          <w:sz w:val="21"/>
          <w:szCs w:val="21"/>
        </w:rPr>
        <w:t>along with</w:t>
      </w:r>
      <w:r w:rsidRPr="003E18AD">
        <w:rPr>
          <w:rFonts w:eastAsia="Times New Roman" w:cs="Times New Roman"/>
          <w:sz w:val="21"/>
          <w:szCs w:val="21"/>
        </w:rPr>
        <w:t xml:space="preserve"> program management costs.</w:t>
      </w:r>
      <w:r w:rsidRPr="1169CFB7">
        <w:rPr>
          <w:rFonts w:eastAsia="Times New Roman" w:cs="Times New Roman"/>
          <w:sz w:val="21"/>
          <w:szCs w:val="21"/>
        </w:rPr>
        <w:t xml:space="preserve"> </w:t>
      </w:r>
      <w:r>
        <w:rPr>
          <w:rFonts w:eastAsia="Times New Roman" w:cs="Times New Roman"/>
          <w:sz w:val="21"/>
          <w:szCs w:val="21"/>
        </w:rPr>
        <w:t xml:space="preserve">An amount of </w:t>
      </w:r>
      <w:r w:rsidR="00A800A8">
        <w:rPr>
          <w:rFonts w:eastAsia="Times New Roman" w:cs="Times New Roman"/>
          <w:sz w:val="21"/>
          <w:szCs w:val="21"/>
        </w:rPr>
        <w:t>AUD</w:t>
      </w:r>
      <w:r w:rsidRPr="003E18AD">
        <w:rPr>
          <w:rFonts w:eastAsia="Times New Roman" w:cs="Times New Roman"/>
          <w:sz w:val="21"/>
          <w:szCs w:val="21"/>
        </w:rPr>
        <w:t>100 million for deployment into</w:t>
      </w:r>
      <w:r>
        <w:rPr>
          <w:rFonts w:eastAsia="Times New Roman" w:cs="Times New Roman"/>
          <w:sz w:val="21"/>
          <w:szCs w:val="21"/>
        </w:rPr>
        <w:t xml:space="preserve"> b</w:t>
      </w:r>
      <w:r w:rsidRPr="003E18AD">
        <w:rPr>
          <w:rFonts w:eastAsia="Times New Roman" w:cs="Times New Roman"/>
          <w:sz w:val="21"/>
          <w:szCs w:val="21"/>
        </w:rPr>
        <w:t>lended finance mechanisms</w:t>
      </w:r>
      <w:r>
        <w:rPr>
          <w:rFonts w:eastAsia="Times New Roman" w:cs="Times New Roman"/>
          <w:sz w:val="21"/>
          <w:szCs w:val="21"/>
        </w:rPr>
        <w:t xml:space="preserve"> has been notionally allocated evenly across the 10 years at </w:t>
      </w:r>
      <w:r w:rsidR="00A800A8">
        <w:rPr>
          <w:rFonts w:eastAsia="Times New Roman" w:cs="Times New Roman"/>
          <w:sz w:val="21"/>
          <w:szCs w:val="21"/>
        </w:rPr>
        <w:t>AUD</w:t>
      </w:r>
      <w:r>
        <w:rPr>
          <w:rFonts w:eastAsia="Times New Roman" w:cs="Times New Roman"/>
          <w:sz w:val="21"/>
          <w:szCs w:val="21"/>
        </w:rPr>
        <w:t>10 million p.a. This</w:t>
      </w:r>
      <w:r w:rsidRPr="003E18AD">
        <w:rPr>
          <w:rFonts w:eastAsia="Times New Roman" w:cs="Times New Roman"/>
          <w:sz w:val="21"/>
          <w:szCs w:val="21"/>
        </w:rPr>
        <w:t xml:space="preserve"> will complement the funds already invested</w:t>
      </w:r>
      <w:r w:rsidRPr="1169CFB7">
        <w:rPr>
          <w:rFonts w:eastAsia="Times New Roman" w:cs="Times New Roman"/>
          <w:sz w:val="21"/>
          <w:szCs w:val="21"/>
        </w:rPr>
        <w:t xml:space="preserve"> </w:t>
      </w:r>
      <w:r w:rsidRPr="003E18AD">
        <w:rPr>
          <w:rFonts w:eastAsia="Times New Roman" w:cs="Times New Roman"/>
          <w:sz w:val="21"/>
          <w:szCs w:val="21"/>
        </w:rPr>
        <w:t xml:space="preserve">through KINETIK </w:t>
      </w:r>
      <w:r w:rsidR="00A800A8" w:rsidRPr="003E18AD">
        <w:rPr>
          <w:rFonts w:eastAsia="Times New Roman" w:cs="Times New Roman"/>
          <w:sz w:val="21"/>
          <w:szCs w:val="21"/>
        </w:rPr>
        <w:t>(</w:t>
      </w:r>
      <w:r w:rsidR="00A800A8">
        <w:rPr>
          <w:rFonts w:eastAsia="Times New Roman" w:cs="Times New Roman"/>
          <w:sz w:val="21"/>
          <w:szCs w:val="21"/>
        </w:rPr>
        <w:t>AUD</w:t>
      </w:r>
      <w:r w:rsidRPr="003E18AD">
        <w:rPr>
          <w:rFonts w:eastAsia="Times New Roman" w:cs="Times New Roman"/>
          <w:sz w:val="21"/>
          <w:szCs w:val="21"/>
        </w:rPr>
        <w:t>100 million to date).</w:t>
      </w:r>
      <w:r w:rsidR="002D628F" w:rsidRPr="1169CFB7">
        <w:rPr>
          <w:rFonts w:eastAsia="Times New Roman" w:cs="Times New Roman"/>
          <w:sz w:val="21"/>
          <w:szCs w:val="21"/>
        </w:rPr>
        <w:t xml:space="preserve"> </w:t>
      </w:r>
    </w:p>
    <w:p w14:paraId="23BEE422" w14:textId="5223BBCB" w:rsidR="001F70D6" w:rsidRPr="00A208B4" w:rsidRDefault="002D628F" w:rsidP="003D5A81">
      <w:pPr>
        <w:rPr>
          <w:sz w:val="21"/>
          <w:szCs w:val="21"/>
        </w:rPr>
      </w:pPr>
      <w:r w:rsidRPr="003E18AD">
        <w:rPr>
          <w:rFonts w:eastAsia="Times New Roman" w:cs="Times New Roman"/>
          <w:sz w:val="21"/>
          <w:szCs w:val="21"/>
        </w:rPr>
        <w:t>This allocation translates to capacity to deliver a broad range of activity and project types of sufficient scale and scope to achieve the objectives of the Program.</w:t>
      </w:r>
      <w:r w:rsidRPr="1169CFB7">
        <w:rPr>
          <w:rFonts w:eastAsia="Times New Roman" w:cs="Times New Roman"/>
          <w:sz w:val="21"/>
          <w:szCs w:val="21"/>
        </w:rPr>
        <w:t xml:space="preserve"> </w:t>
      </w:r>
      <w:r w:rsidRPr="003E18AD">
        <w:rPr>
          <w:rFonts w:eastAsia="Times New Roman" w:cs="Times New Roman"/>
          <w:sz w:val="21"/>
          <w:szCs w:val="21"/>
        </w:rPr>
        <w:t xml:space="preserve">These may be delivered through a combination of self-delivery (the sectoral technical teams deployed in-house by the Primary Contractor) and sub-contractors and </w:t>
      </w:r>
      <w:proofErr w:type="gramStart"/>
      <w:r w:rsidRPr="003E18AD">
        <w:rPr>
          <w:rFonts w:eastAsia="Times New Roman" w:cs="Times New Roman"/>
          <w:sz w:val="21"/>
          <w:szCs w:val="21"/>
        </w:rPr>
        <w:t>Short Term</w:t>
      </w:r>
      <w:proofErr w:type="gramEnd"/>
      <w:r w:rsidRPr="003E18AD">
        <w:rPr>
          <w:rFonts w:eastAsia="Times New Roman" w:cs="Times New Roman"/>
          <w:sz w:val="21"/>
          <w:szCs w:val="21"/>
        </w:rPr>
        <w:t xml:space="preserve"> Advisers.</w:t>
      </w:r>
      <w:r w:rsidRPr="1169CFB7">
        <w:rPr>
          <w:rFonts w:eastAsia="Times New Roman" w:cs="Times New Roman"/>
          <w:sz w:val="21"/>
          <w:szCs w:val="21"/>
        </w:rPr>
        <w:t xml:space="preserve"> </w:t>
      </w:r>
      <w:r w:rsidR="00113036">
        <w:rPr>
          <w:rFonts w:eastAsia="Times New Roman" w:cs="Times New Roman"/>
          <w:sz w:val="21"/>
          <w:szCs w:val="21"/>
        </w:rPr>
        <w:t>T</w:t>
      </w:r>
      <w:r w:rsidR="00E717BD">
        <w:rPr>
          <w:rFonts w:eastAsia="Times New Roman" w:cs="Times New Roman"/>
          <w:sz w:val="21"/>
          <w:szCs w:val="21"/>
        </w:rPr>
        <w:t xml:space="preserve">he investment is structured </w:t>
      </w:r>
      <w:r w:rsidR="00E717BD" w:rsidRPr="003E18AD">
        <w:rPr>
          <w:rFonts w:eastAsia="Times New Roman" w:cs="Times New Roman"/>
          <w:sz w:val="21"/>
          <w:szCs w:val="24"/>
        </w:rPr>
        <w:t>as a demand-driven responsive process</w:t>
      </w:r>
      <w:r w:rsidR="00113036">
        <w:rPr>
          <w:rFonts w:eastAsia="Times New Roman" w:cs="Times New Roman"/>
          <w:sz w:val="21"/>
          <w:szCs w:val="24"/>
        </w:rPr>
        <w:t>.</w:t>
      </w:r>
      <w:r w:rsidR="00126856">
        <w:rPr>
          <w:rFonts w:eastAsia="Times New Roman" w:cs="Times New Roman"/>
          <w:sz w:val="21"/>
          <w:szCs w:val="24"/>
        </w:rPr>
        <w:br/>
      </w:r>
    </w:p>
    <w:p w14:paraId="7C1F2C33" w14:textId="77777777" w:rsidR="004F2AF9" w:rsidRPr="00F44317" w:rsidRDefault="004F2AF9" w:rsidP="00AD769D">
      <w:pPr>
        <w:pStyle w:val="Heading1"/>
      </w:pPr>
      <w:bookmarkStart w:id="451" w:name="_Toc216260431"/>
      <w:bookmarkStart w:id="452" w:name="_Toc216264146"/>
      <w:bookmarkStart w:id="453" w:name="_Toc216270695"/>
      <w:r w:rsidRPr="00F44317">
        <w:t>Procurement and Partnering</w:t>
      </w:r>
      <w:bookmarkEnd w:id="451"/>
      <w:bookmarkEnd w:id="452"/>
      <w:bookmarkEnd w:id="453"/>
    </w:p>
    <w:p w14:paraId="04662042" w14:textId="3FAB82BA" w:rsidR="00F300C5" w:rsidRPr="003E18AD" w:rsidRDefault="00F300C5" w:rsidP="00E17732">
      <w:pPr>
        <w:pStyle w:val="BodyText"/>
        <w:keepNext/>
        <w:rPr>
          <w:sz w:val="21"/>
          <w:szCs w:val="21"/>
        </w:rPr>
      </w:pPr>
      <w:r w:rsidRPr="003E18AD">
        <w:rPr>
          <w:sz w:val="21"/>
          <w:szCs w:val="21"/>
        </w:rPr>
        <w:t xml:space="preserve">There are </w:t>
      </w:r>
      <w:r w:rsidR="00456147">
        <w:rPr>
          <w:sz w:val="21"/>
          <w:szCs w:val="21"/>
        </w:rPr>
        <w:t xml:space="preserve">several </w:t>
      </w:r>
      <w:r w:rsidRPr="003E18AD">
        <w:rPr>
          <w:sz w:val="21"/>
          <w:szCs w:val="21"/>
        </w:rPr>
        <w:t>process</w:t>
      </w:r>
      <w:r w:rsidR="00456147">
        <w:rPr>
          <w:sz w:val="21"/>
          <w:szCs w:val="21"/>
        </w:rPr>
        <w:t>es</w:t>
      </w:r>
      <w:r w:rsidRPr="003E18AD">
        <w:rPr>
          <w:sz w:val="21"/>
          <w:szCs w:val="21"/>
        </w:rPr>
        <w:t xml:space="preserve"> </w:t>
      </w:r>
      <w:r w:rsidR="00456147">
        <w:rPr>
          <w:sz w:val="21"/>
          <w:szCs w:val="21"/>
        </w:rPr>
        <w:t>envisaged for</w:t>
      </w:r>
      <w:r w:rsidR="00361853">
        <w:rPr>
          <w:sz w:val="21"/>
          <w:szCs w:val="21"/>
        </w:rPr>
        <w:t xml:space="preserve"> </w:t>
      </w:r>
      <w:r w:rsidRPr="003E18AD">
        <w:rPr>
          <w:sz w:val="21"/>
          <w:szCs w:val="21"/>
        </w:rPr>
        <w:t>Delivery Partner selection, procurement and partnering for this investment.</w:t>
      </w:r>
    </w:p>
    <w:p w14:paraId="5CF03A86" w14:textId="5D7F4FB8" w:rsidR="00F300C5" w:rsidRPr="0071198D" w:rsidRDefault="00F300C5" w:rsidP="00D2498B">
      <w:pPr>
        <w:pStyle w:val="Heading2"/>
      </w:pPr>
      <w:bookmarkStart w:id="454" w:name="_Toc216270696"/>
      <w:r w:rsidRPr="003E18AD">
        <w:t xml:space="preserve">Delivery Partner </w:t>
      </w:r>
      <w:r w:rsidR="00F05410">
        <w:t>s</w:t>
      </w:r>
      <w:r w:rsidRPr="003E18AD">
        <w:t xml:space="preserve">election and </w:t>
      </w:r>
      <w:r w:rsidR="00F05410">
        <w:t>p</w:t>
      </w:r>
      <w:r w:rsidRPr="003E18AD">
        <w:t>rocurement</w:t>
      </w:r>
      <w:bookmarkEnd w:id="454"/>
    </w:p>
    <w:p w14:paraId="07020984" w14:textId="7CCFD84E" w:rsidR="00F300C5" w:rsidRPr="003E18AD" w:rsidRDefault="00F300C5" w:rsidP="00E17732">
      <w:pPr>
        <w:pStyle w:val="BodyText"/>
        <w:keepNext/>
        <w:rPr>
          <w:sz w:val="21"/>
          <w:szCs w:val="21"/>
        </w:rPr>
      </w:pPr>
      <w:r w:rsidRPr="003E18AD">
        <w:rPr>
          <w:sz w:val="21"/>
          <w:szCs w:val="21"/>
        </w:rPr>
        <w:t>Analysis of the capabilities and functions required to deliver the program indicates that specialist entities are required to bring not just program management expertise, but positioning and convening power, legitimacy and existing networks and coalitions, as well as technical expertise that goes beyond the skills and experience of individual employees or consultants.</w:t>
      </w:r>
      <w:r w:rsidR="00C92510" w:rsidRPr="003E18AD">
        <w:rPr>
          <w:sz w:val="21"/>
          <w:szCs w:val="21"/>
        </w:rPr>
        <w:t xml:space="preserve"> </w:t>
      </w:r>
    </w:p>
    <w:p w14:paraId="7433B077" w14:textId="133040F7" w:rsidR="00F300C5" w:rsidRPr="003E18AD" w:rsidRDefault="00F300C5" w:rsidP="00E17732">
      <w:pPr>
        <w:pStyle w:val="BodyText"/>
        <w:keepNext/>
        <w:rPr>
          <w:sz w:val="21"/>
          <w:szCs w:val="21"/>
        </w:rPr>
      </w:pPr>
      <w:r w:rsidRPr="003E18AD">
        <w:rPr>
          <w:sz w:val="21"/>
          <w:szCs w:val="21"/>
        </w:rPr>
        <w:t>In particular, the MDBs (</w:t>
      </w:r>
      <w:r w:rsidR="005903B9">
        <w:rPr>
          <w:sz w:val="21"/>
          <w:szCs w:val="21"/>
        </w:rPr>
        <w:t>ADB</w:t>
      </w:r>
      <w:r w:rsidRPr="003E18AD">
        <w:rPr>
          <w:sz w:val="21"/>
          <w:szCs w:val="21"/>
        </w:rPr>
        <w:t xml:space="preserve"> and </w:t>
      </w:r>
      <w:r w:rsidR="00EA24DF">
        <w:rPr>
          <w:sz w:val="21"/>
          <w:szCs w:val="21"/>
        </w:rPr>
        <w:t>World Bank</w:t>
      </w:r>
      <w:r w:rsidRPr="003E18AD">
        <w:rPr>
          <w:sz w:val="21"/>
          <w:szCs w:val="21"/>
        </w:rPr>
        <w:t>) have positioning and relationships with the GOI as well as capacity to leverage sovereign loans in a manner that other parties are not able.</w:t>
      </w:r>
      <w:r w:rsidR="00C92510" w:rsidRPr="003E18AD">
        <w:rPr>
          <w:sz w:val="21"/>
          <w:szCs w:val="21"/>
        </w:rPr>
        <w:t xml:space="preserve"> </w:t>
      </w:r>
      <w:r w:rsidRPr="003E18AD">
        <w:rPr>
          <w:sz w:val="21"/>
          <w:szCs w:val="21"/>
        </w:rPr>
        <w:t>DFAT has an existing funding agreement with the</w:t>
      </w:r>
      <w:r w:rsidR="00EA24DF">
        <w:rPr>
          <w:sz w:val="21"/>
          <w:szCs w:val="21"/>
        </w:rPr>
        <w:t xml:space="preserve"> World Bank</w:t>
      </w:r>
      <w:r w:rsidRPr="003E18AD">
        <w:rPr>
          <w:sz w:val="21"/>
          <w:szCs w:val="21"/>
        </w:rPr>
        <w:t xml:space="preserve"> as a focus on infrastructure and climate which can be mobilised in a complementary manner for this program.</w:t>
      </w:r>
      <w:r w:rsidR="00C92510" w:rsidRPr="003E18AD">
        <w:rPr>
          <w:sz w:val="21"/>
          <w:szCs w:val="21"/>
        </w:rPr>
        <w:t xml:space="preserve"> </w:t>
      </w:r>
      <w:r w:rsidR="00EA24DF">
        <w:rPr>
          <w:sz w:val="21"/>
          <w:szCs w:val="21"/>
        </w:rPr>
        <w:t>The World Bank</w:t>
      </w:r>
      <w:r w:rsidRPr="003E18AD">
        <w:rPr>
          <w:sz w:val="21"/>
          <w:szCs w:val="21"/>
        </w:rPr>
        <w:t xml:space="preserve"> will be invited (through the ABIP governance mechanisms) to join the Partnership and engage more directly as a Partner with the processes of this investment.</w:t>
      </w:r>
      <w:r w:rsidR="00C92510" w:rsidRPr="003E18AD">
        <w:rPr>
          <w:sz w:val="21"/>
          <w:szCs w:val="21"/>
        </w:rPr>
        <w:t xml:space="preserve"> </w:t>
      </w:r>
      <w:r w:rsidRPr="003E18AD">
        <w:rPr>
          <w:sz w:val="21"/>
          <w:szCs w:val="21"/>
        </w:rPr>
        <w:t>The ADB has had a separate Grant Agreement (SIAP2) which requires a further phase (SIAP3) designed in a manner to complement the strategy and approach of this program.</w:t>
      </w:r>
      <w:r w:rsidR="00C92510" w:rsidRPr="003E18AD">
        <w:rPr>
          <w:sz w:val="21"/>
          <w:szCs w:val="21"/>
        </w:rPr>
        <w:t xml:space="preserve"> </w:t>
      </w:r>
      <w:r w:rsidRPr="003E18AD">
        <w:rPr>
          <w:sz w:val="21"/>
          <w:szCs w:val="21"/>
        </w:rPr>
        <w:t>The ADB will be invited to submit a Proposal, in line with their own systems and requirements for Trust Funds, to the value approved within this design, and an Agreement subsequently negotiated by DFAT.</w:t>
      </w:r>
    </w:p>
    <w:p w14:paraId="7E05C92D" w14:textId="7A2F5FFA" w:rsidR="00F300C5" w:rsidRPr="003E18AD" w:rsidRDefault="00F300C5" w:rsidP="00E17732">
      <w:pPr>
        <w:pStyle w:val="BodyText"/>
        <w:keepNext/>
        <w:rPr>
          <w:sz w:val="21"/>
          <w:szCs w:val="21"/>
        </w:rPr>
      </w:pPr>
      <w:r w:rsidRPr="003E18AD">
        <w:rPr>
          <w:sz w:val="21"/>
          <w:szCs w:val="21"/>
        </w:rPr>
        <w:t>A Primary Contractor will be required to manage across the portfolio and partnership, and to program manage the technical and advisory inputs required for implementation.</w:t>
      </w:r>
      <w:r w:rsidR="00C92510" w:rsidRPr="003E18AD">
        <w:rPr>
          <w:sz w:val="21"/>
          <w:szCs w:val="21"/>
        </w:rPr>
        <w:t xml:space="preserve"> </w:t>
      </w:r>
      <w:r w:rsidRPr="003E18AD">
        <w:rPr>
          <w:sz w:val="21"/>
          <w:szCs w:val="21"/>
        </w:rPr>
        <w:t xml:space="preserve">A </w:t>
      </w:r>
      <w:r w:rsidR="00C20EF7" w:rsidRPr="003E18AD">
        <w:rPr>
          <w:sz w:val="21"/>
          <w:szCs w:val="21"/>
        </w:rPr>
        <w:t>Financial Markets Advisory</w:t>
      </w:r>
      <w:r w:rsidRPr="003E18AD">
        <w:rPr>
          <w:sz w:val="21"/>
          <w:szCs w:val="21"/>
        </w:rPr>
        <w:t xml:space="preserve"> </w:t>
      </w:r>
      <w:r w:rsidR="000D03EE" w:rsidRPr="003E18AD">
        <w:rPr>
          <w:sz w:val="21"/>
          <w:szCs w:val="21"/>
        </w:rPr>
        <w:t>specialist</w:t>
      </w:r>
      <w:r w:rsidRPr="003E18AD">
        <w:rPr>
          <w:sz w:val="21"/>
          <w:szCs w:val="21"/>
        </w:rPr>
        <w:t xml:space="preserve"> is required to mediate between DFAT and the private sector from a market perspective drawing on their existing networks and participation in coalitions with stakeholders beyond that available to Contractors who traditionally manage ODA investments. A Lead NGO Specialist is required to draw on expertise and experience in working with CBOs and local entities in grants management, risk management and capacity building with trust, relationships and confidence which will be much more efficient that building that foundation through individually contracted personnel.</w:t>
      </w:r>
      <w:r w:rsidR="00C92510" w:rsidRPr="003E18AD">
        <w:rPr>
          <w:sz w:val="21"/>
          <w:szCs w:val="21"/>
        </w:rPr>
        <w:t xml:space="preserve"> </w:t>
      </w:r>
      <w:r w:rsidRPr="003E18AD">
        <w:rPr>
          <w:sz w:val="21"/>
          <w:szCs w:val="21"/>
        </w:rPr>
        <w:t>For efficiency of Contract management, these specialist entities will work under the administrative auspices of the Primary Contractor. However, DFAT will be directly involved in the selection process.</w:t>
      </w:r>
    </w:p>
    <w:p w14:paraId="3F03BE9B" w14:textId="030BCC33" w:rsidR="00F300C5" w:rsidRPr="003E18AD" w:rsidRDefault="00F300C5" w:rsidP="00E17732">
      <w:pPr>
        <w:pStyle w:val="BodyText"/>
        <w:keepNext/>
        <w:rPr>
          <w:sz w:val="21"/>
          <w:szCs w:val="21"/>
        </w:rPr>
      </w:pPr>
      <w:r w:rsidRPr="003E18AD">
        <w:rPr>
          <w:sz w:val="21"/>
          <w:szCs w:val="21"/>
        </w:rPr>
        <w:t xml:space="preserve">Hence, the first tier for procurement process is the invitation and selection </w:t>
      </w:r>
      <w:r w:rsidR="007120D8">
        <w:rPr>
          <w:sz w:val="21"/>
          <w:szCs w:val="21"/>
        </w:rPr>
        <w:t xml:space="preserve">of </w:t>
      </w:r>
      <w:r w:rsidRPr="003E18AD">
        <w:rPr>
          <w:sz w:val="21"/>
          <w:szCs w:val="21"/>
        </w:rPr>
        <w:t xml:space="preserve">ADB and </w:t>
      </w:r>
      <w:r w:rsidR="00760ECA">
        <w:rPr>
          <w:sz w:val="21"/>
          <w:szCs w:val="21"/>
        </w:rPr>
        <w:t>the World Bank</w:t>
      </w:r>
      <w:r w:rsidRPr="003E18AD">
        <w:rPr>
          <w:sz w:val="21"/>
          <w:szCs w:val="21"/>
        </w:rPr>
        <w:t xml:space="preserve"> as Partners; and selection of the Primary Contractor through a two-step procurement process.</w:t>
      </w:r>
      <w:r w:rsidR="00C92510" w:rsidRPr="003E18AD">
        <w:rPr>
          <w:sz w:val="21"/>
          <w:szCs w:val="21"/>
        </w:rPr>
        <w:t xml:space="preserve"> </w:t>
      </w:r>
      <w:r w:rsidRPr="003E18AD">
        <w:rPr>
          <w:sz w:val="21"/>
          <w:szCs w:val="21"/>
        </w:rPr>
        <w:t xml:space="preserve">Considerable scope </w:t>
      </w:r>
      <w:r w:rsidRPr="003E18AD">
        <w:rPr>
          <w:sz w:val="21"/>
          <w:szCs w:val="21"/>
        </w:rPr>
        <w:lastRenderedPageBreak/>
        <w:t>will be available for bidders to propose internal management (including staffing and structure), financing and administrative arrangements that best matches their overall approach.</w:t>
      </w:r>
    </w:p>
    <w:p w14:paraId="0DB41282" w14:textId="27C7B9DE" w:rsidR="00F300C5" w:rsidRPr="003E18AD" w:rsidRDefault="00F300C5" w:rsidP="00E17732">
      <w:pPr>
        <w:pStyle w:val="BodyText"/>
        <w:keepNext/>
        <w:rPr>
          <w:sz w:val="21"/>
          <w:szCs w:val="21"/>
        </w:rPr>
      </w:pPr>
      <w:r w:rsidRPr="003E18AD">
        <w:rPr>
          <w:sz w:val="21"/>
          <w:szCs w:val="21"/>
        </w:rPr>
        <w:t xml:space="preserve">The second stage of Partner selection will involve the Primary Contractor working with DFAT to select </w:t>
      </w:r>
      <w:r w:rsidR="00456147">
        <w:rPr>
          <w:sz w:val="21"/>
          <w:szCs w:val="21"/>
        </w:rPr>
        <w:t xml:space="preserve">other partners, including </w:t>
      </w:r>
      <w:r w:rsidRPr="003E18AD">
        <w:rPr>
          <w:sz w:val="21"/>
          <w:szCs w:val="21"/>
        </w:rPr>
        <w:t>the two specialist entities as Delivery Partners.</w:t>
      </w:r>
    </w:p>
    <w:p w14:paraId="5036C2AB" w14:textId="3382462F" w:rsidR="00F300C5" w:rsidRPr="0071198D" w:rsidRDefault="00F300C5" w:rsidP="00D2498B">
      <w:pPr>
        <w:pStyle w:val="Heading2"/>
      </w:pPr>
      <w:bookmarkStart w:id="455" w:name="_Toc216270697"/>
      <w:r w:rsidRPr="003E18AD">
        <w:t>Partnering</w:t>
      </w:r>
      <w:bookmarkEnd w:id="455"/>
    </w:p>
    <w:p w14:paraId="5FD6F1DC" w14:textId="3D568176" w:rsidR="00F300C5" w:rsidRPr="003E18AD" w:rsidRDefault="00F300C5" w:rsidP="00E17732">
      <w:pPr>
        <w:pStyle w:val="BodyText"/>
        <w:keepNext/>
        <w:rPr>
          <w:sz w:val="21"/>
          <w:szCs w:val="21"/>
        </w:rPr>
      </w:pPr>
      <w:r w:rsidRPr="003E18AD">
        <w:rPr>
          <w:sz w:val="21"/>
          <w:szCs w:val="21"/>
        </w:rPr>
        <w:t xml:space="preserve">The Primary Contractor will be responsible for supporting DFAT to establish a partnership approach across the investment, bringing together Delivery Partners through </w:t>
      </w:r>
      <w:r w:rsidR="00882238">
        <w:rPr>
          <w:sz w:val="21"/>
          <w:szCs w:val="21"/>
        </w:rPr>
        <w:t xml:space="preserve">use of partnership brokering approaches and </w:t>
      </w:r>
      <w:r w:rsidRPr="003E18AD">
        <w:rPr>
          <w:sz w:val="21"/>
          <w:szCs w:val="21"/>
        </w:rPr>
        <w:t>development of a Partnership Charter.</w:t>
      </w:r>
      <w:r w:rsidR="00C92510" w:rsidRPr="003E18AD">
        <w:rPr>
          <w:sz w:val="21"/>
          <w:szCs w:val="21"/>
        </w:rPr>
        <w:t xml:space="preserve"> </w:t>
      </w:r>
      <w:r w:rsidRPr="003E18AD">
        <w:rPr>
          <w:sz w:val="21"/>
          <w:szCs w:val="21"/>
        </w:rPr>
        <w:t>This will establish agreements on key principles, ways of working and common system and processes, while acknowledging differentiated roles, functions and systems of different entities.</w:t>
      </w:r>
      <w:r w:rsidR="00C92510" w:rsidRPr="003E18AD">
        <w:rPr>
          <w:sz w:val="21"/>
          <w:szCs w:val="21"/>
        </w:rPr>
        <w:t xml:space="preserve"> </w:t>
      </w:r>
      <w:r w:rsidRPr="003E18AD">
        <w:rPr>
          <w:sz w:val="21"/>
          <w:szCs w:val="21"/>
        </w:rPr>
        <w:t>DFATs role and function in the partnership will also be outlined.</w:t>
      </w:r>
    </w:p>
    <w:p w14:paraId="540979A9" w14:textId="668EB410" w:rsidR="00F300C5" w:rsidRPr="003E18AD" w:rsidRDefault="00F300C5" w:rsidP="00E17732">
      <w:pPr>
        <w:pStyle w:val="BodyText"/>
        <w:keepNext/>
        <w:rPr>
          <w:sz w:val="21"/>
          <w:szCs w:val="21"/>
        </w:rPr>
      </w:pPr>
      <w:r w:rsidRPr="003E18AD">
        <w:rPr>
          <w:sz w:val="21"/>
          <w:szCs w:val="21"/>
        </w:rPr>
        <w:t>Further consideration of how to engage with the GOI agencies in the partnership and governance structures will be undertaken</w:t>
      </w:r>
      <w:r w:rsidR="00882238">
        <w:rPr>
          <w:sz w:val="21"/>
          <w:szCs w:val="21"/>
        </w:rPr>
        <w:t xml:space="preserve"> during the Inception Period</w:t>
      </w:r>
      <w:r w:rsidRPr="003E18AD">
        <w:rPr>
          <w:sz w:val="21"/>
          <w:szCs w:val="21"/>
        </w:rPr>
        <w:t>.</w:t>
      </w:r>
      <w:r w:rsidR="00C92510" w:rsidRPr="003E18AD">
        <w:rPr>
          <w:sz w:val="21"/>
          <w:szCs w:val="21"/>
        </w:rPr>
        <w:t xml:space="preserve"> </w:t>
      </w:r>
      <w:r w:rsidRPr="003E18AD">
        <w:rPr>
          <w:sz w:val="21"/>
          <w:szCs w:val="21"/>
        </w:rPr>
        <w:t xml:space="preserve">The working assumption is that GOI is involved in governance and implementation, and the Delivery Partners work under the partnership </w:t>
      </w:r>
      <w:proofErr w:type="gramStart"/>
      <w:r w:rsidRPr="003E18AD">
        <w:rPr>
          <w:sz w:val="21"/>
          <w:szCs w:val="21"/>
        </w:rPr>
        <w:t>arrangements,.</w:t>
      </w:r>
      <w:proofErr w:type="gramEnd"/>
    </w:p>
    <w:p w14:paraId="0A8D2216" w14:textId="4B34A951" w:rsidR="00F300C5" w:rsidRPr="003E18AD" w:rsidRDefault="00F300C5" w:rsidP="00E17732">
      <w:pPr>
        <w:pStyle w:val="BodyText"/>
        <w:keepNext/>
        <w:rPr>
          <w:sz w:val="21"/>
          <w:szCs w:val="21"/>
        </w:rPr>
      </w:pPr>
      <w:r w:rsidRPr="003E18AD">
        <w:rPr>
          <w:sz w:val="21"/>
          <w:szCs w:val="21"/>
        </w:rPr>
        <w:t>Over the course of the investment, there will be opportunities to strengthen localisation and sustainability by working more directly with Indonesian government and statutory authorities, and other local Indonesian institutions.</w:t>
      </w:r>
      <w:r w:rsidR="00C92510" w:rsidRPr="003E18AD">
        <w:rPr>
          <w:sz w:val="21"/>
          <w:szCs w:val="21"/>
        </w:rPr>
        <w:t xml:space="preserve"> </w:t>
      </w:r>
      <w:r w:rsidRPr="003E18AD">
        <w:rPr>
          <w:sz w:val="21"/>
          <w:szCs w:val="21"/>
        </w:rPr>
        <w:t>DFAT will pursue opportunities to engage with and invite other local Indonesian entities to become formal Delivery Partners of the program and join the Partnership Charter. (Refer to section on Sustainability)</w:t>
      </w:r>
    </w:p>
    <w:p w14:paraId="636169BA" w14:textId="77777777" w:rsidR="00F300C5" w:rsidRPr="0071198D" w:rsidRDefault="00F300C5" w:rsidP="00D2498B">
      <w:pPr>
        <w:pStyle w:val="Heading2"/>
      </w:pPr>
      <w:bookmarkStart w:id="456" w:name="_Toc216270698"/>
      <w:r w:rsidRPr="003E18AD">
        <w:t>Implementation arrangements</w:t>
      </w:r>
      <w:bookmarkEnd w:id="456"/>
    </w:p>
    <w:p w14:paraId="2B21E634" w14:textId="7BDA570E" w:rsidR="00F300C5" w:rsidRDefault="00F300C5" w:rsidP="00E17732">
      <w:pPr>
        <w:pStyle w:val="BodyText"/>
        <w:keepNext/>
        <w:rPr>
          <w:sz w:val="21"/>
          <w:szCs w:val="21"/>
        </w:rPr>
      </w:pPr>
      <w:proofErr w:type="gramStart"/>
      <w:r w:rsidRPr="003E18AD">
        <w:rPr>
          <w:sz w:val="21"/>
          <w:szCs w:val="21"/>
        </w:rPr>
        <w:t>In the course of</w:t>
      </w:r>
      <w:proofErr w:type="gramEnd"/>
      <w:r w:rsidRPr="003E18AD">
        <w:rPr>
          <w:sz w:val="21"/>
          <w:szCs w:val="21"/>
        </w:rPr>
        <w:t xml:space="preserve"> implementing Activities and Projects, more entities will be contracted for program delivery.</w:t>
      </w:r>
      <w:r w:rsidR="00C92510" w:rsidRPr="003E18AD">
        <w:rPr>
          <w:sz w:val="21"/>
          <w:szCs w:val="21"/>
        </w:rPr>
        <w:t xml:space="preserve"> </w:t>
      </w:r>
      <w:r w:rsidR="00012895">
        <w:rPr>
          <w:sz w:val="21"/>
          <w:szCs w:val="21"/>
        </w:rPr>
        <w:t>Within agreed parameters, e</w:t>
      </w:r>
      <w:r w:rsidRPr="003E18AD">
        <w:rPr>
          <w:sz w:val="21"/>
          <w:szCs w:val="21"/>
        </w:rPr>
        <w:t>ach Delivery Partner will utilise their own systems and processes for procurement, ensuring adherence to the Commonwealth procurement requirements.</w:t>
      </w:r>
      <w:r w:rsidR="006E4B69">
        <w:rPr>
          <w:sz w:val="21"/>
          <w:szCs w:val="21"/>
        </w:rPr>
        <w:t xml:space="preserve">  The majority of implementing partners are anticipated to be local Indonesian organisations.  Selection and procurement processes will emphasis local content and localisation strategies.</w:t>
      </w:r>
    </w:p>
    <w:p w14:paraId="2461AC27" w14:textId="3FE83CAD" w:rsidR="00DC0F13" w:rsidRPr="003E18AD" w:rsidRDefault="00DC0F13" w:rsidP="00E17732">
      <w:pPr>
        <w:pStyle w:val="BodyText"/>
        <w:keepNext/>
        <w:rPr>
          <w:sz w:val="21"/>
          <w:szCs w:val="21"/>
        </w:rPr>
      </w:pPr>
      <w:r>
        <w:rPr>
          <w:sz w:val="21"/>
          <w:szCs w:val="21"/>
        </w:rPr>
        <w:t xml:space="preserve">The </w:t>
      </w:r>
      <w:r w:rsidR="00534D73">
        <w:rPr>
          <w:sz w:val="21"/>
          <w:szCs w:val="21"/>
        </w:rPr>
        <w:t xml:space="preserve">Statement </w:t>
      </w:r>
      <w:r>
        <w:rPr>
          <w:sz w:val="21"/>
          <w:szCs w:val="21"/>
        </w:rPr>
        <w:t xml:space="preserve">of Requirements for the Primary Contractor will be developed to allow for use of non-ODA </w:t>
      </w:r>
      <w:r w:rsidR="00012895">
        <w:rPr>
          <w:sz w:val="21"/>
          <w:szCs w:val="21"/>
        </w:rPr>
        <w:t xml:space="preserve">(should </w:t>
      </w:r>
      <w:proofErr w:type="gramStart"/>
      <w:r w:rsidR="00012895">
        <w:rPr>
          <w:sz w:val="21"/>
          <w:szCs w:val="21"/>
        </w:rPr>
        <w:t>additional</w:t>
      </w:r>
      <w:proofErr w:type="gramEnd"/>
      <w:r w:rsidR="00012895">
        <w:rPr>
          <w:sz w:val="21"/>
          <w:szCs w:val="21"/>
        </w:rPr>
        <w:t xml:space="preserve"> sources of funding become available) </w:t>
      </w:r>
      <w:r>
        <w:rPr>
          <w:sz w:val="21"/>
          <w:szCs w:val="21"/>
        </w:rPr>
        <w:t>in later years of the investment as appropriate.</w:t>
      </w:r>
      <w:r w:rsidR="00126856">
        <w:rPr>
          <w:sz w:val="21"/>
          <w:szCs w:val="21"/>
        </w:rPr>
        <w:br/>
      </w:r>
    </w:p>
    <w:p w14:paraId="7731A9E3" w14:textId="77777777" w:rsidR="004F2AF9" w:rsidRPr="00F44317" w:rsidRDefault="3A5D3588" w:rsidP="00AD769D">
      <w:pPr>
        <w:pStyle w:val="Heading1"/>
      </w:pPr>
      <w:bookmarkStart w:id="457" w:name="_Toc216260435"/>
      <w:bookmarkStart w:id="458" w:name="_Toc216264150"/>
      <w:bookmarkStart w:id="459" w:name="_Toc216270699"/>
      <w:r w:rsidRPr="00F44317">
        <w:t>Risk Management and Safeguards (What might go wrong?)</w:t>
      </w:r>
      <w:bookmarkEnd w:id="457"/>
      <w:bookmarkEnd w:id="458"/>
      <w:bookmarkEnd w:id="459"/>
    </w:p>
    <w:p w14:paraId="2A5DAEED" w14:textId="0D78387C" w:rsidR="004F2AF9" w:rsidRPr="003E18AD" w:rsidRDefault="7A0D5053" w:rsidP="6348B7CD">
      <w:pPr>
        <w:rPr>
          <w:rFonts w:ascii="Calibri Light" w:eastAsia="Calibri Light" w:hAnsi="Calibri Light" w:cs="Calibri Light"/>
          <w:sz w:val="21"/>
          <w:szCs w:val="21"/>
        </w:rPr>
      </w:pPr>
      <w:r w:rsidRPr="6348B7CD">
        <w:rPr>
          <w:rFonts w:ascii="Calibri Light" w:eastAsia="Calibri Light" w:hAnsi="Calibri Light" w:cs="Calibri Light"/>
          <w:sz w:val="21"/>
          <w:szCs w:val="21"/>
        </w:rPr>
        <w:t xml:space="preserve">This is a five-year program with the option of being extended (maximum 10 years total). </w:t>
      </w:r>
      <w:r w:rsidR="00E131C6">
        <w:rPr>
          <w:rFonts w:ascii="Calibri Light" w:eastAsia="Calibri Light" w:hAnsi="Calibri Light" w:cs="Calibri Light"/>
          <w:sz w:val="21"/>
          <w:szCs w:val="21"/>
        </w:rPr>
        <w:t>It is an investment with some inherently high-risk aspects -</w:t>
      </w:r>
      <w:r w:rsidRPr="6348B7CD">
        <w:rPr>
          <w:rFonts w:ascii="Calibri Light" w:eastAsia="Calibri Light" w:hAnsi="Calibri Light" w:cs="Calibri Light"/>
          <w:sz w:val="21"/>
          <w:szCs w:val="21"/>
        </w:rPr>
        <w:t xml:space="preserve"> ambitions of the program are high, the scope is broad, and navigating the priorities of the new GOI administration will bring challenges. The program’s ability to contribute to strengthening GOI’s infrastructure, financing and climate response systems will be contingent on many factors beyond the control of the program. Notwithstanding this, the program builds on a strong foundation with more than 20 years of Australian engagement in the infrastructure sector and will support delivery partners that have a strong presence in the workstreams and proven capability and expertise. The partnership approach, the adaptive management delivery approach, and the coordination</w:t>
      </w:r>
      <w:r w:rsidR="00E131C6">
        <w:rPr>
          <w:rFonts w:ascii="Calibri Light" w:eastAsia="Calibri Light" w:hAnsi="Calibri Light" w:cs="Calibri Light"/>
          <w:sz w:val="21"/>
          <w:szCs w:val="21"/>
        </w:rPr>
        <w:t xml:space="preserve"> and governance</w:t>
      </w:r>
      <w:r w:rsidRPr="6348B7CD">
        <w:rPr>
          <w:rFonts w:ascii="Calibri Light" w:eastAsia="Calibri Light" w:hAnsi="Calibri Light" w:cs="Calibri Light"/>
          <w:sz w:val="21"/>
          <w:szCs w:val="21"/>
        </w:rPr>
        <w:t xml:space="preserve"> arrangements proposed </w:t>
      </w:r>
      <w:r w:rsidR="00E131C6">
        <w:rPr>
          <w:rFonts w:ascii="Calibri Light" w:eastAsia="Calibri Light" w:hAnsi="Calibri Light" w:cs="Calibri Light"/>
          <w:sz w:val="21"/>
          <w:szCs w:val="21"/>
        </w:rPr>
        <w:t xml:space="preserve">in this design </w:t>
      </w:r>
      <w:r w:rsidRPr="6348B7CD">
        <w:rPr>
          <w:rFonts w:ascii="Calibri Light" w:eastAsia="Calibri Light" w:hAnsi="Calibri Light" w:cs="Calibri Light"/>
          <w:sz w:val="21"/>
          <w:szCs w:val="21"/>
        </w:rPr>
        <w:t>will help to mitigate and manage risks. The initiative has been assessed as medium risk</w:t>
      </w:r>
      <w:r w:rsidR="00E131C6">
        <w:rPr>
          <w:rFonts w:ascii="Calibri Light" w:eastAsia="Calibri Light" w:hAnsi="Calibri Light" w:cs="Calibri Light"/>
          <w:sz w:val="21"/>
          <w:szCs w:val="21"/>
        </w:rPr>
        <w:t xml:space="preserve"> after controls and mitigations</w:t>
      </w:r>
      <w:r w:rsidRPr="6348B7CD">
        <w:rPr>
          <w:rFonts w:ascii="Calibri Light" w:eastAsia="Calibri Light" w:hAnsi="Calibri Light" w:cs="Calibri Light"/>
          <w:sz w:val="21"/>
          <w:szCs w:val="21"/>
        </w:rPr>
        <w:t>. The key risks for the program are:</w:t>
      </w:r>
    </w:p>
    <w:p w14:paraId="7D9B29C5" w14:textId="33D94D1C" w:rsidR="00B31A31" w:rsidRPr="003E18AD" w:rsidRDefault="00B31A31" w:rsidP="00B31A31">
      <w:pPr>
        <w:rPr>
          <w:rFonts w:ascii="Calibri Light" w:eastAsia="Calibri Light" w:hAnsi="Calibri Light" w:cs="Calibri Light"/>
          <w:sz w:val="21"/>
          <w:szCs w:val="21"/>
        </w:rPr>
      </w:pPr>
      <w:r w:rsidRPr="00ED5396">
        <w:rPr>
          <w:rStyle w:val="Heading4Char"/>
        </w:rPr>
        <w:t>Complex and large-value programs present unique management challenges:</w:t>
      </w:r>
      <w:r w:rsidRPr="00984EE9">
        <w:rPr>
          <w:rFonts w:ascii="Calibri Light" w:eastAsia="Calibri Light" w:hAnsi="Calibri Light" w:cs="Calibri Light"/>
          <w:sz w:val="21"/>
          <w:szCs w:val="21"/>
        </w:rPr>
        <w:t xml:space="preserve"> </w:t>
      </w:r>
      <w:r w:rsidRPr="009B0615">
        <w:rPr>
          <w:rFonts w:ascii="Calibri Light" w:eastAsia="Calibri Light" w:hAnsi="Calibri Light" w:cs="Calibri Light"/>
          <w:sz w:val="21"/>
          <w:szCs w:val="21"/>
        </w:rPr>
        <w:t xml:space="preserve">due to the significant resources, scrutiny, and potential consequences involved. Key challenges include effectively allocating resources, ensuring proper governance and management oversight, and effectively communicating the program's progress and risks. To mitigate these challenges, the program will need to establish a clear vision and objectives, implement robust governance processes, move away from traditional aid management approaches and foster open and transparent communication between DFAT and the program team. The risks associated with achieving the ambitious outcomes have been identified as assumptions in the Program Logic (see Annex 1). The MEL framework outlines </w:t>
      </w:r>
      <w:r w:rsidRPr="009B0615">
        <w:rPr>
          <w:rFonts w:ascii="Calibri Light" w:eastAsia="Calibri Light" w:hAnsi="Calibri Light" w:cs="Calibri Light"/>
          <w:sz w:val="21"/>
          <w:szCs w:val="21"/>
        </w:rPr>
        <w:lastRenderedPageBreak/>
        <w:t xml:space="preserve">the methods and processes for monitoring and evaluating the risks. Successful programs have tended to spread risk by focuses on a blend of sectors, with different levels of risk and probabilities of impact. KINETIK builds on </w:t>
      </w:r>
      <w:proofErr w:type="gramStart"/>
      <w:r w:rsidRPr="009B0615">
        <w:rPr>
          <w:rFonts w:ascii="Calibri Light" w:eastAsia="Calibri Light" w:hAnsi="Calibri Light" w:cs="Calibri Light"/>
          <w:sz w:val="21"/>
          <w:szCs w:val="21"/>
        </w:rPr>
        <w:t>the these</w:t>
      </w:r>
      <w:proofErr w:type="gramEnd"/>
      <w:r w:rsidRPr="009B0615">
        <w:rPr>
          <w:rFonts w:ascii="Calibri Light" w:eastAsia="Calibri Light" w:hAnsi="Calibri Light" w:cs="Calibri Light"/>
          <w:sz w:val="21"/>
          <w:szCs w:val="21"/>
        </w:rPr>
        <w:t xml:space="preserve"> lessons and successful risk management approaches developed and refined through multiple phases of </w:t>
      </w:r>
      <w:proofErr w:type="gramStart"/>
      <w:r w:rsidRPr="009B0615">
        <w:rPr>
          <w:rFonts w:ascii="Calibri Light" w:eastAsia="Calibri Light" w:hAnsi="Calibri Light" w:cs="Calibri Light"/>
          <w:sz w:val="21"/>
          <w:szCs w:val="21"/>
        </w:rPr>
        <w:t>KIAT</w:t>
      </w:r>
      <w:proofErr w:type="gramEnd"/>
      <w:r w:rsidRPr="009B0615">
        <w:rPr>
          <w:rFonts w:ascii="Calibri Light" w:eastAsia="Calibri Light" w:hAnsi="Calibri Light" w:cs="Calibri Light"/>
          <w:sz w:val="21"/>
          <w:szCs w:val="21"/>
        </w:rPr>
        <w:t xml:space="preserve"> and this experience has informed the development of the risks, controls and treatments identified in the risk screening tool.</w:t>
      </w:r>
      <w:r>
        <w:rPr>
          <w:rFonts w:ascii="Calibri Light" w:eastAsia="Calibri Light" w:hAnsi="Calibri Light" w:cs="Calibri Light"/>
          <w:sz w:val="21"/>
          <w:szCs w:val="21"/>
        </w:rPr>
        <w:t xml:space="preserve"> </w:t>
      </w:r>
    </w:p>
    <w:p w14:paraId="408A02C8" w14:textId="556FA688" w:rsidR="003D5A81" w:rsidRDefault="7A0D5053" w:rsidP="00A452F1">
      <w:pPr>
        <w:rPr>
          <w:rFonts w:ascii="Calibri Light" w:eastAsia="Calibri Light" w:hAnsi="Calibri Light" w:cs="Calibri Light"/>
          <w:b/>
          <w:bCs/>
          <w:sz w:val="21"/>
          <w:szCs w:val="21"/>
        </w:rPr>
      </w:pPr>
      <w:r w:rsidRPr="00ED5396">
        <w:rPr>
          <w:rStyle w:val="Heading4Char"/>
        </w:rPr>
        <w:t>Changes to the Indonesian political economy of climate change:</w:t>
      </w:r>
      <w:r w:rsidRPr="6348B7CD">
        <w:rPr>
          <w:rFonts w:ascii="Calibri Light" w:eastAsia="Calibri Light" w:hAnsi="Calibri Light" w:cs="Calibri Light"/>
          <w:b/>
          <w:bCs/>
          <w:i/>
          <w:iCs/>
          <w:sz w:val="21"/>
          <w:szCs w:val="21"/>
        </w:rPr>
        <w:t xml:space="preserve"> </w:t>
      </w:r>
      <w:r w:rsidRPr="6348B7CD">
        <w:rPr>
          <w:rFonts w:ascii="Calibri Light" w:eastAsia="Calibri Light" w:hAnsi="Calibri Light" w:cs="Calibri Light"/>
          <w:sz w:val="21"/>
          <w:szCs w:val="21"/>
        </w:rPr>
        <w:t xml:space="preserve">The political economy of climate and energy transition in Indonesia under the new administration continues </w:t>
      </w:r>
      <w:r w:rsidR="00ED7316">
        <w:rPr>
          <w:rFonts w:ascii="Calibri Light" w:eastAsia="Calibri Light" w:hAnsi="Calibri Light" w:cs="Calibri Light"/>
          <w:sz w:val="21"/>
          <w:szCs w:val="21"/>
        </w:rPr>
        <w:t>to be</w:t>
      </w:r>
      <w:r w:rsidRPr="6348B7CD">
        <w:rPr>
          <w:rFonts w:ascii="Calibri Light" w:eastAsia="Calibri Light" w:hAnsi="Calibri Light" w:cs="Calibri Light"/>
          <w:sz w:val="21"/>
          <w:szCs w:val="21"/>
        </w:rPr>
        <w:t xml:space="preserve"> highly contested. To mitigate potential risks to the program, </w:t>
      </w:r>
      <w:r w:rsidR="00032E11">
        <w:rPr>
          <w:rFonts w:ascii="Calibri Light" w:eastAsia="Calibri Light" w:hAnsi="Calibri Light" w:cs="Calibri Light"/>
          <w:sz w:val="21"/>
          <w:szCs w:val="21"/>
        </w:rPr>
        <w:t xml:space="preserve">working politically and </w:t>
      </w:r>
      <w:r w:rsidR="001B139D">
        <w:rPr>
          <w:rFonts w:ascii="Calibri Light" w:eastAsia="Calibri Light" w:hAnsi="Calibri Light" w:cs="Calibri Light"/>
          <w:sz w:val="21"/>
          <w:szCs w:val="21"/>
        </w:rPr>
        <w:t xml:space="preserve">adaptively is at the heart of this design, including through </w:t>
      </w:r>
      <w:r w:rsidR="00A120E4">
        <w:rPr>
          <w:rFonts w:ascii="Calibri Light" w:eastAsia="Calibri Light" w:hAnsi="Calibri Light" w:cs="Calibri Light"/>
          <w:sz w:val="21"/>
          <w:szCs w:val="21"/>
        </w:rPr>
        <w:t xml:space="preserve">regular reflection exercises and </w:t>
      </w:r>
      <w:r w:rsidRPr="6348B7CD">
        <w:rPr>
          <w:rFonts w:ascii="Calibri Light" w:eastAsia="Calibri Light" w:hAnsi="Calibri Light" w:cs="Calibri Light"/>
          <w:sz w:val="21"/>
          <w:szCs w:val="21"/>
        </w:rPr>
        <w:t>a watching brief on developments in the political economy</w:t>
      </w:r>
      <w:r w:rsidR="00A120E4">
        <w:rPr>
          <w:rFonts w:ascii="Calibri Light" w:eastAsia="Calibri Light" w:hAnsi="Calibri Light" w:cs="Calibri Light"/>
          <w:sz w:val="21"/>
          <w:szCs w:val="21"/>
        </w:rPr>
        <w:t xml:space="preserve">, as well as regular </w:t>
      </w:r>
      <w:r w:rsidRPr="6348B7CD">
        <w:rPr>
          <w:rFonts w:ascii="Calibri Light" w:eastAsia="Calibri Light" w:hAnsi="Calibri Light" w:cs="Calibri Light"/>
          <w:sz w:val="21"/>
          <w:szCs w:val="21"/>
        </w:rPr>
        <w:t>formal and informal communications with government counterparts. The program will manage a media monitoring service to ensure that communications and public diplomacy efforts remained relevant and sensitive to evolving political circumstances.</w:t>
      </w:r>
      <w:r w:rsidRPr="6348B7CD">
        <w:rPr>
          <w:rFonts w:ascii="Calibri Light" w:eastAsia="Calibri Light" w:hAnsi="Calibri Light" w:cs="Calibri Light"/>
          <w:b/>
          <w:bCs/>
          <w:sz w:val="21"/>
          <w:szCs w:val="21"/>
        </w:rPr>
        <w:t xml:space="preserve"> </w:t>
      </w:r>
    </w:p>
    <w:p w14:paraId="29545BAA" w14:textId="77F6578F" w:rsidR="004F2AF9" w:rsidRDefault="7A0D5053" w:rsidP="003D5A81">
      <w:pPr>
        <w:spacing w:before="0"/>
        <w:rPr>
          <w:rFonts w:ascii="Calibri" w:eastAsia="Calibri" w:hAnsi="Calibri" w:cs="Calibri"/>
          <w:b/>
          <w:bCs/>
          <w:sz w:val="21"/>
          <w:szCs w:val="21"/>
        </w:rPr>
      </w:pPr>
      <w:r w:rsidRPr="00ED5396">
        <w:rPr>
          <w:rStyle w:val="Heading4Char"/>
        </w:rPr>
        <w:t>Fraud and Corruption:</w:t>
      </w:r>
      <w:r w:rsidRPr="6348B7CD">
        <w:rPr>
          <w:rFonts w:ascii="Calibri" w:eastAsia="Calibri" w:hAnsi="Calibri" w:cs="Calibri"/>
          <w:b/>
          <w:bCs/>
          <w:sz w:val="21"/>
          <w:szCs w:val="21"/>
        </w:rPr>
        <w:t xml:space="preserve"> </w:t>
      </w:r>
      <w:r w:rsidRPr="6348B7CD">
        <w:rPr>
          <w:rFonts w:ascii="Calibri Light" w:eastAsia="Calibri Light" w:hAnsi="Calibri Light" w:cs="Calibri Light"/>
          <w:sz w:val="21"/>
          <w:szCs w:val="21"/>
        </w:rPr>
        <w:t xml:space="preserve">The program will be implemented across multiple sectors and geographic locations in Indonesia which presents fraud and corruption risks including misappropriation of funds, inflated invoicing, and procurement irregularities. The dispersed nature of funding recipients and varying capacity of partners across regions compound these challenges. Mitigation measures include partner due diligence assessment, regular monitoring including spot checks, and capacity building for recipient organisation. Further mitigation measures are outlined below under the Fraud and Corruption Control section. </w:t>
      </w:r>
      <w:r w:rsidRPr="6348B7CD">
        <w:rPr>
          <w:rFonts w:ascii="Calibri" w:eastAsia="Calibri" w:hAnsi="Calibri" w:cs="Calibri"/>
          <w:b/>
          <w:bCs/>
          <w:sz w:val="21"/>
          <w:szCs w:val="21"/>
        </w:rPr>
        <w:t xml:space="preserve"> </w:t>
      </w:r>
    </w:p>
    <w:p w14:paraId="529B221A" w14:textId="225CD509" w:rsidR="00B31A31" w:rsidRPr="00984EE9" w:rsidRDefault="00B31A31" w:rsidP="00984EE9">
      <w:pPr>
        <w:rPr>
          <w:rFonts w:ascii="Calibri Light" w:eastAsia="Calibri Light" w:hAnsi="Calibri Light" w:cs="Calibri Light"/>
          <w:sz w:val="21"/>
          <w:szCs w:val="21"/>
        </w:rPr>
      </w:pPr>
      <w:r w:rsidRPr="00ED5396">
        <w:rPr>
          <w:rStyle w:val="Heading4Char"/>
        </w:rPr>
        <w:t>Counter-terrorism financing:</w:t>
      </w:r>
      <w:r w:rsidRPr="00984EE9">
        <w:rPr>
          <w:rFonts w:ascii="Calibri Light" w:eastAsia="Calibri Light" w:hAnsi="Calibri Light" w:cs="Calibri Light"/>
          <w:sz w:val="21"/>
          <w:szCs w:val="21"/>
        </w:rPr>
        <w:t xml:space="preserve"> </w:t>
      </w:r>
      <w:r w:rsidRPr="00CA0E94">
        <w:rPr>
          <w:rFonts w:ascii="Calibri Light" w:eastAsia="Calibri Light" w:hAnsi="Calibri Light" w:cs="Calibri Light"/>
          <w:sz w:val="21"/>
          <w:szCs w:val="21"/>
        </w:rPr>
        <w:t>Counter Terrorism:</w:t>
      </w:r>
      <w:r w:rsidRPr="00984EE9">
        <w:rPr>
          <w:rFonts w:ascii="Calibri Light" w:eastAsia="Calibri Light" w:hAnsi="Calibri Light" w:cs="Calibri Light"/>
          <w:sz w:val="21"/>
          <w:szCs w:val="21"/>
        </w:rPr>
        <w:t xml:space="preserve"> Australian law criminalises the fostering of terrorism, including terrorism resourcing, with offences applying under the Criminal Code Act 1995 (</w:t>
      </w:r>
      <w:proofErr w:type="spellStart"/>
      <w:r w:rsidRPr="00984EE9">
        <w:rPr>
          <w:rFonts w:ascii="Calibri Light" w:eastAsia="Calibri Light" w:hAnsi="Calibri Light" w:cs="Calibri Light"/>
          <w:sz w:val="21"/>
          <w:szCs w:val="21"/>
        </w:rPr>
        <w:t>Cth</w:t>
      </w:r>
      <w:proofErr w:type="spellEnd"/>
      <w:r w:rsidRPr="00984EE9">
        <w:rPr>
          <w:rFonts w:ascii="Calibri Light" w:eastAsia="Calibri Light" w:hAnsi="Calibri Light" w:cs="Calibri Light"/>
          <w:sz w:val="21"/>
          <w:szCs w:val="21"/>
        </w:rPr>
        <w:t>) and the Charter of the United Nations Act 1945 (</w:t>
      </w:r>
      <w:proofErr w:type="spellStart"/>
      <w:r w:rsidRPr="00984EE9">
        <w:rPr>
          <w:rFonts w:ascii="Calibri Light" w:eastAsia="Calibri Light" w:hAnsi="Calibri Light" w:cs="Calibri Light"/>
          <w:sz w:val="21"/>
          <w:szCs w:val="21"/>
        </w:rPr>
        <w:t>Cth</w:t>
      </w:r>
      <w:proofErr w:type="spellEnd"/>
      <w:r w:rsidRPr="00984EE9">
        <w:rPr>
          <w:rFonts w:ascii="Calibri Light" w:eastAsia="Calibri Light" w:hAnsi="Calibri Light" w:cs="Calibri Light"/>
          <w:sz w:val="21"/>
          <w:szCs w:val="21"/>
        </w:rPr>
        <w:t xml:space="preserve">) and its associated regulations. There is a risk of adverse interactions and damage to Australia’s reputation if the program inadvertently directs funds to grant recipients, subcontractors or suppliers who are associated with terrorism. To help mitigate this risk, DFAT will include standard contract conditions for the managing contractor and other partners that include provisions on safety and security requirements, crosscheck of persons and organisations against proscribed lists before entering into an agreement, terrorism awareness training of Contractor staff and partners and mandatory partner and sub-contractor reporting guidelines. These are important measures as some partners may only screen vendors and partners against the UN Security Council </w:t>
      </w:r>
      <w:r w:rsidR="009A68D8">
        <w:rPr>
          <w:rFonts w:ascii="Calibri Light" w:eastAsia="Calibri Light" w:hAnsi="Calibri Light" w:cs="Calibri Light"/>
          <w:sz w:val="21"/>
          <w:szCs w:val="21"/>
        </w:rPr>
        <w:t xml:space="preserve">(UNSC) </w:t>
      </w:r>
      <w:r w:rsidRPr="00984EE9">
        <w:rPr>
          <w:rFonts w:ascii="Calibri Light" w:eastAsia="Calibri Light" w:hAnsi="Calibri Light" w:cs="Calibri Light"/>
          <w:sz w:val="21"/>
          <w:szCs w:val="21"/>
        </w:rPr>
        <w:t>Consolidated Sanctions List, whilst Australia has its own listing of terrorist organisations and has imposed autonomous sanctions against a range of individuals and organisations in other countries which may not appear on the UNSC Consolidated Sanctions List.</w:t>
      </w:r>
    </w:p>
    <w:p w14:paraId="247819BC" w14:textId="77777777" w:rsidR="00B31A31" w:rsidRPr="00984EE9" w:rsidRDefault="00B31A31" w:rsidP="00984EE9">
      <w:pPr>
        <w:rPr>
          <w:rFonts w:ascii="Calibri Light" w:eastAsia="Calibri Light" w:hAnsi="Calibri Light" w:cs="Calibri Light"/>
          <w:sz w:val="21"/>
          <w:szCs w:val="21"/>
        </w:rPr>
      </w:pPr>
      <w:r w:rsidRPr="00984EE9">
        <w:rPr>
          <w:rFonts w:ascii="Calibri Light" w:eastAsia="Calibri Light" w:hAnsi="Calibri Light" w:cs="Calibri Light"/>
          <w:sz w:val="21"/>
          <w:szCs w:val="21"/>
        </w:rPr>
        <w:t xml:space="preserve">DFAT and the Contractor will review risks to Australia’s reputation throughout the program and incorporate terrorism risks within the risk register and implementation of controls and treatments to manage terrorism resourcing risks specific to the activity. DFAT and the Contractor will hold regular meetings and establish other monitoring mechanisms to provide an avenue to monitor preventing violent extremism activities and identify any signs of potential support for extremism. Senior DFAT management will be regularly updated on these risks as part of DFAT’s internal risk management protocols.  </w:t>
      </w:r>
    </w:p>
    <w:p w14:paraId="5C15AF5D" w14:textId="04111B4A" w:rsidR="004F2AF9" w:rsidRPr="00984EE9" w:rsidRDefault="7A0D5053" w:rsidP="00D2498B">
      <w:pPr>
        <w:pStyle w:val="Heading2"/>
      </w:pPr>
      <w:bookmarkStart w:id="460" w:name="_Toc216270700"/>
      <w:r w:rsidRPr="00984EE9">
        <w:t>Environmental and Social Safeguards</w:t>
      </w:r>
      <w:bookmarkEnd w:id="460"/>
    </w:p>
    <w:p w14:paraId="5D4C1E24" w14:textId="40095ACD" w:rsidR="004F2AF9" w:rsidRPr="003E18AD" w:rsidRDefault="7A0D5053" w:rsidP="6348B7CD">
      <w:pPr>
        <w:rPr>
          <w:rFonts w:ascii="Calibri Light" w:eastAsia="Calibri Light" w:hAnsi="Calibri Light" w:cs="Calibri Light"/>
          <w:sz w:val="21"/>
          <w:szCs w:val="21"/>
        </w:rPr>
      </w:pPr>
      <w:r w:rsidRPr="6348B7CD">
        <w:rPr>
          <w:rFonts w:ascii="Calibri Light" w:eastAsia="Calibri Light" w:hAnsi="Calibri Light" w:cs="Calibri Light"/>
          <w:sz w:val="21"/>
          <w:szCs w:val="21"/>
        </w:rPr>
        <w:t xml:space="preserve">The investment operates in a complex risk environment requiring robust social safeguards to protect vulnerable populations and mitigate environmental and social harms throughout the investment lifecycle. Key risks requiring mitigation include environmental degradation from large-scale infrastructure development that can lead to deforestation, habitat fragmentation, and contamination of coastal ecosystems with particular concern for indigenous communities who face displacement and violations of free, prior, and informed consent principles. Children and vulnerable groups face heightened risks from involuntary resettlement, loss of livelihoods, and inadequate compensation mechanisms, while infrastructure projects with civil works present high-risk environments for sexual exploitation, abuse, and harassment (SEAH), particularly affecting women and girls in project communities. </w:t>
      </w:r>
    </w:p>
    <w:p w14:paraId="10A22F67" w14:textId="2708AA0B" w:rsidR="003D5A81" w:rsidRPr="00D2498B" w:rsidRDefault="7A0D5053" w:rsidP="00D2498B">
      <w:pPr>
        <w:rPr>
          <w:rFonts w:ascii="Calibri Light" w:eastAsia="Calibri Light" w:hAnsi="Calibri Light" w:cs="Calibri Light"/>
          <w:sz w:val="21"/>
          <w:szCs w:val="21"/>
        </w:rPr>
      </w:pPr>
      <w:r w:rsidRPr="6348B7CD">
        <w:rPr>
          <w:rFonts w:ascii="Calibri Light" w:eastAsia="Calibri Light" w:hAnsi="Calibri Light" w:cs="Calibri Light"/>
          <w:sz w:val="21"/>
          <w:szCs w:val="21"/>
        </w:rPr>
        <w:t xml:space="preserve">The Contractor and delivery partners will be selected </w:t>
      </w:r>
      <w:proofErr w:type="gramStart"/>
      <w:r w:rsidRPr="6348B7CD">
        <w:rPr>
          <w:rFonts w:ascii="Calibri Light" w:eastAsia="Calibri Light" w:hAnsi="Calibri Light" w:cs="Calibri Light"/>
          <w:sz w:val="21"/>
          <w:szCs w:val="21"/>
        </w:rPr>
        <w:t>on the basis of</w:t>
      </w:r>
      <w:proofErr w:type="gramEnd"/>
      <w:r w:rsidRPr="6348B7CD">
        <w:rPr>
          <w:rFonts w:ascii="Calibri Light" w:eastAsia="Calibri Light" w:hAnsi="Calibri Light" w:cs="Calibri Light"/>
          <w:sz w:val="21"/>
          <w:szCs w:val="21"/>
        </w:rPr>
        <w:t xml:space="preserve"> compliance with DFAT due diligence requirements. The </w:t>
      </w:r>
      <w:r w:rsidR="009A68D8">
        <w:rPr>
          <w:rFonts w:ascii="Calibri Light" w:eastAsia="Calibri Light" w:hAnsi="Calibri Light" w:cs="Calibri Light"/>
          <w:sz w:val="21"/>
          <w:szCs w:val="21"/>
        </w:rPr>
        <w:t>Primary</w:t>
      </w:r>
      <w:r w:rsidR="009A68D8" w:rsidRPr="6348B7CD">
        <w:rPr>
          <w:rFonts w:ascii="Calibri Light" w:eastAsia="Calibri Light" w:hAnsi="Calibri Light" w:cs="Calibri Light"/>
          <w:sz w:val="21"/>
          <w:szCs w:val="21"/>
        </w:rPr>
        <w:t xml:space="preserve"> </w:t>
      </w:r>
      <w:r w:rsidRPr="6348B7CD">
        <w:rPr>
          <w:rFonts w:ascii="Calibri Light" w:eastAsia="Calibri Light" w:hAnsi="Calibri Light" w:cs="Calibri Light"/>
          <w:sz w:val="21"/>
          <w:szCs w:val="21"/>
        </w:rPr>
        <w:t xml:space="preserve">Contractor will develop an environmental and social safeguards policy for the program based on DFAT and international standards. All personnel, whether short or long term, will be required to follow </w:t>
      </w:r>
      <w:r w:rsidRPr="6348B7CD">
        <w:rPr>
          <w:rFonts w:ascii="Calibri Light" w:eastAsia="Calibri Light" w:hAnsi="Calibri Light" w:cs="Calibri Light"/>
          <w:sz w:val="21"/>
          <w:szCs w:val="21"/>
        </w:rPr>
        <w:lastRenderedPageBreak/>
        <w:t xml:space="preserve">DFAT’s Environmental and Social Safeguard Policy that came into effect 1 January 2018. Activity selection will include environment and social safeguards criteria as a specific investment screening tool. Environmental and social safeguards standards be incorporated in implementation, monitored, and complied with the </w:t>
      </w:r>
      <w:r w:rsidR="008E1BBA">
        <w:rPr>
          <w:rFonts w:ascii="Calibri Light" w:eastAsia="Calibri Light" w:hAnsi="Calibri Light" w:cs="Calibri Light"/>
          <w:sz w:val="21"/>
          <w:szCs w:val="21"/>
        </w:rPr>
        <w:t>Primary</w:t>
      </w:r>
      <w:r w:rsidR="008E1BBA" w:rsidRPr="6348B7CD">
        <w:rPr>
          <w:rFonts w:ascii="Calibri Light" w:eastAsia="Calibri Light" w:hAnsi="Calibri Light" w:cs="Calibri Light"/>
          <w:sz w:val="21"/>
          <w:szCs w:val="21"/>
        </w:rPr>
        <w:t xml:space="preserve"> </w:t>
      </w:r>
      <w:r w:rsidRPr="6348B7CD">
        <w:rPr>
          <w:rFonts w:ascii="Calibri Light" w:eastAsia="Calibri Light" w:hAnsi="Calibri Light" w:cs="Calibri Light"/>
          <w:sz w:val="21"/>
          <w:szCs w:val="21"/>
        </w:rPr>
        <w:t xml:space="preserve">Contractor undertaking annual reviews of partner policy adherence. The </w:t>
      </w:r>
      <w:r w:rsidR="008E1BBA">
        <w:rPr>
          <w:rFonts w:ascii="Calibri Light" w:eastAsia="Calibri Light" w:hAnsi="Calibri Light" w:cs="Calibri Light"/>
          <w:sz w:val="21"/>
          <w:szCs w:val="21"/>
        </w:rPr>
        <w:t>Primary</w:t>
      </w:r>
      <w:r w:rsidR="008E1BBA" w:rsidRPr="6348B7CD">
        <w:rPr>
          <w:rFonts w:ascii="Calibri Light" w:eastAsia="Calibri Light" w:hAnsi="Calibri Light" w:cs="Calibri Light"/>
          <w:sz w:val="21"/>
          <w:szCs w:val="21"/>
        </w:rPr>
        <w:t xml:space="preserve"> </w:t>
      </w:r>
      <w:r w:rsidRPr="6348B7CD">
        <w:rPr>
          <w:rFonts w:ascii="Calibri Light" w:eastAsia="Calibri Light" w:hAnsi="Calibri Light" w:cs="Calibri Light"/>
          <w:sz w:val="21"/>
          <w:szCs w:val="21"/>
        </w:rPr>
        <w:t xml:space="preserve">Contractor will employ a specialist Safeguards Adviser to develop a Safeguard Management Plan and detailed protocol for the handling of safeguard incidents and to support training of personnel and partners. Private sector partners such as ADI will use their social safeguard toolkit including training video and presentation as well as tools and templates for sharing with Fund Managers and portfolio companies. All activities will be screened for safeguard risks and subject to an ongoing spot check process. Based on lessons from KIAT, spot checks have provided </w:t>
      </w:r>
      <w:proofErr w:type="gramStart"/>
      <w:r w:rsidRPr="6348B7CD">
        <w:rPr>
          <w:rFonts w:ascii="Calibri Light" w:eastAsia="Calibri Light" w:hAnsi="Calibri Light" w:cs="Calibri Light"/>
          <w:sz w:val="21"/>
          <w:szCs w:val="21"/>
        </w:rPr>
        <w:t>useful</w:t>
      </w:r>
      <w:proofErr w:type="gramEnd"/>
      <w:r w:rsidRPr="6348B7CD">
        <w:rPr>
          <w:rFonts w:ascii="Calibri Light" w:eastAsia="Calibri Light" w:hAnsi="Calibri Light" w:cs="Calibri Light"/>
          <w:sz w:val="21"/>
          <w:szCs w:val="21"/>
        </w:rPr>
        <w:t xml:space="preserve"> and checks identified several high-risk activities requiring intensive Safeguards Advisor support such as through additional field visits. Safeguard incidents will be reported to DFAT’s Safeguards desk and managed in a timely and appropriate manner.</w:t>
      </w:r>
    </w:p>
    <w:p w14:paraId="461C9A3C" w14:textId="524733FC" w:rsidR="004F2AF9" w:rsidRPr="00984EE9" w:rsidRDefault="7A0D5053" w:rsidP="00D2498B">
      <w:pPr>
        <w:pStyle w:val="Heading2"/>
      </w:pPr>
      <w:bookmarkStart w:id="461" w:name="_Toc216270701"/>
      <w:r w:rsidRPr="00984EE9">
        <w:t>Health and Safety</w:t>
      </w:r>
      <w:bookmarkEnd w:id="461"/>
      <w:r w:rsidRPr="00984EE9">
        <w:t xml:space="preserve"> </w:t>
      </w:r>
    </w:p>
    <w:p w14:paraId="3AB84E2E" w14:textId="53E915F9" w:rsidR="004F2AF9" w:rsidRPr="003E18AD" w:rsidRDefault="7A0D5053" w:rsidP="6348B7CD">
      <w:pPr>
        <w:rPr>
          <w:rFonts w:ascii="Calibri Light" w:eastAsia="Calibri Light" w:hAnsi="Calibri Light" w:cs="Calibri Light"/>
          <w:sz w:val="21"/>
          <w:szCs w:val="21"/>
        </w:rPr>
      </w:pPr>
      <w:r w:rsidRPr="6348B7CD">
        <w:rPr>
          <w:rFonts w:ascii="Calibri Light" w:eastAsia="Calibri Light" w:hAnsi="Calibri Light" w:cs="Calibri Light"/>
          <w:sz w:val="21"/>
          <w:szCs w:val="21"/>
        </w:rPr>
        <w:t>Health and safety risks emerge from inadequate environmental impact assessments, industrial waste contamination, and unsafe working conditions.</w:t>
      </w:r>
      <w:r w:rsidRPr="6348B7CD">
        <w:rPr>
          <w:rFonts w:ascii="Calibri Light" w:eastAsia="Calibri Light" w:hAnsi="Calibri Light" w:cs="Calibri Light"/>
        </w:rPr>
        <w:t xml:space="preserve"> </w:t>
      </w:r>
      <w:r w:rsidRPr="6348B7CD">
        <w:rPr>
          <w:rFonts w:ascii="Calibri Light" w:eastAsia="Calibri Light" w:hAnsi="Calibri Light" w:cs="Calibri Light"/>
          <w:lang w:val="en-US"/>
        </w:rPr>
        <w:t>The program is committed to ensuring that all program-supported activities are conducted in ways that uphold the safety, dignity, and wellbeing of participants and partners. The program will apply minimum Work Health and Safety (WHS) standards to all activities, including accessible venues, safe travel arrangements, appropriate security protocols, and measures to support psychological safety. Health and safety expectations will be embedded in activity planning and delivery, and partners will monitor compliance and provide guidance to partners to ensure safe, respectful, and inclusive participation in all activities.</w:t>
      </w:r>
      <w:r w:rsidRPr="6348B7CD">
        <w:rPr>
          <w:rFonts w:ascii="Calibri Light" w:eastAsia="Calibri Light" w:hAnsi="Calibri Light" w:cs="Calibri Light"/>
          <w:sz w:val="21"/>
          <w:szCs w:val="21"/>
          <w:lang w:val="en-US"/>
        </w:rPr>
        <w:t xml:space="preserve"> </w:t>
      </w:r>
      <w:r w:rsidRPr="6348B7CD">
        <w:rPr>
          <w:rFonts w:ascii="Calibri Light" w:eastAsia="Calibri Light" w:hAnsi="Calibri Light" w:cs="Calibri Light"/>
          <w:sz w:val="21"/>
          <w:szCs w:val="21"/>
        </w:rPr>
        <w:t>Procurement and contractual controls, capacity building, and supervision will be the key functions for ensuring partners are sufficiently addressing health and safety risks and impacts on workers and community members.</w:t>
      </w:r>
    </w:p>
    <w:p w14:paraId="3DBC9700" w14:textId="7BF1186C" w:rsidR="004F2AF9" w:rsidRPr="00984EE9" w:rsidRDefault="7A0D5053" w:rsidP="00D2498B">
      <w:pPr>
        <w:pStyle w:val="Heading2"/>
      </w:pPr>
      <w:bookmarkStart w:id="462" w:name="_Toc216270702"/>
      <w:r w:rsidRPr="00984EE9">
        <w:t>Sexual exploitation, abuse and harassment</w:t>
      </w:r>
      <w:bookmarkEnd w:id="462"/>
      <w:r w:rsidRPr="00984EE9">
        <w:t xml:space="preserve"> </w:t>
      </w:r>
    </w:p>
    <w:p w14:paraId="04720C29" w14:textId="074D397D" w:rsidR="004F2AF9" w:rsidRPr="003E18AD" w:rsidRDefault="7A0D5053" w:rsidP="6348B7CD">
      <w:pPr>
        <w:rPr>
          <w:rFonts w:ascii="Calibri Light" w:eastAsia="Calibri Light" w:hAnsi="Calibri Light" w:cs="Calibri Light"/>
          <w:sz w:val="21"/>
          <w:szCs w:val="21"/>
        </w:rPr>
      </w:pPr>
      <w:r w:rsidRPr="6348B7CD">
        <w:rPr>
          <w:rFonts w:ascii="Calibri Light" w:eastAsia="Calibri Light" w:hAnsi="Calibri Light" w:cs="Calibri Light"/>
          <w:sz w:val="21"/>
          <w:szCs w:val="21"/>
        </w:rPr>
        <w:t xml:space="preserve">The investment is assessed as being of </w:t>
      </w:r>
      <w:r w:rsidRPr="6348B7CD">
        <w:rPr>
          <w:rFonts w:ascii="Calibri Light" w:eastAsia="Calibri Light" w:hAnsi="Calibri Light" w:cs="Calibri Light"/>
          <w:b/>
          <w:bCs/>
          <w:sz w:val="21"/>
          <w:szCs w:val="21"/>
        </w:rPr>
        <w:t>high</w:t>
      </w:r>
      <w:r w:rsidRPr="6348B7CD">
        <w:rPr>
          <w:rFonts w:ascii="Calibri Light" w:eastAsia="Calibri Light" w:hAnsi="Calibri Light" w:cs="Calibri Light"/>
          <w:sz w:val="21"/>
          <w:szCs w:val="21"/>
        </w:rPr>
        <w:t xml:space="preserve"> risk in terms of sexual exploitation, abuse and harassment (SEAH) and, therefore will complete minimum standards 1–5</w:t>
      </w:r>
      <w:r w:rsidR="009210A6">
        <w:rPr>
          <w:rStyle w:val="FootnoteReference"/>
          <w:rFonts w:ascii="Calibri Light" w:eastAsia="Calibri Light" w:hAnsi="Calibri Light" w:cs="Calibri Light"/>
          <w:sz w:val="21"/>
          <w:szCs w:val="21"/>
        </w:rPr>
        <w:footnoteReference w:id="11"/>
      </w:r>
      <w:r w:rsidRPr="6348B7CD">
        <w:rPr>
          <w:rFonts w:ascii="Calibri Light" w:eastAsia="Calibri Light" w:hAnsi="Calibri Light" w:cs="Calibri Light"/>
          <w:sz w:val="21"/>
          <w:szCs w:val="21"/>
        </w:rPr>
        <w:t xml:space="preserve"> of DFAT’s PSEAH risk management guidance. There is potential that there will be higher SEAH risks in some initiatives that receive financial and technical support through the program. Risks are more likely to emerge where partners do not have strong internal PSEAH leadership, policies and practices in place, and where there are policies in place they may not be applied to downstream partners and staff. All program activities and projects will need to be screened for their specific SEAH </w:t>
      </w:r>
      <w:proofErr w:type="gramStart"/>
      <w:r w:rsidRPr="6348B7CD">
        <w:rPr>
          <w:rFonts w:ascii="Calibri Light" w:eastAsia="Calibri Light" w:hAnsi="Calibri Light" w:cs="Calibri Light"/>
          <w:sz w:val="21"/>
          <w:szCs w:val="21"/>
        </w:rPr>
        <w:t>risks</w:t>
      </w:r>
      <w:proofErr w:type="gramEnd"/>
      <w:r w:rsidRPr="6348B7CD">
        <w:rPr>
          <w:rFonts w:ascii="Calibri Light" w:eastAsia="Calibri Light" w:hAnsi="Calibri Light" w:cs="Calibri Light"/>
          <w:sz w:val="21"/>
          <w:szCs w:val="21"/>
        </w:rPr>
        <w:t xml:space="preserve"> and the relevant minimum standards applied. The managing contractor will be expected to employ a PSEAH Adviser to develop a PSEAH Plan and detailed protocol call for handling reporting and providing training to personnel and partners. </w:t>
      </w:r>
    </w:p>
    <w:p w14:paraId="5622BAA9" w14:textId="03CB0F5B" w:rsidR="004F2AF9" w:rsidRPr="00984EE9" w:rsidRDefault="7A0D5053" w:rsidP="00D2498B">
      <w:pPr>
        <w:pStyle w:val="Heading2"/>
      </w:pPr>
      <w:bookmarkStart w:id="463" w:name="_Toc216270703"/>
      <w:r w:rsidRPr="00984EE9">
        <w:t>Child Protection</w:t>
      </w:r>
      <w:bookmarkEnd w:id="463"/>
      <w:r w:rsidRPr="00984EE9">
        <w:t xml:space="preserve"> </w:t>
      </w:r>
    </w:p>
    <w:p w14:paraId="69435A68" w14:textId="31C0FFD1" w:rsidR="004F2AF9" w:rsidRPr="003E18AD" w:rsidRDefault="7A0D5053" w:rsidP="6348B7CD">
      <w:pPr>
        <w:tabs>
          <w:tab w:val="left" w:pos="284"/>
        </w:tabs>
        <w:rPr>
          <w:rFonts w:ascii="Calibri Light" w:eastAsia="Calibri Light" w:hAnsi="Calibri Light" w:cs="Calibri Light"/>
          <w:sz w:val="21"/>
          <w:szCs w:val="21"/>
        </w:rPr>
      </w:pPr>
      <w:r w:rsidRPr="6348B7CD">
        <w:rPr>
          <w:rFonts w:ascii="Calibri Light" w:eastAsia="Calibri Light" w:hAnsi="Calibri Light" w:cs="Calibri Light"/>
          <w:sz w:val="21"/>
          <w:szCs w:val="21"/>
        </w:rPr>
        <w:t xml:space="preserve">There are child protection risks associated with infrastructure programs, but the program is not expected to include any direct contact or work with children. On this basis, the program is assessed as having a </w:t>
      </w:r>
      <w:r w:rsidRPr="6348B7CD">
        <w:rPr>
          <w:rFonts w:ascii="Calibri Light" w:eastAsia="Calibri Light" w:hAnsi="Calibri Light" w:cs="Calibri Light"/>
        </w:rPr>
        <w:t>moderate</w:t>
      </w:r>
      <w:r w:rsidRPr="6348B7CD">
        <w:rPr>
          <w:rFonts w:ascii="Calibri Light" w:eastAsia="Calibri Light" w:hAnsi="Calibri Light" w:cs="Calibri Light"/>
          <w:sz w:val="21"/>
          <w:szCs w:val="21"/>
        </w:rPr>
        <w:t xml:space="preserve"> child protection risk, with </w:t>
      </w:r>
      <w:r w:rsidRPr="6348B7CD">
        <w:rPr>
          <w:rFonts w:ascii="Calibri Light" w:eastAsia="Calibri Light" w:hAnsi="Calibri Light" w:cs="Calibri Light"/>
        </w:rPr>
        <w:t>no focus</w:t>
      </w:r>
      <w:r w:rsidRPr="6348B7CD">
        <w:rPr>
          <w:rFonts w:ascii="Calibri Light" w:eastAsia="Calibri Light" w:hAnsi="Calibri Light" w:cs="Calibri Light"/>
          <w:sz w:val="21"/>
          <w:szCs w:val="21"/>
        </w:rPr>
        <w:t xml:space="preserve"> on children at an organisational level as per DFAT’s child protection guidance. Therefore, program implementing partners are required to complete a more detailed assessment of child protection risk and apply the appropriate minimum child protection standards, including personnel screening to manage risk. As DFAT’s Child Protection Policy does not apply to partner governments, the program will manage any child protection risks when working with GOI to ensure children are safe and protected in program initiatives. Any Australian government partners will give effect to DFAT’s policy via their own internal processes. GOI and </w:t>
      </w:r>
      <w:r w:rsidR="00BD208D" w:rsidRPr="6348B7CD">
        <w:rPr>
          <w:rFonts w:ascii="Calibri Light" w:eastAsia="Calibri Light" w:hAnsi="Calibri Light" w:cs="Calibri Light"/>
          <w:sz w:val="21"/>
          <w:szCs w:val="21"/>
        </w:rPr>
        <w:t>G</w:t>
      </w:r>
      <w:r w:rsidR="00BD208D">
        <w:rPr>
          <w:rFonts w:ascii="Calibri Light" w:eastAsia="Calibri Light" w:hAnsi="Calibri Light" w:cs="Calibri Light"/>
          <w:sz w:val="21"/>
          <w:szCs w:val="21"/>
        </w:rPr>
        <w:t>O</w:t>
      </w:r>
      <w:r w:rsidR="00BD208D" w:rsidRPr="6348B7CD">
        <w:rPr>
          <w:rFonts w:ascii="Calibri Light" w:eastAsia="Calibri Light" w:hAnsi="Calibri Light" w:cs="Calibri Light"/>
          <w:sz w:val="21"/>
          <w:szCs w:val="21"/>
        </w:rPr>
        <w:t xml:space="preserve">A </w:t>
      </w:r>
      <w:r w:rsidRPr="6348B7CD">
        <w:rPr>
          <w:rFonts w:ascii="Calibri Light" w:eastAsia="Calibri Light" w:hAnsi="Calibri Light" w:cs="Calibri Light"/>
          <w:sz w:val="21"/>
          <w:szCs w:val="21"/>
        </w:rPr>
        <w:t xml:space="preserve">partners will be expected to act in accordance with the principles and reporting requirements outlined in DFAT’s PSEAH policy. PSEAH will be assessed as part of due diligence processes for all government partners. </w:t>
      </w:r>
    </w:p>
    <w:p w14:paraId="584C483D" w14:textId="54943BB2" w:rsidR="004F2AF9" w:rsidRPr="003E18AD" w:rsidRDefault="7A0D5053" w:rsidP="6348B7CD">
      <w:pPr>
        <w:tabs>
          <w:tab w:val="left" w:pos="284"/>
        </w:tabs>
        <w:rPr>
          <w:rFonts w:ascii="Calibri Light" w:eastAsia="Calibri Light" w:hAnsi="Calibri Light" w:cs="Calibri Light"/>
          <w:sz w:val="21"/>
          <w:szCs w:val="21"/>
        </w:rPr>
      </w:pPr>
      <w:r w:rsidRPr="6348B7CD">
        <w:rPr>
          <w:rFonts w:ascii="Calibri Light" w:eastAsia="Calibri Light" w:hAnsi="Calibri Light" w:cs="Calibri Light"/>
          <w:sz w:val="21"/>
          <w:szCs w:val="21"/>
        </w:rPr>
        <w:lastRenderedPageBreak/>
        <w:t>In the inception phase, the implementation team will be responsible for producing an expanded risk analysis, mitigation, and management approach, guided by DFAT’s Child Protection Guidance Note</w:t>
      </w:r>
      <w:r w:rsidR="009210A6">
        <w:rPr>
          <w:rStyle w:val="FootnoteReference"/>
          <w:rFonts w:ascii="Calibri Light" w:eastAsia="Calibri Light" w:hAnsi="Calibri Light" w:cs="Calibri Light"/>
          <w:sz w:val="21"/>
          <w:szCs w:val="21"/>
        </w:rPr>
        <w:footnoteReference w:id="12"/>
      </w:r>
      <w:r w:rsidRPr="6348B7CD">
        <w:rPr>
          <w:rFonts w:ascii="Calibri Light" w:eastAsia="Calibri Light" w:hAnsi="Calibri Light" w:cs="Calibri Light"/>
          <w:sz w:val="21"/>
          <w:szCs w:val="21"/>
        </w:rPr>
        <w:t>. The team will also operationalise DFAT’s Child Protection Policy, including integration within the program’s human resource systems and screening of organisations and individuals. The managing contractor will ensure that all relevant partners have in place policies and systems (including pre-departure awareness training) that protect children from abuse and exploitation, and devise strategies for supplementation, where needed. Program agreements will have mandatory clauses dealing with child protection.</w:t>
      </w:r>
    </w:p>
    <w:p w14:paraId="026130D5" w14:textId="46A85092" w:rsidR="004F2AF9" w:rsidRPr="00984EE9" w:rsidRDefault="7A0D5053" w:rsidP="00D2498B">
      <w:pPr>
        <w:pStyle w:val="Heading2"/>
      </w:pPr>
      <w:bookmarkStart w:id="464" w:name="_Toc216270704"/>
      <w:r w:rsidRPr="00984EE9">
        <w:t>Fraud and Corruption Control</w:t>
      </w:r>
      <w:bookmarkEnd w:id="464"/>
    </w:p>
    <w:p w14:paraId="00AE69D7" w14:textId="656B0B03" w:rsidR="004F2AF9" w:rsidRPr="003E18AD" w:rsidRDefault="7A0D5053" w:rsidP="6348B7CD">
      <w:pPr>
        <w:tabs>
          <w:tab w:val="left" w:pos="284"/>
        </w:tabs>
        <w:rPr>
          <w:rFonts w:ascii="Calibri Light" w:eastAsia="Calibri Light" w:hAnsi="Calibri Light" w:cs="Calibri Light"/>
          <w:sz w:val="21"/>
          <w:szCs w:val="21"/>
        </w:rPr>
      </w:pPr>
      <w:r w:rsidRPr="6348B7CD">
        <w:rPr>
          <w:rFonts w:ascii="Calibri Light" w:eastAsia="Calibri Light" w:hAnsi="Calibri Light" w:cs="Calibri Light"/>
          <w:sz w:val="21"/>
          <w:szCs w:val="21"/>
        </w:rPr>
        <w:t xml:space="preserve">The program will work with many funding recipients across sectoral focus areas and geographic locations in Indonesia. The program will adopt a strong approach to the management of fraud and corruption risk in line with DFAT requirements. </w:t>
      </w:r>
    </w:p>
    <w:p w14:paraId="4C5B59E4" w14:textId="77BE20BE" w:rsidR="004F2AF9" w:rsidRPr="003E18AD" w:rsidRDefault="7A0D5053" w:rsidP="6348B7CD">
      <w:pPr>
        <w:tabs>
          <w:tab w:val="left" w:pos="284"/>
        </w:tabs>
        <w:rPr>
          <w:rFonts w:ascii="Calibri Light" w:eastAsia="Calibri Light" w:hAnsi="Calibri Light" w:cs="Calibri Light"/>
          <w:sz w:val="21"/>
          <w:szCs w:val="21"/>
        </w:rPr>
      </w:pPr>
      <w:r w:rsidRPr="6348B7CD">
        <w:rPr>
          <w:rFonts w:ascii="Calibri Light" w:eastAsia="Calibri Light" w:hAnsi="Calibri Light" w:cs="Calibri Light"/>
          <w:sz w:val="21"/>
          <w:szCs w:val="21"/>
        </w:rPr>
        <w:t xml:space="preserve">The managing contractor team will include specific fraud and corruption </w:t>
      </w:r>
      <w:proofErr w:type="gramStart"/>
      <w:r w:rsidRPr="6348B7CD">
        <w:rPr>
          <w:rFonts w:ascii="Calibri Light" w:eastAsia="Calibri Light" w:hAnsi="Calibri Light" w:cs="Calibri Light"/>
          <w:sz w:val="21"/>
          <w:szCs w:val="21"/>
        </w:rPr>
        <w:t>expertise</w:t>
      </w:r>
      <w:proofErr w:type="gramEnd"/>
      <w:r w:rsidRPr="6348B7CD">
        <w:rPr>
          <w:rFonts w:ascii="Calibri Light" w:eastAsia="Calibri Light" w:hAnsi="Calibri Light" w:cs="Calibri Light"/>
          <w:sz w:val="21"/>
          <w:szCs w:val="21"/>
        </w:rPr>
        <w:t xml:space="preserve"> and the contractor will put in place a fraud and corruption control strategy that will outline the approach to fraud risk assessment and processes for preventing and managing suspected cases of fraud. It will be based on the Commonwealth Fraud and Corruption Control Framework and DFAT’s Toolkit. This strategy will include:</w:t>
      </w:r>
    </w:p>
    <w:p w14:paraId="1192AFD6" w14:textId="59727D76" w:rsidR="004F2AF9" w:rsidRPr="003E18AD" w:rsidRDefault="7A0D5053" w:rsidP="00686269">
      <w:pPr>
        <w:pStyle w:val="ListParagraph"/>
        <w:numPr>
          <w:ilvl w:val="0"/>
          <w:numId w:val="23"/>
        </w:numPr>
        <w:spacing w:before="0" w:after="0"/>
        <w:ind w:left="567"/>
        <w:rPr>
          <w:rFonts w:ascii="Calibri Light" w:eastAsia="Calibri Light" w:hAnsi="Calibri Light" w:cs="Calibri Light"/>
          <w:sz w:val="21"/>
          <w:szCs w:val="21"/>
        </w:rPr>
      </w:pPr>
      <w:r w:rsidRPr="6348B7CD">
        <w:rPr>
          <w:rFonts w:ascii="Calibri Light" w:eastAsia="Calibri Light" w:hAnsi="Calibri Light" w:cs="Calibri Light"/>
          <w:sz w:val="21"/>
          <w:szCs w:val="21"/>
        </w:rPr>
        <w:t>Definition of ‘Fraud’ and ‘Corruption’ and the roles and responsibilities of the managing contractor, DFAT and others (including Australian Government agencies), outline of the fraud context and risk assessment (including a Fraud Risk Assessment Matrix with source, impact, and control strategies) and fraud risk awareness and prevention measures (including the screening, engagement and on-boarding of personnel and subcontractors, and supplier controls).</w:t>
      </w:r>
    </w:p>
    <w:p w14:paraId="646112F9" w14:textId="760A8F98" w:rsidR="004F2AF9" w:rsidRPr="003E18AD" w:rsidRDefault="7A0D5053" w:rsidP="00686269">
      <w:pPr>
        <w:pStyle w:val="ListParagraph"/>
        <w:numPr>
          <w:ilvl w:val="0"/>
          <w:numId w:val="23"/>
        </w:numPr>
        <w:spacing w:before="40" w:after="0"/>
        <w:ind w:left="567"/>
        <w:contextualSpacing w:val="0"/>
        <w:rPr>
          <w:rFonts w:ascii="Calibri Light" w:eastAsia="Calibri Light" w:hAnsi="Calibri Light" w:cs="Calibri Light"/>
          <w:sz w:val="21"/>
          <w:szCs w:val="21"/>
        </w:rPr>
      </w:pPr>
      <w:r w:rsidRPr="6348B7CD">
        <w:rPr>
          <w:rFonts w:ascii="Calibri Light" w:eastAsia="Calibri Light" w:hAnsi="Calibri Light" w:cs="Calibri Light"/>
          <w:sz w:val="21"/>
          <w:szCs w:val="21"/>
        </w:rPr>
        <w:t>Managing conflict of interest (paying special attention to the procurement of goods and services; tendering for, awarding, and managing subcontracts; recruiting personnel; and monitoring the provision of goods and services and confirming processes are in place at Australian Government agencies).</w:t>
      </w:r>
    </w:p>
    <w:p w14:paraId="21B01CD2" w14:textId="2DC6803B" w:rsidR="004F2AF9" w:rsidRPr="003E18AD" w:rsidRDefault="7A0D5053" w:rsidP="00686269">
      <w:pPr>
        <w:pStyle w:val="ListParagraph"/>
        <w:numPr>
          <w:ilvl w:val="0"/>
          <w:numId w:val="23"/>
        </w:numPr>
        <w:spacing w:before="40" w:after="0"/>
        <w:ind w:left="567"/>
        <w:contextualSpacing w:val="0"/>
        <w:rPr>
          <w:rFonts w:ascii="Calibri Light" w:eastAsia="Calibri Light" w:hAnsi="Calibri Light" w:cs="Calibri Light"/>
          <w:sz w:val="21"/>
          <w:szCs w:val="21"/>
        </w:rPr>
      </w:pPr>
      <w:r w:rsidRPr="6348B7CD">
        <w:rPr>
          <w:rFonts w:ascii="Calibri Light" w:eastAsia="Calibri Light" w:hAnsi="Calibri Light" w:cs="Calibri Light"/>
          <w:sz w:val="21"/>
          <w:szCs w:val="21"/>
        </w:rPr>
        <w:t>Fraud detection (including process for financial audits, non-financial reviews, and electronic monitoring) and reporting (with appropriate escalation processes; and the monitoring of the fraud control strategy).</w:t>
      </w:r>
    </w:p>
    <w:p w14:paraId="27D907FE" w14:textId="4D326EC6" w:rsidR="004F2AF9" w:rsidRPr="003E18AD" w:rsidRDefault="7A0D5053" w:rsidP="00686269">
      <w:pPr>
        <w:pStyle w:val="ListParagraph"/>
        <w:numPr>
          <w:ilvl w:val="0"/>
          <w:numId w:val="23"/>
        </w:numPr>
        <w:spacing w:before="40" w:after="0"/>
        <w:ind w:left="567"/>
        <w:contextualSpacing w:val="0"/>
        <w:rPr>
          <w:rFonts w:ascii="Calibri Light" w:eastAsia="Calibri Light" w:hAnsi="Calibri Light" w:cs="Calibri Light"/>
          <w:sz w:val="21"/>
          <w:szCs w:val="21"/>
        </w:rPr>
      </w:pPr>
      <w:r w:rsidRPr="6348B7CD">
        <w:rPr>
          <w:rFonts w:ascii="Calibri Light" w:eastAsia="Calibri Light" w:hAnsi="Calibri Light" w:cs="Calibri Light"/>
          <w:sz w:val="21"/>
          <w:szCs w:val="21"/>
        </w:rPr>
        <w:t xml:space="preserve">Fraud Investigation (including outlining how the managing contractor will investigate detected, suspected, attempted, or alleged fraud, in cooperation with DFAT) and fraud response and recovery. </w:t>
      </w:r>
    </w:p>
    <w:p w14:paraId="51AA724A" w14:textId="56C31DD3" w:rsidR="004F2AF9" w:rsidRPr="003E18AD" w:rsidRDefault="7A0D5053" w:rsidP="6348B7CD">
      <w:pPr>
        <w:rPr>
          <w:rFonts w:ascii="Calibri Light" w:eastAsia="Calibri Light" w:hAnsi="Calibri Light" w:cs="Calibri Light"/>
          <w:sz w:val="21"/>
          <w:szCs w:val="21"/>
        </w:rPr>
      </w:pPr>
      <w:r w:rsidRPr="6348B7CD">
        <w:rPr>
          <w:rFonts w:ascii="Calibri Light" w:eastAsia="Calibri Light" w:hAnsi="Calibri Light" w:cs="Calibri Light"/>
          <w:sz w:val="21"/>
          <w:szCs w:val="21"/>
        </w:rPr>
        <w:t>Fraud and corruption risks that may impact the achievement of outcomes and the delivery of the contract include:</w:t>
      </w:r>
    </w:p>
    <w:p w14:paraId="11E7B29A" w14:textId="34F1F4C9" w:rsidR="004F2AF9" w:rsidRPr="003E18AD" w:rsidRDefault="00436CF1" w:rsidP="00686269">
      <w:pPr>
        <w:pStyle w:val="ListParagraph"/>
        <w:numPr>
          <w:ilvl w:val="0"/>
          <w:numId w:val="23"/>
        </w:numPr>
        <w:spacing w:before="40" w:after="0"/>
        <w:ind w:left="567"/>
        <w:contextualSpacing w:val="0"/>
        <w:rPr>
          <w:rFonts w:ascii="Calibri Light" w:eastAsia="Calibri Light" w:hAnsi="Calibri Light" w:cs="Calibri Light"/>
          <w:sz w:val="21"/>
          <w:szCs w:val="21"/>
        </w:rPr>
      </w:pPr>
      <w:r>
        <w:rPr>
          <w:rFonts w:ascii="Calibri Light" w:eastAsia="Calibri Light" w:hAnsi="Calibri Light" w:cs="Calibri Light"/>
          <w:sz w:val="21"/>
          <w:szCs w:val="21"/>
        </w:rPr>
        <w:t>Primary</w:t>
      </w:r>
      <w:r w:rsidRPr="6348B7CD">
        <w:rPr>
          <w:rFonts w:ascii="Calibri Light" w:eastAsia="Calibri Light" w:hAnsi="Calibri Light" w:cs="Calibri Light"/>
          <w:sz w:val="21"/>
          <w:szCs w:val="21"/>
        </w:rPr>
        <w:t xml:space="preserve"> </w:t>
      </w:r>
      <w:r>
        <w:rPr>
          <w:rFonts w:ascii="Calibri Light" w:eastAsia="Calibri Light" w:hAnsi="Calibri Light" w:cs="Calibri Light"/>
          <w:sz w:val="21"/>
          <w:szCs w:val="21"/>
        </w:rPr>
        <w:t>C</w:t>
      </w:r>
      <w:r w:rsidRPr="6348B7CD">
        <w:rPr>
          <w:rFonts w:ascii="Calibri Light" w:eastAsia="Calibri Light" w:hAnsi="Calibri Light" w:cs="Calibri Light"/>
          <w:sz w:val="21"/>
          <w:szCs w:val="21"/>
        </w:rPr>
        <w:t xml:space="preserve">ontractor </w:t>
      </w:r>
      <w:r w:rsidR="7A0D5053" w:rsidRPr="6348B7CD">
        <w:rPr>
          <w:rFonts w:ascii="Calibri Light" w:eastAsia="Calibri Light" w:hAnsi="Calibri Light" w:cs="Calibri Light"/>
          <w:sz w:val="21"/>
          <w:szCs w:val="21"/>
        </w:rPr>
        <w:t xml:space="preserve">team does not have in-house fraud expertise (e.g. expertise in fraud investigations) to ensure strong management oversight of fraud risks, operations and monitoring of risks. </w:t>
      </w:r>
    </w:p>
    <w:p w14:paraId="23475C05" w14:textId="68A81086" w:rsidR="004F2AF9" w:rsidRPr="003E18AD" w:rsidRDefault="7A0D5053" w:rsidP="00686269">
      <w:pPr>
        <w:pStyle w:val="ListParagraph"/>
        <w:numPr>
          <w:ilvl w:val="0"/>
          <w:numId w:val="23"/>
        </w:numPr>
        <w:spacing w:before="40" w:after="0"/>
        <w:ind w:left="567"/>
        <w:contextualSpacing w:val="0"/>
        <w:rPr>
          <w:rFonts w:ascii="Calibri Light" w:eastAsia="Calibri Light" w:hAnsi="Calibri Light" w:cs="Calibri Light"/>
          <w:sz w:val="21"/>
          <w:szCs w:val="21"/>
        </w:rPr>
      </w:pPr>
      <w:r w:rsidRPr="6348B7CD">
        <w:rPr>
          <w:rFonts w:ascii="Calibri Light" w:eastAsia="Calibri Light" w:hAnsi="Calibri Light" w:cs="Calibri Light"/>
          <w:sz w:val="21"/>
          <w:szCs w:val="21"/>
        </w:rPr>
        <w:t xml:space="preserve">Managing contractor fails to conduct due diligence assessments on downstream partners such as grantees and sub-contractors prior to </w:t>
      </w:r>
      <w:proofErr w:type="gramStart"/>
      <w:r w:rsidRPr="6348B7CD">
        <w:rPr>
          <w:rFonts w:ascii="Calibri Light" w:eastAsia="Calibri Light" w:hAnsi="Calibri Light" w:cs="Calibri Light"/>
          <w:sz w:val="21"/>
          <w:szCs w:val="21"/>
        </w:rPr>
        <w:t>entering into</w:t>
      </w:r>
      <w:proofErr w:type="gramEnd"/>
      <w:r w:rsidRPr="6348B7CD">
        <w:rPr>
          <w:rFonts w:ascii="Calibri Light" w:eastAsia="Calibri Light" w:hAnsi="Calibri Light" w:cs="Calibri Light"/>
          <w:sz w:val="21"/>
          <w:szCs w:val="21"/>
        </w:rPr>
        <w:t xml:space="preserve"> funding arrangements.</w:t>
      </w:r>
    </w:p>
    <w:p w14:paraId="3C1B8A7F" w14:textId="033823A9" w:rsidR="004F2AF9" w:rsidRPr="003E18AD" w:rsidRDefault="7A0D5053" w:rsidP="00686269">
      <w:pPr>
        <w:pStyle w:val="ListParagraph"/>
        <w:numPr>
          <w:ilvl w:val="0"/>
          <w:numId w:val="23"/>
        </w:numPr>
        <w:spacing w:before="40" w:after="0"/>
        <w:ind w:left="567"/>
        <w:contextualSpacing w:val="0"/>
        <w:rPr>
          <w:rFonts w:ascii="Calibri Light" w:eastAsia="Calibri Light" w:hAnsi="Calibri Light" w:cs="Calibri Light"/>
          <w:sz w:val="21"/>
          <w:szCs w:val="21"/>
        </w:rPr>
      </w:pPr>
      <w:r w:rsidRPr="6348B7CD">
        <w:rPr>
          <w:rFonts w:ascii="Calibri Light" w:eastAsia="Calibri Light" w:hAnsi="Calibri Light" w:cs="Calibri Light"/>
          <w:sz w:val="21"/>
          <w:szCs w:val="21"/>
        </w:rPr>
        <w:t>Grantees and sub-contractors financial, risk and operational management systems are not fit-for-purpose to meet contractual and accountability obligations.</w:t>
      </w:r>
    </w:p>
    <w:p w14:paraId="270E2F21" w14:textId="50386A7B" w:rsidR="004F2AF9" w:rsidRPr="003E18AD" w:rsidRDefault="7A0D5053" w:rsidP="00686269">
      <w:pPr>
        <w:pStyle w:val="ListParagraph"/>
        <w:numPr>
          <w:ilvl w:val="0"/>
          <w:numId w:val="23"/>
        </w:numPr>
        <w:spacing w:before="40" w:after="0"/>
        <w:ind w:left="567"/>
        <w:contextualSpacing w:val="0"/>
        <w:rPr>
          <w:rFonts w:ascii="Calibri Light" w:eastAsia="Calibri Light" w:hAnsi="Calibri Light" w:cs="Calibri Light"/>
          <w:sz w:val="21"/>
          <w:szCs w:val="21"/>
        </w:rPr>
      </w:pPr>
      <w:r w:rsidRPr="6348B7CD">
        <w:rPr>
          <w:rFonts w:ascii="Calibri Light" w:eastAsia="Calibri Light" w:hAnsi="Calibri Light" w:cs="Calibri Light"/>
          <w:sz w:val="21"/>
          <w:szCs w:val="21"/>
        </w:rPr>
        <w:t>Managing contractor financial monitoring systems are not fit-for-purpose and fail to prevent, detect and correct instances of fraud and non-compliance with fraud controls.</w:t>
      </w:r>
    </w:p>
    <w:p w14:paraId="407A9B28" w14:textId="6F211F29" w:rsidR="004F2AF9" w:rsidRPr="00984EE9" w:rsidRDefault="7A0D5053" w:rsidP="00D2498B">
      <w:pPr>
        <w:pStyle w:val="Heading2"/>
      </w:pPr>
      <w:bookmarkStart w:id="465" w:name="_Toc216270705"/>
      <w:r w:rsidRPr="00984EE9">
        <w:t>Monitoring and managing risks</w:t>
      </w:r>
      <w:bookmarkEnd w:id="465"/>
      <w:r w:rsidRPr="00984EE9">
        <w:t xml:space="preserve"> </w:t>
      </w:r>
    </w:p>
    <w:p w14:paraId="16673C83" w14:textId="16553C86" w:rsidR="004F2AF9" w:rsidRPr="00400205" w:rsidRDefault="7A0D5053" w:rsidP="6348B7CD">
      <w:pPr>
        <w:rPr>
          <w:rFonts w:ascii="Calibri Light" w:eastAsia="Calibri Light" w:hAnsi="Calibri Light" w:cs="Calibri Light"/>
          <w:sz w:val="21"/>
          <w:szCs w:val="21"/>
        </w:rPr>
      </w:pPr>
      <w:r w:rsidRPr="6348B7CD">
        <w:rPr>
          <w:rFonts w:ascii="Calibri Light" w:eastAsia="Calibri Light" w:hAnsi="Calibri Light" w:cs="Calibri Light"/>
          <w:sz w:val="21"/>
          <w:szCs w:val="21"/>
        </w:rPr>
        <w:t xml:space="preserve">DFAT, in collaboration with the managing contractor, will monitor and manage risks at a program level with emerging risks and changes to the risk profile being escalated to the attention of DFAT management and the Governance Committee. As part of the program governance arrangements, DFAT and the </w:t>
      </w:r>
      <w:r w:rsidR="00436CF1">
        <w:rPr>
          <w:rFonts w:ascii="Calibri Light" w:eastAsia="Calibri Light" w:hAnsi="Calibri Light" w:cs="Calibri Light"/>
          <w:sz w:val="21"/>
          <w:szCs w:val="21"/>
        </w:rPr>
        <w:t>Primary</w:t>
      </w:r>
      <w:r w:rsidR="00436CF1" w:rsidRPr="6348B7CD">
        <w:rPr>
          <w:rFonts w:ascii="Calibri Light" w:eastAsia="Calibri Light" w:hAnsi="Calibri Light" w:cs="Calibri Light"/>
          <w:sz w:val="21"/>
          <w:szCs w:val="21"/>
        </w:rPr>
        <w:t xml:space="preserve"> </w:t>
      </w:r>
      <w:r w:rsidR="00436CF1">
        <w:rPr>
          <w:rFonts w:ascii="Calibri Light" w:eastAsia="Calibri Light" w:hAnsi="Calibri Light" w:cs="Calibri Light"/>
          <w:sz w:val="21"/>
          <w:szCs w:val="21"/>
        </w:rPr>
        <w:t>C</w:t>
      </w:r>
      <w:r w:rsidR="00436CF1" w:rsidRPr="6348B7CD">
        <w:rPr>
          <w:rFonts w:ascii="Calibri Light" w:eastAsia="Calibri Light" w:hAnsi="Calibri Light" w:cs="Calibri Light"/>
          <w:sz w:val="21"/>
          <w:szCs w:val="21"/>
        </w:rPr>
        <w:t xml:space="preserve">ontractor </w:t>
      </w:r>
      <w:r w:rsidRPr="6348B7CD">
        <w:rPr>
          <w:rFonts w:ascii="Calibri Light" w:eastAsia="Calibri Light" w:hAnsi="Calibri Light" w:cs="Calibri Light"/>
          <w:sz w:val="21"/>
          <w:szCs w:val="21"/>
        </w:rPr>
        <w:t xml:space="preserve">will include risk as a standing meeting item, and risks will be regularly discussed with DFAT senior management as part of governance arrangements. </w:t>
      </w:r>
      <w:r w:rsidRPr="00400205">
        <w:rPr>
          <w:rFonts w:ascii="Calibri Light" w:eastAsia="Calibri Light" w:hAnsi="Calibri Light" w:cs="Calibri Light"/>
          <w:sz w:val="21"/>
          <w:szCs w:val="21"/>
        </w:rPr>
        <w:t>Risk management and reporting processes will include consideration of the risk of SEAH</w:t>
      </w:r>
      <w:r w:rsidR="00400205">
        <w:rPr>
          <w:rFonts w:ascii="Calibri Light" w:eastAsia="Calibri Light" w:hAnsi="Calibri Light" w:cs="Calibri Light"/>
          <w:sz w:val="21"/>
          <w:szCs w:val="21"/>
        </w:rPr>
        <w:t>.</w:t>
      </w:r>
    </w:p>
    <w:p w14:paraId="014DC8BE" w14:textId="5EFFA084" w:rsidR="004F2AF9" w:rsidRPr="003E18AD" w:rsidRDefault="7A0D5053" w:rsidP="6348B7CD">
      <w:pPr>
        <w:rPr>
          <w:rFonts w:ascii="Calibri Light" w:eastAsia="Calibri Light" w:hAnsi="Calibri Light" w:cs="Calibri Light"/>
          <w:sz w:val="21"/>
          <w:szCs w:val="21"/>
        </w:rPr>
      </w:pPr>
      <w:r w:rsidRPr="6348B7CD">
        <w:rPr>
          <w:rFonts w:ascii="Calibri Light" w:eastAsia="Calibri Light" w:hAnsi="Calibri Light" w:cs="Calibri Light"/>
          <w:sz w:val="21"/>
          <w:szCs w:val="21"/>
        </w:rPr>
        <w:lastRenderedPageBreak/>
        <w:t xml:space="preserve">Recognising the value of risk management being integrated into the day-to-day operations, program managers will be responsible for operationalising risk management. An updated risk register will be developed during the inception period, drawing from and informed by the Risk Factors Screening Tool. A risk escalation pathway will be developed and clearly articulated for use by DFAT’s program managers and management. DFAT and the managing contractor will allocate focal points for risk, safeguards and SEAH, and they are expected to work closely to execute risk management functions. Both DFAT and the managing contractor will share a common risk register to guide risk assessment, management and reporting. Based on lessons from KIAT, DFAT’s infrastructure team at Post will continue the system of bi-weekly meetings with sector teams (water and sanitation; transport; IFF; GEDSI; and climate change). Larger activities will have dedicated risk management plans that are monitored by </w:t>
      </w:r>
      <w:r w:rsidR="009208DF">
        <w:rPr>
          <w:rFonts w:ascii="Calibri Light" w:eastAsia="Calibri Light" w:hAnsi="Calibri Light" w:cs="Calibri Light"/>
          <w:sz w:val="21"/>
          <w:szCs w:val="21"/>
        </w:rPr>
        <w:t>the Partnership</w:t>
      </w:r>
      <w:r w:rsidR="009208DF" w:rsidRPr="6348B7CD">
        <w:rPr>
          <w:rFonts w:ascii="Calibri Light" w:eastAsia="Calibri Light" w:hAnsi="Calibri Light" w:cs="Calibri Light"/>
          <w:sz w:val="21"/>
          <w:szCs w:val="21"/>
        </w:rPr>
        <w:t xml:space="preserve"> </w:t>
      </w:r>
      <w:r w:rsidRPr="6348B7CD">
        <w:rPr>
          <w:rFonts w:ascii="Calibri Light" w:eastAsia="Calibri Light" w:hAnsi="Calibri Light" w:cs="Calibri Light"/>
          <w:sz w:val="21"/>
          <w:szCs w:val="21"/>
        </w:rPr>
        <w:t>and sub-</w:t>
      </w:r>
      <w:proofErr w:type="gramStart"/>
      <w:r w:rsidRPr="6348B7CD">
        <w:rPr>
          <w:rFonts w:ascii="Calibri Light" w:eastAsia="Calibri Light" w:hAnsi="Calibri Light" w:cs="Calibri Light"/>
          <w:sz w:val="21"/>
          <w:szCs w:val="21"/>
        </w:rPr>
        <w:t>contractors, and</w:t>
      </w:r>
      <w:proofErr w:type="gramEnd"/>
      <w:r w:rsidRPr="6348B7CD">
        <w:rPr>
          <w:rFonts w:ascii="Calibri Light" w:eastAsia="Calibri Light" w:hAnsi="Calibri Light" w:cs="Calibri Light"/>
          <w:sz w:val="21"/>
          <w:szCs w:val="21"/>
        </w:rPr>
        <w:t xml:space="preserve"> discussed with DFAT at the bi-weekly meetings.</w:t>
      </w:r>
    </w:p>
    <w:p w14:paraId="4F1C2A25" w14:textId="37548B0B" w:rsidR="00C57483" w:rsidRDefault="7A0D5053" w:rsidP="00A452F1">
      <w:pPr>
        <w:rPr>
          <w:rFonts w:ascii="Calibri Light" w:eastAsia="Calibri Light" w:hAnsi="Calibri Light" w:cs="Calibri Light"/>
          <w:sz w:val="21"/>
          <w:szCs w:val="21"/>
        </w:rPr>
      </w:pPr>
      <w:r w:rsidRPr="6348B7CD">
        <w:rPr>
          <w:rFonts w:ascii="Calibri Light" w:eastAsia="Calibri Light" w:hAnsi="Calibri Light" w:cs="Calibri Light"/>
          <w:sz w:val="21"/>
          <w:szCs w:val="21"/>
        </w:rPr>
        <w:t xml:space="preserve">DFAT engagement with staff in the wider Jakarta Post and whole-of-government partners, including Australian Government agencies, will contribute to risk management by facilitating the sharing of information on emerging or changing risks specific to the context and supporting risk mitigation efforts. It is expected that the on-the-ground insights offered by key stakeholders will feed into regular updates to the program’s risk management framework. DFAT will review and update its own risk register at a minimum every 90 days. DFAT staff will brief the Minister Counsellor on significant risks and safeguards issues as they arise. </w:t>
      </w:r>
    </w:p>
    <w:p w14:paraId="0D294E6C" w14:textId="4B6CA232" w:rsidR="004F2AF9" w:rsidRPr="003E18AD" w:rsidRDefault="7A0D5053" w:rsidP="6348B7CD">
      <w:pPr>
        <w:tabs>
          <w:tab w:val="left" w:pos="284"/>
        </w:tabs>
        <w:spacing w:before="0"/>
        <w:rPr>
          <w:rFonts w:ascii="Calibri Light" w:eastAsia="Calibri Light" w:hAnsi="Calibri Light" w:cs="Calibri Light"/>
          <w:sz w:val="21"/>
          <w:szCs w:val="21"/>
        </w:rPr>
      </w:pPr>
      <w:r w:rsidRPr="6348B7CD">
        <w:rPr>
          <w:rFonts w:ascii="Calibri Light" w:eastAsia="Calibri Light" w:hAnsi="Calibri Light" w:cs="Calibri Light"/>
          <w:sz w:val="21"/>
          <w:szCs w:val="21"/>
        </w:rPr>
        <w:t>Program delivery partners, including Australian Government agencies, will be required to have robust risk management and reporting systems in place and partners that apply for funding through competitive processes are required to provide details on risks specific to their proposed activities when submitting proposals. Partner risk assessments and management frameworks will be developed during negotiations and reviewed by DFAT. Partner due diligence evaluations undertaken by the managing contractor will further inform risks and safeguards assessments and support DFAT’s risk management processes.</w:t>
      </w:r>
      <w:r w:rsidR="00126856">
        <w:rPr>
          <w:rFonts w:ascii="Calibri Light" w:eastAsia="Calibri Light" w:hAnsi="Calibri Light" w:cs="Calibri Light"/>
          <w:sz w:val="21"/>
          <w:szCs w:val="21"/>
        </w:rPr>
        <w:br/>
      </w:r>
    </w:p>
    <w:p w14:paraId="21F57E81" w14:textId="5598F057" w:rsidR="00126856" w:rsidRPr="00126856" w:rsidRDefault="00CF02FD" w:rsidP="00ED5396">
      <w:pPr>
        <w:pStyle w:val="Heading1"/>
        <w:numPr>
          <w:ilvl w:val="0"/>
          <w:numId w:val="0"/>
        </w:numPr>
        <w:ind w:left="567" w:hanging="567"/>
      </w:pPr>
      <w:bookmarkStart w:id="466" w:name="_Toc216270706"/>
      <w:r w:rsidRPr="00F44317">
        <w:t>Annexes</w:t>
      </w:r>
      <w:bookmarkEnd w:id="466"/>
      <w:r w:rsidRPr="00F44317">
        <w:tab/>
      </w:r>
    </w:p>
    <w:p w14:paraId="01813616" w14:textId="4A93C4E6" w:rsidR="00831BD5" w:rsidRPr="00126856" w:rsidRDefault="00831BD5" w:rsidP="00126856">
      <w:pPr>
        <w:pStyle w:val="Heading2"/>
      </w:pPr>
      <w:bookmarkStart w:id="467" w:name="_Toc216270707"/>
      <w:r w:rsidRPr="00831BD5">
        <w:t>Annex 1 – Program Logic</w:t>
      </w:r>
      <w:bookmarkEnd w:id="467"/>
      <w:r w:rsidRPr="00126856">
        <w:rPr>
          <w:lang w:val="en-US"/>
        </w:rPr>
        <w:t> </w:t>
      </w:r>
    </w:p>
    <w:p w14:paraId="550489C3" w14:textId="77777777" w:rsidR="00831BD5" w:rsidRPr="00831BD5" w:rsidRDefault="00831BD5" w:rsidP="00B0517E">
      <w:pPr>
        <w:tabs>
          <w:tab w:val="left" w:pos="284"/>
        </w:tabs>
        <w:suppressAutoHyphens w:val="0"/>
        <w:ind w:left="284"/>
        <w:rPr>
          <w:rFonts w:eastAsia="Times New Roman" w:cs="Times New Roman"/>
          <w:sz w:val="21"/>
          <w:szCs w:val="21"/>
          <w:lang w:val="en-US"/>
        </w:rPr>
      </w:pPr>
      <w:r w:rsidRPr="00831BD5">
        <w:rPr>
          <w:rFonts w:eastAsia="Times New Roman" w:cs="Times New Roman"/>
          <w:sz w:val="21"/>
          <w:szCs w:val="21"/>
        </w:rPr>
        <w:t>The Program Logic for KINETIK responds to the key characteristics and underlying approach to the design.  </w:t>
      </w:r>
      <w:r w:rsidRPr="00831BD5">
        <w:rPr>
          <w:rFonts w:eastAsia="Times New Roman" w:cs="Times New Roman"/>
          <w:sz w:val="21"/>
          <w:szCs w:val="21"/>
          <w:lang w:val="en-US"/>
        </w:rPr>
        <w:t> </w:t>
      </w:r>
    </w:p>
    <w:p w14:paraId="2A25D848" w14:textId="77777777" w:rsidR="00831BD5" w:rsidRPr="00831BD5" w:rsidRDefault="00831BD5" w:rsidP="00B0517E">
      <w:pPr>
        <w:tabs>
          <w:tab w:val="left" w:pos="284"/>
        </w:tabs>
        <w:suppressAutoHyphens w:val="0"/>
        <w:ind w:left="284"/>
        <w:rPr>
          <w:rFonts w:eastAsia="Times New Roman" w:cs="Times New Roman"/>
          <w:sz w:val="21"/>
          <w:szCs w:val="21"/>
          <w:lang w:val="en-US"/>
        </w:rPr>
      </w:pPr>
      <w:r w:rsidRPr="00831BD5">
        <w:rPr>
          <w:rFonts w:eastAsia="Times New Roman" w:cs="Times New Roman"/>
          <w:sz w:val="21"/>
          <w:szCs w:val="21"/>
        </w:rPr>
        <w:t>This includes:</w:t>
      </w:r>
      <w:r w:rsidRPr="00831BD5">
        <w:rPr>
          <w:rFonts w:eastAsia="Times New Roman" w:cs="Times New Roman"/>
          <w:sz w:val="21"/>
          <w:szCs w:val="21"/>
          <w:lang w:val="en-US"/>
        </w:rPr>
        <w:t> </w:t>
      </w:r>
    </w:p>
    <w:p w14:paraId="08E70A51" w14:textId="77777777" w:rsidR="00831BD5" w:rsidRPr="00831BD5" w:rsidRDefault="00831BD5" w:rsidP="00686269">
      <w:pPr>
        <w:numPr>
          <w:ilvl w:val="0"/>
          <w:numId w:val="24"/>
        </w:numPr>
        <w:tabs>
          <w:tab w:val="clear" w:pos="720"/>
          <w:tab w:val="left" w:pos="284"/>
          <w:tab w:val="num" w:pos="851"/>
        </w:tabs>
        <w:suppressAutoHyphens w:val="0"/>
        <w:spacing w:before="0"/>
        <w:ind w:left="850" w:hanging="357"/>
        <w:rPr>
          <w:rFonts w:eastAsia="Times New Roman" w:cs="Times New Roman"/>
          <w:sz w:val="21"/>
          <w:szCs w:val="21"/>
          <w:lang w:val="en-US"/>
        </w:rPr>
      </w:pPr>
      <w:r w:rsidRPr="00831BD5">
        <w:rPr>
          <w:rFonts w:eastAsia="Times New Roman" w:cs="Times New Roman"/>
          <w:b/>
          <w:bCs/>
          <w:i/>
          <w:iCs/>
          <w:sz w:val="21"/>
          <w:szCs w:val="21"/>
        </w:rPr>
        <w:t>Complexity and adaptive programming</w:t>
      </w:r>
      <w:r w:rsidRPr="00831BD5">
        <w:rPr>
          <w:rFonts w:eastAsia="Times New Roman" w:cs="Times New Roman"/>
          <w:sz w:val="21"/>
          <w:szCs w:val="21"/>
        </w:rPr>
        <w:t>: the design and program logic reflects the need for an adaptive approach, where there are no fixed inputs-based activities and outputs and no fixed end points for achievements and results, but a strategy for implementation to target opportunities, entry points and momentum for reform, and to learn from implementation to ‘chase’ success.</w:t>
      </w:r>
      <w:r w:rsidRPr="00831BD5">
        <w:rPr>
          <w:rFonts w:eastAsia="Times New Roman" w:cs="Times New Roman"/>
          <w:sz w:val="21"/>
          <w:szCs w:val="21"/>
          <w:lang w:val="en-US"/>
        </w:rPr>
        <w:t> </w:t>
      </w:r>
    </w:p>
    <w:p w14:paraId="228375D5" w14:textId="77777777" w:rsidR="00831BD5" w:rsidRPr="00831BD5" w:rsidRDefault="00831BD5" w:rsidP="00686269">
      <w:pPr>
        <w:numPr>
          <w:ilvl w:val="0"/>
          <w:numId w:val="25"/>
        </w:numPr>
        <w:tabs>
          <w:tab w:val="clear" w:pos="720"/>
          <w:tab w:val="left" w:pos="284"/>
          <w:tab w:val="num" w:pos="851"/>
        </w:tabs>
        <w:suppressAutoHyphens w:val="0"/>
        <w:spacing w:before="0"/>
        <w:ind w:left="850" w:hanging="357"/>
        <w:rPr>
          <w:rFonts w:eastAsia="Times New Roman" w:cs="Times New Roman"/>
          <w:sz w:val="21"/>
          <w:szCs w:val="21"/>
          <w:lang w:val="en-US"/>
        </w:rPr>
      </w:pPr>
      <w:r w:rsidRPr="00831BD5">
        <w:rPr>
          <w:rFonts w:eastAsia="Times New Roman" w:cs="Times New Roman"/>
          <w:b/>
          <w:bCs/>
          <w:i/>
          <w:iCs/>
          <w:sz w:val="21"/>
          <w:szCs w:val="21"/>
        </w:rPr>
        <w:t>Political economy</w:t>
      </w:r>
      <w:r w:rsidRPr="00831BD5">
        <w:rPr>
          <w:rFonts w:eastAsia="Times New Roman" w:cs="Times New Roman"/>
          <w:sz w:val="21"/>
          <w:szCs w:val="21"/>
        </w:rPr>
        <w:t>: the design works to engage with and influence the political economy which is constantly changing and evolving</w:t>
      </w:r>
      <w:r w:rsidRPr="00831BD5">
        <w:rPr>
          <w:rFonts w:eastAsia="Times New Roman" w:cs="Times New Roman"/>
          <w:sz w:val="21"/>
          <w:szCs w:val="21"/>
          <w:lang w:val="en-US"/>
        </w:rPr>
        <w:t> </w:t>
      </w:r>
    </w:p>
    <w:p w14:paraId="284C2CE5" w14:textId="77777777" w:rsidR="00831BD5" w:rsidRPr="00831BD5" w:rsidRDefault="00831BD5" w:rsidP="00686269">
      <w:pPr>
        <w:numPr>
          <w:ilvl w:val="0"/>
          <w:numId w:val="26"/>
        </w:numPr>
        <w:tabs>
          <w:tab w:val="clear" w:pos="720"/>
          <w:tab w:val="left" w:pos="284"/>
          <w:tab w:val="num" w:pos="851"/>
        </w:tabs>
        <w:suppressAutoHyphens w:val="0"/>
        <w:spacing w:before="0"/>
        <w:ind w:left="850" w:hanging="357"/>
        <w:rPr>
          <w:rFonts w:eastAsia="Times New Roman" w:cs="Times New Roman"/>
          <w:sz w:val="21"/>
          <w:szCs w:val="21"/>
          <w:lang w:val="en-US"/>
        </w:rPr>
      </w:pPr>
      <w:r w:rsidRPr="00831BD5">
        <w:rPr>
          <w:rFonts w:eastAsia="Times New Roman" w:cs="Times New Roman"/>
          <w:b/>
          <w:bCs/>
          <w:i/>
          <w:iCs/>
          <w:sz w:val="21"/>
          <w:szCs w:val="21"/>
        </w:rPr>
        <w:t>Sphere of control and influence</w:t>
      </w:r>
      <w:r w:rsidRPr="00831BD5">
        <w:rPr>
          <w:rFonts w:eastAsia="Times New Roman" w:cs="Times New Roman"/>
          <w:sz w:val="21"/>
          <w:szCs w:val="21"/>
        </w:rPr>
        <w:t>: the program works with multiple stakeholders who have greater resources, control and influence over outcomes that the program itself and its relatively smaller inputs</w:t>
      </w:r>
      <w:r w:rsidRPr="00831BD5">
        <w:rPr>
          <w:rFonts w:eastAsia="Times New Roman" w:cs="Times New Roman"/>
          <w:sz w:val="21"/>
          <w:szCs w:val="21"/>
          <w:lang w:val="en-US"/>
        </w:rPr>
        <w:t> </w:t>
      </w:r>
    </w:p>
    <w:p w14:paraId="0D630FBB" w14:textId="77777777" w:rsidR="00831BD5" w:rsidRPr="00831BD5" w:rsidRDefault="00831BD5" w:rsidP="00686269">
      <w:pPr>
        <w:numPr>
          <w:ilvl w:val="0"/>
          <w:numId w:val="27"/>
        </w:numPr>
        <w:tabs>
          <w:tab w:val="clear" w:pos="720"/>
          <w:tab w:val="left" w:pos="284"/>
          <w:tab w:val="num" w:pos="851"/>
        </w:tabs>
        <w:suppressAutoHyphens w:val="0"/>
        <w:spacing w:before="0"/>
        <w:ind w:left="850" w:hanging="357"/>
        <w:rPr>
          <w:rFonts w:eastAsia="Times New Roman" w:cs="Times New Roman"/>
          <w:sz w:val="21"/>
          <w:szCs w:val="21"/>
          <w:lang w:val="en-US"/>
        </w:rPr>
      </w:pPr>
      <w:r w:rsidRPr="00831BD5">
        <w:rPr>
          <w:rFonts w:eastAsia="Times New Roman" w:cs="Times New Roman"/>
          <w:b/>
          <w:bCs/>
          <w:i/>
          <w:iCs/>
          <w:sz w:val="21"/>
          <w:szCs w:val="21"/>
        </w:rPr>
        <w:t>Open systems</w:t>
      </w:r>
      <w:r w:rsidRPr="00831BD5">
        <w:rPr>
          <w:rFonts w:eastAsia="Times New Roman" w:cs="Times New Roman"/>
          <w:sz w:val="21"/>
          <w:szCs w:val="21"/>
        </w:rPr>
        <w:t xml:space="preserve">: the program works to influence the overall eco-system for climate and infrastructure policy and </w:t>
      </w:r>
      <w:proofErr w:type="gramStart"/>
      <w:r w:rsidRPr="00831BD5">
        <w:rPr>
          <w:rFonts w:eastAsia="Times New Roman" w:cs="Times New Roman"/>
          <w:sz w:val="21"/>
          <w:szCs w:val="21"/>
        </w:rPr>
        <w:t>programming, and</w:t>
      </w:r>
      <w:proofErr w:type="gramEnd"/>
      <w:r w:rsidRPr="00831BD5">
        <w:rPr>
          <w:rFonts w:eastAsia="Times New Roman" w:cs="Times New Roman"/>
          <w:sz w:val="21"/>
          <w:szCs w:val="21"/>
        </w:rPr>
        <w:t xml:space="preserve"> cannot control all the variables required to achieve a pre-determined result.</w:t>
      </w:r>
      <w:r w:rsidRPr="00831BD5">
        <w:rPr>
          <w:rFonts w:eastAsia="Times New Roman" w:cs="Times New Roman"/>
          <w:sz w:val="21"/>
          <w:szCs w:val="21"/>
          <w:lang w:val="en-US"/>
        </w:rPr>
        <w:t> </w:t>
      </w:r>
    </w:p>
    <w:p w14:paraId="2C5F37CD" w14:textId="77777777" w:rsidR="00831BD5" w:rsidRPr="00831BD5" w:rsidRDefault="00831BD5" w:rsidP="00B0517E">
      <w:pPr>
        <w:tabs>
          <w:tab w:val="left" w:pos="284"/>
        </w:tabs>
        <w:suppressAutoHyphens w:val="0"/>
        <w:ind w:left="284"/>
        <w:rPr>
          <w:rFonts w:eastAsia="Times New Roman" w:cs="Times New Roman"/>
          <w:sz w:val="21"/>
          <w:szCs w:val="21"/>
          <w:lang w:val="en-US"/>
        </w:rPr>
      </w:pPr>
      <w:r w:rsidRPr="00831BD5">
        <w:rPr>
          <w:rFonts w:eastAsia="Times New Roman" w:cs="Times New Roman"/>
          <w:sz w:val="21"/>
          <w:szCs w:val="21"/>
        </w:rPr>
        <w:t>The program is implemented by a broad range of Delivery Partners, working within a common framework, but implementing multiple Activities and Projects, focusing on three focus sectors (water, sanitation and waste management clean energy transition, and sustainable infrastructure) but with flexibility to operate in single sector domains (climate, financing and infrastructure).</w:t>
      </w:r>
      <w:r w:rsidRPr="00831BD5">
        <w:rPr>
          <w:rFonts w:eastAsia="Times New Roman" w:cs="Times New Roman"/>
          <w:sz w:val="21"/>
          <w:szCs w:val="21"/>
          <w:lang w:val="en-US"/>
        </w:rPr>
        <w:t> </w:t>
      </w:r>
    </w:p>
    <w:p w14:paraId="5BEC7628" w14:textId="77777777" w:rsidR="00831BD5" w:rsidRPr="00831BD5" w:rsidRDefault="00831BD5" w:rsidP="00B0517E">
      <w:pPr>
        <w:tabs>
          <w:tab w:val="left" w:pos="284"/>
        </w:tabs>
        <w:suppressAutoHyphens w:val="0"/>
        <w:ind w:left="284"/>
        <w:rPr>
          <w:rFonts w:eastAsia="Times New Roman" w:cs="Times New Roman"/>
          <w:sz w:val="21"/>
          <w:szCs w:val="21"/>
          <w:lang w:val="en-US"/>
        </w:rPr>
      </w:pPr>
      <w:r w:rsidRPr="00831BD5">
        <w:rPr>
          <w:rFonts w:eastAsia="Times New Roman" w:cs="Times New Roman"/>
          <w:sz w:val="21"/>
          <w:szCs w:val="21"/>
        </w:rPr>
        <w:t>The overall design deals with this underlying development approach and theory of change with a design structure that operates at several, connected and interdependent levels:</w:t>
      </w:r>
      <w:r w:rsidRPr="00831BD5">
        <w:rPr>
          <w:rFonts w:eastAsia="Times New Roman" w:cs="Times New Roman"/>
          <w:sz w:val="21"/>
          <w:szCs w:val="21"/>
          <w:lang w:val="en-US"/>
        </w:rPr>
        <w:t> </w:t>
      </w:r>
    </w:p>
    <w:p w14:paraId="197DCFB3" w14:textId="77777777" w:rsidR="00831BD5" w:rsidRPr="00831BD5" w:rsidRDefault="00831BD5" w:rsidP="00686269">
      <w:pPr>
        <w:numPr>
          <w:ilvl w:val="0"/>
          <w:numId w:val="24"/>
        </w:numPr>
        <w:tabs>
          <w:tab w:val="clear" w:pos="720"/>
          <w:tab w:val="left" w:pos="284"/>
          <w:tab w:val="num" w:pos="851"/>
        </w:tabs>
        <w:suppressAutoHyphens w:val="0"/>
        <w:spacing w:before="0"/>
        <w:ind w:left="850" w:hanging="357"/>
        <w:rPr>
          <w:rFonts w:eastAsia="Times New Roman" w:cs="Times New Roman"/>
          <w:sz w:val="21"/>
          <w:szCs w:val="21"/>
        </w:rPr>
      </w:pPr>
      <w:r w:rsidRPr="00831BD5">
        <w:rPr>
          <w:rFonts w:eastAsia="Times New Roman" w:cs="Times New Roman"/>
          <w:sz w:val="21"/>
          <w:szCs w:val="21"/>
        </w:rPr>
        <w:t>At the program-wide level, there is a summary Program Logic which capture the broader strategy and common framework for delivery </w:t>
      </w:r>
    </w:p>
    <w:p w14:paraId="0A95C07A" w14:textId="77777777" w:rsidR="00831BD5" w:rsidRPr="00831BD5" w:rsidRDefault="00831BD5" w:rsidP="00686269">
      <w:pPr>
        <w:numPr>
          <w:ilvl w:val="0"/>
          <w:numId w:val="24"/>
        </w:numPr>
        <w:tabs>
          <w:tab w:val="clear" w:pos="720"/>
          <w:tab w:val="left" w:pos="284"/>
          <w:tab w:val="num" w:pos="851"/>
        </w:tabs>
        <w:suppressAutoHyphens w:val="0"/>
        <w:spacing w:before="0"/>
        <w:ind w:left="850" w:hanging="357"/>
        <w:rPr>
          <w:rFonts w:eastAsia="Times New Roman" w:cs="Times New Roman"/>
          <w:sz w:val="21"/>
          <w:szCs w:val="21"/>
        </w:rPr>
      </w:pPr>
      <w:r w:rsidRPr="00831BD5">
        <w:rPr>
          <w:rFonts w:eastAsia="Times New Roman" w:cs="Times New Roman"/>
          <w:sz w:val="21"/>
          <w:szCs w:val="21"/>
        </w:rPr>
        <w:t>At the focus sector level there will be Sector Engagement Frameworks and change pathways developed </w:t>
      </w:r>
    </w:p>
    <w:p w14:paraId="2E05AF82" w14:textId="77777777" w:rsidR="00831BD5" w:rsidRPr="00831BD5" w:rsidRDefault="00831BD5" w:rsidP="00686269">
      <w:pPr>
        <w:numPr>
          <w:ilvl w:val="0"/>
          <w:numId w:val="24"/>
        </w:numPr>
        <w:tabs>
          <w:tab w:val="clear" w:pos="720"/>
          <w:tab w:val="left" w:pos="284"/>
          <w:tab w:val="num" w:pos="851"/>
        </w:tabs>
        <w:suppressAutoHyphens w:val="0"/>
        <w:spacing w:before="0"/>
        <w:ind w:left="850" w:hanging="357"/>
        <w:rPr>
          <w:rFonts w:eastAsia="Times New Roman" w:cs="Times New Roman"/>
          <w:sz w:val="21"/>
          <w:szCs w:val="21"/>
          <w:lang w:val="en-US"/>
        </w:rPr>
      </w:pPr>
      <w:r w:rsidRPr="00831BD5">
        <w:rPr>
          <w:rFonts w:eastAsia="Times New Roman" w:cs="Times New Roman"/>
          <w:sz w:val="21"/>
          <w:szCs w:val="21"/>
        </w:rPr>
        <w:lastRenderedPageBreak/>
        <w:t>For each Activity and Project, there will be specific outputs and objectives.</w:t>
      </w:r>
      <w:r w:rsidRPr="00831BD5">
        <w:rPr>
          <w:rFonts w:eastAsia="Times New Roman" w:cs="Times New Roman"/>
          <w:sz w:val="21"/>
          <w:szCs w:val="21"/>
          <w:lang w:val="en-US"/>
        </w:rPr>
        <w:t> </w:t>
      </w:r>
    </w:p>
    <w:p w14:paraId="2B2AE7FE" w14:textId="77777777" w:rsidR="00831BD5" w:rsidRPr="00831BD5" w:rsidRDefault="00831BD5" w:rsidP="00B0517E">
      <w:pPr>
        <w:tabs>
          <w:tab w:val="left" w:pos="284"/>
        </w:tabs>
        <w:suppressAutoHyphens w:val="0"/>
        <w:ind w:left="284"/>
        <w:rPr>
          <w:rFonts w:eastAsia="Times New Roman" w:cs="Times New Roman"/>
          <w:sz w:val="21"/>
          <w:szCs w:val="21"/>
          <w:lang w:val="en-US"/>
        </w:rPr>
      </w:pPr>
      <w:r w:rsidRPr="00831BD5">
        <w:rPr>
          <w:rFonts w:eastAsia="Times New Roman" w:cs="Times New Roman"/>
          <w:sz w:val="21"/>
          <w:szCs w:val="21"/>
        </w:rPr>
        <w:t xml:space="preserve">The Program-wide Logic is structured around the </w:t>
      </w:r>
      <w:r w:rsidRPr="00831BD5">
        <w:rPr>
          <w:rFonts w:eastAsia="Times New Roman" w:cs="Times New Roman"/>
          <w:i/>
          <w:iCs/>
          <w:sz w:val="21"/>
          <w:szCs w:val="21"/>
        </w:rPr>
        <w:t>strategy</w:t>
      </w:r>
      <w:r w:rsidRPr="00831BD5">
        <w:rPr>
          <w:rFonts w:eastAsia="Times New Roman" w:cs="Times New Roman"/>
          <w:sz w:val="21"/>
          <w:szCs w:val="21"/>
        </w:rPr>
        <w:t xml:space="preserve"> and </w:t>
      </w:r>
      <w:r w:rsidRPr="00831BD5">
        <w:rPr>
          <w:rFonts w:eastAsia="Times New Roman" w:cs="Times New Roman"/>
          <w:i/>
          <w:iCs/>
          <w:sz w:val="21"/>
          <w:szCs w:val="21"/>
        </w:rPr>
        <w:t>approach</w:t>
      </w:r>
      <w:r w:rsidRPr="00831BD5">
        <w:rPr>
          <w:rFonts w:eastAsia="Times New Roman" w:cs="Times New Roman"/>
          <w:sz w:val="21"/>
          <w:szCs w:val="21"/>
        </w:rPr>
        <w:t xml:space="preserve"> at program-wide activity and output level.  Outputs focus on the key stakeholder groups and how we expect them to respond to the program and change behaviour and actions. </w:t>
      </w:r>
      <w:r w:rsidRPr="00831BD5">
        <w:rPr>
          <w:rFonts w:eastAsia="Times New Roman" w:cs="Times New Roman"/>
          <w:sz w:val="21"/>
          <w:szCs w:val="21"/>
          <w:lang w:val="en-US"/>
        </w:rPr>
        <w:t> </w:t>
      </w:r>
    </w:p>
    <w:p w14:paraId="2812C5FB" w14:textId="77777777" w:rsidR="00831BD5" w:rsidRPr="00831BD5" w:rsidRDefault="00831BD5" w:rsidP="00B0517E">
      <w:pPr>
        <w:tabs>
          <w:tab w:val="left" w:pos="284"/>
        </w:tabs>
        <w:suppressAutoHyphens w:val="0"/>
        <w:ind w:left="284"/>
        <w:rPr>
          <w:rFonts w:eastAsia="Times New Roman" w:cs="Times New Roman"/>
          <w:sz w:val="21"/>
          <w:szCs w:val="21"/>
          <w:lang w:val="en-US"/>
        </w:rPr>
      </w:pPr>
      <w:r w:rsidRPr="00831BD5">
        <w:rPr>
          <w:rFonts w:eastAsia="Times New Roman" w:cs="Times New Roman"/>
          <w:sz w:val="21"/>
          <w:szCs w:val="21"/>
        </w:rPr>
        <w:t xml:space="preserve">The Intermediate Outcomes (IO) are structured around key features of the eco-system for climate and infrastructure policy and planning, which are regarded as key parts of the overall system that can work in an integrated way to stimulate changes across the whole system.  Over the first five years of the program, it is expected that significant progress can be demonstrated towards the Intermediate Outcomes.  Over the life of the program, achievement of the IOs is expected to contribute in an integrated way towards the EOPOs (rather than one </w:t>
      </w:r>
      <w:proofErr w:type="gramStart"/>
      <w:r w:rsidRPr="00831BD5">
        <w:rPr>
          <w:rFonts w:eastAsia="Times New Roman" w:cs="Times New Roman"/>
          <w:sz w:val="21"/>
          <w:szCs w:val="21"/>
        </w:rPr>
        <w:t>particular IO</w:t>
      </w:r>
      <w:proofErr w:type="gramEnd"/>
      <w:r w:rsidRPr="00831BD5">
        <w:rPr>
          <w:rFonts w:eastAsia="Times New Roman" w:cs="Times New Roman"/>
          <w:sz w:val="21"/>
          <w:szCs w:val="21"/>
        </w:rPr>
        <w:t xml:space="preserve"> mapping to a specific EOPO).  </w:t>
      </w:r>
      <w:r w:rsidRPr="00831BD5">
        <w:rPr>
          <w:rFonts w:eastAsia="Times New Roman" w:cs="Times New Roman"/>
          <w:sz w:val="21"/>
          <w:szCs w:val="21"/>
          <w:lang w:val="en-US"/>
        </w:rPr>
        <w:t> </w:t>
      </w:r>
    </w:p>
    <w:p w14:paraId="7341E554" w14:textId="77777777" w:rsidR="00831BD5" w:rsidRPr="00831BD5" w:rsidRDefault="00831BD5" w:rsidP="00B0517E">
      <w:pPr>
        <w:tabs>
          <w:tab w:val="left" w:pos="284"/>
        </w:tabs>
        <w:suppressAutoHyphens w:val="0"/>
        <w:ind w:left="284"/>
        <w:rPr>
          <w:rFonts w:eastAsia="Times New Roman" w:cs="Times New Roman"/>
          <w:sz w:val="21"/>
          <w:szCs w:val="21"/>
          <w:lang w:val="en-US"/>
        </w:rPr>
      </w:pPr>
      <w:r w:rsidRPr="00831BD5">
        <w:rPr>
          <w:rFonts w:eastAsia="Times New Roman" w:cs="Times New Roman"/>
          <w:sz w:val="21"/>
          <w:szCs w:val="21"/>
        </w:rPr>
        <w:t xml:space="preserve">End of Program Outcomes are focused on the policy level changes that the investment </w:t>
      </w:r>
      <w:proofErr w:type="gramStart"/>
      <w:r w:rsidRPr="00831BD5">
        <w:rPr>
          <w:rFonts w:eastAsia="Times New Roman" w:cs="Times New Roman"/>
          <w:sz w:val="21"/>
          <w:szCs w:val="21"/>
        </w:rPr>
        <w:t>would</w:t>
      </w:r>
      <w:proofErr w:type="gramEnd"/>
      <w:r w:rsidRPr="00831BD5">
        <w:rPr>
          <w:rFonts w:eastAsia="Times New Roman" w:cs="Times New Roman"/>
          <w:sz w:val="21"/>
          <w:szCs w:val="21"/>
        </w:rPr>
        <w:t xml:space="preserve"> anticipate being achieved over the potential </w:t>
      </w:r>
      <w:proofErr w:type="gramStart"/>
      <w:r w:rsidRPr="00831BD5">
        <w:rPr>
          <w:rFonts w:eastAsia="Times New Roman" w:cs="Times New Roman"/>
          <w:sz w:val="21"/>
          <w:szCs w:val="21"/>
        </w:rPr>
        <w:t>ten year</w:t>
      </w:r>
      <w:proofErr w:type="gramEnd"/>
      <w:r w:rsidRPr="00831BD5">
        <w:rPr>
          <w:rFonts w:eastAsia="Times New Roman" w:cs="Times New Roman"/>
          <w:sz w:val="21"/>
          <w:szCs w:val="21"/>
        </w:rPr>
        <w:t xml:space="preserve"> horizon of the Partnership </w:t>
      </w:r>
      <w:r w:rsidRPr="00831BD5">
        <w:rPr>
          <w:rFonts w:eastAsia="Times New Roman" w:cs="Times New Roman"/>
          <w:i/>
          <w:iCs/>
          <w:sz w:val="21"/>
          <w:szCs w:val="21"/>
        </w:rPr>
        <w:t>if</w:t>
      </w:r>
      <w:r w:rsidRPr="00831BD5">
        <w:rPr>
          <w:rFonts w:eastAsia="Times New Roman" w:cs="Times New Roman"/>
          <w:sz w:val="21"/>
          <w:szCs w:val="21"/>
        </w:rPr>
        <w:t xml:space="preserve"> stakeholders engage as we anticipate and the system responds to the reforms identified in the Intermediate Outcomes.</w:t>
      </w:r>
      <w:r w:rsidRPr="00831BD5">
        <w:rPr>
          <w:rFonts w:eastAsia="Times New Roman" w:cs="Times New Roman"/>
          <w:sz w:val="21"/>
          <w:szCs w:val="21"/>
          <w:lang w:val="en-US"/>
        </w:rPr>
        <w:t> </w:t>
      </w:r>
    </w:p>
    <w:p w14:paraId="4207BBBB" w14:textId="77777777" w:rsidR="00831BD5" w:rsidRPr="00831BD5" w:rsidRDefault="00831BD5" w:rsidP="00B0517E">
      <w:pPr>
        <w:tabs>
          <w:tab w:val="left" w:pos="284"/>
        </w:tabs>
        <w:suppressAutoHyphens w:val="0"/>
        <w:ind w:left="284"/>
        <w:rPr>
          <w:rFonts w:eastAsia="Times New Roman" w:cs="Times New Roman"/>
          <w:sz w:val="21"/>
          <w:szCs w:val="21"/>
          <w:lang w:val="en-US"/>
        </w:rPr>
      </w:pPr>
      <w:r w:rsidRPr="00831BD5">
        <w:rPr>
          <w:rFonts w:eastAsia="Times New Roman" w:cs="Times New Roman"/>
          <w:sz w:val="21"/>
          <w:szCs w:val="21"/>
        </w:rPr>
        <w:t>At the focus sector level there is a change pathway identified for focus sectors and linkages to the GOI RPJMN (national medium term development plan) outcomes.  This will be further developed through the sector engagement strategies developed in the inception phase and updated each year.</w:t>
      </w:r>
      <w:r w:rsidRPr="00831BD5">
        <w:rPr>
          <w:rFonts w:eastAsia="Times New Roman" w:cs="Times New Roman"/>
          <w:sz w:val="21"/>
          <w:szCs w:val="21"/>
          <w:lang w:val="en-US"/>
        </w:rPr>
        <w:t> </w:t>
      </w:r>
    </w:p>
    <w:p w14:paraId="6DBF8334" w14:textId="41670474" w:rsidR="007D4D0F" w:rsidRPr="00A452F1" w:rsidRDefault="00831BD5" w:rsidP="00A452F1">
      <w:pPr>
        <w:tabs>
          <w:tab w:val="left" w:pos="284"/>
        </w:tabs>
        <w:suppressAutoHyphens w:val="0"/>
        <w:ind w:left="284"/>
        <w:rPr>
          <w:rFonts w:eastAsia="Times New Roman" w:cs="Times New Roman"/>
          <w:sz w:val="21"/>
          <w:szCs w:val="21"/>
          <w:lang w:val="en-US"/>
        </w:rPr>
      </w:pPr>
      <w:r w:rsidRPr="00831BD5">
        <w:rPr>
          <w:rFonts w:eastAsia="Times New Roman" w:cs="Times New Roman"/>
          <w:sz w:val="21"/>
          <w:szCs w:val="21"/>
        </w:rPr>
        <w:t>At the Activity and Project level, specific outputs (key deliverables) and objectives (first order results) will be designed.  These deliverables and results will be coded and linked to the program-wide Activities, Outputs and Intermediate outcomes to enable aggregated and synthesis reporting in real time, and for evaluation purposes.</w:t>
      </w:r>
      <w:r w:rsidRPr="00831BD5">
        <w:rPr>
          <w:rFonts w:eastAsia="Times New Roman" w:cs="Times New Roman"/>
          <w:sz w:val="21"/>
          <w:szCs w:val="21"/>
          <w:lang w:val="en-US"/>
        </w:rPr>
        <w:t> </w:t>
      </w:r>
    </w:p>
    <w:p w14:paraId="1AABE5B6" w14:textId="2BE0E50A" w:rsidR="00831BD5" w:rsidRPr="00831BD5" w:rsidRDefault="00831BD5" w:rsidP="00ED5396">
      <w:pPr>
        <w:pStyle w:val="Heading3"/>
        <w:numPr>
          <w:ilvl w:val="0"/>
          <w:numId w:val="0"/>
        </w:numPr>
        <w:ind w:left="644" w:hanging="360"/>
        <w:rPr>
          <w:lang w:val="en-US"/>
        </w:rPr>
      </w:pPr>
      <w:bookmarkStart w:id="468" w:name="_Toc216260444"/>
      <w:bookmarkStart w:id="469" w:name="_Toc216264159"/>
      <w:bookmarkStart w:id="470" w:name="_Toc216270009"/>
      <w:bookmarkStart w:id="471" w:name="_Toc216270708"/>
      <w:r w:rsidRPr="00831BD5">
        <w:t>Assumptions</w:t>
      </w:r>
      <w:bookmarkEnd w:id="468"/>
      <w:bookmarkEnd w:id="469"/>
      <w:bookmarkEnd w:id="470"/>
      <w:bookmarkEnd w:id="471"/>
      <w:r w:rsidRPr="00831BD5">
        <w:rPr>
          <w:lang w:val="en-US"/>
        </w:rPr>
        <w:t> </w:t>
      </w:r>
    </w:p>
    <w:p w14:paraId="4F982BA4" w14:textId="77777777" w:rsidR="00831BD5" w:rsidRPr="00831BD5" w:rsidRDefault="00831BD5" w:rsidP="00B0517E">
      <w:pPr>
        <w:tabs>
          <w:tab w:val="left" w:pos="284"/>
        </w:tabs>
        <w:suppressAutoHyphens w:val="0"/>
        <w:ind w:left="284"/>
        <w:rPr>
          <w:rFonts w:eastAsia="Times New Roman" w:cs="Times New Roman"/>
          <w:sz w:val="21"/>
          <w:szCs w:val="21"/>
          <w:lang w:val="en-US"/>
        </w:rPr>
      </w:pPr>
      <w:r w:rsidRPr="00831BD5">
        <w:rPr>
          <w:rFonts w:eastAsia="Times New Roman" w:cs="Times New Roman"/>
          <w:sz w:val="21"/>
          <w:szCs w:val="21"/>
        </w:rPr>
        <w:t xml:space="preserve">This approach to the design and program logic relies on key assumptions.  Monitoring and managing these assumptions </w:t>
      </w:r>
      <w:proofErr w:type="gramStart"/>
      <w:r w:rsidRPr="00831BD5">
        <w:rPr>
          <w:rFonts w:eastAsia="Times New Roman" w:cs="Times New Roman"/>
          <w:sz w:val="21"/>
          <w:szCs w:val="21"/>
        </w:rPr>
        <w:t>is</w:t>
      </w:r>
      <w:proofErr w:type="gramEnd"/>
      <w:r w:rsidRPr="00831BD5">
        <w:rPr>
          <w:rFonts w:eastAsia="Times New Roman" w:cs="Times New Roman"/>
          <w:sz w:val="21"/>
          <w:szCs w:val="21"/>
        </w:rPr>
        <w:t xml:space="preserve"> integrated into the risk management and MERL frameworks to enable real time learning and reflection on progress and impact, and for timely adjustments to be made to strategy, approach and focus of the program.</w:t>
      </w:r>
      <w:r w:rsidRPr="00831BD5">
        <w:rPr>
          <w:rFonts w:eastAsia="Times New Roman" w:cs="Times New Roman"/>
          <w:sz w:val="21"/>
          <w:szCs w:val="21"/>
          <w:lang w:val="en-US"/>
        </w:rPr>
        <w:t> </w:t>
      </w:r>
    </w:p>
    <w:p w14:paraId="1BCF1915" w14:textId="77777777" w:rsidR="00831BD5" w:rsidRPr="00831BD5" w:rsidRDefault="00831BD5" w:rsidP="00B0517E">
      <w:pPr>
        <w:tabs>
          <w:tab w:val="left" w:pos="284"/>
        </w:tabs>
        <w:suppressAutoHyphens w:val="0"/>
        <w:ind w:left="284"/>
        <w:rPr>
          <w:rFonts w:eastAsia="Times New Roman" w:cs="Times New Roman"/>
          <w:sz w:val="21"/>
          <w:szCs w:val="21"/>
          <w:lang w:val="en-US"/>
        </w:rPr>
      </w:pPr>
      <w:r w:rsidRPr="00831BD5">
        <w:rPr>
          <w:rFonts w:eastAsia="Times New Roman" w:cs="Times New Roman"/>
          <w:sz w:val="21"/>
          <w:szCs w:val="21"/>
        </w:rPr>
        <w:t>Key assumptions include: </w:t>
      </w:r>
      <w:r w:rsidRPr="00831BD5">
        <w:rPr>
          <w:rFonts w:eastAsia="Times New Roman" w:cs="Times New Roman"/>
          <w:sz w:val="21"/>
          <w:szCs w:val="21"/>
          <w:lang w:val="en-US"/>
        </w:rPr>
        <w:t> </w:t>
      </w:r>
    </w:p>
    <w:p w14:paraId="730200AF" w14:textId="77777777" w:rsidR="00831BD5" w:rsidRPr="00831BD5" w:rsidRDefault="00831BD5" w:rsidP="00ED5396">
      <w:pPr>
        <w:pStyle w:val="Heading3"/>
        <w:numPr>
          <w:ilvl w:val="0"/>
          <w:numId w:val="0"/>
        </w:numPr>
        <w:ind w:left="644" w:hanging="360"/>
        <w:rPr>
          <w:lang w:val="en-US"/>
        </w:rPr>
      </w:pPr>
      <w:bookmarkStart w:id="472" w:name="_Toc216260445"/>
      <w:bookmarkStart w:id="473" w:name="_Toc216264160"/>
      <w:bookmarkStart w:id="474" w:name="_Toc216270010"/>
      <w:bookmarkStart w:id="475" w:name="_Toc216270709"/>
      <w:r w:rsidRPr="00831BD5">
        <w:t>From Activity to Output level</w:t>
      </w:r>
      <w:bookmarkEnd w:id="472"/>
      <w:bookmarkEnd w:id="473"/>
      <w:bookmarkEnd w:id="474"/>
      <w:bookmarkEnd w:id="475"/>
      <w:r w:rsidRPr="00831BD5">
        <w:rPr>
          <w:lang w:val="en-US"/>
        </w:rPr>
        <w:t> </w:t>
      </w:r>
    </w:p>
    <w:p w14:paraId="2EE13369" w14:textId="77777777" w:rsidR="00831BD5" w:rsidRPr="00831BD5" w:rsidRDefault="00831BD5" w:rsidP="00686269">
      <w:pPr>
        <w:numPr>
          <w:ilvl w:val="0"/>
          <w:numId w:val="28"/>
        </w:numPr>
        <w:tabs>
          <w:tab w:val="left" w:pos="284"/>
        </w:tabs>
        <w:suppressAutoHyphens w:val="0"/>
        <w:spacing w:before="0"/>
        <w:ind w:left="709" w:hanging="283"/>
        <w:rPr>
          <w:rFonts w:eastAsia="Times New Roman" w:cs="Times New Roman"/>
          <w:sz w:val="21"/>
          <w:szCs w:val="21"/>
          <w:lang w:val="en-US"/>
        </w:rPr>
      </w:pPr>
      <w:r w:rsidRPr="00831BD5">
        <w:rPr>
          <w:rFonts w:eastAsia="Times New Roman" w:cs="Times New Roman"/>
          <w:sz w:val="21"/>
          <w:szCs w:val="21"/>
        </w:rPr>
        <w:t xml:space="preserve">The right (timely, appropriate, well targeted) decisions are made by governance and management arrangements on Activities and Project approvals (without, </w:t>
      </w:r>
      <w:proofErr w:type="spellStart"/>
      <w:r w:rsidRPr="00831BD5">
        <w:rPr>
          <w:rFonts w:eastAsia="Times New Roman" w:cs="Times New Roman"/>
          <w:sz w:val="21"/>
          <w:szCs w:val="21"/>
        </w:rPr>
        <w:t>eg</w:t>
      </w:r>
      <w:proofErr w:type="spellEnd"/>
      <w:r w:rsidRPr="00831BD5">
        <w:rPr>
          <w:rFonts w:eastAsia="Times New Roman" w:cs="Times New Roman"/>
          <w:sz w:val="21"/>
          <w:szCs w:val="21"/>
        </w:rPr>
        <w:t>, political or commercial interference)</w:t>
      </w:r>
      <w:r w:rsidRPr="00831BD5">
        <w:rPr>
          <w:rFonts w:eastAsia="Times New Roman" w:cs="Times New Roman"/>
          <w:sz w:val="21"/>
          <w:szCs w:val="21"/>
          <w:lang w:val="en-US"/>
        </w:rPr>
        <w:t> </w:t>
      </w:r>
    </w:p>
    <w:p w14:paraId="107E041C" w14:textId="77777777" w:rsidR="00831BD5" w:rsidRPr="00831BD5" w:rsidRDefault="00831BD5" w:rsidP="00686269">
      <w:pPr>
        <w:numPr>
          <w:ilvl w:val="0"/>
          <w:numId w:val="29"/>
        </w:numPr>
        <w:tabs>
          <w:tab w:val="left" w:pos="284"/>
        </w:tabs>
        <w:suppressAutoHyphens w:val="0"/>
        <w:spacing w:before="0"/>
        <w:ind w:left="709" w:hanging="283"/>
        <w:rPr>
          <w:rFonts w:eastAsia="Times New Roman" w:cs="Times New Roman"/>
          <w:sz w:val="21"/>
          <w:szCs w:val="21"/>
          <w:lang w:val="en-US"/>
        </w:rPr>
      </w:pPr>
      <w:r w:rsidRPr="00831BD5">
        <w:rPr>
          <w:rFonts w:eastAsia="Times New Roman" w:cs="Times New Roman"/>
          <w:sz w:val="21"/>
          <w:szCs w:val="21"/>
        </w:rPr>
        <w:t>Delivery Partners work with common purpose and collaboratively (Contractor, MDBs, PDGS, ADI, DFAT, Lead NGO, Lead Market Advisory)</w:t>
      </w:r>
      <w:r w:rsidRPr="00831BD5">
        <w:rPr>
          <w:rFonts w:eastAsia="Times New Roman" w:cs="Times New Roman"/>
          <w:sz w:val="21"/>
          <w:szCs w:val="21"/>
          <w:lang w:val="en-US"/>
        </w:rPr>
        <w:t> </w:t>
      </w:r>
    </w:p>
    <w:p w14:paraId="4D706C28" w14:textId="77777777" w:rsidR="00831BD5" w:rsidRPr="00831BD5" w:rsidRDefault="00831BD5" w:rsidP="00686269">
      <w:pPr>
        <w:numPr>
          <w:ilvl w:val="0"/>
          <w:numId w:val="30"/>
        </w:numPr>
        <w:tabs>
          <w:tab w:val="left" w:pos="284"/>
        </w:tabs>
        <w:suppressAutoHyphens w:val="0"/>
        <w:spacing w:before="0"/>
        <w:ind w:left="709" w:hanging="283"/>
        <w:rPr>
          <w:rFonts w:eastAsia="Times New Roman" w:cs="Times New Roman"/>
          <w:sz w:val="21"/>
          <w:szCs w:val="21"/>
          <w:lang w:val="en-US"/>
        </w:rPr>
      </w:pPr>
      <w:r w:rsidRPr="00831BD5">
        <w:rPr>
          <w:rFonts w:eastAsia="Times New Roman" w:cs="Times New Roman"/>
          <w:sz w:val="21"/>
          <w:szCs w:val="21"/>
        </w:rPr>
        <w:t>Communities and citizens motivated and interested to engage, and can agree with the GOI on infrastructure and climate planning priorities and implementation arrangements, without civil unrest</w:t>
      </w:r>
      <w:r w:rsidRPr="00831BD5">
        <w:rPr>
          <w:rFonts w:eastAsia="Times New Roman" w:cs="Times New Roman"/>
          <w:sz w:val="21"/>
          <w:szCs w:val="21"/>
          <w:lang w:val="en-US"/>
        </w:rPr>
        <w:t> </w:t>
      </w:r>
    </w:p>
    <w:p w14:paraId="6CF20708" w14:textId="77777777" w:rsidR="00831BD5" w:rsidRPr="00831BD5" w:rsidRDefault="00831BD5" w:rsidP="00686269">
      <w:pPr>
        <w:numPr>
          <w:ilvl w:val="0"/>
          <w:numId w:val="31"/>
        </w:numPr>
        <w:tabs>
          <w:tab w:val="left" w:pos="284"/>
        </w:tabs>
        <w:suppressAutoHyphens w:val="0"/>
        <w:spacing w:before="0"/>
        <w:ind w:left="709" w:hanging="283"/>
        <w:rPr>
          <w:rFonts w:eastAsia="Times New Roman" w:cs="Times New Roman"/>
          <w:sz w:val="21"/>
          <w:szCs w:val="21"/>
          <w:lang w:val="en-US"/>
        </w:rPr>
      </w:pPr>
      <w:r w:rsidRPr="00831BD5">
        <w:rPr>
          <w:rFonts w:eastAsia="Times New Roman" w:cs="Times New Roman"/>
          <w:sz w:val="21"/>
          <w:szCs w:val="21"/>
        </w:rPr>
        <w:t>Private sector actors willing and able to engage in Indonesia in stable global economic climate</w:t>
      </w:r>
      <w:r w:rsidRPr="00831BD5">
        <w:rPr>
          <w:rFonts w:eastAsia="Times New Roman" w:cs="Times New Roman"/>
          <w:sz w:val="21"/>
          <w:szCs w:val="21"/>
          <w:lang w:val="en-US"/>
        </w:rPr>
        <w:t> </w:t>
      </w:r>
    </w:p>
    <w:p w14:paraId="1C04A935" w14:textId="77777777" w:rsidR="00831BD5" w:rsidRPr="00831BD5" w:rsidRDefault="00831BD5" w:rsidP="00686269">
      <w:pPr>
        <w:numPr>
          <w:ilvl w:val="0"/>
          <w:numId w:val="32"/>
        </w:numPr>
        <w:tabs>
          <w:tab w:val="left" w:pos="284"/>
        </w:tabs>
        <w:suppressAutoHyphens w:val="0"/>
        <w:spacing w:before="0"/>
        <w:ind w:left="709" w:hanging="283"/>
        <w:rPr>
          <w:rFonts w:eastAsia="Times New Roman" w:cs="Times New Roman"/>
          <w:sz w:val="21"/>
          <w:szCs w:val="21"/>
          <w:lang w:val="en-US"/>
        </w:rPr>
      </w:pPr>
      <w:r w:rsidRPr="00831BD5">
        <w:rPr>
          <w:rFonts w:eastAsia="Times New Roman" w:cs="Times New Roman"/>
          <w:sz w:val="21"/>
          <w:szCs w:val="21"/>
        </w:rPr>
        <w:t xml:space="preserve">Real time feedback and reflection </w:t>
      </w:r>
      <w:proofErr w:type="gramStart"/>
      <w:r w:rsidRPr="00831BD5">
        <w:rPr>
          <w:rFonts w:eastAsia="Times New Roman" w:cs="Times New Roman"/>
          <w:sz w:val="21"/>
          <w:szCs w:val="21"/>
        </w:rPr>
        <w:t>enables</w:t>
      </w:r>
      <w:proofErr w:type="gramEnd"/>
      <w:r w:rsidRPr="00831BD5">
        <w:rPr>
          <w:rFonts w:eastAsia="Times New Roman" w:cs="Times New Roman"/>
          <w:sz w:val="21"/>
          <w:szCs w:val="21"/>
        </w:rPr>
        <w:t xml:space="preserve"> better management and governance decision making</w:t>
      </w:r>
      <w:r w:rsidRPr="00831BD5">
        <w:rPr>
          <w:rFonts w:eastAsia="Times New Roman" w:cs="Times New Roman"/>
          <w:sz w:val="21"/>
          <w:szCs w:val="21"/>
          <w:lang w:val="en-US"/>
        </w:rPr>
        <w:t> </w:t>
      </w:r>
    </w:p>
    <w:p w14:paraId="79DC0DEC" w14:textId="77777777" w:rsidR="00831BD5" w:rsidRPr="00831BD5" w:rsidRDefault="00831BD5" w:rsidP="00686269">
      <w:pPr>
        <w:numPr>
          <w:ilvl w:val="0"/>
          <w:numId w:val="33"/>
        </w:numPr>
        <w:tabs>
          <w:tab w:val="left" w:pos="284"/>
        </w:tabs>
        <w:suppressAutoHyphens w:val="0"/>
        <w:spacing w:before="0" w:after="120"/>
        <w:ind w:left="709" w:hanging="284"/>
        <w:rPr>
          <w:rFonts w:eastAsia="Times New Roman" w:cs="Times New Roman"/>
          <w:sz w:val="21"/>
          <w:szCs w:val="21"/>
          <w:lang w:val="en-US"/>
        </w:rPr>
      </w:pPr>
      <w:r w:rsidRPr="00831BD5">
        <w:rPr>
          <w:rFonts w:eastAsia="Times New Roman" w:cs="Times New Roman"/>
          <w:sz w:val="21"/>
          <w:szCs w:val="21"/>
        </w:rPr>
        <w:t>Political and public discourse facilitated by strong bilateral relationship between Australia and Indonesia</w:t>
      </w:r>
      <w:r w:rsidRPr="00831BD5">
        <w:rPr>
          <w:rFonts w:eastAsia="Times New Roman" w:cs="Times New Roman"/>
          <w:sz w:val="21"/>
          <w:szCs w:val="21"/>
          <w:lang w:val="en-US"/>
        </w:rPr>
        <w:t> </w:t>
      </w:r>
    </w:p>
    <w:p w14:paraId="0A0F155E" w14:textId="77777777" w:rsidR="00831BD5" w:rsidRPr="00831BD5" w:rsidRDefault="00831BD5" w:rsidP="00ED5396">
      <w:pPr>
        <w:pStyle w:val="Heading3"/>
        <w:numPr>
          <w:ilvl w:val="0"/>
          <w:numId w:val="0"/>
        </w:numPr>
        <w:ind w:left="644" w:hanging="360"/>
        <w:rPr>
          <w:lang w:val="en-US"/>
        </w:rPr>
      </w:pPr>
      <w:bookmarkStart w:id="476" w:name="_Toc216260446"/>
      <w:bookmarkStart w:id="477" w:name="_Toc216264161"/>
      <w:bookmarkStart w:id="478" w:name="_Toc216270011"/>
      <w:bookmarkStart w:id="479" w:name="_Toc216270710"/>
      <w:r w:rsidRPr="00831BD5">
        <w:t>From Output to IO level</w:t>
      </w:r>
      <w:bookmarkEnd w:id="476"/>
      <w:bookmarkEnd w:id="477"/>
      <w:bookmarkEnd w:id="478"/>
      <w:bookmarkEnd w:id="479"/>
      <w:r w:rsidRPr="00831BD5">
        <w:rPr>
          <w:lang w:val="en-US"/>
        </w:rPr>
        <w:t> </w:t>
      </w:r>
    </w:p>
    <w:p w14:paraId="7FB369B9" w14:textId="77777777" w:rsidR="00831BD5" w:rsidRPr="00831BD5" w:rsidRDefault="00831BD5" w:rsidP="00686269">
      <w:pPr>
        <w:numPr>
          <w:ilvl w:val="0"/>
          <w:numId w:val="28"/>
        </w:numPr>
        <w:tabs>
          <w:tab w:val="left" w:pos="284"/>
        </w:tabs>
        <w:suppressAutoHyphens w:val="0"/>
        <w:spacing w:before="0"/>
        <w:ind w:left="709" w:hanging="283"/>
        <w:rPr>
          <w:rFonts w:eastAsia="Times New Roman" w:cs="Times New Roman"/>
          <w:sz w:val="21"/>
          <w:szCs w:val="21"/>
        </w:rPr>
      </w:pPr>
      <w:r w:rsidRPr="00831BD5">
        <w:rPr>
          <w:rFonts w:eastAsia="Times New Roman" w:cs="Times New Roman"/>
          <w:sz w:val="21"/>
          <w:szCs w:val="21"/>
        </w:rPr>
        <w:t>Public sector culture and political leadership supports innovation and transformative reform in stable political climate </w:t>
      </w:r>
    </w:p>
    <w:p w14:paraId="20EBCF5A" w14:textId="77777777" w:rsidR="00831BD5" w:rsidRPr="00831BD5" w:rsidRDefault="00831BD5" w:rsidP="00686269">
      <w:pPr>
        <w:numPr>
          <w:ilvl w:val="0"/>
          <w:numId w:val="28"/>
        </w:numPr>
        <w:tabs>
          <w:tab w:val="left" w:pos="284"/>
        </w:tabs>
        <w:suppressAutoHyphens w:val="0"/>
        <w:spacing w:before="0"/>
        <w:ind w:left="709" w:hanging="283"/>
        <w:rPr>
          <w:rFonts w:eastAsia="Times New Roman" w:cs="Times New Roman"/>
          <w:sz w:val="21"/>
          <w:szCs w:val="21"/>
        </w:rPr>
      </w:pPr>
      <w:r w:rsidRPr="00831BD5">
        <w:rPr>
          <w:rFonts w:eastAsia="Times New Roman" w:cs="Times New Roman"/>
          <w:sz w:val="21"/>
          <w:szCs w:val="21"/>
        </w:rPr>
        <w:t>Capital is available and private sector across looking for investment opportunities, and are not hindered by global economic conditions or stronger incentives in other emerging markets </w:t>
      </w:r>
    </w:p>
    <w:p w14:paraId="117E6DF7" w14:textId="77777777" w:rsidR="00831BD5" w:rsidRPr="00831BD5" w:rsidRDefault="00831BD5" w:rsidP="00686269">
      <w:pPr>
        <w:numPr>
          <w:ilvl w:val="0"/>
          <w:numId w:val="28"/>
        </w:numPr>
        <w:tabs>
          <w:tab w:val="left" w:pos="284"/>
        </w:tabs>
        <w:suppressAutoHyphens w:val="0"/>
        <w:spacing w:before="0"/>
        <w:ind w:left="709" w:hanging="283"/>
        <w:rPr>
          <w:rFonts w:eastAsia="Times New Roman" w:cs="Times New Roman"/>
          <w:sz w:val="21"/>
          <w:szCs w:val="21"/>
        </w:rPr>
      </w:pPr>
      <w:r w:rsidRPr="00831BD5">
        <w:rPr>
          <w:rFonts w:eastAsia="Times New Roman" w:cs="Times New Roman"/>
          <w:sz w:val="21"/>
          <w:szCs w:val="21"/>
        </w:rPr>
        <w:t xml:space="preserve">Sufficient strong social contract and trust between government and civil society (given historical </w:t>
      </w:r>
      <w:proofErr w:type="gramStart"/>
      <w:r w:rsidRPr="00831BD5">
        <w:rPr>
          <w:rFonts w:eastAsia="Times New Roman" w:cs="Times New Roman"/>
          <w:sz w:val="21"/>
          <w:szCs w:val="21"/>
        </w:rPr>
        <w:t>context)  to</w:t>
      </w:r>
      <w:proofErr w:type="gramEnd"/>
      <w:r w:rsidRPr="00831BD5">
        <w:rPr>
          <w:rFonts w:eastAsia="Times New Roman" w:cs="Times New Roman"/>
          <w:sz w:val="21"/>
          <w:szCs w:val="21"/>
        </w:rPr>
        <w:t xml:space="preserve"> support engagement with GOI agencies and private sector; and all groups and communities </w:t>
      </w:r>
      <w:proofErr w:type="gramStart"/>
      <w:r w:rsidRPr="00831BD5">
        <w:rPr>
          <w:rFonts w:eastAsia="Times New Roman" w:cs="Times New Roman"/>
          <w:sz w:val="21"/>
          <w:szCs w:val="21"/>
        </w:rPr>
        <w:t>are able to</w:t>
      </w:r>
      <w:proofErr w:type="gramEnd"/>
      <w:r w:rsidRPr="00831BD5">
        <w:rPr>
          <w:rFonts w:eastAsia="Times New Roman" w:cs="Times New Roman"/>
          <w:sz w:val="21"/>
          <w:szCs w:val="21"/>
        </w:rPr>
        <w:t xml:space="preserve"> engage equally </w:t>
      </w:r>
    </w:p>
    <w:p w14:paraId="3A4D4E09" w14:textId="77777777" w:rsidR="00831BD5" w:rsidRPr="00831BD5" w:rsidRDefault="00831BD5" w:rsidP="00686269">
      <w:pPr>
        <w:numPr>
          <w:ilvl w:val="0"/>
          <w:numId w:val="28"/>
        </w:numPr>
        <w:tabs>
          <w:tab w:val="left" w:pos="284"/>
        </w:tabs>
        <w:suppressAutoHyphens w:val="0"/>
        <w:spacing w:before="0"/>
        <w:ind w:left="709" w:hanging="283"/>
        <w:rPr>
          <w:rFonts w:eastAsia="Times New Roman" w:cs="Times New Roman"/>
          <w:sz w:val="21"/>
          <w:szCs w:val="21"/>
        </w:rPr>
      </w:pPr>
      <w:r w:rsidRPr="00831BD5">
        <w:rPr>
          <w:rFonts w:eastAsia="Times New Roman" w:cs="Times New Roman"/>
          <w:sz w:val="21"/>
          <w:szCs w:val="21"/>
        </w:rPr>
        <w:t>MDBs and international system continues to finance and provide technical support to emerging markets (particularly Indonesia remains a priority) </w:t>
      </w:r>
    </w:p>
    <w:p w14:paraId="42B776AD" w14:textId="77777777" w:rsidR="00831BD5" w:rsidRPr="00831BD5" w:rsidRDefault="00831BD5" w:rsidP="00686269">
      <w:pPr>
        <w:numPr>
          <w:ilvl w:val="0"/>
          <w:numId w:val="33"/>
        </w:numPr>
        <w:tabs>
          <w:tab w:val="left" w:pos="284"/>
        </w:tabs>
        <w:suppressAutoHyphens w:val="0"/>
        <w:spacing w:before="0" w:after="120"/>
        <w:ind w:left="709" w:hanging="284"/>
        <w:rPr>
          <w:rFonts w:eastAsia="Times New Roman" w:cs="Times New Roman"/>
          <w:sz w:val="21"/>
          <w:szCs w:val="21"/>
          <w:lang w:val="en-US"/>
        </w:rPr>
      </w:pPr>
      <w:r w:rsidRPr="00831BD5">
        <w:rPr>
          <w:rFonts w:eastAsia="Times New Roman" w:cs="Times New Roman"/>
          <w:sz w:val="21"/>
          <w:szCs w:val="21"/>
        </w:rPr>
        <w:t>Vested interests do not work against green growth and clean energy transition</w:t>
      </w:r>
      <w:r w:rsidRPr="00831BD5">
        <w:rPr>
          <w:rFonts w:eastAsia="Times New Roman" w:cs="Times New Roman"/>
          <w:sz w:val="21"/>
          <w:szCs w:val="21"/>
          <w:lang w:val="en-US"/>
        </w:rPr>
        <w:t> </w:t>
      </w:r>
    </w:p>
    <w:p w14:paraId="1350A8A9" w14:textId="77777777" w:rsidR="00831BD5" w:rsidRPr="00831BD5" w:rsidRDefault="00831BD5" w:rsidP="00ED5396">
      <w:pPr>
        <w:pStyle w:val="Heading3"/>
        <w:numPr>
          <w:ilvl w:val="0"/>
          <w:numId w:val="0"/>
        </w:numPr>
        <w:ind w:left="644" w:hanging="360"/>
        <w:rPr>
          <w:lang w:val="en-US"/>
        </w:rPr>
      </w:pPr>
      <w:bookmarkStart w:id="480" w:name="_Toc216260447"/>
      <w:bookmarkStart w:id="481" w:name="_Toc216264162"/>
      <w:bookmarkStart w:id="482" w:name="_Toc216270012"/>
      <w:bookmarkStart w:id="483" w:name="_Toc216270711"/>
      <w:r w:rsidRPr="00831BD5">
        <w:lastRenderedPageBreak/>
        <w:t>IO to EOPO level</w:t>
      </w:r>
      <w:bookmarkEnd w:id="480"/>
      <w:bookmarkEnd w:id="481"/>
      <w:bookmarkEnd w:id="482"/>
      <w:bookmarkEnd w:id="483"/>
      <w:r w:rsidRPr="00831BD5">
        <w:rPr>
          <w:lang w:val="en-US"/>
        </w:rPr>
        <w:t> </w:t>
      </w:r>
    </w:p>
    <w:p w14:paraId="18631EC2" w14:textId="77777777" w:rsidR="00831BD5" w:rsidRPr="00831BD5" w:rsidRDefault="00831BD5" w:rsidP="00686269">
      <w:pPr>
        <w:numPr>
          <w:ilvl w:val="0"/>
          <w:numId w:val="28"/>
        </w:numPr>
        <w:tabs>
          <w:tab w:val="left" w:pos="284"/>
        </w:tabs>
        <w:suppressAutoHyphens w:val="0"/>
        <w:spacing w:before="0"/>
        <w:ind w:left="709" w:hanging="283"/>
        <w:rPr>
          <w:rFonts w:eastAsia="Times New Roman" w:cs="Times New Roman"/>
          <w:sz w:val="21"/>
          <w:szCs w:val="21"/>
        </w:rPr>
      </w:pPr>
      <w:r w:rsidRPr="00831BD5">
        <w:rPr>
          <w:rFonts w:eastAsia="Times New Roman" w:cs="Times New Roman"/>
          <w:sz w:val="21"/>
          <w:szCs w:val="21"/>
        </w:rPr>
        <w:t>Domestic and global economy remains stable and predictable with investors able to commit to long term projects/investments </w:t>
      </w:r>
    </w:p>
    <w:p w14:paraId="2D9FB745" w14:textId="77777777" w:rsidR="00831BD5" w:rsidRPr="00831BD5" w:rsidRDefault="00831BD5" w:rsidP="00686269">
      <w:pPr>
        <w:numPr>
          <w:ilvl w:val="0"/>
          <w:numId w:val="28"/>
        </w:numPr>
        <w:tabs>
          <w:tab w:val="left" w:pos="284"/>
        </w:tabs>
        <w:suppressAutoHyphens w:val="0"/>
        <w:spacing w:before="0"/>
        <w:ind w:left="709" w:hanging="283"/>
        <w:rPr>
          <w:rFonts w:eastAsia="Times New Roman" w:cs="Times New Roman"/>
          <w:sz w:val="21"/>
          <w:szCs w:val="21"/>
        </w:rPr>
      </w:pPr>
      <w:r w:rsidRPr="00831BD5">
        <w:rPr>
          <w:rFonts w:eastAsia="Times New Roman" w:cs="Times New Roman"/>
          <w:sz w:val="21"/>
          <w:szCs w:val="21"/>
        </w:rPr>
        <w:t>Sufficient leadership and momentum for mobilising gender transformation, and social change in gender and other issues is progressive and measured, without dispute or causing backlash from vested interests and halting/regressive progress </w:t>
      </w:r>
    </w:p>
    <w:p w14:paraId="63468DC8" w14:textId="77777777" w:rsidR="00831BD5" w:rsidRPr="00831BD5" w:rsidRDefault="00831BD5" w:rsidP="00686269">
      <w:pPr>
        <w:numPr>
          <w:ilvl w:val="0"/>
          <w:numId w:val="28"/>
        </w:numPr>
        <w:tabs>
          <w:tab w:val="left" w:pos="284"/>
        </w:tabs>
        <w:suppressAutoHyphens w:val="0"/>
        <w:spacing w:before="0"/>
        <w:ind w:left="709" w:hanging="283"/>
        <w:rPr>
          <w:rFonts w:eastAsia="Times New Roman" w:cs="Times New Roman"/>
          <w:sz w:val="21"/>
          <w:szCs w:val="21"/>
        </w:rPr>
      </w:pPr>
      <w:r w:rsidRPr="00831BD5">
        <w:rPr>
          <w:rFonts w:eastAsia="Times New Roman" w:cs="Times New Roman"/>
          <w:sz w:val="21"/>
          <w:szCs w:val="21"/>
        </w:rPr>
        <w:t xml:space="preserve">Technology base and human capacity to utilise is available in Indonesia, and rapid increased use of AI and technology results in changes to labour market or gaps/failures in performance of government agencies (though </w:t>
      </w:r>
      <w:proofErr w:type="spellStart"/>
      <w:r w:rsidRPr="00831BD5">
        <w:rPr>
          <w:rFonts w:eastAsia="Times New Roman" w:cs="Times New Roman"/>
          <w:sz w:val="21"/>
          <w:szCs w:val="21"/>
        </w:rPr>
        <w:t>eg</w:t>
      </w:r>
      <w:proofErr w:type="spellEnd"/>
      <w:r w:rsidRPr="00831BD5">
        <w:rPr>
          <w:rFonts w:eastAsia="Times New Roman" w:cs="Times New Roman"/>
          <w:sz w:val="21"/>
          <w:szCs w:val="21"/>
        </w:rPr>
        <w:t xml:space="preserve"> data breaches, system failure) </w:t>
      </w:r>
    </w:p>
    <w:p w14:paraId="24BA28F2" w14:textId="77777777" w:rsidR="00831BD5" w:rsidRPr="00831BD5" w:rsidRDefault="00831BD5" w:rsidP="00686269">
      <w:pPr>
        <w:numPr>
          <w:ilvl w:val="0"/>
          <w:numId w:val="28"/>
        </w:numPr>
        <w:tabs>
          <w:tab w:val="left" w:pos="284"/>
        </w:tabs>
        <w:suppressAutoHyphens w:val="0"/>
        <w:spacing w:before="0"/>
        <w:ind w:left="709" w:hanging="283"/>
        <w:rPr>
          <w:rFonts w:eastAsia="Times New Roman" w:cs="Times New Roman"/>
          <w:sz w:val="21"/>
          <w:szCs w:val="21"/>
        </w:rPr>
      </w:pPr>
      <w:r w:rsidRPr="00831BD5">
        <w:rPr>
          <w:rFonts w:eastAsia="Times New Roman" w:cs="Times New Roman"/>
          <w:sz w:val="21"/>
          <w:szCs w:val="21"/>
        </w:rPr>
        <w:t>International markets for carbon and climate financing slower than anticipated or break down through failure of international agreements </w:t>
      </w:r>
    </w:p>
    <w:p w14:paraId="7F72C75C" w14:textId="77777777" w:rsidR="00E96483" w:rsidRPr="00DA2B0F" w:rsidRDefault="00831BD5" w:rsidP="00686269">
      <w:pPr>
        <w:numPr>
          <w:ilvl w:val="0"/>
          <w:numId w:val="28"/>
        </w:numPr>
        <w:tabs>
          <w:tab w:val="left" w:pos="284"/>
        </w:tabs>
        <w:suppressAutoHyphens w:val="0"/>
        <w:spacing w:before="0"/>
        <w:ind w:left="709" w:hanging="283"/>
        <w:rPr>
          <w:rFonts w:eastAsia="Times New Roman" w:cs="Times New Roman"/>
          <w:sz w:val="21"/>
          <w:szCs w:val="21"/>
        </w:rPr>
      </w:pPr>
      <w:r w:rsidRPr="00831BD5">
        <w:rPr>
          <w:rFonts w:eastAsia="Times New Roman" w:cs="Times New Roman"/>
          <w:sz w:val="21"/>
          <w:szCs w:val="21"/>
        </w:rPr>
        <w:t>Alternative forms of financing are being developed and made available, and transition to non-ODA partnerships and financing slow or has gaps due to governance and political lags</w:t>
      </w:r>
      <w:r w:rsidRPr="00831BD5">
        <w:rPr>
          <w:rFonts w:eastAsia="Times New Roman" w:cs="Times New Roman"/>
          <w:sz w:val="21"/>
          <w:szCs w:val="21"/>
          <w:lang w:val="en-US"/>
        </w:rPr>
        <w:t> </w:t>
      </w:r>
    </w:p>
    <w:p w14:paraId="7AEDFC3F" w14:textId="77777777" w:rsidR="00ED5396" w:rsidRDefault="00ED5396">
      <w:pPr>
        <w:suppressAutoHyphens w:val="0"/>
        <w:spacing w:before="0" w:after="120" w:line="440" w:lineRule="atLeast"/>
        <w:rPr>
          <w:b/>
          <w:bCs/>
          <w:sz w:val="24"/>
          <w:szCs w:val="24"/>
        </w:rPr>
      </w:pPr>
      <w:r>
        <w:rPr>
          <w:b/>
          <w:bCs/>
          <w:sz w:val="24"/>
          <w:szCs w:val="24"/>
        </w:rPr>
        <w:br w:type="page"/>
      </w:r>
    </w:p>
    <w:p w14:paraId="6445625F" w14:textId="3EEE642E" w:rsidR="00B92CF2" w:rsidRDefault="00B92CF2">
      <w:pPr>
        <w:suppressAutoHyphens w:val="0"/>
        <w:spacing w:before="0" w:after="120" w:line="440" w:lineRule="atLeast"/>
        <w:rPr>
          <w:b/>
          <w:bCs/>
          <w:sz w:val="24"/>
          <w:szCs w:val="24"/>
        </w:rPr>
        <w:sectPr w:rsidR="00B92CF2" w:rsidSect="00B92CF2">
          <w:headerReference w:type="default" r:id="rId16"/>
          <w:footerReference w:type="default" r:id="rId17"/>
          <w:headerReference w:type="first" r:id="rId18"/>
          <w:footerReference w:type="first" r:id="rId19"/>
          <w:pgSz w:w="11906" w:h="16838" w:code="9"/>
          <w:pgMar w:top="1418" w:right="1134" w:bottom="1361" w:left="1134" w:header="425" w:footer="493" w:gutter="0"/>
          <w:cols w:space="397"/>
          <w:titlePg/>
          <w:docGrid w:linePitch="360"/>
        </w:sectPr>
      </w:pPr>
    </w:p>
    <w:p w14:paraId="57BBC0BF" w14:textId="01F1AAE8" w:rsidR="00F051FC" w:rsidRPr="00F051FC" w:rsidRDefault="00F051FC" w:rsidP="00F051FC">
      <w:pPr>
        <w:rPr>
          <w:b/>
          <w:bCs/>
          <w:sz w:val="28"/>
          <w:szCs w:val="28"/>
        </w:rPr>
      </w:pPr>
      <w:r w:rsidRPr="00F051FC">
        <w:rPr>
          <w:b/>
          <w:bCs/>
          <w:sz w:val="28"/>
          <w:szCs w:val="28"/>
        </w:rPr>
        <w:lastRenderedPageBreak/>
        <w:t>Australia–Indonesia Climate</w:t>
      </w:r>
      <w:r w:rsidR="00664708">
        <w:rPr>
          <w:b/>
          <w:bCs/>
          <w:sz w:val="28"/>
          <w:szCs w:val="28"/>
        </w:rPr>
        <w:t xml:space="preserve"> and Sustainable</w:t>
      </w:r>
      <w:r w:rsidRPr="00F051FC">
        <w:rPr>
          <w:b/>
          <w:bCs/>
          <w:sz w:val="28"/>
          <w:szCs w:val="28"/>
        </w:rPr>
        <w:t xml:space="preserve"> Infrastructure Partnership (KINETIK)</w:t>
      </w:r>
    </w:p>
    <w:p w14:paraId="6359D44E" w14:textId="6A6D49DA" w:rsidR="00F051FC" w:rsidRPr="00F051FC" w:rsidRDefault="00F051FC" w:rsidP="00F051FC">
      <w:pPr>
        <w:rPr>
          <w:b/>
          <w:bCs/>
        </w:rPr>
      </w:pPr>
      <w:r w:rsidRPr="00F051FC">
        <w:rPr>
          <w:b/>
          <w:bCs/>
        </w:rPr>
        <w:t xml:space="preserve">Program Logic </w:t>
      </w:r>
    </w:p>
    <w:p w14:paraId="0832A375" w14:textId="77777777" w:rsidR="00F051FC" w:rsidRPr="00F051FC" w:rsidRDefault="00F051FC" w:rsidP="00F051FC">
      <w:r w:rsidRPr="00F051FC">
        <w:t>1. Development Goal of the program</w:t>
      </w:r>
    </w:p>
    <w:p w14:paraId="632DE027" w14:textId="7DB71F89" w:rsidR="00F051FC" w:rsidRPr="00F051FC" w:rsidRDefault="00F051FC" w:rsidP="00F051FC">
      <w:r w:rsidRPr="00F051FC">
        <w:t>To support Indonesia’s use of infrastructure and climate-resilient development as a driver for inclusive green economic growth that responds to the challenges and opportunities of climate change, with high quality finance that optimises use of fiscal capacity and private sector involvement.</w:t>
      </w:r>
    </w:p>
    <w:p w14:paraId="71FD2410" w14:textId="77777777" w:rsidR="00F051FC" w:rsidRPr="00F051FC" w:rsidRDefault="00F051FC" w:rsidP="00F051FC">
      <w:r w:rsidRPr="00F051FC">
        <w:t>2. Strategic Objective of the program</w:t>
      </w:r>
    </w:p>
    <w:p w14:paraId="759ADA2A" w14:textId="7541C7D2" w:rsidR="00F051FC" w:rsidRPr="00F051FC" w:rsidRDefault="00F051FC" w:rsidP="00F051FC">
      <w:r w:rsidRPr="00F051FC">
        <w:t>To strengthen the economic partnership for inclusive green growth, including through boosting trade, investment opportunities with Australia and others, and expanding cooperation on climate change.</w:t>
      </w:r>
    </w:p>
    <w:p w14:paraId="50B08660" w14:textId="77777777" w:rsidR="00F051FC" w:rsidRPr="00F051FC" w:rsidRDefault="00F051FC" w:rsidP="00F051FC">
      <w:r w:rsidRPr="00F051FC">
        <w:t>3. Program-wide Activities</w:t>
      </w:r>
    </w:p>
    <w:p w14:paraId="1F1FFA4D" w14:textId="3A7CFB1C" w:rsidR="00F051FC" w:rsidRPr="00F051FC" w:rsidRDefault="00F051FC" w:rsidP="00686269">
      <w:pPr>
        <w:pStyle w:val="ListParagraph"/>
        <w:numPr>
          <w:ilvl w:val="0"/>
          <w:numId w:val="89"/>
        </w:numPr>
      </w:pPr>
      <w:r w:rsidRPr="00F051FC">
        <w:t>A common Partnership-wide approach to Activity and Project selection and prioritisation, with clear links to program objectives and outcomes.</w:t>
      </w:r>
    </w:p>
    <w:p w14:paraId="28D22541" w14:textId="0B03E9AC" w:rsidR="00F051FC" w:rsidRPr="00F051FC" w:rsidRDefault="00F051FC" w:rsidP="00686269">
      <w:pPr>
        <w:pStyle w:val="ListParagraph"/>
        <w:numPr>
          <w:ilvl w:val="0"/>
          <w:numId w:val="89"/>
        </w:numPr>
      </w:pPr>
      <w:r w:rsidRPr="00F051FC">
        <w:t>Convening of partners to work together on shared technical capability development and policy reform priorities.</w:t>
      </w:r>
    </w:p>
    <w:p w14:paraId="20EBFAD1" w14:textId="0A3AFB1A" w:rsidR="00F051FC" w:rsidRPr="00F051FC" w:rsidRDefault="00F051FC" w:rsidP="00686269">
      <w:pPr>
        <w:pStyle w:val="ListParagraph"/>
        <w:numPr>
          <w:ilvl w:val="0"/>
          <w:numId w:val="89"/>
        </w:numPr>
      </w:pPr>
      <w:r w:rsidRPr="00F051FC">
        <w:t>Support for Government of Indonesia (GOI) to develop and implement climate-resilient infrastructure and financing strategies.</w:t>
      </w:r>
    </w:p>
    <w:p w14:paraId="1801F35A" w14:textId="197159CD" w:rsidR="00F051FC" w:rsidRPr="00F051FC" w:rsidRDefault="00F051FC" w:rsidP="00686269">
      <w:pPr>
        <w:pStyle w:val="ListParagraph"/>
        <w:numPr>
          <w:ilvl w:val="0"/>
          <w:numId w:val="89"/>
        </w:numPr>
      </w:pPr>
      <w:r w:rsidRPr="00F051FC">
        <w:t>Support for private sector engagement and investment in climate-resilient infrastructure.</w:t>
      </w:r>
    </w:p>
    <w:p w14:paraId="1DE18BDB" w14:textId="234FCAA9" w:rsidR="00F051FC" w:rsidRPr="00F051FC" w:rsidRDefault="00F051FC" w:rsidP="00686269">
      <w:pPr>
        <w:pStyle w:val="ListParagraph"/>
        <w:numPr>
          <w:ilvl w:val="0"/>
          <w:numId w:val="89"/>
        </w:numPr>
      </w:pPr>
      <w:r w:rsidRPr="00F051FC">
        <w:t>Support for knowledge sharing and capacity building across Indonesian and Australian stakeholders.</w:t>
      </w:r>
    </w:p>
    <w:p w14:paraId="6A94C43E" w14:textId="26818DE4" w:rsidR="00F051FC" w:rsidRPr="00F051FC" w:rsidRDefault="00F051FC" w:rsidP="00686269">
      <w:pPr>
        <w:pStyle w:val="ListParagraph"/>
        <w:numPr>
          <w:ilvl w:val="0"/>
          <w:numId w:val="89"/>
        </w:numPr>
      </w:pPr>
      <w:r w:rsidRPr="00F051FC">
        <w:t>Support for monitoring, evaluation and learning (MEL) to inform adaptive management and continuous improvement.</w:t>
      </w:r>
    </w:p>
    <w:p w14:paraId="6839677F" w14:textId="77777777" w:rsidR="00F051FC" w:rsidRPr="00F051FC" w:rsidRDefault="00F051FC" w:rsidP="00F051FC">
      <w:r w:rsidRPr="00F051FC">
        <w:t>4. Program level Outputs</w:t>
      </w:r>
    </w:p>
    <w:p w14:paraId="7D445F54" w14:textId="51DEB62D" w:rsidR="00F051FC" w:rsidRPr="00F051FC" w:rsidRDefault="00F051FC" w:rsidP="00686269">
      <w:pPr>
        <w:pStyle w:val="ListParagraph"/>
        <w:numPr>
          <w:ilvl w:val="0"/>
          <w:numId w:val="90"/>
        </w:numPr>
      </w:pPr>
      <w:r w:rsidRPr="00F051FC">
        <w:t>GOI measures introduced including Law and regulations, standards, guidelines and tools to support climate-resilient infrastructure and financing.</w:t>
      </w:r>
    </w:p>
    <w:p w14:paraId="430A24CF" w14:textId="15BADCC6" w:rsidR="00F051FC" w:rsidRPr="00F051FC" w:rsidRDefault="00F051FC" w:rsidP="00686269">
      <w:pPr>
        <w:pStyle w:val="ListParagraph"/>
        <w:numPr>
          <w:ilvl w:val="0"/>
          <w:numId w:val="90"/>
        </w:numPr>
      </w:pPr>
      <w:r w:rsidRPr="00F051FC">
        <w:t>Increased technical capacity and skills of GOI officials and other stakeholders to design and implement climate-resilient infrastructure and financing.</w:t>
      </w:r>
    </w:p>
    <w:p w14:paraId="7732E672" w14:textId="6C1E846A" w:rsidR="00F051FC" w:rsidRPr="00F051FC" w:rsidRDefault="00F051FC" w:rsidP="00686269">
      <w:pPr>
        <w:pStyle w:val="ListParagraph"/>
        <w:numPr>
          <w:ilvl w:val="0"/>
          <w:numId w:val="90"/>
        </w:numPr>
      </w:pPr>
      <w:r w:rsidRPr="00F051FC">
        <w:t>Increased engagement between GOI and private sector to support climate-resilient infrastructure investment.</w:t>
      </w:r>
    </w:p>
    <w:p w14:paraId="76BFAE07" w14:textId="68C1A540" w:rsidR="00F051FC" w:rsidRPr="00F051FC" w:rsidRDefault="00F051FC" w:rsidP="00686269">
      <w:pPr>
        <w:pStyle w:val="ListParagraph"/>
        <w:numPr>
          <w:ilvl w:val="0"/>
          <w:numId w:val="90"/>
        </w:numPr>
      </w:pPr>
      <w:r w:rsidRPr="00F051FC">
        <w:t>Increased availability of data, analysis and evidence to inform climate-resilient infrastructure and financing decisions.</w:t>
      </w:r>
    </w:p>
    <w:p w14:paraId="3284443F" w14:textId="1A102BBF" w:rsidR="00F051FC" w:rsidRPr="00F051FC" w:rsidRDefault="00F051FC" w:rsidP="00686269">
      <w:pPr>
        <w:pStyle w:val="ListParagraph"/>
        <w:numPr>
          <w:ilvl w:val="0"/>
          <w:numId w:val="90"/>
        </w:numPr>
      </w:pPr>
      <w:r w:rsidRPr="00F051FC">
        <w:t>Strengthened institutional arrangements and coordination mechanisms to support climate-resilient infrastructure and financing.</w:t>
      </w:r>
    </w:p>
    <w:p w14:paraId="173AE88D" w14:textId="1A8369F3" w:rsidR="00F051FC" w:rsidRPr="00F051FC" w:rsidRDefault="00F051FC" w:rsidP="00686269">
      <w:pPr>
        <w:pStyle w:val="ListParagraph"/>
        <w:numPr>
          <w:ilvl w:val="0"/>
          <w:numId w:val="90"/>
        </w:numPr>
      </w:pPr>
      <w:r w:rsidRPr="00F051FC">
        <w:t>Intermediate Outcomes</w:t>
      </w:r>
    </w:p>
    <w:p w14:paraId="49F81D86" w14:textId="372586B6" w:rsidR="00F051FC" w:rsidRPr="00F051FC" w:rsidRDefault="00F051FC" w:rsidP="00686269">
      <w:pPr>
        <w:pStyle w:val="ListParagraph"/>
        <w:numPr>
          <w:ilvl w:val="0"/>
          <w:numId w:val="90"/>
        </w:numPr>
      </w:pPr>
      <w:r w:rsidRPr="00F051FC">
        <w:t xml:space="preserve">Indonesia’s policy and regulatory environment </w:t>
      </w:r>
      <w:proofErr w:type="gramStart"/>
      <w:r w:rsidRPr="00F051FC">
        <w:t>supports</w:t>
      </w:r>
      <w:proofErr w:type="gramEnd"/>
      <w:r w:rsidRPr="00F051FC">
        <w:t xml:space="preserve"> development and implementation of climate-resilient infrastructure and financing.</w:t>
      </w:r>
    </w:p>
    <w:p w14:paraId="4E916F47" w14:textId="32B64DE0" w:rsidR="00F051FC" w:rsidRPr="00F051FC" w:rsidRDefault="00F051FC" w:rsidP="00686269">
      <w:pPr>
        <w:pStyle w:val="ListParagraph"/>
        <w:numPr>
          <w:ilvl w:val="0"/>
          <w:numId w:val="90"/>
        </w:numPr>
      </w:pPr>
      <w:r w:rsidRPr="00F051FC">
        <w:t>Stakeholder organisations incorporate transformative gender and social inclusion practices in infrastructure planning, design and delivery.</w:t>
      </w:r>
    </w:p>
    <w:p w14:paraId="3C66C937" w14:textId="4C0309E4" w:rsidR="00F051FC" w:rsidRPr="00F051FC" w:rsidRDefault="00F051FC" w:rsidP="00686269">
      <w:pPr>
        <w:pStyle w:val="ListParagraph"/>
        <w:numPr>
          <w:ilvl w:val="0"/>
          <w:numId w:val="90"/>
        </w:numPr>
      </w:pPr>
      <w:r w:rsidRPr="00F051FC">
        <w:t>Increased engagement of private sector and financial institutions in climate-resilient infrastructure and financing.</w:t>
      </w:r>
    </w:p>
    <w:p w14:paraId="4E421553" w14:textId="4981A4E5" w:rsidR="00F051FC" w:rsidRPr="00F051FC" w:rsidRDefault="00F051FC" w:rsidP="00686269">
      <w:pPr>
        <w:pStyle w:val="ListParagraph"/>
        <w:numPr>
          <w:ilvl w:val="0"/>
          <w:numId w:val="90"/>
        </w:numPr>
      </w:pPr>
      <w:r w:rsidRPr="00F051FC">
        <w:t>Increased capacity of GOI and other stakeholders to design and implement climate-resilient infrastructure and financing.</w:t>
      </w:r>
    </w:p>
    <w:p w14:paraId="583902E4" w14:textId="6EA29462" w:rsidR="00F051FC" w:rsidRPr="00F051FC" w:rsidRDefault="00F051FC" w:rsidP="00686269">
      <w:pPr>
        <w:pStyle w:val="ListParagraph"/>
        <w:numPr>
          <w:ilvl w:val="0"/>
          <w:numId w:val="90"/>
        </w:numPr>
      </w:pPr>
      <w:r w:rsidRPr="00F051FC">
        <w:t>Strengthened institutional arrangements and coordination mechanisms to support climate-resilient infrastructure and financing.</w:t>
      </w:r>
    </w:p>
    <w:p w14:paraId="5342876D" w14:textId="6B4DB276" w:rsidR="00541F6E" w:rsidRDefault="00F051FC" w:rsidP="00686269">
      <w:pPr>
        <w:pStyle w:val="ListParagraph"/>
        <w:numPr>
          <w:ilvl w:val="0"/>
          <w:numId w:val="90"/>
        </w:numPr>
      </w:pPr>
      <w:r w:rsidRPr="00F051FC">
        <w:t>Increased availability and use of data, analysis and evidence to inform climate-resilient infrastructure and financing decisions.</w:t>
      </w:r>
    </w:p>
    <w:p w14:paraId="1EC44CC9" w14:textId="77777777" w:rsidR="00541F6E" w:rsidRDefault="00541F6E">
      <w:pPr>
        <w:suppressAutoHyphens w:val="0"/>
        <w:spacing w:before="0" w:after="120" w:line="440" w:lineRule="atLeast"/>
      </w:pPr>
      <w:r>
        <w:br w:type="page"/>
      </w:r>
    </w:p>
    <w:p w14:paraId="7FAEADC7" w14:textId="77777777" w:rsidR="00F051FC" w:rsidRPr="00F051FC" w:rsidRDefault="00F051FC" w:rsidP="00541F6E">
      <w:pPr>
        <w:ind w:left="360"/>
      </w:pPr>
    </w:p>
    <w:p w14:paraId="3A52333F" w14:textId="77777777" w:rsidR="00F051FC" w:rsidRPr="00F051FC" w:rsidRDefault="00F051FC" w:rsidP="00F051FC">
      <w:r w:rsidRPr="00F051FC">
        <w:t>5. End of Program Outcomes</w:t>
      </w:r>
    </w:p>
    <w:p w14:paraId="7E84B8C5" w14:textId="3B14FC8E" w:rsidR="00F051FC" w:rsidRPr="00F051FC" w:rsidRDefault="00F051FC" w:rsidP="00686269">
      <w:pPr>
        <w:pStyle w:val="ListParagraph"/>
        <w:numPr>
          <w:ilvl w:val="0"/>
          <w:numId w:val="91"/>
        </w:numPr>
      </w:pPr>
      <w:r w:rsidRPr="00F051FC">
        <w:t>Less impacts from climate change, private and public investment in climate-resilient infrastructure and mitigation actions increases.</w:t>
      </w:r>
    </w:p>
    <w:p w14:paraId="44B1694F" w14:textId="43EF4C66" w:rsidR="00F051FC" w:rsidRPr="00F051FC" w:rsidRDefault="00F051FC" w:rsidP="00686269">
      <w:pPr>
        <w:pStyle w:val="ListParagraph"/>
        <w:numPr>
          <w:ilvl w:val="0"/>
          <w:numId w:val="91"/>
        </w:numPr>
      </w:pPr>
      <w:r w:rsidRPr="00F051FC">
        <w:t>New, diverse, innovative and high-quality infrastructure projects are delivered that respond to climate change challenges and opportunities.</w:t>
      </w:r>
    </w:p>
    <w:p w14:paraId="3C8D5183" w14:textId="77777777" w:rsidR="00900BC4" w:rsidRPr="00900BC4" w:rsidRDefault="00F051FC" w:rsidP="00686269">
      <w:pPr>
        <w:pStyle w:val="ListParagraph"/>
        <w:numPr>
          <w:ilvl w:val="0"/>
          <w:numId w:val="91"/>
        </w:numPr>
        <w:rPr>
          <w:b/>
          <w:bCs/>
          <w:sz w:val="24"/>
          <w:szCs w:val="24"/>
        </w:rPr>
      </w:pPr>
      <w:r w:rsidRPr="00F051FC">
        <w:t xml:space="preserve">The Government of Indonesia demonstrates leadership in climate-resilient infrastructure and financing, including through inclusive approaches that benefit women, people with disabilities and marginalised groups. </w:t>
      </w:r>
    </w:p>
    <w:p w14:paraId="6A830321" w14:textId="7C276F5A" w:rsidR="00900BC4" w:rsidRPr="00900BC4" w:rsidRDefault="00900BC4" w:rsidP="00900BC4"/>
    <w:p w14:paraId="3F1BEA05" w14:textId="5EE49B0D" w:rsidR="00900BC4" w:rsidRPr="00900BC4" w:rsidRDefault="00900BC4" w:rsidP="00686269">
      <w:pPr>
        <w:pStyle w:val="Bullet2"/>
        <w:numPr>
          <w:ilvl w:val="1"/>
          <w:numId w:val="72"/>
        </w:numPr>
      </w:pPr>
      <w:r w:rsidRPr="00900BC4">
        <w:t>Focus sectors (KINETIK partners)</w:t>
      </w:r>
    </w:p>
    <w:p w14:paraId="2CEDA446" w14:textId="77777777" w:rsidR="00900BC4" w:rsidRPr="00900BC4" w:rsidRDefault="00900BC4" w:rsidP="00686269">
      <w:pPr>
        <w:pStyle w:val="ListParagraph"/>
        <w:numPr>
          <w:ilvl w:val="0"/>
          <w:numId w:val="92"/>
        </w:numPr>
      </w:pPr>
      <w:r w:rsidRPr="00900BC4">
        <w:t>BAPPENAS, Ministry of Finance and relevant line ministries</w:t>
      </w:r>
    </w:p>
    <w:p w14:paraId="33C3DED5" w14:textId="77777777" w:rsidR="00900BC4" w:rsidRPr="00900BC4" w:rsidRDefault="00900BC4" w:rsidP="00686269">
      <w:pPr>
        <w:pStyle w:val="ListParagraph"/>
        <w:numPr>
          <w:ilvl w:val="0"/>
          <w:numId w:val="92"/>
        </w:numPr>
      </w:pPr>
      <w:r w:rsidRPr="00900BC4">
        <w:t>Private sector and financial institutions</w:t>
      </w:r>
    </w:p>
    <w:p w14:paraId="7C485D34" w14:textId="77777777" w:rsidR="00900BC4" w:rsidRPr="00900BC4" w:rsidRDefault="00900BC4" w:rsidP="00686269">
      <w:pPr>
        <w:pStyle w:val="ListParagraph"/>
        <w:numPr>
          <w:ilvl w:val="0"/>
          <w:numId w:val="92"/>
        </w:numPr>
      </w:pPr>
      <w:r w:rsidRPr="00900BC4">
        <w:t>Development partners</w:t>
      </w:r>
    </w:p>
    <w:p w14:paraId="7F2C8D32" w14:textId="5E7CFDF4" w:rsidR="00900BC4" w:rsidRPr="00900BC4" w:rsidRDefault="00900BC4" w:rsidP="00900BC4"/>
    <w:p w14:paraId="6B31BA5C" w14:textId="79173DAB" w:rsidR="00900BC4" w:rsidRPr="00900BC4" w:rsidRDefault="00900BC4" w:rsidP="00686269">
      <w:pPr>
        <w:pStyle w:val="Bullet2"/>
        <w:numPr>
          <w:ilvl w:val="1"/>
          <w:numId w:val="72"/>
        </w:numPr>
      </w:pPr>
      <w:r w:rsidRPr="00900BC4">
        <w:t>Process outputs</w:t>
      </w:r>
    </w:p>
    <w:p w14:paraId="6DC75DB8" w14:textId="77777777" w:rsidR="00900BC4" w:rsidRPr="00900BC4" w:rsidRDefault="00900BC4" w:rsidP="00686269">
      <w:pPr>
        <w:pStyle w:val="ListParagraph"/>
        <w:numPr>
          <w:ilvl w:val="0"/>
          <w:numId w:val="93"/>
        </w:numPr>
      </w:pPr>
      <w:r w:rsidRPr="00900BC4">
        <w:t>Close coordination and alignment with Government of Indonesia priorities and processes</w:t>
      </w:r>
    </w:p>
    <w:p w14:paraId="14635741" w14:textId="77777777" w:rsidR="00900BC4" w:rsidRPr="00900BC4" w:rsidRDefault="00900BC4" w:rsidP="00686269">
      <w:pPr>
        <w:pStyle w:val="ListParagraph"/>
        <w:numPr>
          <w:ilvl w:val="0"/>
          <w:numId w:val="93"/>
        </w:numPr>
      </w:pPr>
      <w:r w:rsidRPr="00900BC4">
        <w:t>Evidence-based policy and program design</w:t>
      </w:r>
    </w:p>
    <w:p w14:paraId="42171262" w14:textId="77777777" w:rsidR="00900BC4" w:rsidRPr="00900BC4" w:rsidRDefault="00900BC4" w:rsidP="00686269">
      <w:pPr>
        <w:pStyle w:val="ListParagraph"/>
        <w:numPr>
          <w:ilvl w:val="0"/>
          <w:numId w:val="93"/>
        </w:numPr>
      </w:pPr>
      <w:r w:rsidRPr="00900BC4">
        <w:t>Strengthened institutional capacity</w:t>
      </w:r>
    </w:p>
    <w:p w14:paraId="0A29152B" w14:textId="77777777" w:rsidR="00900BC4" w:rsidRPr="00900BC4" w:rsidRDefault="00900BC4" w:rsidP="00686269">
      <w:pPr>
        <w:pStyle w:val="ListParagraph"/>
        <w:numPr>
          <w:ilvl w:val="0"/>
          <w:numId w:val="93"/>
        </w:numPr>
      </w:pPr>
      <w:r w:rsidRPr="00900BC4">
        <w:t>Whole-of-Government approach across sectors: Public Works, Environment, Energy, Finance, Planning</w:t>
      </w:r>
    </w:p>
    <w:p w14:paraId="651DC4BF" w14:textId="6CA058D6" w:rsidR="00900BC4" w:rsidRPr="00900BC4" w:rsidRDefault="00900BC4" w:rsidP="00900BC4"/>
    <w:p w14:paraId="4211C115" w14:textId="71448301" w:rsidR="00900BC4" w:rsidRPr="00900BC4" w:rsidRDefault="00900BC4" w:rsidP="00686269">
      <w:pPr>
        <w:pStyle w:val="Bullet2"/>
        <w:numPr>
          <w:ilvl w:val="1"/>
          <w:numId w:val="72"/>
        </w:numPr>
      </w:pPr>
      <w:r w:rsidRPr="00900BC4">
        <w:t>Contribution to KINETIK outcomes</w:t>
      </w:r>
    </w:p>
    <w:p w14:paraId="3E291979" w14:textId="77777777" w:rsidR="00900BC4" w:rsidRPr="00900BC4" w:rsidRDefault="00900BC4" w:rsidP="00686269">
      <w:pPr>
        <w:pStyle w:val="ListParagraph"/>
        <w:numPr>
          <w:ilvl w:val="0"/>
          <w:numId w:val="94"/>
        </w:numPr>
      </w:pPr>
      <w:r w:rsidRPr="00900BC4">
        <w:t>Increased influence over policy, norms, and standards across pillars of sustainability through government processes, including planning and budgeting</w:t>
      </w:r>
    </w:p>
    <w:p w14:paraId="49C2FE70" w14:textId="77777777" w:rsidR="00900BC4" w:rsidRPr="00900BC4" w:rsidRDefault="00900BC4" w:rsidP="00686269">
      <w:pPr>
        <w:pStyle w:val="ListParagraph"/>
        <w:numPr>
          <w:ilvl w:val="0"/>
          <w:numId w:val="94"/>
        </w:numPr>
      </w:pPr>
      <w:r w:rsidRPr="00900BC4">
        <w:t>Improved joint, evidence-based approaches to climate-resilient infrastructure and financing</w:t>
      </w:r>
    </w:p>
    <w:p w14:paraId="58A7F377" w14:textId="77777777" w:rsidR="00900BC4" w:rsidRPr="00900BC4" w:rsidRDefault="00900BC4" w:rsidP="00686269">
      <w:pPr>
        <w:pStyle w:val="ListParagraph"/>
        <w:numPr>
          <w:ilvl w:val="0"/>
          <w:numId w:val="94"/>
        </w:numPr>
      </w:pPr>
      <w:r w:rsidRPr="00900BC4">
        <w:t>Strengthened capacity for inclusive and sustainable economic growth through improved service delivery, better economic, including fiscal, management, and private sector engagement</w:t>
      </w:r>
    </w:p>
    <w:p w14:paraId="3E3401D5" w14:textId="04708B65" w:rsidR="00900BC4" w:rsidRDefault="00900BC4" w:rsidP="00900BC4">
      <w:pPr>
        <w:rPr>
          <w:b/>
          <w:bCs/>
          <w:sz w:val="24"/>
          <w:szCs w:val="24"/>
        </w:rPr>
      </w:pPr>
    </w:p>
    <w:p w14:paraId="2B116FC1" w14:textId="5622191D" w:rsidR="00900BC4" w:rsidRDefault="00900BC4" w:rsidP="00900BC4">
      <w:pPr>
        <w:rPr>
          <w:b/>
          <w:bCs/>
          <w:sz w:val="24"/>
          <w:szCs w:val="24"/>
        </w:rPr>
      </w:pPr>
    </w:p>
    <w:p w14:paraId="70D60CFE" w14:textId="77777777" w:rsidR="00900BC4" w:rsidRDefault="00900BC4" w:rsidP="00900BC4">
      <w:pPr>
        <w:rPr>
          <w:b/>
          <w:bCs/>
          <w:sz w:val="24"/>
          <w:szCs w:val="24"/>
        </w:rPr>
      </w:pPr>
    </w:p>
    <w:p w14:paraId="24E8CB35" w14:textId="77777777" w:rsidR="00900BC4" w:rsidRDefault="00900BC4" w:rsidP="00900BC4">
      <w:pPr>
        <w:rPr>
          <w:b/>
          <w:bCs/>
          <w:sz w:val="24"/>
          <w:szCs w:val="24"/>
        </w:rPr>
      </w:pPr>
    </w:p>
    <w:p w14:paraId="743EB9FA" w14:textId="77777777" w:rsidR="00900BC4" w:rsidRPr="00900BC4" w:rsidRDefault="00900BC4" w:rsidP="00900BC4">
      <w:pPr>
        <w:rPr>
          <w:b/>
          <w:bCs/>
          <w:sz w:val="24"/>
          <w:szCs w:val="24"/>
        </w:rPr>
      </w:pPr>
    </w:p>
    <w:p w14:paraId="4EC64603" w14:textId="550FE941" w:rsidR="00E96483" w:rsidRDefault="00E96483" w:rsidP="00FF2BA3">
      <w:pPr>
        <w:pStyle w:val="Heading2"/>
        <w:spacing w:before="0" w:after="0" w:line="280" w:lineRule="exact"/>
        <w:contextualSpacing w:val="0"/>
      </w:pPr>
      <w:bookmarkStart w:id="484" w:name="_Hlk216266260"/>
      <w:bookmarkStart w:id="485" w:name="_Toc216270712"/>
      <w:r w:rsidRPr="003E46C8">
        <w:lastRenderedPageBreak/>
        <w:t xml:space="preserve">Annex </w:t>
      </w:r>
      <w:r w:rsidR="008A5472">
        <w:t>2</w:t>
      </w:r>
      <w:r w:rsidRPr="003E46C8">
        <w:t xml:space="preserve"> – Indicative Services and Capabilities by Delivery Partner</w:t>
      </w:r>
      <w:bookmarkEnd w:id="485"/>
    </w:p>
    <w:p w14:paraId="4BA316D8" w14:textId="77777777" w:rsidR="001E13C6" w:rsidRPr="001E13C6" w:rsidRDefault="001E13C6" w:rsidP="00473BBF">
      <w:pPr>
        <w:spacing w:before="0" w:after="0"/>
      </w:pPr>
    </w:p>
    <w:tbl>
      <w:tblPr>
        <w:tblStyle w:val="TableGrid"/>
        <w:tblW w:w="16161" w:type="dxa"/>
        <w:tblInd w:w="-998" w:type="dxa"/>
        <w:tblLook w:val="04A0" w:firstRow="1" w:lastRow="0" w:firstColumn="1" w:lastColumn="0" w:noHBand="0" w:noVBand="1"/>
        <w:tblCaption w:val=" Indicative Services and Capabilities by Delivery Partner"/>
        <w:tblDescription w:val="This table lists various service functions and the corresponding delivery partners responsible for each function within a program. The columns represent different teams and organizations, such as Primary Contractor, Portfolio Management Team, Technical Services Team, Financial Markets Advisory Lead, NGO Lead, Investable Capital Mechanisms (PIDG/ADI etc.), ADB/WB, GOA APS Agencies, and DFAT Post.&#10;&#10;For each service function, the table provides a detailed description of activities, including:&#10;&#10;1.  Policy, regulatory and advisory services on infrastructure planning, finance and governance&#10;2.  Institutional strengthening and capacity building support&#10;3.  Over the horizon research, policy analysis and advocacy&#10;4.  Project screening and preparation technical services&#10;5.  Multilateral Development Bank (MDB) knowledge-related work and investment projects&#10;6.  Financial market analysis and private sector engagement&#10;7.  Financial and investment services including Fund Management, oversight and reporting&#10;8.  Project transaction advisory technical services (to be pilot tested in Year 1 or 2 for proof of concept before scaling up)&#10;9.  Technical services to support strategic program management and delivery&#10;10. Community engagement and civil society sector strengthening&#10;11. Coordination, collaboration and stakeholder engagement&#10;12. Knowledge management, monitoring and evaluation, and research&#10;13. Gender, disability and social inclusion advisory, training and support services&#10;14. Climate policy and technical services on mitigation, adaptation and resilience (including climate and disaster risk analysis and assessment) and sustainable, green and climate finance&#10;15. Risk management&#10;16. Financial management for program management and grants oversight&#10;17. Procurement, contract and agreement management&#10;18. Government to Government (GOA/others) partnership development and implementation support&#10;19. Communications and public diplomacy&#10;20. Policy dialogue, both formal and informal&#10;21. Program planning, management and operations&#10;&#10;"/>
      </w:tblPr>
      <w:tblGrid>
        <w:gridCol w:w="5104"/>
        <w:gridCol w:w="1418"/>
        <w:gridCol w:w="1407"/>
        <w:gridCol w:w="1372"/>
        <w:gridCol w:w="1372"/>
        <w:gridCol w:w="1372"/>
        <w:gridCol w:w="1372"/>
        <w:gridCol w:w="1372"/>
        <w:gridCol w:w="1372"/>
      </w:tblGrid>
      <w:tr w:rsidR="00DC4F04" w:rsidRPr="00367EEF" w14:paraId="4E467481" w14:textId="77777777" w:rsidTr="00DC4F04">
        <w:trPr>
          <w:trHeight w:val="1130"/>
          <w:tblHeader/>
        </w:trPr>
        <w:tc>
          <w:tcPr>
            <w:tcW w:w="5104" w:type="dxa"/>
          </w:tcPr>
          <w:p w14:paraId="622AF590" w14:textId="77777777" w:rsidR="001E13C6" w:rsidRPr="00367EEF" w:rsidRDefault="001E13C6" w:rsidP="00432D3F">
            <w:pPr>
              <w:spacing w:before="360"/>
              <w:jc w:val="center"/>
              <w:rPr>
                <w:rFonts w:cstheme="minorHAnsi"/>
                <w:b/>
                <w:bCs/>
                <w:i/>
                <w:iCs/>
              </w:rPr>
            </w:pPr>
            <w:r>
              <w:rPr>
                <w:rFonts w:cstheme="minorHAnsi"/>
                <w:b/>
                <w:bCs/>
                <w:i/>
                <w:iCs/>
              </w:rPr>
              <w:t>Services functions</w:t>
            </w:r>
          </w:p>
        </w:tc>
        <w:tc>
          <w:tcPr>
            <w:tcW w:w="1418" w:type="dxa"/>
          </w:tcPr>
          <w:p w14:paraId="251B9092" w14:textId="77777777" w:rsidR="001E13C6" w:rsidRPr="0093023F" w:rsidRDefault="001E13C6" w:rsidP="00432D3F">
            <w:pPr>
              <w:spacing w:before="60" w:after="120" w:line="240" w:lineRule="auto"/>
              <w:rPr>
                <w:rFonts w:cstheme="minorHAnsi"/>
                <w:sz w:val="16"/>
                <w:szCs w:val="16"/>
              </w:rPr>
            </w:pPr>
            <w:r w:rsidRPr="0093023F">
              <w:rPr>
                <w:rFonts w:cstheme="minorHAnsi"/>
                <w:sz w:val="16"/>
                <w:szCs w:val="16"/>
              </w:rPr>
              <w:t>Primary Contractor</w:t>
            </w:r>
          </w:p>
          <w:p w14:paraId="093418BC" w14:textId="77777777" w:rsidR="001E13C6" w:rsidRPr="0093023F" w:rsidRDefault="001E13C6" w:rsidP="004428E5">
            <w:pPr>
              <w:spacing w:before="0" w:line="240" w:lineRule="auto"/>
              <w:rPr>
                <w:rFonts w:cstheme="minorHAnsi"/>
                <w:sz w:val="16"/>
                <w:szCs w:val="16"/>
              </w:rPr>
            </w:pPr>
            <w:r w:rsidRPr="0093023F">
              <w:rPr>
                <w:rFonts w:cstheme="minorHAnsi"/>
                <w:sz w:val="16"/>
                <w:szCs w:val="16"/>
              </w:rPr>
              <w:t xml:space="preserve">(Portfolio Management team) </w:t>
            </w:r>
          </w:p>
        </w:tc>
        <w:tc>
          <w:tcPr>
            <w:tcW w:w="1407" w:type="dxa"/>
          </w:tcPr>
          <w:p w14:paraId="2EA599CC" w14:textId="77777777" w:rsidR="001E13C6" w:rsidRPr="0093023F" w:rsidRDefault="001E13C6" w:rsidP="00432D3F">
            <w:pPr>
              <w:spacing w:before="60" w:after="120" w:line="240" w:lineRule="auto"/>
              <w:rPr>
                <w:rFonts w:cstheme="minorHAnsi"/>
                <w:sz w:val="16"/>
                <w:szCs w:val="16"/>
              </w:rPr>
            </w:pPr>
            <w:r w:rsidRPr="0093023F">
              <w:rPr>
                <w:rFonts w:cstheme="minorHAnsi"/>
                <w:sz w:val="16"/>
                <w:szCs w:val="16"/>
              </w:rPr>
              <w:t xml:space="preserve">Technical Services Team </w:t>
            </w:r>
          </w:p>
          <w:p w14:paraId="730D1061" w14:textId="77777777" w:rsidR="001E13C6" w:rsidRPr="0093023F" w:rsidRDefault="001E13C6" w:rsidP="00432D3F">
            <w:pPr>
              <w:spacing w:before="60" w:after="120" w:line="240" w:lineRule="auto"/>
              <w:rPr>
                <w:rFonts w:cstheme="minorHAnsi"/>
                <w:sz w:val="16"/>
                <w:szCs w:val="16"/>
              </w:rPr>
            </w:pPr>
            <w:r w:rsidRPr="0093023F">
              <w:rPr>
                <w:rFonts w:cstheme="minorHAnsi"/>
                <w:sz w:val="16"/>
                <w:szCs w:val="16"/>
              </w:rPr>
              <w:t>(Primary Contractor)</w:t>
            </w:r>
          </w:p>
        </w:tc>
        <w:tc>
          <w:tcPr>
            <w:tcW w:w="1372" w:type="dxa"/>
            <w:vAlign w:val="center"/>
          </w:tcPr>
          <w:p w14:paraId="573A57F1" w14:textId="77777777" w:rsidR="001E13C6" w:rsidRPr="0093023F" w:rsidRDefault="001E13C6" w:rsidP="004428E5">
            <w:pPr>
              <w:spacing w:before="0" w:after="0" w:line="240" w:lineRule="auto"/>
              <w:jc w:val="center"/>
              <w:rPr>
                <w:rFonts w:cstheme="minorHAnsi"/>
                <w:sz w:val="16"/>
                <w:szCs w:val="16"/>
              </w:rPr>
            </w:pPr>
            <w:r w:rsidRPr="0093023F">
              <w:rPr>
                <w:rFonts w:cstheme="minorHAnsi"/>
                <w:sz w:val="16"/>
                <w:szCs w:val="16"/>
              </w:rPr>
              <w:t>Financial Markets Advisory Lead</w:t>
            </w:r>
          </w:p>
        </w:tc>
        <w:tc>
          <w:tcPr>
            <w:tcW w:w="1372" w:type="dxa"/>
            <w:vAlign w:val="center"/>
          </w:tcPr>
          <w:p w14:paraId="744C9862" w14:textId="77777777" w:rsidR="001E13C6" w:rsidRPr="0093023F" w:rsidRDefault="001E13C6" w:rsidP="004428E5">
            <w:pPr>
              <w:spacing w:before="0" w:after="0" w:line="240" w:lineRule="auto"/>
              <w:jc w:val="center"/>
              <w:rPr>
                <w:rFonts w:cstheme="minorHAnsi"/>
                <w:sz w:val="16"/>
                <w:szCs w:val="16"/>
              </w:rPr>
            </w:pPr>
            <w:r w:rsidRPr="0093023F">
              <w:rPr>
                <w:rFonts w:cstheme="minorHAnsi"/>
                <w:sz w:val="16"/>
                <w:szCs w:val="16"/>
              </w:rPr>
              <w:t xml:space="preserve">NGO </w:t>
            </w:r>
            <w:proofErr w:type="gramStart"/>
            <w:r w:rsidRPr="0093023F">
              <w:rPr>
                <w:rFonts w:cstheme="minorHAnsi"/>
                <w:sz w:val="16"/>
                <w:szCs w:val="16"/>
              </w:rPr>
              <w:t>Lead</w:t>
            </w:r>
            <w:proofErr w:type="gramEnd"/>
          </w:p>
        </w:tc>
        <w:tc>
          <w:tcPr>
            <w:tcW w:w="1372" w:type="dxa"/>
            <w:vAlign w:val="center"/>
          </w:tcPr>
          <w:p w14:paraId="397ECDA8" w14:textId="77777777" w:rsidR="001E13C6" w:rsidRPr="0093023F" w:rsidRDefault="001E13C6" w:rsidP="004428E5">
            <w:pPr>
              <w:spacing w:before="0" w:after="0" w:line="240" w:lineRule="auto"/>
              <w:jc w:val="center"/>
              <w:rPr>
                <w:rFonts w:cstheme="minorHAnsi"/>
                <w:sz w:val="16"/>
                <w:szCs w:val="16"/>
              </w:rPr>
            </w:pPr>
            <w:r w:rsidRPr="0093023F">
              <w:rPr>
                <w:rFonts w:cstheme="minorHAnsi"/>
                <w:sz w:val="16"/>
                <w:szCs w:val="16"/>
              </w:rPr>
              <w:t>Investable capital mechanisms (PIDG/ADI etc)</w:t>
            </w:r>
          </w:p>
        </w:tc>
        <w:tc>
          <w:tcPr>
            <w:tcW w:w="1372" w:type="dxa"/>
            <w:vAlign w:val="center"/>
          </w:tcPr>
          <w:p w14:paraId="50A468CB" w14:textId="77777777" w:rsidR="001E13C6" w:rsidRPr="0093023F" w:rsidRDefault="001E13C6" w:rsidP="004428E5">
            <w:pPr>
              <w:spacing w:before="0" w:after="0" w:line="240" w:lineRule="auto"/>
              <w:jc w:val="center"/>
              <w:rPr>
                <w:rFonts w:cstheme="minorHAnsi"/>
                <w:sz w:val="16"/>
                <w:szCs w:val="16"/>
              </w:rPr>
            </w:pPr>
            <w:r w:rsidRPr="0093023F">
              <w:rPr>
                <w:rFonts w:cstheme="minorHAnsi"/>
                <w:sz w:val="16"/>
                <w:szCs w:val="16"/>
              </w:rPr>
              <w:t>ADB / WB</w:t>
            </w:r>
          </w:p>
        </w:tc>
        <w:tc>
          <w:tcPr>
            <w:tcW w:w="1372" w:type="dxa"/>
            <w:vAlign w:val="center"/>
          </w:tcPr>
          <w:p w14:paraId="4E550784" w14:textId="77777777" w:rsidR="001E13C6" w:rsidRPr="0093023F" w:rsidRDefault="001E13C6" w:rsidP="004428E5">
            <w:pPr>
              <w:spacing w:before="0" w:after="0" w:line="240" w:lineRule="auto"/>
              <w:jc w:val="center"/>
              <w:rPr>
                <w:rFonts w:cstheme="minorHAnsi"/>
                <w:sz w:val="16"/>
                <w:szCs w:val="16"/>
              </w:rPr>
            </w:pPr>
            <w:r w:rsidRPr="0093023F">
              <w:rPr>
                <w:rFonts w:cstheme="minorHAnsi"/>
                <w:sz w:val="16"/>
                <w:szCs w:val="16"/>
              </w:rPr>
              <w:t>GOA APS Agencies</w:t>
            </w:r>
          </w:p>
        </w:tc>
        <w:tc>
          <w:tcPr>
            <w:tcW w:w="1372" w:type="dxa"/>
            <w:vAlign w:val="center"/>
          </w:tcPr>
          <w:p w14:paraId="2F0E2FA4" w14:textId="77777777" w:rsidR="001E13C6" w:rsidRPr="0093023F" w:rsidRDefault="001E13C6" w:rsidP="004428E5">
            <w:pPr>
              <w:spacing w:before="0" w:after="0" w:line="240" w:lineRule="auto"/>
              <w:jc w:val="center"/>
              <w:rPr>
                <w:rFonts w:cstheme="minorHAnsi"/>
                <w:sz w:val="16"/>
                <w:szCs w:val="16"/>
              </w:rPr>
            </w:pPr>
            <w:r w:rsidRPr="0093023F">
              <w:rPr>
                <w:rFonts w:cstheme="minorHAnsi"/>
                <w:sz w:val="16"/>
                <w:szCs w:val="16"/>
              </w:rPr>
              <w:t>DFAT Post</w:t>
            </w:r>
          </w:p>
        </w:tc>
      </w:tr>
      <w:tr w:rsidR="00DC4F04" w:rsidRPr="00367EEF" w14:paraId="55BBD41F" w14:textId="77777777" w:rsidTr="00DC4F04">
        <w:tc>
          <w:tcPr>
            <w:tcW w:w="5104" w:type="dxa"/>
          </w:tcPr>
          <w:p w14:paraId="7FF04F1A" w14:textId="77777777" w:rsidR="001E13C6" w:rsidRPr="00367EEF" w:rsidRDefault="001E13C6" w:rsidP="004428E5">
            <w:pPr>
              <w:pStyle w:val="ListParagraph"/>
              <w:numPr>
                <w:ilvl w:val="0"/>
                <w:numId w:val="34"/>
              </w:numPr>
              <w:spacing w:before="60"/>
              <w:ind w:left="316" w:hanging="316"/>
              <w:contextualSpacing w:val="0"/>
              <w:rPr>
                <w:rFonts w:cstheme="minorHAnsi"/>
                <w:b/>
                <w:bCs/>
                <w:i/>
                <w:iCs/>
              </w:rPr>
            </w:pPr>
            <w:r w:rsidRPr="00367EEF">
              <w:rPr>
                <w:rFonts w:cstheme="minorHAnsi"/>
                <w:b/>
                <w:bCs/>
                <w:sz w:val="21"/>
                <w:szCs w:val="21"/>
              </w:rPr>
              <w:t>Policy, regulatory and advisory services on infrastructure planning, finance and governance</w:t>
            </w:r>
          </w:p>
          <w:p w14:paraId="41179B45" w14:textId="77777777" w:rsidR="001E13C6" w:rsidRPr="00367EEF" w:rsidRDefault="001E13C6" w:rsidP="00DC4F04">
            <w:pPr>
              <w:pStyle w:val="ListParagraph"/>
              <w:numPr>
                <w:ilvl w:val="0"/>
                <w:numId w:val="35"/>
              </w:numPr>
              <w:spacing w:before="0"/>
              <w:ind w:left="601" w:hanging="283"/>
              <w:contextualSpacing w:val="0"/>
              <w:rPr>
                <w:rFonts w:cstheme="minorHAnsi"/>
              </w:rPr>
            </w:pPr>
            <w:r w:rsidRPr="00367EEF">
              <w:rPr>
                <w:rFonts w:cstheme="minorHAnsi"/>
              </w:rPr>
              <w:t>Undertake analysis of existing policy and regulation to identify challenges and constraints for planning and investment, including private sector participation</w:t>
            </w:r>
          </w:p>
          <w:p w14:paraId="41AC859A" w14:textId="77777777" w:rsidR="001E13C6" w:rsidRPr="00367EEF" w:rsidRDefault="001E13C6" w:rsidP="00AA6098">
            <w:pPr>
              <w:pStyle w:val="ListParagraph"/>
              <w:numPr>
                <w:ilvl w:val="0"/>
                <w:numId w:val="35"/>
              </w:numPr>
              <w:spacing w:before="0"/>
              <w:ind w:left="601" w:hanging="283"/>
              <w:contextualSpacing w:val="0"/>
              <w:rPr>
                <w:rFonts w:cstheme="minorHAnsi"/>
              </w:rPr>
            </w:pPr>
            <w:r w:rsidRPr="00367EEF">
              <w:rPr>
                <w:rFonts w:cstheme="minorHAnsi"/>
              </w:rPr>
              <w:t>Engage with key GOI parties and other stakeholders to identify entry points and opportunities for reform</w:t>
            </w:r>
          </w:p>
          <w:p w14:paraId="128E2F21" w14:textId="77777777" w:rsidR="001E13C6" w:rsidRPr="00367EEF" w:rsidRDefault="001E13C6" w:rsidP="00AA6098">
            <w:pPr>
              <w:pStyle w:val="ListParagraph"/>
              <w:numPr>
                <w:ilvl w:val="0"/>
                <w:numId w:val="35"/>
              </w:numPr>
              <w:spacing w:before="0"/>
              <w:ind w:left="601" w:hanging="283"/>
              <w:contextualSpacing w:val="0"/>
              <w:rPr>
                <w:rFonts w:cstheme="minorHAnsi"/>
              </w:rPr>
            </w:pPr>
            <w:r w:rsidRPr="00367EEF">
              <w:rPr>
                <w:rFonts w:cstheme="minorHAnsi"/>
              </w:rPr>
              <w:t>Work with primary partners to develop scope of work for further analysis, research and policy development</w:t>
            </w:r>
          </w:p>
          <w:p w14:paraId="73B2B1B8" w14:textId="77777777" w:rsidR="001E13C6" w:rsidRPr="00367EEF" w:rsidRDefault="001E13C6" w:rsidP="00AA6098">
            <w:pPr>
              <w:pStyle w:val="ListParagraph"/>
              <w:numPr>
                <w:ilvl w:val="0"/>
                <w:numId w:val="35"/>
              </w:numPr>
              <w:spacing w:before="0"/>
              <w:ind w:left="601" w:hanging="283"/>
              <w:contextualSpacing w:val="0"/>
              <w:rPr>
                <w:rFonts w:cstheme="minorHAnsi"/>
              </w:rPr>
            </w:pPr>
            <w:r w:rsidRPr="00367EEF">
              <w:rPr>
                <w:rFonts w:cstheme="minorHAnsi"/>
              </w:rPr>
              <w:t>Identify capacity and evidence gaps and constraints to propose professional development and support services</w:t>
            </w:r>
          </w:p>
          <w:p w14:paraId="2958CA8B" w14:textId="77777777" w:rsidR="001E13C6" w:rsidRPr="00367EEF" w:rsidRDefault="001E13C6" w:rsidP="00AA6098">
            <w:pPr>
              <w:pStyle w:val="ListParagraph"/>
              <w:numPr>
                <w:ilvl w:val="0"/>
                <w:numId w:val="35"/>
              </w:numPr>
              <w:spacing w:before="0"/>
              <w:ind w:left="601" w:hanging="283"/>
              <w:contextualSpacing w:val="0"/>
              <w:rPr>
                <w:rFonts w:cstheme="minorHAnsi"/>
              </w:rPr>
            </w:pPr>
            <w:r w:rsidRPr="00367EEF">
              <w:rPr>
                <w:rFonts w:cstheme="minorHAnsi"/>
              </w:rPr>
              <w:t>Draw on international practice and experience to propose options and alternative policy solutions that are fit-for-purpose</w:t>
            </w:r>
          </w:p>
          <w:p w14:paraId="4E5F0326" w14:textId="77777777" w:rsidR="001E13C6" w:rsidRPr="00367EEF" w:rsidRDefault="001E13C6" w:rsidP="00AA6098">
            <w:pPr>
              <w:pStyle w:val="ListParagraph"/>
              <w:numPr>
                <w:ilvl w:val="0"/>
                <w:numId w:val="35"/>
              </w:numPr>
              <w:spacing w:before="0"/>
              <w:ind w:left="601" w:hanging="283"/>
              <w:contextualSpacing w:val="0"/>
              <w:rPr>
                <w:rFonts w:cstheme="minorHAnsi"/>
              </w:rPr>
            </w:pPr>
            <w:r w:rsidRPr="00367EEF">
              <w:rPr>
                <w:rFonts w:cstheme="minorHAnsi"/>
              </w:rPr>
              <w:t>Work with internal and external stakeholders to mobilise support for policy reform</w:t>
            </w:r>
          </w:p>
          <w:p w14:paraId="2E089BAD" w14:textId="77777777" w:rsidR="001E13C6" w:rsidRPr="00367EEF" w:rsidRDefault="001E13C6" w:rsidP="00AA6098">
            <w:pPr>
              <w:pStyle w:val="ListParagraph"/>
              <w:numPr>
                <w:ilvl w:val="0"/>
                <w:numId w:val="35"/>
              </w:numPr>
              <w:spacing w:before="0"/>
              <w:ind w:left="601" w:hanging="283"/>
              <w:contextualSpacing w:val="0"/>
              <w:rPr>
                <w:rFonts w:cstheme="minorHAnsi"/>
              </w:rPr>
            </w:pPr>
            <w:r w:rsidRPr="00367EEF">
              <w:rPr>
                <w:rFonts w:cstheme="minorHAnsi"/>
              </w:rPr>
              <w:t>Refine and revise policy and regulatory solutions based on GOI direction</w:t>
            </w:r>
          </w:p>
        </w:tc>
        <w:tc>
          <w:tcPr>
            <w:tcW w:w="1418" w:type="dxa"/>
          </w:tcPr>
          <w:p w14:paraId="1B4911A5" w14:textId="77777777" w:rsidR="001E13C6" w:rsidRDefault="001E13C6" w:rsidP="004428E5">
            <w:pPr>
              <w:rPr>
                <w:rFonts w:cstheme="minorHAnsi"/>
                <w:sz w:val="14"/>
                <w:szCs w:val="14"/>
              </w:rPr>
            </w:pPr>
            <w:r>
              <w:rPr>
                <w:rFonts w:cstheme="minorHAnsi"/>
                <w:i/>
                <w:iCs/>
              </w:rPr>
              <w:t>Secondary responsibility</w:t>
            </w:r>
          </w:p>
          <w:p w14:paraId="5D369997" w14:textId="77777777" w:rsidR="001E13C6" w:rsidRPr="00367EEF" w:rsidRDefault="001E13C6" w:rsidP="004428E5">
            <w:pPr>
              <w:rPr>
                <w:rFonts w:cstheme="minorHAnsi"/>
                <w:sz w:val="14"/>
                <w:szCs w:val="14"/>
              </w:rPr>
            </w:pPr>
          </w:p>
          <w:p w14:paraId="12AF2DF8" w14:textId="77777777" w:rsidR="001E13C6" w:rsidRPr="00367EEF" w:rsidRDefault="001E13C6" w:rsidP="004428E5">
            <w:pPr>
              <w:rPr>
                <w:rFonts w:cstheme="minorHAnsi"/>
                <w:sz w:val="14"/>
                <w:szCs w:val="14"/>
              </w:rPr>
            </w:pPr>
          </w:p>
        </w:tc>
        <w:tc>
          <w:tcPr>
            <w:tcW w:w="1407" w:type="dxa"/>
          </w:tcPr>
          <w:p w14:paraId="65833D16"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76CB6575" w14:textId="77777777" w:rsidR="001E13C6" w:rsidRPr="00367EEF" w:rsidRDefault="001E13C6" w:rsidP="004428E5">
            <w:pPr>
              <w:rPr>
                <w:rFonts w:cstheme="minorHAnsi"/>
                <w:sz w:val="14"/>
                <w:szCs w:val="14"/>
              </w:rPr>
            </w:pPr>
            <w:r w:rsidRPr="00F051FC">
              <w:rPr>
                <w:rFonts w:cstheme="minorHAnsi"/>
                <w:i/>
                <w:iCs/>
              </w:rPr>
              <w:t>No responsibility</w:t>
            </w:r>
          </w:p>
          <w:p w14:paraId="74002BFE" w14:textId="77777777" w:rsidR="001E13C6" w:rsidRPr="00367EEF" w:rsidRDefault="001E13C6" w:rsidP="004428E5">
            <w:pPr>
              <w:rPr>
                <w:rFonts w:cstheme="minorHAnsi"/>
                <w:sz w:val="14"/>
                <w:szCs w:val="14"/>
              </w:rPr>
            </w:pPr>
          </w:p>
          <w:p w14:paraId="45A49E18" w14:textId="77777777" w:rsidR="001E13C6" w:rsidRPr="00367EEF" w:rsidRDefault="001E13C6" w:rsidP="004428E5">
            <w:pPr>
              <w:rPr>
                <w:rFonts w:cstheme="minorHAnsi"/>
                <w:sz w:val="14"/>
                <w:szCs w:val="14"/>
              </w:rPr>
            </w:pPr>
          </w:p>
        </w:tc>
        <w:tc>
          <w:tcPr>
            <w:tcW w:w="1372" w:type="dxa"/>
          </w:tcPr>
          <w:p w14:paraId="5751CB12" w14:textId="77777777" w:rsidR="001E13C6" w:rsidRPr="00367EEF" w:rsidRDefault="001E13C6" w:rsidP="004428E5">
            <w:pPr>
              <w:rPr>
                <w:rFonts w:cstheme="minorHAnsi"/>
                <w:sz w:val="14"/>
                <w:szCs w:val="14"/>
              </w:rPr>
            </w:pPr>
            <w:r w:rsidRPr="00F051FC">
              <w:rPr>
                <w:rFonts w:cstheme="minorHAnsi"/>
                <w:i/>
                <w:iCs/>
              </w:rPr>
              <w:t>No responsibility</w:t>
            </w:r>
            <w:r w:rsidRPr="00367EEF">
              <w:rPr>
                <w:rFonts w:cstheme="minorHAnsi"/>
                <w:sz w:val="14"/>
                <w:szCs w:val="14"/>
              </w:rPr>
              <w:t xml:space="preserve"> </w:t>
            </w:r>
          </w:p>
        </w:tc>
        <w:tc>
          <w:tcPr>
            <w:tcW w:w="1372" w:type="dxa"/>
          </w:tcPr>
          <w:p w14:paraId="77E84EE6" w14:textId="77777777" w:rsidR="001E13C6" w:rsidRPr="00367EEF" w:rsidRDefault="001E13C6" w:rsidP="004428E5">
            <w:pPr>
              <w:rPr>
                <w:rFonts w:cstheme="minorHAnsi"/>
                <w:sz w:val="14"/>
                <w:szCs w:val="14"/>
              </w:rPr>
            </w:pPr>
            <w:r w:rsidRPr="00F051FC">
              <w:rPr>
                <w:rFonts w:cstheme="minorHAnsi"/>
                <w:i/>
                <w:iCs/>
              </w:rPr>
              <w:t>No responsibility</w:t>
            </w:r>
            <w:r w:rsidRPr="00367EEF">
              <w:rPr>
                <w:rFonts w:cstheme="minorHAnsi"/>
                <w:sz w:val="14"/>
                <w:szCs w:val="14"/>
              </w:rPr>
              <w:t xml:space="preserve"> </w:t>
            </w:r>
          </w:p>
        </w:tc>
        <w:tc>
          <w:tcPr>
            <w:tcW w:w="1372" w:type="dxa"/>
          </w:tcPr>
          <w:p w14:paraId="2627B3D5"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5C2AC9F8"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709315E5" w14:textId="77777777" w:rsidR="001E13C6" w:rsidRPr="00367EEF" w:rsidRDefault="001E13C6" w:rsidP="004428E5">
            <w:pPr>
              <w:rPr>
                <w:rFonts w:cstheme="minorHAnsi"/>
                <w:sz w:val="14"/>
                <w:szCs w:val="14"/>
              </w:rPr>
            </w:pPr>
            <w:r>
              <w:rPr>
                <w:rFonts w:cstheme="minorHAnsi"/>
                <w:i/>
                <w:iCs/>
              </w:rPr>
              <w:t>Secondary responsibility</w:t>
            </w:r>
          </w:p>
        </w:tc>
      </w:tr>
      <w:tr w:rsidR="00DC4F04" w:rsidRPr="00367EEF" w14:paraId="650C5BDD" w14:textId="77777777" w:rsidTr="00DC4F04">
        <w:tc>
          <w:tcPr>
            <w:tcW w:w="5104" w:type="dxa"/>
          </w:tcPr>
          <w:p w14:paraId="21C592B0" w14:textId="77777777" w:rsidR="001E13C6" w:rsidRPr="00367EEF" w:rsidRDefault="001E13C6" w:rsidP="004428E5">
            <w:pPr>
              <w:pStyle w:val="ListParagraph"/>
              <w:numPr>
                <w:ilvl w:val="0"/>
                <w:numId w:val="34"/>
              </w:numPr>
              <w:spacing w:before="60"/>
              <w:ind w:left="357" w:hanging="357"/>
              <w:contextualSpacing w:val="0"/>
              <w:rPr>
                <w:rFonts w:cstheme="minorHAnsi"/>
                <w:b/>
                <w:bCs/>
                <w:sz w:val="21"/>
                <w:szCs w:val="21"/>
              </w:rPr>
            </w:pPr>
            <w:r w:rsidRPr="00367EEF">
              <w:rPr>
                <w:rFonts w:cstheme="minorHAnsi"/>
                <w:b/>
                <w:bCs/>
                <w:sz w:val="21"/>
                <w:szCs w:val="21"/>
              </w:rPr>
              <w:t>Institutional strengthening and capacity building support</w:t>
            </w:r>
          </w:p>
          <w:p w14:paraId="33993338" w14:textId="77777777" w:rsidR="001E13C6" w:rsidRPr="00367EEF" w:rsidRDefault="001E13C6" w:rsidP="00E16557">
            <w:pPr>
              <w:pStyle w:val="ListParagraph"/>
              <w:numPr>
                <w:ilvl w:val="0"/>
                <w:numId w:val="36"/>
              </w:numPr>
              <w:spacing w:before="0"/>
              <w:ind w:left="743" w:hanging="289"/>
              <w:contextualSpacing w:val="0"/>
              <w:rPr>
                <w:rFonts w:cstheme="minorHAnsi"/>
                <w:sz w:val="21"/>
                <w:szCs w:val="21"/>
              </w:rPr>
            </w:pPr>
            <w:r w:rsidRPr="00367EEF">
              <w:rPr>
                <w:rFonts w:cstheme="minorHAnsi"/>
                <w:sz w:val="21"/>
                <w:szCs w:val="21"/>
              </w:rPr>
              <w:t xml:space="preserve">Undertake analysis of professional development, training and support needs in response to </w:t>
            </w:r>
            <w:r w:rsidRPr="00367EEF">
              <w:rPr>
                <w:rFonts w:cstheme="minorHAnsi"/>
                <w:sz w:val="21"/>
                <w:szCs w:val="21"/>
              </w:rPr>
              <w:lastRenderedPageBreak/>
              <w:t>requests from GOI agencies and other implementing stakeholders</w:t>
            </w:r>
          </w:p>
          <w:p w14:paraId="174EB78C" w14:textId="77777777" w:rsidR="001E13C6" w:rsidRPr="00367EEF" w:rsidRDefault="001E13C6" w:rsidP="00E16557">
            <w:pPr>
              <w:pStyle w:val="ListParagraph"/>
              <w:numPr>
                <w:ilvl w:val="0"/>
                <w:numId w:val="36"/>
              </w:numPr>
              <w:spacing w:before="0"/>
              <w:ind w:left="743" w:hanging="289"/>
              <w:contextualSpacing w:val="0"/>
              <w:rPr>
                <w:rFonts w:cstheme="minorHAnsi"/>
                <w:sz w:val="21"/>
                <w:szCs w:val="21"/>
              </w:rPr>
            </w:pPr>
            <w:r w:rsidRPr="00367EEF">
              <w:rPr>
                <w:rFonts w:cstheme="minorHAnsi"/>
                <w:sz w:val="21"/>
                <w:szCs w:val="21"/>
              </w:rPr>
              <w:t>Identify appropriate modalities and content, and providers, to support needs of GOI agencies</w:t>
            </w:r>
          </w:p>
          <w:p w14:paraId="41E44549" w14:textId="77777777" w:rsidR="001E13C6" w:rsidRPr="00367EEF" w:rsidRDefault="001E13C6" w:rsidP="00E16557">
            <w:pPr>
              <w:pStyle w:val="ListParagraph"/>
              <w:numPr>
                <w:ilvl w:val="0"/>
                <w:numId w:val="36"/>
              </w:numPr>
              <w:spacing w:before="0"/>
              <w:ind w:left="743" w:hanging="289"/>
              <w:contextualSpacing w:val="0"/>
              <w:rPr>
                <w:rFonts w:cstheme="minorHAnsi"/>
                <w:sz w:val="21"/>
                <w:szCs w:val="21"/>
              </w:rPr>
            </w:pPr>
            <w:r w:rsidRPr="00367EEF">
              <w:rPr>
                <w:rFonts w:cstheme="minorHAnsi"/>
                <w:sz w:val="21"/>
                <w:szCs w:val="21"/>
              </w:rPr>
              <w:t>Prepare a scope of work for training and PD inputs, including linkages to other Activities and Projects</w:t>
            </w:r>
          </w:p>
          <w:p w14:paraId="6D42C9AC" w14:textId="77777777" w:rsidR="001E13C6" w:rsidRPr="00367EEF" w:rsidRDefault="001E13C6" w:rsidP="00E16557">
            <w:pPr>
              <w:pStyle w:val="ListParagraph"/>
              <w:numPr>
                <w:ilvl w:val="0"/>
                <w:numId w:val="36"/>
              </w:numPr>
              <w:spacing w:before="0"/>
              <w:ind w:left="743" w:hanging="289"/>
              <w:contextualSpacing w:val="0"/>
              <w:rPr>
                <w:rFonts w:cstheme="minorHAnsi"/>
                <w:sz w:val="21"/>
                <w:szCs w:val="21"/>
              </w:rPr>
            </w:pPr>
            <w:r w:rsidRPr="00367EEF">
              <w:rPr>
                <w:rFonts w:cstheme="minorHAnsi"/>
                <w:sz w:val="21"/>
                <w:szCs w:val="21"/>
              </w:rPr>
              <w:t>Deliver institutional strengthening program of work, through self-delivery or sub-contracted</w:t>
            </w:r>
          </w:p>
          <w:p w14:paraId="363FC89E" w14:textId="77777777" w:rsidR="001E13C6" w:rsidRPr="00367EEF" w:rsidRDefault="001E13C6" w:rsidP="00FF2BA3">
            <w:pPr>
              <w:pStyle w:val="ListParagraph"/>
              <w:numPr>
                <w:ilvl w:val="0"/>
                <w:numId w:val="36"/>
              </w:numPr>
              <w:spacing w:before="0"/>
              <w:ind w:left="743" w:hanging="289"/>
              <w:contextualSpacing w:val="0"/>
              <w:rPr>
                <w:rFonts w:cstheme="minorHAnsi"/>
                <w:sz w:val="21"/>
                <w:szCs w:val="21"/>
              </w:rPr>
            </w:pPr>
            <w:r w:rsidRPr="00367EEF">
              <w:rPr>
                <w:rFonts w:cstheme="minorHAnsi"/>
                <w:sz w:val="21"/>
                <w:szCs w:val="21"/>
              </w:rPr>
              <w:t>Monitor and supervise quality of delivery, and undertake evaluation of outcomes and impact</w:t>
            </w:r>
          </w:p>
        </w:tc>
        <w:tc>
          <w:tcPr>
            <w:tcW w:w="1418" w:type="dxa"/>
          </w:tcPr>
          <w:p w14:paraId="48001610" w14:textId="77777777" w:rsidR="001E13C6" w:rsidRDefault="001E13C6" w:rsidP="004428E5">
            <w:pPr>
              <w:rPr>
                <w:rFonts w:cstheme="minorHAnsi"/>
                <w:sz w:val="14"/>
                <w:szCs w:val="14"/>
              </w:rPr>
            </w:pPr>
            <w:r>
              <w:rPr>
                <w:rFonts w:cstheme="minorHAnsi"/>
                <w:i/>
                <w:iCs/>
              </w:rPr>
              <w:lastRenderedPageBreak/>
              <w:t>Secondary responsibility</w:t>
            </w:r>
          </w:p>
          <w:p w14:paraId="465B3449" w14:textId="77777777" w:rsidR="001E13C6" w:rsidRPr="007301AC" w:rsidRDefault="001E13C6" w:rsidP="004428E5">
            <w:pPr>
              <w:rPr>
                <w:rFonts w:cstheme="minorHAnsi"/>
                <w:sz w:val="14"/>
                <w:szCs w:val="14"/>
              </w:rPr>
            </w:pPr>
          </w:p>
          <w:p w14:paraId="33F1B182" w14:textId="77777777" w:rsidR="001E13C6" w:rsidRPr="007301AC" w:rsidRDefault="001E13C6" w:rsidP="004428E5">
            <w:pPr>
              <w:rPr>
                <w:rFonts w:cstheme="minorHAnsi"/>
                <w:sz w:val="14"/>
                <w:szCs w:val="14"/>
              </w:rPr>
            </w:pPr>
          </w:p>
          <w:p w14:paraId="5A338BA9" w14:textId="77777777" w:rsidR="001E13C6" w:rsidRPr="007301AC" w:rsidRDefault="001E13C6" w:rsidP="004428E5">
            <w:pPr>
              <w:rPr>
                <w:rFonts w:cstheme="minorHAnsi"/>
                <w:sz w:val="14"/>
                <w:szCs w:val="14"/>
              </w:rPr>
            </w:pPr>
          </w:p>
          <w:p w14:paraId="0681BE85" w14:textId="77777777" w:rsidR="001E13C6" w:rsidRPr="007301AC" w:rsidRDefault="001E13C6" w:rsidP="004428E5">
            <w:pPr>
              <w:rPr>
                <w:rFonts w:cstheme="minorHAnsi"/>
                <w:sz w:val="14"/>
                <w:szCs w:val="14"/>
              </w:rPr>
            </w:pPr>
          </w:p>
          <w:p w14:paraId="3A76ABEA" w14:textId="77777777" w:rsidR="001E13C6" w:rsidRPr="007301AC" w:rsidRDefault="001E13C6" w:rsidP="004428E5">
            <w:pPr>
              <w:rPr>
                <w:rFonts w:cstheme="minorHAnsi"/>
                <w:sz w:val="14"/>
                <w:szCs w:val="14"/>
              </w:rPr>
            </w:pPr>
          </w:p>
        </w:tc>
        <w:tc>
          <w:tcPr>
            <w:tcW w:w="1407" w:type="dxa"/>
          </w:tcPr>
          <w:p w14:paraId="75AE014D" w14:textId="77777777" w:rsidR="001E13C6" w:rsidRPr="00367EEF" w:rsidRDefault="001E13C6" w:rsidP="004428E5">
            <w:pPr>
              <w:rPr>
                <w:rFonts w:cstheme="minorHAnsi"/>
                <w:sz w:val="14"/>
                <w:szCs w:val="14"/>
              </w:rPr>
            </w:pPr>
            <w:r w:rsidRPr="00367EEF">
              <w:rPr>
                <w:rFonts w:cstheme="minorHAnsi"/>
                <w:i/>
                <w:iCs/>
              </w:rPr>
              <w:lastRenderedPageBreak/>
              <w:t>P</w:t>
            </w:r>
            <w:r>
              <w:rPr>
                <w:rFonts w:cstheme="minorHAnsi"/>
                <w:i/>
                <w:iCs/>
              </w:rPr>
              <w:t>rimary responsibility</w:t>
            </w:r>
          </w:p>
        </w:tc>
        <w:tc>
          <w:tcPr>
            <w:tcW w:w="1372" w:type="dxa"/>
          </w:tcPr>
          <w:p w14:paraId="2F74EA40"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334B55B8"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6C243DB8"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4560BFCB"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2BAAA3A4"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4C549CB3" w14:textId="77777777" w:rsidR="001E13C6" w:rsidRPr="00367EEF" w:rsidRDefault="001E13C6" w:rsidP="004428E5">
            <w:pPr>
              <w:rPr>
                <w:rFonts w:cstheme="minorHAnsi"/>
                <w:sz w:val="14"/>
                <w:szCs w:val="14"/>
              </w:rPr>
            </w:pPr>
            <w:r w:rsidRPr="00F051FC">
              <w:rPr>
                <w:rFonts w:cstheme="minorHAnsi"/>
                <w:i/>
                <w:iCs/>
              </w:rPr>
              <w:t>No responsibility</w:t>
            </w:r>
          </w:p>
        </w:tc>
      </w:tr>
      <w:tr w:rsidR="00DC4F04" w:rsidRPr="00367EEF" w14:paraId="767853B9" w14:textId="77777777" w:rsidTr="00DC4F04">
        <w:tc>
          <w:tcPr>
            <w:tcW w:w="5104" w:type="dxa"/>
          </w:tcPr>
          <w:p w14:paraId="262D0926" w14:textId="77777777" w:rsidR="001E13C6" w:rsidRPr="00367EEF" w:rsidRDefault="001E13C6" w:rsidP="004428E5">
            <w:pPr>
              <w:pStyle w:val="ListParagraph"/>
              <w:numPr>
                <w:ilvl w:val="0"/>
                <w:numId w:val="34"/>
              </w:numPr>
              <w:spacing w:before="60"/>
              <w:ind w:left="357" w:hanging="357"/>
              <w:contextualSpacing w:val="0"/>
              <w:rPr>
                <w:rFonts w:cstheme="minorHAnsi"/>
                <w:b/>
                <w:bCs/>
                <w:sz w:val="21"/>
                <w:szCs w:val="21"/>
              </w:rPr>
            </w:pPr>
            <w:r w:rsidRPr="00367EEF">
              <w:rPr>
                <w:rFonts w:cstheme="minorHAnsi"/>
                <w:b/>
                <w:bCs/>
                <w:sz w:val="21"/>
                <w:szCs w:val="21"/>
              </w:rPr>
              <w:t>Over the horizon research, policy analysis and advocacy</w:t>
            </w:r>
          </w:p>
          <w:p w14:paraId="28C4C4CF" w14:textId="77777777" w:rsidR="001E13C6" w:rsidRPr="00367EEF" w:rsidRDefault="001E13C6" w:rsidP="00AA6098">
            <w:pPr>
              <w:pStyle w:val="ListParagraph"/>
              <w:numPr>
                <w:ilvl w:val="0"/>
                <w:numId w:val="37"/>
              </w:numPr>
              <w:spacing w:before="0"/>
              <w:ind w:left="743" w:hanging="289"/>
              <w:contextualSpacing w:val="0"/>
              <w:rPr>
                <w:rFonts w:cstheme="minorHAnsi"/>
                <w:sz w:val="21"/>
                <w:szCs w:val="21"/>
              </w:rPr>
            </w:pPr>
            <w:r w:rsidRPr="00367EEF">
              <w:rPr>
                <w:rFonts w:cstheme="minorHAnsi"/>
                <w:sz w:val="21"/>
                <w:szCs w:val="21"/>
              </w:rPr>
              <w:t>Monitor broad economic and political landscape, and understand sector specific conditions, progress and lessons</w:t>
            </w:r>
          </w:p>
          <w:p w14:paraId="1FBEF00D" w14:textId="77777777" w:rsidR="001E13C6" w:rsidRPr="00367EEF" w:rsidRDefault="001E13C6" w:rsidP="00AA6098">
            <w:pPr>
              <w:pStyle w:val="ListParagraph"/>
              <w:numPr>
                <w:ilvl w:val="0"/>
                <w:numId w:val="37"/>
              </w:numPr>
              <w:spacing w:before="0"/>
              <w:ind w:left="743" w:hanging="289"/>
              <w:contextualSpacing w:val="0"/>
              <w:rPr>
                <w:rFonts w:cstheme="minorHAnsi"/>
                <w:sz w:val="21"/>
                <w:szCs w:val="21"/>
              </w:rPr>
            </w:pPr>
            <w:r w:rsidRPr="00367EEF">
              <w:rPr>
                <w:rFonts w:cstheme="minorHAnsi"/>
                <w:sz w:val="21"/>
                <w:szCs w:val="21"/>
              </w:rPr>
              <w:t>Identify long term and generational issues that have implications for Indonesia’s economic trajectory</w:t>
            </w:r>
          </w:p>
          <w:p w14:paraId="7B0BD4B2" w14:textId="77777777" w:rsidR="001E13C6" w:rsidRPr="00367EEF" w:rsidRDefault="001E13C6" w:rsidP="00AA6098">
            <w:pPr>
              <w:pStyle w:val="ListParagraph"/>
              <w:numPr>
                <w:ilvl w:val="0"/>
                <w:numId w:val="37"/>
              </w:numPr>
              <w:spacing w:before="0"/>
              <w:ind w:left="743" w:hanging="289"/>
              <w:contextualSpacing w:val="0"/>
              <w:rPr>
                <w:rFonts w:cstheme="minorHAnsi"/>
                <w:sz w:val="21"/>
                <w:szCs w:val="21"/>
              </w:rPr>
            </w:pPr>
            <w:r w:rsidRPr="00367EEF">
              <w:rPr>
                <w:rFonts w:cstheme="minorHAnsi"/>
                <w:sz w:val="21"/>
                <w:szCs w:val="21"/>
              </w:rPr>
              <w:t>Canvass GOI and other stakeholders for interest and engagement on key issues and prioritise significance</w:t>
            </w:r>
          </w:p>
          <w:p w14:paraId="0FEBB6CA" w14:textId="77777777" w:rsidR="001E13C6" w:rsidRPr="00367EEF" w:rsidRDefault="001E13C6" w:rsidP="00AA6098">
            <w:pPr>
              <w:pStyle w:val="ListParagraph"/>
              <w:numPr>
                <w:ilvl w:val="0"/>
                <w:numId w:val="37"/>
              </w:numPr>
              <w:spacing w:before="0"/>
              <w:ind w:left="743" w:hanging="289"/>
              <w:contextualSpacing w:val="0"/>
              <w:rPr>
                <w:rFonts w:cstheme="minorHAnsi"/>
                <w:sz w:val="21"/>
                <w:szCs w:val="21"/>
              </w:rPr>
            </w:pPr>
            <w:r w:rsidRPr="00367EEF">
              <w:rPr>
                <w:rFonts w:cstheme="minorHAnsi"/>
                <w:sz w:val="21"/>
                <w:szCs w:val="21"/>
              </w:rPr>
              <w:t>Identify and propose Scope of Work for individual research and study Activities, linked to the Program’s EOPOs and scope</w:t>
            </w:r>
          </w:p>
          <w:p w14:paraId="60D01C40" w14:textId="77777777" w:rsidR="001E13C6" w:rsidRPr="00367EEF" w:rsidRDefault="001E13C6" w:rsidP="00AA6098">
            <w:pPr>
              <w:pStyle w:val="ListParagraph"/>
              <w:numPr>
                <w:ilvl w:val="0"/>
                <w:numId w:val="37"/>
              </w:numPr>
              <w:spacing w:before="0"/>
              <w:ind w:left="743" w:hanging="289"/>
              <w:contextualSpacing w:val="0"/>
              <w:rPr>
                <w:rFonts w:cstheme="minorHAnsi"/>
                <w:sz w:val="21"/>
                <w:szCs w:val="21"/>
              </w:rPr>
            </w:pPr>
            <w:r w:rsidRPr="00367EEF">
              <w:rPr>
                <w:rFonts w:cstheme="minorHAnsi"/>
                <w:sz w:val="21"/>
                <w:szCs w:val="21"/>
              </w:rPr>
              <w:t>Self-deliver or contract out Activity, monitor progress and deliverables, report on outcomes and impact.</w:t>
            </w:r>
          </w:p>
          <w:p w14:paraId="2AD8BE49" w14:textId="77777777" w:rsidR="001E13C6" w:rsidRPr="00367EEF" w:rsidRDefault="001E13C6" w:rsidP="00AA6098">
            <w:pPr>
              <w:pStyle w:val="ListParagraph"/>
              <w:numPr>
                <w:ilvl w:val="0"/>
                <w:numId w:val="37"/>
              </w:numPr>
              <w:spacing w:before="0"/>
              <w:ind w:left="743" w:hanging="289"/>
              <w:contextualSpacing w:val="0"/>
              <w:rPr>
                <w:rFonts w:cstheme="minorHAnsi"/>
                <w:sz w:val="21"/>
                <w:szCs w:val="21"/>
              </w:rPr>
            </w:pPr>
            <w:r w:rsidRPr="00367EEF">
              <w:rPr>
                <w:rFonts w:cstheme="minorHAnsi"/>
                <w:sz w:val="21"/>
                <w:szCs w:val="21"/>
              </w:rPr>
              <w:lastRenderedPageBreak/>
              <w:t>Disseminate findings and conclusions widely, with a public diplomacy and communications strategy to influence future policy development</w:t>
            </w:r>
          </w:p>
        </w:tc>
        <w:tc>
          <w:tcPr>
            <w:tcW w:w="1418" w:type="dxa"/>
          </w:tcPr>
          <w:p w14:paraId="5808B3BC" w14:textId="77777777" w:rsidR="001E13C6" w:rsidRPr="00350F13" w:rsidRDefault="001E13C6" w:rsidP="004428E5">
            <w:pPr>
              <w:rPr>
                <w:rFonts w:cstheme="minorHAnsi"/>
              </w:rPr>
            </w:pPr>
            <w:r w:rsidRPr="00350F13">
              <w:rPr>
                <w:rFonts w:cstheme="minorHAnsi"/>
                <w:i/>
                <w:iCs/>
              </w:rPr>
              <w:lastRenderedPageBreak/>
              <w:t>Primary responsibility</w:t>
            </w:r>
          </w:p>
        </w:tc>
        <w:tc>
          <w:tcPr>
            <w:tcW w:w="1407" w:type="dxa"/>
          </w:tcPr>
          <w:p w14:paraId="60E41C7F" w14:textId="77777777" w:rsidR="001E13C6" w:rsidRPr="00350F13" w:rsidRDefault="001E13C6" w:rsidP="004428E5">
            <w:pPr>
              <w:rPr>
                <w:rFonts w:cstheme="minorHAnsi"/>
              </w:rPr>
            </w:pPr>
            <w:r w:rsidRPr="00350F13">
              <w:rPr>
                <w:rFonts w:cstheme="minorHAnsi"/>
                <w:i/>
                <w:iCs/>
              </w:rPr>
              <w:t>No responsibility</w:t>
            </w:r>
          </w:p>
        </w:tc>
        <w:tc>
          <w:tcPr>
            <w:tcW w:w="1372" w:type="dxa"/>
          </w:tcPr>
          <w:p w14:paraId="2A260EE0" w14:textId="77777777" w:rsidR="001E13C6" w:rsidRPr="00350F13" w:rsidRDefault="001E13C6" w:rsidP="004428E5">
            <w:pPr>
              <w:rPr>
                <w:rFonts w:cstheme="minorHAnsi"/>
              </w:rPr>
            </w:pPr>
            <w:r w:rsidRPr="00350F13">
              <w:rPr>
                <w:rFonts w:cstheme="minorHAnsi"/>
                <w:i/>
                <w:iCs/>
              </w:rPr>
              <w:t>No responsibility</w:t>
            </w:r>
          </w:p>
        </w:tc>
        <w:tc>
          <w:tcPr>
            <w:tcW w:w="1372" w:type="dxa"/>
          </w:tcPr>
          <w:p w14:paraId="11157FF2" w14:textId="77777777" w:rsidR="001E13C6" w:rsidRPr="00350F13" w:rsidRDefault="001E13C6" w:rsidP="004428E5">
            <w:pPr>
              <w:rPr>
                <w:rFonts w:cstheme="minorHAnsi"/>
              </w:rPr>
            </w:pPr>
            <w:r w:rsidRPr="00350F13">
              <w:rPr>
                <w:rFonts w:cstheme="minorHAnsi"/>
                <w:i/>
                <w:iCs/>
              </w:rPr>
              <w:t>No responsibility</w:t>
            </w:r>
          </w:p>
        </w:tc>
        <w:tc>
          <w:tcPr>
            <w:tcW w:w="1372" w:type="dxa"/>
          </w:tcPr>
          <w:p w14:paraId="00DA0EDB" w14:textId="77777777" w:rsidR="001E13C6" w:rsidRPr="00350F13" w:rsidRDefault="001E13C6" w:rsidP="004428E5">
            <w:pPr>
              <w:rPr>
                <w:rFonts w:cstheme="minorHAnsi"/>
              </w:rPr>
            </w:pPr>
            <w:r w:rsidRPr="00350F13">
              <w:rPr>
                <w:rFonts w:cstheme="minorHAnsi"/>
                <w:i/>
                <w:iCs/>
              </w:rPr>
              <w:t>No responsibility</w:t>
            </w:r>
          </w:p>
        </w:tc>
        <w:tc>
          <w:tcPr>
            <w:tcW w:w="1372" w:type="dxa"/>
          </w:tcPr>
          <w:p w14:paraId="487893EA" w14:textId="77777777" w:rsidR="001E13C6" w:rsidRPr="00350F13" w:rsidRDefault="001E13C6" w:rsidP="004428E5">
            <w:pPr>
              <w:rPr>
                <w:rFonts w:cstheme="minorHAnsi"/>
              </w:rPr>
            </w:pPr>
            <w:r w:rsidRPr="00350F13">
              <w:rPr>
                <w:rFonts w:cstheme="minorHAnsi"/>
                <w:i/>
                <w:iCs/>
              </w:rPr>
              <w:t>Primary responsibility</w:t>
            </w:r>
          </w:p>
        </w:tc>
        <w:tc>
          <w:tcPr>
            <w:tcW w:w="1372" w:type="dxa"/>
          </w:tcPr>
          <w:p w14:paraId="54CF663A" w14:textId="77777777" w:rsidR="001E13C6" w:rsidRPr="00350F13" w:rsidRDefault="001E13C6" w:rsidP="004428E5">
            <w:pPr>
              <w:rPr>
                <w:rFonts w:cstheme="minorHAnsi"/>
              </w:rPr>
            </w:pPr>
            <w:r w:rsidRPr="00350F13">
              <w:rPr>
                <w:rFonts w:cstheme="minorHAnsi"/>
                <w:i/>
                <w:iCs/>
              </w:rPr>
              <w:t>No responsibility</w:t>
            </w:r>
          </w:p>
        </w:tc>
        <w:tc>
          <w:tcPr>
            <w:tcW w:w="1372" w:type="dxa"/>
          </w:tcPr>
          <w:p w14:paraId="3391ABCB" w14:textId="77777777" w:rsidR="001E13C6" w:rsidRPr="00350F13" w:rsidRDefault="001E13C6" w:rsidP="004428E5">
            <w:pPr>
              <w:rPr>
                <w:rFonts w:cstheme="minorHAnsi"/>
              </w:rPr>
            </w:pPr>
            <w:r w:rsidRPr="00350F13">
              <w:rPr>
                <w:rFonts w:cstheme="minorHAnsi"/>
                <w:i/>
                <w:iCs/>
              </w:rPr>
              <w:t>Secondary responsibility</w:t>
            </w:r>
          </w:p>
        </w:tc>
      </w:tr>
      <w:tr w:rsidR="00DC4F04" w:rsidRPr="00367EEF" w14:paraId="7140FAA1" w14:textId="77777777" w:rsidTr="00DC4F04">
        <w:tc>
          <w:tcPr>
            <w:tcW w:w="5104" w:type="dxa"/>
          </w:tcPr>
          <w:p w14:paraId="0130DD44" w14:textId="77777777" w:rsidR="001E13C6" w:rsidRPr="00367EEF" w:rsidRDefault="001E13C6" w:rsidP="004428E5">
            <w:pPr>
              <w:pStyle w:val="ListParagraph"/>
              <w:numPr>
                <w:ilvl w:val="0"/>
                <w:numId w:val="34"/>
              </w:numPr>
              <w:spacing w:before="60"/>
              <w:ind w:left="357" w:hanging="357"/>
              <w:contextualSpacing w:val="0"/>
              <w:rPr>
                <w:rFonts w:cstheme="minorHAnsi"/>
                <w:sz w:val="21"/>
                <w:szCs w:val="21"/>
              </w:rPr>
            </w:pPr>
            <w:r w:rsidRPr="00367EEF">
              <w:rPr>
                <w:rFonts w:cstheme="minorHAnsi"/>
                <w:b/>
                <w:bCs/>
                <w:sz w:val="21"/>
                <w:szCs w:val="21"/>
              </w:rPr>
              <w:t>Project screening and preparation technical services</w:t>
            </w:r>
          </w:p>
          <w:p w14:paraId="4AA53353" w14:textId="77777777" w:rsidR="001E13C6" w:rsidRPr="00367EEF" w:rsidRDefault="001E13C6" w:rsidP="00AA6098">
            <w:pPr>
              <w:pStyle w:val="ListParagraph"/>
              <w:numPr>
                <w:ilvl w:val="0"/>
                <w:numId w:val="48"/>
              </w:numPr>
              <w:spacing w:before="0"/>
              <w:ind w:left="743" w:hanging="289"/>
              <w:contextualSpacing w:val="0"/>
              <w:rPr>
                <w:rFonts w:cstheme="minorHAnsi"/>
                <w:sz w:val="21"/>
                <w:szCs w:val="21"/>
              </w:rPr>
            </w:pPr>
            <w:r w:rsidRPr="00367EEF">
              <w:rPr>
                <w:rFonts w:cstheme="minorHAnsi"/>
                <w:sz w:val="21"/>
                <w:szCs w:val="21"/>
              </w:rPr>
              <w:t>Development of project screening criteria consistent with overall program design, DFAT guidelines, GOI priorities/commitment, and value for money (</w:t>
            </w:r>
            <w:proofErr w:type="spellStart"/>
            <w:r w:rsidRPr="00367EEF">
              <w:rPr>
                <w:rFonts w:cstheme="minorHAnsi"/>
                <w:sz w:val="21"/>
                <w:szCs w:val="21"/>
              </w:rPr>
              <w:t>VfM</w:t>
            </w:r>
            <w:proofErr w:type="spellEnd"/>
            <w:r w:rsidRPr="00367EEF">
              <w:rPr>
                <w:rFonts w:cstheme="minorHAnsi"/>
                <w:sz w:val="21"/>
                <w:szCs w:val="21"/>
              </w:rPr>
              <w:t>)</w:t>
            </w:r>
          </w:p>
          <w:p w14:paraId="3EAEC4C8" w14:textId="77777777" w:rsidR="001E13C6" w:rsidRPr="00367EEF" w:rsidRDefault="001E13C6" w:rsidP="00AA6098">
            <w:pPr>
              <w:pStyle w:val="ListParagraph"/>
              <w:numPr>
                <w:ilvl w:val="0"/>
                <w:numId w:val="48"/>
              </w:numPr>
              <w:spacing w:before="0"/>
              <w:ind w:left="743" w:hanging="289"/>
              <w:contextualSpacing w:val="0"/>
              <w:rPr>
                <w:rFonts w:cstheme="minorHAnsi"/>
                <w:sz w:val="21"/>
                <w:szCs w:val="21"/>
              </w:rPr>
            </w:pPr>
            <w:r w:rsidRPr="00367EEF">
              <w:rPr>
                <w:rFonts w:cstheme="minorHAnsi"/>
                <w:sz w:val="21"/>
                <w:szCs w:val="21"/>
              </w:rPr>
              <w:t>Support GOI counterparts and GCAs in screening and selecting projects for further development and building a project pipeline</w:t>
            </w:r>
          </w:p>
          <w:p w14:paraId="51BFF27D" w14:textId="77777777" w:rsidR="001E13C6" w:rsidRPr="00367EEF" w:rsidRDefault="001E13C6" w:rsidP="00AA6098">
            <w:pPr>
              <w:pStyle w:val="ListParagraph"/>
              <w:numPr>
                <w:ilvl w:val="0"/>
                <w:numId w:val="48"/>
              </w:numPr>
              <w:spacing w:before="0"/>
              <w:ind w:left="743" w:hanging="289"/>
              <w:contextualSpacing w:val="0"/>
              <w:rPr>
                <w:rFonts w:cstheme="minorHAnsi"/>
                <w:sz w:val="21"/>
                <w:szCs w:val="21"/>
              </w:rPr>
            </w:pPr>
            <w:r w:rsidRPr="00367EEF">
              <w:rPr>
                <w:rFonts w:cstheme="minorHAnsi"/>
                <w:sz w:val="21"/>
                <w:szCs w:val="21"/>
              </w:rPr>
              <w:t xml:space="preserve">Carry out feasibility studies that assess technical, economic, financial, affordability, risk and legal institutional aspects, environmental, social and GEDSI, and other related analyses as required for the specific project </w:t>
            </w:r>
          </w:p>
          <w:p w14:paraId="4BC68A57" w14:textId="77777777" w:rsidR="001E13C6" w:rsidRPr="001F78D3" w:rsidRDefault="001E13C6" w:rsidP="00AA6098">
            <w:pPr>
              <w:pStyle w:val="ListParagraph"/>
              <w:numPr>
                <w:ilvl w:val="0"/>
                <w:numId w:val="48"/>
              </w:numPr>
              <w:spacing w:before="0"/>
              <w:ind w:left="743" w:hanging="289"/>
              <w:contextualSpacing w:val="0"/>
              <w:rPr>
                <w:rFonts w:cstheme="minorHAnsi"/>
                <w:bCs/>
                <w:sz w:val="21"/>
                <w:szCs w:val="21"/>
              </w:rPr>
            </w:pPr>
            <w:r w:rsidRPr="001F78D3">
              <w:rPr>
                <w:bCs/>
              </w:rPr>
              <w:t>Assess potential sources of innovative financing and funding (IFF) and green and climate financing, to improve the viability and bankability of the projects</w:t>
            </w:r>
          </w:p>
          <w:p w14:paraId="1AB5F8C9" w14:textId="77777777" w:rsidR="001E13C6" w:rsidRPr="00367EEF" w:rsidRDefault="001E13C6" w:rsidP="00AA6098">
            <w:pPr>
              <w:pStyle w:val="ListParagraph"/>
              <w:numPr>
                <w:ilvl w:val="0"/>
                <w:numId w:val="48"/>
              </w:numPr>
              <w:spacing w:before="0"/>
              <w:ind w:left="743" w:hanging="289"/>
              <w:contextualSpacing w:val="0"/>
              <w:rPr>
                <w:rFonts w:cstheme="minorHAnsi"/>
                <w:sz w:val="21"/>
                <w:szCs w:val="21"/>
              </w:rPr>
            </w:pPr>
            <w:r w:rsidRPr="00367EEF">
              <w:rPr>
                <w:rFonts w:cstheme="minorHAnsi"/>
                <w:sz w:val="21"/>
                <w:szCs w:val="21"/>
              </w:rPr>
              <w:t>Conduct iterative process of consultations with GOI counterparts, GCAs, and other relevant stakeholders</w:t>
            </w:r>
          </w:p>
          <w:p w14:paraId="5215EDF1" w14:textId="77777777" w:rsidR="001E13C6" w:rsidRPr="00367EEF" w:rsidRDefault="001E13C6" w:rsidP="00AA6098">
            <w:pPr>
              <w:pStyle w:val="ListParagraph"/>
              <w:numPr>
                <w:ilvl w:val="0"/>
                <w:numId w:val="48"/>
              </w:numPr>
              <w:spacing w:before="0"/>
              <w:ind w:left="743" w:hanging="289"/>
              <w:contextualSpacing w:val="0"/>
              <w:rPr>
                <w:rFonts w:cstheme="minorHAnsi"/>
                <w:sz w:val="21"/>
                <w:szCs w:val="21"/>
              </w:rPr>
            </w:pPr>
            <w:r w:rsidRPr="00367EEF">
              <w:rPr>
                <w:rFonts w:cstheme="minorHAnsi"/>
                <w:sz w:val="21"/>
                <w:szCs w:val="21"/>
              </w:rPr>
              <w:t xml:space="preserve">Conduct market sounding to understand sponsor/investor interest, risk-return expectations and terms/structuring for projects and financing </w:t>
            </w:r>
          </w:p>
        </w:tc>
        <w:tc>
          <w:tcPr>
            <w:tcW w:w="1418" w:type="dxa"/>
          </w:tcPr>
          <w:p w14:paraId="2E5615DC" w14:textId="77777777" w:rsidR="001E13C6" w:rsidRPr="00350F13" w:rsidRDefault="001E13C6" w:rsidP="004428E5">
            <w:pPr>
              <w:rPr>
                <w:rFonts w:cstheme="minorHAnsi"/>
              </w:rPr>
            </w:pPr>
            <w:r w:rsidRPr="00350F13">
              <w:rPr>
                <w:rFonts w:cstheme="minorHAnsi"/>
                <w:i/>
                <w:iCs/>
              </w:rPr>
              <w:t>Secondary responsibility</w:t>
            </w:r>
          </w:p>
        </w:tc>
        <w:tc>
          <w:tcPr>
            <w:tcW w:w="1407" w:type="dxa"/>
          </w:tcPr>
          <w:p w14:paraId="3791748F" w14:textId="77777777" w:rsidR="001E13C6" w:rsidRPr="00350F13" w:rsidRDefault="001E13C6" w:rsidP="004428E5">
            <w:pPr>
              <w:rPr>
                <w:rFonts w:cstheme="minorHAnsi"/>
              </w:rPr>
            </w:pPr>
            <w:r w:rsidRPr="00350F13">
              <w:rPr>
                <w:rFonts w:cstheme="minorHAnsi"/>
                <w:i/>
                <w:iCs/>
              </w:rPr>
              <w:t>Primary responsibility</w:t>
            </w:r>
          </w:p>
        </w:tc>
        <w:tc>
          <w:tcPr>
            <w:tcW w:w="1372" w:type="dxa"/>
          </w:tcPr>
          <w:p w14:paraId="62317168" w14:textId="77777777" w:rsidR="001E13C6" w:rsidRPr="00350F13" w:rsidRDefault="001E13C6" w:rsidP="004428E5">
            <w:pPr>
              <w:rPr>
                <w:rFonts w:cstheme="minorHAnsi"/>
              </w:rPr>
            </w:pPr>
            <w:r w:rsidRPr="00350F13">
              <w:rPr>
                <w:rFonts w:cstheme="minorHAnsi"/>
                <w:i/>
                <w:iCs/>
              </w:rPr>
              <w:t>Secondary responsibility</w:t>
            </w:r>
          </w:p>
        </w:tc>
        <w:tc>
          <w:tcPr>
            <w:tcW w:w="1372" w:type="dxa"/>
          </w:tcPr>
          <w:p w14:paraId="1DD88C5C" w14:textId="77777777" w:rsidR="001E13C6" w:rsidRPr="00350F13" w:rsidRDefault="001E13C6" w:rsidP="004428E5">
            <w:pPr>
              <w:rPr>
                <w:rFonts w:cstheme="minorHAnsi"/>
              </w:rPr>
            </w:pPr>
            <w:r w:rsidRPr="00350F13">
              <w:rPr>
                <w:rFonts w:cstheme="minorHAnsi"/>
                <w:i/>
                <w:iCs/>
              </w:rPr>
              <w:t>No responsibility</w:t>
            </w:r>
          </w:p>
        </w:tc>
        <w:tc>
          <w:tcPr>
            <w:tcW w:w="1372" w:type="dxa"/>
          </w:tcPr>
          <w:p w14:paraId="178D5647" w14:textId="77777777" w:rsidR="001E13C6" w:rsidRPr="00350F13" w:rsidRDefault="001E13C6" w:rsidP="004428E5">
            <w:pPr>
              <w:rPr>
                <w:rFonts w:cstheme="minorHAnsi"/>
              </w:rPr>
            </w:pPr>
            <w:r w:rsidRPr="00350F13">
              <w:rPr>
                <w:rFonts w:cstheme="minorHAnsi"/>
                <w:i/>
                <w:iCs/>
              </w:rPr>
              <w:t>No responsibility</w:t>
            </w:r>
          </w:p>
        </w:tc>
        <w:tc>
          <w:tcPr>
            <w:tcW w:w="1372" w:type="dxa"/>
          </w:tcPr>
          <w:p w14:paraId="2433A5C1" w14:textId="77777777" w:rsidR="001E13C6" w:rsidRPr="00350F13" w:rsidRDefault="001E13C6" w:rsidP="004428E5">
            <w:pPr>
              <w:rPr>
                <w:rFonts w:cstheme="minorHAnsi"/>
              </w:rPr>
            </w:pPr>
            <w:r w:rsidRPr="00350F13">
              <w:rPr>
                <w:rFonts w:cstheme="minorHAnsi"/>
                <w:i/>
                <w:iCs/>
              </w:rPr>
              <w:t>Primary responsibility</w:t>
            </w:r>
          </w:p>
        </w:tc>
        <w:tc>
          <w:tcPr>
            <w:tcW w:w="1372" w:type="dxa"/>
          </w:tcPr>
          <w:p w14:paraId="6C6AAD49" w14:textId="77777777" w:rsidR="001E13C6" w:rsidRPr="00350F13" w:rsidRDefault="001E13C6" w:rsidP="004428E5">
            <w:pPr>
              <w:rPr>
                <w:rFonts w:cstheme="minorHAnsi"/>
              </w:rPr>
            </w:pPr>
            <w:r w:rsidRPr="00350F13">
              <w:rPr>
                <w:rFonts w:cstheme="minorHAnsi"/>
                <w:i/>
                <w:iCs/>
              </w:rPr>
              <w:t>No responsibility</w:t>
            </w:r>
          </w:p>
        </w:tc>
        <w:tc>
          <w:tcPr>
            <w:tcW w:w="1372" w:type="dxa"/>
          </w:tcPr>
          <w:p w14:paraId="5386B0FF" w14:textId="77777777" w:rsidR="001E13C6" w:rsidRPr="00350F13" w:rsidRDefault="001E13C6" w:rsidP="004428E5">
            <w:pPr>
              <w:rPr>
                <w:rFonts w:cstheme="minorHAnsi"/>
              </w:rPr>
            </w:pPr>
            <w:r w:rsidRPr="00350F13">
              <w:rPr>
                <w:rFonts w:cstheme="minorHAnsi"/>
                <w:i/>
                <w:iCs/>
              </w:rPr>
              <w:t>No responsibility</w:t>
            </w:r>
          </w:p>
        </w:tc>
      </w:tr>
      <w:tr w:rsidR="00DC4F04" w:rsidRPr="00367EEF" w14:paraId="6CC76860" w14:textId="77777777" w:rsidTr="00DC4F04">
        <w:tc>
          <w:tcPr>
            <w:tcW w:w="5104" w:type="dxa"/>
          </w:tcPr>
          <w:p w14:paraId="64DBE414" w14:textId="77777777" w:rsidR="001E13C6" w:rsidRPr="00367EEF" w:rsidRDefault="001E13C6" w:rsidP="004428E5">
            <w:pPr>
              <w:pStyle w:val="ListParagraph"/>
              <w:numPr>
                <w:ilvl w:val="0"/>
                <w:numId w:val="34"/>
              </w:numPr>
              <w:spacing w:before="60"/>
              <w:ind w:left="357" w:hanging="357"/>
              <w:contextualSpacing w:val="0"/>
              <w:rPr>
                <w:rFonts w:cstheme="minorHAnsi"/>
                <w:b/>
                <w:bCs/>
                <w:sz w:val="21"/>
                <w:szCs w:val="21"/>
              </w:rPr>
            </w:pPr>
            <w:r w:rsidRPr="00367EEF">
              <w:rPr>
                <w:rFonts w:cstheme="minorHAnsi"/>
                <w:b/>
                <w:bCs/>
                <w:sz w:val="21"/>
                <w:szCs w:val="21"/>
              </w:rPr>
              <w:t xml:space="preserve">Multilateral Development Bank (MDB) knowledge-related work and investment projects  </w:t>
            </w:r>
          </w:p>
          <w:p w14:paraId="62C9BB30" w14:textId="77777777" w:rsidR="001E13C6" w:rsidRPr="00367EEF" w:rsidRDefault="001E13C6" w:rsidP="00AA6098">
            <w:pPr>
              <w:pStyle w:val="ListParagraph"/>
              <w:numPr>
                <w:ilvl w:val="0"/>
                <w:numId w:val="49"/>
              </w:numPr>
              <w:spacing w:before="0"/>
              <w:ind w:left="743" w:hanging="289"/>
              <w:contextualSpacing w:val="0"/>
              <w:rPr>
                <w:rFonts w:cstheme="minorHAnsi"/>
                <w:sz w:val="21"/>
                <w:szCs w:val="21"/>
              </w:rPr>
            </w:pPr>
            <w:r w:rsidRPr="00367EEF">
              <w:rPr>
                <w:rFonts w:cstheme="minorHAnsi"/>
                <w:sz w:val="21"/>
                <w:szCs w:val="21"/>
              </w:rPr>
              <w:lastRenderedPageBreak/>
              <w:t xml:space="preserve">Conduct knowledge and analytical work related to improving the enabling environment for infrastructure and climate financing, sector studies and policy/regulatory reforms </w:t>
            </w:r>
          </w:p>
          <w:p w14:paraId="701F1E2A" w14:textId="77777777" w:rsidR="001E13C6" w:rsidRPr="00367EEF" w:rsidRDefault="001E13C6" w:rsidP="00AA6098">
            <w:pPr>
              <w:pStyle w:val="ListParagraph"/>
              <w:numPr>
                <w:ilvl w:val="0"/>
                <w:numId w:val="49"/>
              </w:numPr>
              <w:spacing w:before="0"/>
              <w:ind w:left="743" w:hanging="289"/>
              <w:contextualSpacing w:val="0"/>
              <w:rPr>
                <w:rFonts w:cstheme="minorHAnsi"/>
                <w:sz w:val="21"/>
                <w:szCs w:val="21"/>
              </w:rPr>
            </w:pPr>
            <w:r w:rsidRPr="00367EEF">
              <w:rPr>
                <w:rFonts w:cstheme="minorHAnsi"/>
                <w:sz w:val="21"/>
                <w:szCs w:val="21"/>
              </w:rPr>
              <w:t xml:space="preserve">Undertake and advance policy dialogue with the GOI on priority policy/regulatory reform issues, in coordination with DFAT </w:t>
            </w:r>
          </w:p>
          <w:p w14:paraId="74D52984" w14:textId="77777777" w:rsidR="001E13C6" w:rsidRPr="00367EEF" w:rsidRDefault="001E13C6" w:rsidP="00AA6098">
            <w:pPr>
              <w:pStyle w:val="ListParagraph"/>
              <w:numPr>
                <w:ilvl w:val="0"/>
                <w:numId w:val="49"/>
              </w:numPr>
              <w:spacing w:before="0"/>
              <w:ind w:left="743" w:hanging="289"/>
              <w:contextualSpacing w:val="0"/>
              <w:rPr>
                <w:rFonts w:cstheme="minorHAnsi"/>
                <w:sz w:val="21"/>
                <w:szCs w:val="21"/>
              </w:rPr>
            </w:pPr>
            <w:r w:rsidRPr="00367EEF">
              <w:rPr>
                <w:rFonts w:cstheme="minorHAnsi"/>
                <w:sz w:val="21"/>
                <w:szCs w:val="21"/>
              </w:rPr>
              <w:t xml:space="preserve">Deliver technical assistance support, including project/program preparation processing for sovereign lending  </w:t>
            </w:r>
          </w:p>
          <w:p w14:paraId="30A69B53" w14:textId="77777777" w:rsidR="001E13C6" w:rsidRPr="00367EEF" w:rsidRDefault="001E13C6" w:rsidP="00AA6098">
            <w:pPr>
              <w:pStyle w:val="ListParagraph"/>
              <w:numPr>
                <w:ilvl w:val="0"/>
                <w:numId w:val="49"/>
              </w:numPr>
              <w:spacing w:before="0"/>
              <w:ind w:left="743" w:hanging="289"/>
              <w:contextualSpacing w:val="0"/>
              <w:rPr>
                <w:rFonts w:cstheme="minorHAnsi"/>
                <w:sz w:val="21"/>
                <w:szCs w:val="21"/>
              </w:rPr>
            </w:pPr>
            <w:r w:rsidRPr="00367EEF">
              <w:rPr>
                <w:rFonts w:cstheme="minorHAnsi"/>
                <w:sz w:val="21"/>
                <w:szCs w:val="21"/>
              </w:rPr>
              <w:t xml:space="preserve">Catalyse private sector investment through transaction advisory support, loans, equity and risk mitigation instruments </w:t>
            </w:r>
          </w:p>
        </w:tc>
        <w:tc>
          <w:tcPr>
            <w:tcW w:w="1418" w:type="dxa"/>
          </w:tcPr>
          <w:p w14:paraId="02A18810" w14:textId="77777777" w:rsidR="001E13C6" w:rsidRPr="00367EEF" w:rsidRDefault="001E13C6" w:rsidP="004428E5">
            <w:pPr>
              <w:rPr>
                <w:rFonts w:cstheme="minorHAnsi"/>
                <w:sz w:val="14"/>
                <w:szCs w:val="14"/>
              </w:rPr>
            </w:pPr>
            <w:r w:rsidRPr="00F051FC">
              <w:rPr>
                <w:rFonts w:cstheme="minorHAnsi"/>
                <w:i/>
                <w:iCs/>
              </w:rPr>
              <w:lastRenderedPageBreak/>
              <w:t>No responsibility</w:t>
            </w:r>
          </w:p>
        </w:tc>
        <w:tc>
          <w:tcPr>
            <w:tcW w:w="1407" w:type="dxa"/>
          </w:tcPr>
          <w:p w14:paraId="09ED772D"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7601B703"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3AD6F1BB"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63046308"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3A580A6A"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5E945C8C"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7CAF511B" w14:textId="77777777" w:rsidR="001E13C6" w:rsidRPr="00367EEF" w:rsidRDefault="001E13C6" w:rsidP="004428E5">
            <w:pPr>
              <w:rPr>
                <w:rFonts w:cstheme="minorHAnsi"/>
                <w:sz w:val="14"/>
                <w:szCs w:val="14"/>
              </w:rPr>
            </w:pPr>
            <w:r w:rsidRPr="00F051FC">
              <w:rPr>
                <w:rFonts w:cstheme="minorHAnsi"/>
                <w:i/>
                <w:iCs/>
              </w:rPr>
              <w:t>No responsibility</w:t>
            </w:r>
          </w:p>
        </w:tc>
      </w:tr>
      <w:tr w:rsidR="00DC4F04" w:rsidRPr="00367EEF" w14:paraId="6C3A9FDA" w14:textId="77777777" w:rsidTr="00DC4F04">
        <w:tc>
          <w:tcPr>
            <w:tcW w:w="5104" w:type="dxa"/>
          </w:tcPr>
          <w:p w14:paraId="38FC168C" w14:textId="77777777" w:rsidR="001E13C6" w:rsidRPr="00AA6098" w:rsidRDefault="001E13C6" w:rsidP="004428E5">
            <w:pPr>
              <w:pStyle w:val="ListParagraph"/>
              <w:numPr>
                <w:ilvl w:val="0"/>
                <w:numId w:val="34"/>
              </w:numPr>
              <w:spacing w:before="60"/>
              <w:ind w:left="357" w:hanging="357"/>
              <w:contextualSpacing w:val="0"/>
              <w:rPr>
                <w:rFonts w:cstheme="minorHAnsi"/>
                <w:sz w:val="21"/>
                <w:szCs w:val="21"/>
              </w:rPr>
            </w:pPr>
            <w:r w:rsidRPr="00AA6098">
              <w:rPr>
                <w:rFonts w:cstheme="minorHAnsi"/>
                <w:sz w:val="21"/>
                <w:szCs w:val="21"/>
              </w:rPr>
              <w:t xml:space="preserve">Financial market analysis and private sector engagement  </w:t>
            </w:r>
          </w:p>
          <w:p w14:paraId="39F9D373" w14:textId="77777777" w:rsidR="001E13C6" w:rsidRPr="00AA6098" w:rsidRDefault="001E13C6" w:rsidP="00AA6098">
            <w:pPr>
              <w:pStyle w:val="ListParagraph"/>
              <w:numPr>
                <w:ilvl w:val="0"/>
                <w:numId w:val="39"/>
              </w:numPr>
              <w:spacing w:before="0"/>
              <w:ind w:left="743" w:hanging="289"/>
              <w:contextualSpacing w:val="0"/>
              <w:rPr>
                <w:rFonts w:cstheme="minorHAnsi"/>
                <w:sz w:val="21"/>
                <w:szCs w:val="21"/>
              </w:rPr>
            </w:pPr>
            <w:r w:rsidRPr="00AA6098">
              <w:rPr>
                <w:rFonts w:cstheme="minorHAnsi"/>
                <w:sz w:val="21"/>
                <w:szCs w:val="21"/>
              </w:rPr>
              <w:t>Conduct analysis and maintain current understanding of the state of financial markets in Indonesia, pertaining to climate finance, green and sustainable investment, and sectors relevant to the Program</w:t>
            </w:r>
          </w:p>
          <w:p w14:paraId="4031AD68" w14:textId="77777777" w:rsidR="001E13C6" w:rsidRPr="00AA6098" w:rsidRDefault="001E13C6" w:rsidP="00AA6098">
            <w:pPr>
              <w:pStyle w:val="ListParagraph"/>
              <w:numPr>
                <w:ilvl w:val="0"/>
                <w:numId w:val="39"/>
              </w:numPr>
              <w:spacing w:before="0"/>
              <w:ind w:left="743" w:hanging="289"/>
              <w:contextualSpacing w:val="0"/>
              <w:rPr>
                <w:rFonts w:cstheme="minorHAnsi"/>
                <w:sz w:val="21"/>
                <w:szCs w:val="21"/>
              </w:rPr>
            </w:pPr>
            <w:r w:rsidRPr="00AA6098">
              <w:rPr>
                <w:rFonts w:cstheme="minorHAnsi"/>
                <w:sz w:val="21"/>
                <w:szCs w:val="21"/>
              </w:rPr>
              <w:t>Engage with and maintain relationships with key private sector actors in Indonesia and use relationships to facilitate investment and deals</w:t>
            </w:r>
          </w:p>
          <w:p w14:paraId="4CD64553" w14:textId="77777777" w:rsidR="001E13C6" w:rsidRPr="00AA6098" w:rsidRDefault="001E13C6" w:rsidP="00AA6098">
            <w:pPr>
              <w:pStyle w:val="ListParagraph"/>
              <w:numPr>
                <w:ilvl w:val="0"/>
                <w:numId w:val="39"/>
              </w:numPr>
              <w:spacing w:before="0"/>
              <w:ind w:left="743" w:hanging="289"/>
              <w:contextualSpacing w:val="0"/>
              <w:rPr>
                <w:rFonts w:cstheme="minorHAnsi"/>
                <w:sz w:val="21"/>
                <w:szCs w:val="21"/>
              </w:rPr>
            </w:pPr>
            <w:r w:rsidRPr="00AA6098">
              <w:rPr>
                <w:rFonts w:cstheme="minorHAnsi"/>
                <w:sz w:val="21"/>
                <w:szCs w:val="21"/>
              </w:rPr>
              <w:t>Develop and implement strategies for investing in green growth (in relevant sectors) in Indonesia, including intermediaries, fund managers, modalities, and investment vehicles</w:t>
            </w:r>
          </w:p>
          <w:p w14:paraId="532E5320" w14:textId="77777777" w:rsidR="001E13C6" w:rsidRPr="00AA6098" w:rsidRDefault="001E13C6" w:rsidP="00AA6098">
            <w:pPr>
              <w:pStyle w:val="ListParagraph"/>
              <w:numPr>
                <w:ilvl w:val="0"/>
                <w:numId w:val="39"/>
              </w:numPr>
              <w:spacing w:before="0"/>
              <w:ind w:left="743" w:hanging="289"/>
              <w:contextualSpacing w:val="0"/>
              <w:rPr>
                <w:rFonts w:cstheme="minorHAnsi"/>
                <w:sz w:val="21"/>
                <w:szCs w:val="21"/>
              </w:rPr>
            </w:pPr>
            <w:r w:rsidRPr="00AA6098">
              <w:rPr>
                <w:rFonts w:cstheme="minorHAnsi"/>
                <w:sz w:val="21"/>
                <w:szCs w:val="21"/>
              </w:rPr>
              <w:t xml:space="preserve">Design and establish investment mechanisms for medium-large deals. (30 million +) </w:t>
            </w:r>
          </w:p>
          <w:p w14:paraId="3337C187" w14:textId="77777777" w:rsidR="001E13C6" w:rsidRPr="00AA6098" w:rsidRDefault="001E13C6" w:rsidP="00AA6098">
            <w:pPr>
              <w:pStyle w:val="ListParagraph"/>
              <w:numPr>
                <w:ilvl w:val="0"/>
                <w:numId w:val="39"/>
              </w:numPr>
              <w:spacing w:before="0"/>
              <w:ind w:left="743" w:hanging="289"/>
              <w:contextualSpacing w:val="0"/>
              <w:rPr>
                <w:rFonts w:cstheme="minorHAnsi"/>
                <w:sz w:val="21"/>
                <w:szCs w:val="21"/>
              </w:rPr>
            </w:pPr>
            <w:r w:rsidRPr="00AA6098">
              <w:rPr>
                <w:rFonts w:cstheme="minorHAnsi"/>
                <w:sz w:val="21"/>
                <w:szCs w:val="21"/>
              </w:rPr>
              <w:lastRenderedPageBreak/>
              <w:t>Identify opportunities to invest in small and medium enterprises in Indonesia, particularly women led, that will contribute to low carbon development and green growth</w:t>
            </w:r>
          </w:p>
          <w:p w14:paraId="7D0815C8" w14:textId="77777777" w:rsidR="001E13C6" w:rsidRPr="00AA6098" w:rsidRDefault="001E13C6" w:rsidP="00AA6098">
            <w:pPr>
              <w:pStyle w:val="ListParagraph"/>
              <w:numPr>
                <w:ilvl w:val="0"/>
                <w:numId w:val="39"/>
              </w:numPr>
              <w:spacing w:before="0"/>
              <w:ind w:left="743" w:hanging="289"/>
              <w:contextualSpacing w:val="0"/>
              <w:rPr>
                <w:rFonts w:cstheme="minorHAnsi"/>
                <w:sz w:val="21"/>
                <w:szCs w:val="21"/>
              </w:rPr>
            </w:pPr>
            <w:r w:rsidRPr="00AA6098">
              <w:rPr>
                <w:rFonts w:cstheme="minorHAnsi"/>
                <w:sz w:val="21"/>
                <w:szCs w:val="21"/>
              </w:rPr>
              <w:t xml:space="preserve">Identify and partner with investment managers and fund managers </w:t>
            </w:r>
          </w:p>
          <w:p w14:paraId="3A388D45" w14:textId="77777777" w:rsidR="001E13C6" w:rsidRPr="00AA6098" w:rsidRDefault="001E13C6" w:rsidP="00AA6098">
            <w:pPr>
              <w:pStyle w:val="ListParagraph"/>
              <w:numPr>
                <w:ilvl w:val="0"/>
                <w:numId w:val="39"/>
              </w:numPr>
              <w:spacing w:before="0"/>
              <w:ind w:left="743" w:hanging="289"/>
              <w:contextualSpacing w:val="0"/>
              <w:rPr>
                <w:rFonts w:cstheme="minorHAnsi"/>
                <w:sz w:val="21"/>
                <w:szCs w:val="21"/>
              </w:rPr>
            </w:pPr>
            <w:r w:rsidRPr="00AA6098">
              <w:rPr>
                <w:rFonts w:cstheme="minorHAnsi"/>
                <w:sz w:val="21"/>
                <w:szCs w:val="21"/>
              </w:rPr>
              <w:t>Identify and report on challenges and constraints in the business and commercial enabling environment facing Indonesian private sector (SMEs and others)</w:t>
            </w:r>
          </w:p>
          <w:p w14:paraId="26907466" w14:textId="77777777" w:rsidR="001E13C6" w:rsidRPr="00AA6098" w:rsidRDefault="001E13C6" w:rsidP="00AA6098">
            <w:pPr>
              <w:pStyle w:val="ListParagraph"/>
              <w:numPr>
                <w:ilvl w:val="0"/>
                <w:numId w:val="39"/>
              </w:numPr>
              <w:spacing w:before="0"/>
              <w:ind w:left="743" w:hanging="289"/>
              <w:contextualSpacing w:val="0"/>
              <w:rPr>
                <w:rFonts w:cstheme="minorHAnsi"/>
                <w:sz w:val="21"/>
                <w:szCs w:val="21"/>
              </w:rPr>
            </w:pPr>
            <w:r w:rsidRPr="00AA6098">
              <w:rPr>
                <w:rFonts w:cstheme="minorHAnsi"/>
                <w:sz w:val="21"/>
                <w:szCs w:val="21"/>
              </w:rPr>
              <w:t>Oversee, monitor and report on investments and actions taken related to private sector engagement</w:t>
            </w:r>
          </w:p>
          <w:p w14:paraId="0ECE28DA" w14:textId="77777777" w:rsidR="001E13C6" w:rsidRPr="00AA6098" w:rsidRDefault="001E13C6" w:rsidP="00AA6098">
            <w:pPr>
              <w:pStyle w:val="ListParagraph"/>
              <w:numPr>
                <w:ilvl w:val="0"/>
                <w:numId w:val="39"/>
              </w:numPr>
              <w:spacing w:before="0"/>
              <w:ind w:left="743" w:hanging="289"/>
              <w:contextualSpacing w:val="0"/>
              <w:rPr>
                <w:rFonts w:cstheme="minorHAnsi"/>
                <w:sz w:val="21"/>
                <w:szCs w:val="21"/>
              </w:rPr>
            </w:pPr>
            <w:r w:rsidRPr="00AA6098">
              <w:rPr>
                <w:rFonts w:cstheme="minorHAnsi"/>
                <w:sz w:val="21"/>
                <w:szCs w:val="21"/>
              </w:rPr>
              <w:t>Provide advice and support to the Primary Contractor and DFAT as requested</w:t>
            </w:r>
          </w:p>
        </w:tc>
        <w:tc>
          <w:tcPr>
            <w:tcW w:w="1418" w:type="dxa"/>
          </w:tcPr>
          <w:p w14:paraId="1601E4BA" w14:textId="77777777" w:rsidR="001E13C6" w:rsidRPr="00F051FC" w:rsidRDefault="001E13C6" w:rsidP="004428E5">
            <w:pPr>
              <w:rPr>
                <w:rFonts w:cstheme="minorHAnsi"/>
                <w:i/>
                <w:iCs/>
              </w:rPr>
            </w:pPr>
            <w:r>
              <w:rPr>
                <w:rFonts w:cstheme="minorHAnsi"/>
                <w:i/>
                <w:iCs/>
              </w:rPr>
              <w:lastRenderedPageBreak/>
              <w:t>Secondary responsibility</w:t>
            </w:r>
          </w:p>
        </w:tc>
        <w:tc>
          <w:tcPr>
            <w:tcW w:w="1407" w:type="dxa"/>
          </w:tcPr>
          <w:p w14:paraId="61B06984" w14:textId="77777777" w:rsidR="001E13C6" w:rsidRPr="00F051FC" w:rsidRDefault="001E13C6" w:rsidP="004428E5">
            <w:pPr>
              <w:rPr>
                <w:rFonts w:cstheme="minorHAnsi"/>
                <w:i/>
                <w:iCs/>
              </w:rPr>
            </w:pPr>
            <w:r w:rsidRPr="00F051FC">
              <w:rPr>
                <w:rFonts w:cstheme="minorHAnsi"/>
                <w:i/>
                <w:iCs/>
              </w:rPr>
              <w:t>No responsibility</w:t>
            </w:r>
          </w:p>
        </w:tc>
        <w:tc>
          <w:tcPr>
            <w:tcW w:w="1372" w:type="dxa"/>
          </w:tcPr>
          <w:p w14:paraId="47CCE4C3"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1A70F7B1"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7ADAF586"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3D0A06AC"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44AECB07"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00AF9D85" w14:textId="77777777" w:rsidR="001E13C6" w:rsidRPr="00367EEF" w:rsidRDefault="001E13C6" w:rsidP="004428E5">
            <w:pPr>
              <w:rPr>
                <w:rFonts w:cstheme="minorHAnsi"/>
                <w:sz w:val="14"/>
                <w:szCs w:val="14"/>
              </w:rPr>
            </w:pPr>
            <w:r>
              <w:rPr>
                <w:rFonts w:cstheme="minorHAnsi"/>
                <w:i/>
                <w:iCs/>
              </w:rPr>
              <w:t>Secondary responsibility</w:t>
            </w:r>
          </w:p>
        </w:tc>
      </w:tr>
      <w:tr w:rsidR="00DC4F04" w:rsidRPr="00367EEF" w14:paraId="510ABDD4" w14:textId="77777777" w:rsidTr="00DC4F04">
        <w:tc>
          <w:tcPr>
            <w:tcW w:w="5104" w:type="dxa"/>
          </w:tcPr>
          <w:p w14:paraId="2013524E" w14:textId="77777777" w:rsidR="001E13C6" w:rsidRPr="00367EEF" w:rsidRDefault="001E13C6" w:rsidP="004428E5">
            <w:pPr>
              <w:pStyle w:val="ListParagraph"/>
              <w:numPr>
                <w:ilvl w:val="0"/>
                <w:numId w:val="34"/>
              </w:numPr>
              <w:spacing w:before="60"/>
              <w:ind w:left="357" w:hanging="357"/>
              <w:contextualSpacing w:val="0"/>
              <w:rPr>
                <w:rFonts w:cstheme="minorHAnsi"/>
                <w:b/>
                <w:bCs/>
                <w:sz w:val="21"/>
                <w:szCs w:val="21"/>
              </w:rPr>
            </w:pPr>
            <w:r w:rsidRPr="00367EEF">
              <w:rPr>
                <w:rFonts w:cstheme="minorHAnsi"/>
                <w:b/>
                <w:bCs/>
                <w:sz w:val="21"/>
                <w:szCs w:val="21"/>
              </w:rPr>
              <w:t xml:space="preserve">Financial and investment services including Fund Management, oversight and reporting  </w:t>
            </w:r>
          </w:p>
          <w:p w14:paraId="20492CC4" w14:textId="77777777" w:rsidR="001E13C6" w:rsidRPr="00367EEF" w:rsidRDefault="001E13C6" w:rsidP="00AA6098">
            <w:pPr>
              <w:pStyle w:val="ListParagraph"/>
              <w:numPr>
                <w:ilvl w:val="0"/>
                <w:numId w:val="38"/>
              </w:numPr>
              <w:spacing w:before="0"/>
              <w:ind w:left="743" w:hanging="289"/>
              <w:contextualSpacing w:val="0"/>
              <w:rPr>
                <w:rFonts w:cstheme="minorHAnsi"/>
                <w:sz w:val="21"/>
                <w:szCs w:val="21"/>
              </w:rPr>
            </w:pPr>
            <w:r w:rsidRPr="00367EEF">
              <w:rPr>
                <w:rFonts w:cstheme="minorHAnsi"/>
                <w:sz w:val="21"/>
                <w:szCs w:val="21"/>
              </w:rPr>
              <w:t>Manage capital investments to achieve market based financial return</w:t>
            </w:r>
          </w:p>
          <w:p w14:paraId="3247180C" w14:textId="77777777" w:rsidR="001E13C6" w:rsidRPr="00367EEF" w:rsidRDefault="001E13C6" w:rsidP="00AA6098">
            <w:pPr>
              <w:pStyle w:val="ListParagraph"/>
              <w:numPr>
                <w:ilvl w:val="0"/>
                <w:numId w:val="38"/>
              </w:numPr>
              <w:spacing w:before="0"/>
              <w:ind w:left="743" w:hanging="289"/>
              <w:contextualSpacing w:val="0"/>
              <w:rPr>
                <w:rFonts w:cstheme="minorHAnsi"/>
                <w:sz w:val="21"/>
                <w:szCs w:val="21"/>
              </w:rPr>
            </w:pPr>
            <w:r w:rsidRPr="00367EEF">
              <w:rPr>
                <w:rFonts w:cstheme="minorHAnsi"/>
                <w:sz w:val="21"/>
                <w:szCs w:val="21"/>
              </w:rPr>
              <w:t>Identify and develop opportunities to support SMEs and start-ups in low carbon development and green growth, that will crowd in other funding and investment</w:t>
            </w:r>
          </w:p>
          <w:p w14:paraId="6C724AB7" w14:textId="77777777" w:rsidR="001E13C6" w:rsidRPr="00367EEF" w:rsidRDefault="001E13C6" w:rsidP="00AA6098">
            <w:pPr>
              <w:pStyle w:val="ListParagraph"/>
              <w:numPr>
                <w:ilvl w:val="0"/>
                <w:numId w:val="38"/>
              </w:numPr>
              <w:spacing w:before="0"/>
              <w:ind w:left="743" w:hanging="289"/>
              <w:contextualSpacing w:val="0"/>
              <w:rPr>
                <w:rFonts w:cstheme="minorHAnsi"/>
                <w:sz w:val="21"/>
                <w:szCs w:val="21"/>
              </w:rPr>
            </w:pPr>
            <w:r w:rsidRPr="00367EEF">
              <w:rPr>
                <w:rFonts w:cstheme="minorHAnsi"/>
                <w:sz w:val="21"/>
                <w:szCs w:val="21"/>
              </w:rPr>
              <w:t xml:space="preserve">Invest, through loan, equity and other mechanisms, in identified small and medium enterprises  </w:t>
            </w:r>
          </w:p>
          <w:p w14:paraId="77A93DD2" w14:textId="77777777" w:rsidR="001E13C6" w:rsidRPr="00367EEF" w:rsidRDefault="001E13C6" w:rsidP="00AA6098">
            <w:pPr>
              <w:pStyle w:val="ListParagraph"/>
              <w:numPr>
                <w:ilvl w:val="0"/>
                <w:numId w:val="38"/>
              </w:numPr>
              <w:spacing w:before="0"/>
              <w:ind w:left="743" w:hanging="289"/>
              <w:contextualSpacing w:val="0"/>
              <w:rPr>
                <w:rFonts w:cstheme="minorHAnsi"/>
                <w:sz w:val="21"/>
                <w:szCs w:val="21"/>
              </w:rPr>
            </w:pPr>
            <w:r w:rsidRPr="00367EEF">
              <w:rPr>
                <w:rFonts w:cstheme="minorHAnsi"/>
                <w:sz w:val="21"/>
                <w:szCs w:val="21"/>
              </w:rPr>
              <w:t>Monitor and fund invested funds</w:t>
            </w:r>
          </w:p>
          <w:p w14:paraId="32B59E7F" w14:textId="77777777" w:rsidR="001E13C6" w:rsidRPr="00367EEF" w:rsidRDefault="001E13C6" w:rsidP="00AA6098">
            <w:pPr>
              <w:pStyle w:val="ListParagraph"/>
              <w:numPr>
                <w:ilvl w:val="0"/>
                <w:numId w:val="38"/>
              </w:numPr>
              <w:spacing w:before="0"/>
              <w:ind w:left="743" w:hanging="289"/>
              <w:contextualSpacing w:val="0"/>
              <w:rPr>
                <w:rFonts w:cstheme="minorHAnsi"/>
                <w:sz w:val="21"/>
                <w:szCs w:val="21"/>
              </w:rPr>
            </w:pPr>
            <w:r w:rsidRPr="00367EEF">
              <w:rPr>
                <w:rFonts w:cstheme="minorHAnsi"/>
                <w:sz w:val="21"/>
                <w:szCs w:val="21"/>
              </w:rPr>
              <w:t xml:space="preserve">Identify constraints and blockages for financial markets in attracting and supporting private </w:t>
            </w:r>
            <w:r w:rsidRPr="00367EEF">
              <w:rPr>
                <w:rFonts w:cstheme="minorHAnsi"/>
                <w:sz w:val="21"/>
                <w:szCs w:val="21"/>
              </w:rPr>
              <w:lastRenderedPageBreak/>
              <w:t>sector investment from domestic and international sources,</w:t>
            </w:r>
          </w:p>
          <w:p w14:paraId="7C8E35B1" w14:textId="77777777" w:rsidR="001E13C6" w:rsidRPr="00367EEF" w:rsidRDefault="001E13C6" w:rsidP="00AA6098">
            <w:pPr>
              <w:pStyle w:val="ListParagraph"/>
              <w:numPr>
                <w:ilvl w:val="0"/>
                <w:numId w:val="38"/>
              </w:numPr>
              <w:spacing w:before="0"/>
              <w:ind w:left="743" w:hanging="289"/>
              <w:contextualSpacing w:val="0"/>
              <w:rPr>
                <w:rFonts w:cstheme="minorHAnsi"/>
                <w:sz w:val="21"/>
                <w:szCs w:val="21"/>
              </w:rPr>
            </w:pPr>
            <w:r w:rsidRPr="00367EEF">
              <w:rPr>
                <w:rFonts w:cstheme="minorHAnsi"/>
                <w:sz w:val="21"/>
                <w:szCs w:val="21"/>
              </w:rPr>
              <w:t>Identify and report on challenges and constraints in the business and commercial enabling environment facing Indonesian private sector (SMEs and others)</w:t>
            </w:r>
          </w:p>
          <w:p w14:paraId="76AEB30B" w14:textId="77777777" w:rsidR="001E13C6" w:rsidRPr="00367EEF" w:rsidRDefault="001E13C6" w:rsidP="00AA6098">
            <w:pPr>
              <w:pStyle w:val="ListParagraph"/>
              <w:numPr>
                <w:ilvl w:val="0"/>
                <w:numId w:val="38"/>
              </w:numPr>
              <w:spacing w:before="0"/>
              <w:ind w:left="743" w:hanging="289"/>
              <w:contextualSpacing w:val="0"/>
              <w:rPr>
                <w:rFonts w:cstheme="minorHAnsi"/>
                <w:sz w:val="21"/>
                <w:szCs w:val="21"/>
              </w:rPr>
            </w:pPr>
            <w:r w:rsidRPr="00367EEF">
              <w:rPr>
                <w:rFonts w:cstheme="minorHAnsi"/>
                <w:sz w:val="21"/>
                <w:szCs w:val="21"/>
              </w:rPr>
              <w:t>Report on financial and non-financial returns from investments</w:t>
            </w:r>
          </w:p>
        </w:tc>
        <w:tc>
          <w:tcPr>
            <w:tcW w:w="1418" w:type="dxa"/>
          </w:tcPr>
          <w:p w14:paraId="2717B4FE" w14:textId="77777777" w:rsidR="001E13C6" w:rsidRPr="00367EEF" w:rsidRDefault="001E13C6" w:rsidP="004428E5">
            <w:pPr>
              <w:rPr>
                <w:rFonts w:cstheme="minorHAnsi"/>
                <w:sz w:val="14"/>
                <w:szCs w:val="14"/>
              </w:rPr>
            </w:pPr>
            <w:r w:rsidRPr="00F051FC">
              <w:rPr>
                <w:rFonts w:cstheme="minorHAnsi"/>
                <w:i/>
                <w:iCs/>
              </w:rPr>
              <w:lastRenderedPageBreak/>
              <w:t>No responsibility</w:t>
            </w:r>
          </w:p>
        </w:tc>
        <w:tc>
          <w:tcPr>
            <w:tcW w:w="1407" w:type="dxa"/>
          </w:tcPr>
          <w:p w14:paraId="538741D3" w14:textId="77777777" w:rsidR="001E13C6" w:rsidRPr="00367EEF" w:rsidRDefault="001E13C6" w:rsidP="004428E5">
            <w:pPr>
              <w:rPr>
                <w:rFonts w:cstheme="minorHAnsi"/>
                <w:sz w:val="14"/>
                <w:szCs w:val="14"/>
              </w:rPr>
            </w:pPr>
            <w:r w:rsidRPr="00F051FC">
              <w:rPr>
                <w:rFonts w:cstheme="minorHAnsi"/>
                <w:i/>
                <w:iCs/>
              </w:rPr>
              <w:t>No responsibility</w:t>
            </w:r>
            <w:r w:rsidRPr="00367EEF">
              <w:rPr>
                <w:rFonts w:cstheme="minorHAnsi"/>
                <w:sz w:val="14"/>
                <w:szCs w:val="14"/>
              </w:rPr>
              <w:t xml:space="preserve"> </w:t>
            </w:r>
          </w:p>
        </w:tc>
        <w:tc>
          <w:tcPr>
            <w:tcW w:w="1372" w:type="dxa"/>
          </w:tcPr>
          <w:p w14:paraId="06F5156C"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03437494"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4DDC08EA"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0D4EC6DD"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222FCC33"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1EB9980C" w14:textId="77777777" w:rsidR="001E13C6" w:rsidRPr="00367EEF" w:rsidRDefault="001E13C6" w:rsidP="004428E5">
            <w:pPr>
              <w:rPr>
                <w:rFonts w:cstheme="minorHAnsi"/>
                <w:sz w:val="14"/>
                <w:szCs w:val="14"/>
              </w:rPr>
            </w:pPr>
            <w:r w:rsidRPr="00F051FC">
              <w:rPr>
                <w:rFonts w:cstheme="minorHAnsi"/>
                <w:i/>
                <w:iCs/>
              </w:rPr>
              <w:t>No responsibility</w:t>
            </w:r>
          </w:p>
        </w:tc>
      </w:tr>
      <w:tr w:rsidR="00DC4F04" w:rsidRPr="00367EEF" w14:paraId="787A2FE8" w14:textId="77777777" w:rsidTr="00DC4F04">
        <w:tc>
          <w:tcPr>
            <w:tcW w:w="5104" w:type="dxa"/>
          </w:tcPr>
          <w:p w14:paraId="24215412" w14:textId="77777777" w:rsidR="001E13C6" w:rsidRPr="00367EEF" w:rsidRDefault="001E13C6" w:rsidP="004428E5">
            <w:pPr>
              <w:pStyle w:val="ListParagraph"/>
              <w:numPr>
                <w:ilvl w:val="0"/>
                <w:numId w:val="34"/>
              </w:numPr>
              <w:spacing w:before="60"/>
              <w:ind w:left="357" w:hanging="357"/>
              <w:contextualSpacing w:val="0"/>
              <w:rPr>
                <w:rFonts w:cstheme="minorHAnsi"/>
                <w:sz w:val="21"/>
                <w:szCs w:val="21"/>
              </w:rPr>
            </w:pPr>
            <w:r w:rsidRPr="00367EEF">
              <w:rPr>
                <w:rFonts w:cstheme="minorHAnsi"/>
                <w:b/>
                <w:bCs/>
                <w:sz w:val="21"/>
                <w:szCs w:val="21"/>
              </w:rPr>
              <w:t xml:space="preserve">Project transaction advisory technical services </w:t>
            </w:r>
            <w:r w:rsidRPr="00367EEF">
              <w:rPr>
                <w:rFonts w:cstheme="minorHAnsi"/>
                <w:sz w:val="21"/>
                <w:szCs w:val="21"/>
              </w:rPr>
              <w:t>(</w:t>
            </w:r>
            <w:r w:rsidRPr="00367EEF">
              <w:rPr>
                <w:rFonts w:cstheme="minorHAnsi"/>
                <w:i/>
                <w:iCs/>
                <w:sz w:val="21"/>
                <w:szCs w:val="21"/>
              </w:rPr>
              <w:t>to be pilot tested in Year 1 or 2 for proof of concept before scaling up)</w:t>
            </w:r>
            <w:r w:rsidRPr="00367EEF">
              <w:rPr>
                <w:rFonts w:cstheme="minorHAnsi"/>
                <w:sz w:val="21"/>
                <w:szCs w:val="21"/>
              </w:rPr>
              <w:t xml:space="preserve"> </w:t>
            </w:r>
          </w:p>
          <w:p w14:paraId="2DA2F927" w14:textId="77777777" w:rsidR="001E13C6" w:rsidRPr="00367EEF" w:rsidRDefault="001E13C6" w:rsidP="00AA6098">
            <w:pPr>
              <w:pStyle w:val="ListParagraph"/>
              <w:numPr>
                <w:ilvl w:val="0"/>
                <w:numId w:val="50"/>
              </w:numPr>
              <w:spacing w:before="0"/>
              <w:ind w:left="743" w:hanging="289"/>
              <w:contextualSpacing w:val="0"/>
              <w:rPr>
                <w:rFonts w:cstheme="minorHAnsi"/>
                <w:sz w:val="21"/>
                <w:szCs w:val="21"/>
              </w:rPr>
            </w:pPr>
            <w:r w:rsidRPr="00367EEF">
              <w:rPr>
                <w:rFonts w:cstheme="minorHAnsi"/>
                <w:sz w:val="21"/>
                <w:szCs w:val="21"/>
              </w:rPr>
              <w:t>In consultation with GCAs, develop overall procurement plan, evaluation criteria and bidding documents consistent with relevant legal and regulatory frameworks</w:t>
            </w:r>
          </w:p>
          <w:p w14:paraId="603D1300" w14:textId="77777777" w:rsidR="001E13C6" w:rsidRPr="00367EEF" w:rsidRDefault="001E13C6" w:rsidP="00AA6098">
            <w:pPr>
              <w:pStyle w:val="ListParagraph"/>
              <w:numPr>
                <w:ilvl w:val="0"/>
                <w:numId w:val="50"/>
              </w:numPr>
              <w:spacing w:before="0"/>
              <w:ind w:left="743" w:hanging="289"/>
              <w:contextualSpacing w:val="0"/>
              <w:rPr>
                <w:rFonts w:cstheme="minorHAnsi"/>
                <w:sz w:val="21"/>
                <w:szCs w:val="21"/>
              </w:rPr>
            </w:pPr>
            <w:r w:rsidRPr="00367EEF">
              <w:rPr>
                <w:rFonts w:cstheme="minorHAnsi"/>
                <w:sz w:val="21"/>
                <w:szCs w:val="21"/>
              </w:rPr>
              <w:t xml:space="preserve">Support bidding and proposal evaluation, including pre-bid conference and follow-on appraisal work </w:t>
            </w:r>
          </w:p>
          <w:p w14:paraId="220ECBEE" w14:textId="77777777" w:rsidR="001E13C6" w:rsidRPr="00367EEF" w:rsidRDefault="001E13C6" w:rsidP="00AA6098">
            <w:pPr>
              <w:pStyle w:val="ListParagraph"/>
              <w:numPr>
                <w:ilvl w:val="0"/>
                <w:numId w:val="50"/>
              </w:numPr>
              <w:spacing w:before="0"/>
              <w:ind w:left="743" w:hanging="289"/>
              <w:contextualSpacing w:val="0"/>
              <w:rPr>
                <w:rFonts w:cstheme="minorHAnsi"/>
                <w:sz w:val="21"/>
                <w:szCs w:val="21"/>
              </w:rPr>
            </w:pPr>
            <w:r w:rsidRPr="00367EEF">
              <w:rPr>
                <w:rFonts w:cstheme="minorHAnsi"/>
                <w:sz w:val="21"/>
                <w:szCs w:val="21"/>
              </w:rPr>
              <w:t>Support negotiations with winning bidder, due diligence and finalisation of commercial closure</w:t>
            </w:r>
          </w:p>
          <w:p w14:paraId="2CB236A3" w14:textId="77777777" w:rsidR="001E13C6" w:rsidRPr="00367EEF" w:rsidRDefault="001E13C6" w:rsidP="00AA6098">
            <w:pPr>
              <w:pStyle w:val="ListParagraph"/>
              <w:numPr>
                <w:ilvl w:val="0"/>
                <w:numId w:val="50"/>
              </w:numPr>
              <w:spacing w:before="0"/>
              <w:ind w:left="743" w:hanging="289"/>
              <w:contextualSpacing w:val="0"/>
              <w:rPr>
                <w:rFonts w:cstheme="minorHAnsi"/>
                <w:sz w:val="21"/>
                <w:szCs w:val="21"/>
              </w:rPr>
            </w:pPr>
            <w:r w:rsidRPr="00367EEF">
              <w:rPr>
                <w:rFonts w:cstheme="minorHAnsi"/>
                <w:sz w:val="21"/>
                <w:szCs w:val="21"/>
              </w:rPr>
              <w:t xml:space="preserve">Provide follow-up support for achieving financial closure   </w:t>
            </w:r>
          </w:p>
        </w:tc>
        <w:tc>
          <w:tcPr>
            <w:tcW w:w="1418" w:type="dxa"/>
          </w:tcPr>
          <w:p w14:paraId="4BE6E880" w14:textId="77777777" w:rsidR="001E13C6" w:rsidRPr="00367EEF" w:rsidRDefault="001E13C6" w:rsidP="004428E5">
            <w:pPr>
              <w:rPr>
                <w:rFonts w:cstheme="minorHAnsi"/>
                <w:sz w:val="14"/>
                <w:szCs w:val="14"/>
              </w:rPr>
            </w:pPr>
            <w:r w:rsidRPr="00F051FC">
              <w:rPr>
                <w:rFonts w:cstheme="minorHAnsi"/>
                <w:i/>
                <w:iCs/>
              </w:rPr>
              <w:t>No responsibility</w:t>
            </w:r>
          </w:p>
        </w:tc>
        <w:tc>
          <w:tcPr>
            <w:tcW w:w="1407" w:type="dxa"/>
          </w:tcPr>
          <w:p w14:paraId="747255CE"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6152C1D6"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3EE30E47"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27A783F9"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607EBA8D"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78C79DEB"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1D023363" w14:textId="77777777" w:rsidR="001E13C6" w:rsidRPr="00367EEF" w:rsidRDefault="001E13C6" w:rsidP="004428E5">
            <w:pPr>
              <w:rPr>
                <w:rFonts w:cstheme="minorHAnsi"/>
                <w:sz w:val="14"/>
                <w:szCs w:val="14"/>
              </w:rPr>
            </w:pPr>
            <w:r w:rsidRPr="00F051FC">
              <w:rPr>
                <w:rFonts w:cstheme="minorHAnsi"/>
                <w:i/>
                <w:iCs/>
              </w:rPr>
              <w:t>No responsibility</w:t>
            </w:r>
          </w:p>
        </w:tc>
      </w:tr>
      <w:tr w:rsidR="00DC4F04" w:rsidRPr="00367EEF" w14:paraId="7D28F444" w14:textId="77777777" w:rsidTr="00DC4F04">
        <w:tc>
          <w:tcPr>
            <w:tcW w:w="5104" w:type="dxa"/>
          </w:tcPr>
          <w:p w14:paraId="028CDA69" w14:textId="77777777" w:rsidR="001E13C6" w:rsidRPr="00367EEF" w:rsidRDefault="001E13C6" w:rsidP="004428E5">
            <w:pPr>
              <w:pStyle w:val="ListParagraph"/>
              <w:numPr>
                <w:ilvl w:val="0"/>
                <w:numId w:val="34"/>
              </w:numPr>
              <w:spacing w:before="60"/>
              <w:ind w:left="357" w:hanging="357"/>
              <w:contextualSpacing w:val="0"/>
              <w:rPr>
                <w:rFonts w:cstheme="minorHAnsi"/>
                <w:sz w:val="21"/>
                <w:szCs w:val="21"/>
              </w:rPr>
            </w:pPr>
            <w:r w:rsidRPr="00367EEF">
              <w:rPr>
                <w:rFonts w:cstheme="minorHAnsi"/>
                <w:b/>
                <w:bCs/>
                <w:sz w:val="21"/>
                <w:szCs w:val="21"/>
              </w:rPr>
              <w:t xml:space="preserve">Technical services to support strategic program management and delivery </w:t>
            </w:r>
          </w:p>
          <w:p w14:paraId="70A39CD2" w14:textId="77777777" w:rsidR="001E13C6" w:rsidRPr="00367EEF" w:rsidRDefault="001E13C6" w:rsidP="00AA6098">
            <w:pPr>
              <w:pStyle w:val="ListParagraph"/>
              <w:numPr>
                <w:ilvl w:val="0"/>
                <w:numId w:val="51"/>
              </w:numPr>
              <w:spacing w:before="0"/>
              <w:ind w:left="743" w:hanging="289"/>
              <w:contextualSpacing w:val="0"/>
              <w:rPr>
                <w:rFonts w:cstheme="minorHAnsi"/>
                <w:sz w:val="21"/>
                <w:szCs w:val="21"/>
              </w:rPr>
            </w:pPr>
            <w:r w:rsidRPr="00367EEF">
              <w:rPr>
                <w:rFonts w:cstheme="minorHAnsi"/>
                <w:sz w:val="21"/>
                <w:szCs w:val="21"/>
              </w:rPr>
              <w:t xml:space="preserve">Design and manage program that is responsive to wide range of stakeholders and aligned with strategic, developmental and sectoral priorities </w:t>
            </w:r>
          </w:p>
          <w:p w14:paraId="4FC42AB6" w14:textId="77777777" w:rsidR="001E13C6" w:rsidRPr="00367EEF" w:rsidRDefault="001E13C6" w:rsidP="00AA6098">
            <w:pPr>
              <w:pStyle w:val="ListParagraph"/>
              <w:numPr>
                <w:ilvl w:val="0"/>
                <w:numId w:val="51"/>
              </w:numPr>
              <w:spacing w:before="0"/>
              <w:ind w:left="743" w:hanging="289"/>
              <w:contextualSpacing w:val="0"/>
              <w:rPr>
                <w:rFonts w:cstheme="minorHAnsi"/>
                <w:sz w:val="21"/>
                <w:szCs w:val="21"/>
              </w:rPr>
            </w:pPr>
            <w:r w:rsidRPr="00367EEF">
              <w:rPr>
                <w:rFonts w:cstheme="minorHAnsi"/>
                <w:sz w:val="21"/>
                <w:szCs w:val="21"/>
              </w:rPr>
              <w:lastRenderedPageBreak/>
              <w:t xml:space="preserve">Apply sound political economy analysis to inform program strategic engagement and activity design </w:t>
            </w:r>
          </w:p>
          <w:p w14:paraId="33A773CA" w14:textId="77777777" w:rsidR="001E13C6" w:rsidRPr="00367EEF" w:rsidRDefault="001E13C6" w:rsidP="00AA6098">
            <w:pPr>
              <w:pStyle w:val="ListParagraph"/>
              <w:numPr>
                <w:ilvl w:val="0"/>
                <w:numId w:val="51"/>
              </w:numPr>
              <w:spacing w:before="0"/>
              <w:ind w:left="743" w:hanging="289"/>
              <w:contextualSpacing w:val="0"/>
              <w:rPr>
                <w:rFonts w:cstheme="minorHAnsi"/>
                <w:sz w:val="21"/>
                <w:szCs w:val="21"/>
              </w:rPr>
            </w:pPr>
            <w:r w:rsidRPr="00367EEF">
              <w:rPr>
                <w:rFonts w:cstheme="minorHAnsi"/>
                <w:sz w:val="21"/>
                <w:szCs w:val="21"/>
              </w:rPr>
              <w:t xml:space="preserve">Deliver high-quality technical and context specific infrastructure and climate financing expertise in a responsive and efficient manner </w:t>
            </w:r>
          </w:p>
          <w:p w14:paraId="3A11E6E6" w14:textId="77777777" w:rsidR="001E13C6" w:rsidRPr="00367EEF" w:rsidRDefault="001E13C6" w:rsidP="00AA6098">
            <w:pPr>
              <w:pStyle w:val="ListParagraph"/>
              <w:numPr>
                <w:ilvl w:val="0"/>
                <w:numId w:val="51"/>
              </w:numPr>
              <w:spacing w:before="0"/>
              <w:ind w:left="743" w:hanging="289"/>
              <w:contextualSpacing w:val="0"/>
              <w:rPr>
                <w:rFonts w:cstheme="minorHAnsi"/>
                <w:sz w:val="21"/>
                <w:szCs w:val="21"/>
              </w:rPr>
            </w:pPr>
            <w:r w:rsidRPr="00367EEF">
              <w:rPr>
                <w:rFonts w:cstheme="minorHAnsi"/>
                <w:sz w:val="21"/>
                <w:szCs w:val="21"/>
              </w:rPr>
              <w:t xml:space="preserve">Develop and maintain diverse and effective partnerships across government, private sector, MDBs and other development partners, civil society, and academia to support a broad ecosystem approach to infrastructure and climate financing </w:t>
            </w:r>
          </w:p>
          <w:p w14:paraId="5BD3C937" w14:textId="77777777" w:rsidR="001E13C6" w:rsidRPr="00367EEF" w:rsidRDefault="001E13C6" w:rsidP="00AA6098">
            <w:pPr>
              <w:pStyle w:val="ListParagraph"/>
              <w:numPr>
                <w:ilvl w:val="0"/>
                <w:numId w:val="51"/>
              </w:numPr>
              <w:spacing w:before="0"/>
              <w:ind w:left="743" w:hanging="289"/>
              <w:contextualSpacing w:val="0"/>
              <w:rPr>
                <w:rFonts w:cstheme="minorHAnsi"/>
                <w:sz w:val="21"/>
                <w:szCs w:val="21"/>
              </w:rPr>
            </w:pPr>
            <w:r w:rsidRPr="00367EEF">
              <w:rPr>
                <w:rFonts w:cstheme="minorHAnsi"/>
                <w:sz w:val="21"/>
                <w:szCs w:val="21"/>
              </w:rPr>
              <w:t>Ensure corporate and program operational systems provide strong procurement, financial management, risk mitigation, and capacity to deliver core DFAT policy priorities</w:t>
            </w:r>
          </w:p>
        </w:tc>
        <w:tc>
          <w:tcPr>
            <w:tcW w:w="1418" w:type="dxa"/>
          </w:tcPr>
          <w:p w14:paraId="66DB1DA4" w14:textId="77777777" w:rsidR="001E13C6" w:rsidRPr="00367EEF" w:rsidRDefault="001E13C6" w:rsidP="004428E5">
            <w:pPr>
              <w:rPr>
                <w:rFonts w:cstheme="minorHAnsi"/>
                <w:sz w:val="14"/>
                <w:szCs w:val="14"/>
              </w:rPr>
            </w:pPr>
            <w:r w:rsidRPr="00367EEF">
              <w:rPr>
                <w:rFonts w:cstheme="minorHAnsi"/>
                <w:i/>
                <w:iCs/>
              </w:rPr>
              <w:lastRenderedPageBreak/>
              <w:t>P</w:t>
            </w:r>
            <w:r>
              <w:rPr>
                <w:rFonts w:cstheme="minorHAnsi"/>
                <w:i/>
                <w:iCs/>
              </w:rPr>
              <w:t>rimary responsibility</w:t>
            </w:r>
          </w:p>
        </w:tc>
        <w:tc>
          <w:tcPr>
            <w:tcW w:w="1407" w:type="dxa"/>
          </w:tcPr>
          <w:p w14:paraId="7F0D1489"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33D9C48E"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44564DEF"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3DF89534"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0480BB65"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59A1BA73"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2C7AC6CA" w14:textId="77777777" w:rsidR="001E13C6" w:rsidRPr="00367EEF" w:rsidRDefault="001E13C6" w:rsidP="004428E5">
            <w:pPr>
              <w:rPr>
                <w:rFonts w:cstheme="minorHAnsi"/>
                <w:sz w:val="14"/>
                <w:szCs w:val="14"/>
              </w:rPr>
            </w:pPr>
            <w:r w:rsidRPr="00F051FC">
              <w:rPr>
                <w:rFonts w:cstheme="minorHAnsi"/>
                <w:i/>
                <w:iCs/>
              </w:rPr>
              <w:t>No responsibility</w:t>
            </w:r>
          </w:p>
        </w:tc>
      </w:tr>
      <w:tr w:rsidR="00DC4F04" w:rsidRPr="00367EEF" w14:paraId="61AC1350" w14:textId="77777777" w:rsidTr="00DC4F04">
        <w:tc>
          <w:tcPr>
            <w:tcW w:w="5104" w:type="dxa"/>
          </w:tcPr>
          <w:p w14:paraId="272FE072" w14:textId="77777777" w:rsidR="001E13C6" w:rsidRPr="00367EEF" w:rsidRDefault="001E13C6" w:rsidP="004428E5">
            <w:pPr>
              <w:pStyle w:val="ListParagraph"/>
              <w:numPr>
                <w:ilvl w:val="0"/>
                <w:numId w:val="34"/>
              </w:numPr>
              <w:spacing w:before="60"/>
              <w:ind w:left="357" w:hanging="357"/>
              <w:contextualSpacing w:val="0"/>
              <w:rPr>
                <w:rFonts w:cstheme="minorHAnsi"/>
                <w:b/>
                <w:bCs/>
                <w:sz w:val="21"/>
                <w:szCs w:val="21"/>
              </w:rPr>
            </w:pPr>
            <w:r w:rsidRPr="00367EEF">
              <w:rPr>
                <w:rFonts w:cstheme="minorHAnsi"/>
                <w:b/>
                <w:bCs/>
                <w:sz w:val="21"/>
                <w:szCs w:val="21"/>
              </w:rPr>
              <w:t>Community engagement and civil society sector strengthening</w:t>
            </w:r>
          </w:p>
          <w:p w14:paraId="72C2461C" w14:textId="77777777" w:rsidR="001E13C6" w:rsidRPr="00367EEF" w:rsidRDefault="001E13C6" w:rsidP="00AA6098">
            <w:pPr>
              <w:pStyle w:val="ListParagraph"/>
              <w:numPr>
                <w:ilvl w:val="0"/>
                <w:numId w:val="40"/>
              </w:numPr>
              <w:spacing w:before="0"/>
              <w:ind w:left="743" w:hanging="289"/>
              <w:contextualSpacing w:val="0"/>
              <w:rPr>
                <w:rFonts w:cstheme="minorHAnsi"/>
                <w:sz w:val="21"/>
                <w:szCs w:val="21"/>
              </w:rPr>
            </w:pPr>
            <w:r w:rsidRPr="00367EEF">
              <w:rPr>
                <w:rFonts w:cstheme="minorHAnsi"/>
                <w:sz w:val="21"/>
                <w:szCs w:val="21"/>
              </w:rPr>
              <w:t>Engage with civil society networks and coalitions involved in climate mitigation and adaption policies and programs</w:t>
            </w:r>
          </w:p>
          <w:p w14:paraId="22089211" w14:textId="77777777" w:rsidR="001E13C6" w:rsidRPr="00367EEF" w:rsidRDefault="001E13C6" w:rsidP="00AA6098">
            <w:pPr>
              <w:pStyle w:val="ListParagraph"/>
              <w:numPr>
                <w:ilvl w:val="0"/>
                <w:numId w:val="40"/>
              </w:numPr>
              <w:spacing w:before="0"/>
              <w:ind w:left="743" w:hanging="289"/>
              <w:contextualSpacing w:val="0"/>
              <w:rPr>
                <w:rFonts w:cstheme="minorHAnsi"/>
                <w:sz w:val="21"/>
                <w:szCs w:val="21"/>
              </w:rPr>
            </w:pPr>
            <w:r w:rsidRPr="00367EEF">
              <w:rPr>
                <w:rFonts w:cstheme="minorHAnsi"/>
                <w:sz w:val="21"/>
                <w:szCs w:val="21"/>
              </w:rPr>
              <w:t>Engage with Disabled Persons Organisations and support their participation in policy and programming, as relevant to the programs Activities and Projects</w:t>
            </w:r>
          </w:p>
          <w:p w14:paraId="3DD84D40" w14:textId="77777777" w:rsidR="001E13C6" w:rsidRPr="00367EEF" w:rsidRDefault="001E13C6" w:rsidP="00AA6098">
            <w:pPr>
              <w:pStyle w:val="ListParagraph"/>
              <w:numPr>
                <w:ilvl w:val="0"/>
                <w:numId w:val="40"/>
              </w:numPr>
              <w:spacing w:before="0"/>
              <w:ind w:left="743" w:hanging="289"/>
              <w:contextualSpacing w:val="0"/>
              <w:rPr>
                <w:rFonts w:cstheme="minorHAnsi"/>
                <w:sz w:val="21"/>
                <w:szCs w:val="21"/>
              </w:rPr>
            </w:pPr>
            <w:r w:rsidRPr="00367EEF">
              <w:rPr>
                <w:rFonts w:cstheme="minorHAnsi"/>
                <w:sz w:val="21"/>
                <w:szCs w:val="21"/>
              </w:rPr>
              <w:t>Engage with CSOs and CBOs in communities affected by planned infrastructure projects</w:t>
            </w:r>
          </w:p>
          <w:p w14:paraId="2E185722" w14:textId="77777777" w:rsidR="001E13C6" w:rsidRPr="00367EEF" w:rsidRDefault="001E13C6" w:rsidP="00AA6098">
            <w:pPr>
              <w:pStyle w:val="ListParagraph"/>
              <w:numPr>
                <w:ilvl w:val="0"/>
                <w:numId w:val="40"/>
              </w:numPr>
              <w:spacing w:before="0"/>
              <w:ind w:left="743" w:hanging="289"/>
              <w:contextualSpacing w:val="0"/>
              <w:rPr>
                <w:rFonts w:cstheme="minorHAnsi"/>
                <w:sz w:val="21"/>
                <w:szCs w:val="21"/>
              </w:rPr>
            </w:pPr>
            <w:r w:rsidRPr="00367EEF">
              <w:rPr>
                <w:rFonts w:cstheme="minorHAnsi"/>
                <w:sz w:val="21"/>
                <w:szCs w:val="21"/>
              </w:rPr>
              <w:t xml:space="preserve">Develop and administer small grants scheme for local CSOs and CBOs to facilitate their participation in policy and programming for </w:t>
            </w:r>
            <w:r w:rsidRPr="00367EEF">
              <w:rPr>
                <w:rFonts w:cstheme="minorHAnsi"/>
                <w:sz w:val="21"/>
                <w:szCs w:val="21"/>
              </w:rPr>
              <w:lastRenderedPageBreak/>
              <w:t>green growth, and for infrastructure planning and implementation, as relevant to focus sectors and locations of the Program</w:t>
            </w:r>
          </w:p>
          <w:p w14:paraId="76D386BE" w14:textId="77777777" w:rsidR="001E13C6" w:rsidRPr="00367EEF" w:rsidRDefault="001E13C6" w:rsidP="00AA6098">
            <w:pPr>
              <w:pStyle w:val="ListParagraph"/>
              <w:numPr>
                <w:ilvl w:val="0"/>
                <w:numId w:val="40"/>
              </w:numPr>
              <w:spacing w:before="0"/>
              <w:ind w:left="743" w:hanging="289"/>
              <w:contextualSpacing w:val="0"/>
              <w:rPr>
                <w:rFonts w:cstheme="minorHAnsi"/>
                <w:sz w:val="21"/>
                <w:szCs w:val="21"/>
              </w:rPr>
            </w:pPr>
            <w:r w:rsidRPr="00367EEF">
              <w:rPr>
                <w:rFonts w:cstheme="minorHAnsi"/>
                <w:sz w:val="21"/>
                <w:szCs w:val="21"/>
              </w:rPr>
              <w:t>Provide institutional strengthening and support as required to facilitate selected CSO participation in the grants scheme to enable them to fulfil their obligations and compliance requirements</w:t>
            </w:r>
          </w:p>
          <w:p w14:paraId="2BE52D99" w14:textId="77777777" w:rsidR="001E13C6" w:rsidRPr="00367EEF" w:rsidRDefault="001E13C6" w:rsidP="00AA6098">
            <w:pPr>
              <w:pStyle w:val="ListParagraph"/>
              <w:numPr>
                <w:ilvl w:val="0"/>
                <w:numId w:val="40"/>
              </w:numPr>
              <w:spacing w:before="0"/>
              <w:ind w:left="743" w:hanging="289"/>
              <w:contextualSpacing w:val="0"/>
              <w:rPr>
                <w:rFonts w:cstheme="minorHAnsi"/>
                <w:sz w:val="21"/>
                <w:szCs w:val="21"/>
              </w:rPr>
            </w:pPr>
            <w:r w:rsidRPr="00367EEF">
              <w:rPr>
                <w:rFonts w:cstheme="minorHAnsi"/>
                <w:sz w:val="21"/>
                <w:szCs w:val="21"/>
              </w:rPr>
              <w:t>Monitor, review and evaluate small grants, and report on their contribution to Program-wide outputs and outcomes.</w:t>
            </w:r>
          </w:p>
        </w:tc>
        <w:tc>
          <w:tcPr>
            <w:tcW w:w="1418" w:type="dxa"/>
          </w:tcPr>
          <w:p w14:paraId="121302C1" w14:textId="77777777" w:rsidR="001E13C6" w:rsidRPr="00367EEF" w:rsidRDefault="001E13C6" w:rsidP="004428E5">
            <w:pPr>
              <w:rPr>
                <w:rFonts w:cstheme="minorHAnsi"/>
                <w:sz w:val="14"/>
                <w:szCs w:val="14"/>
              </w:rPr>
            </w:pPr>
            <w:r w:rsidRPr="00F051FC">
              <w:rPr>
                <w:rFonts w:cstheme="minorHAnsi"/>
                <w:i/>
                <w:iCs/>
              </w:rPr>
              <w:lastRenderedPageBreak/>
              <w:t>No responsibility</w:t>
            </w:r>
          </w:p>
        </w:tc>
        <w:tc>
          <w:tcPr>
            <w:tcW w:w="1407" w:type="dxa"/>
          </w:tcPr>
          <w:p w14:paraId="7E5D541E"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5D70F0F7"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50D92D7D"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36B2F49E"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0A5F33EF"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015805D6"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28E48416" w14:textId="77777777" w:rsidR="001E13C6" w:rsidRPr="00367EEF" w:rsidRDefault="001E13C6" w:rsidP="004428E5">
            <w:pPr>
              <w:rPr>
                <w:rFonts w:cstheme="minorHAnsi"/>
                <w:sz w:val="14"/>
                <w:szCs w:val="14"/>
              </w:rPr>
            </w:pPr>
            <w:r w:rsidRPr="00F051FC">
              <w:rPr>
                <w:rFonts w:cstheme="minorHAnsi"/>
                <w:i/>
                <w:iCs/>
              </w:rPr>
              <w:t>No responsibility</w:t>
            </w:r>
          </w:p>
        </w:tc>
      </w:tr>
      <w:tr w:rsidR="00DC4F04" w:rsidRPr="00367EEF" w14:paraId="5FBC216D" w14:textId="77777777" w:rsidTr="00DC4F04">
        <w:tc>
          <w:tcPr>
            <w:tcW w:w="5104" w:type="dxa"/>
          </w:tcPr>
          <w:p w14:paraId="216DC8CE" w14:textId="77777777" w:rsidR="001E13C6" w:rsidRPr="00367EEF" w:rsidRDefault="001E13C6" w:rsidP="004428E5">
            <w:pPr>
              <w:pStyle w:val="ListParagraph"/>
              <w:numPr>
                <w:ilvl w:val="0"/>
                <w:numId w:val="34"/>
              </w:numPr>
              <w:spacing w:before="60"/>
              <w:ind w:left="357" w:hanging="357"/>
              <w:contextualSpacing w:val="0"/>
              <w:rPr>
                <w:rFonts w:cstheme="minorHAnsi"/>
                <w:b/>
                <w:bCs/>
                <w:sz w:val="21"/>
                <w:szCs w:val="21"/>
              </w:rPr>
            </w:pPr>
            <w:r w:rsidRPr="00367EEF">
              <w:rPr>
                <w:rFonts w:cstheme="minorHAnsi"/>
                <w:b/>
                <w:bCs/>
                <w:sz w:val="21"/>
                <w:szCs w:val="21"/>
              </w:rPr>
              <w:t>Coordination, collaboration and stakeholder engagement</w:t>
            </w:r>
          </w:p>
          <w:p w14:paraId="0BBD55D0" w14:textId="77777777" w:rsidR="001E13C6" w:rsidRPr="00367EEF" w:rsidRDefault="001E13C6" w:rsidP="00AA6098">
            <w:pPr>
              <w:pStyle w:val="ListParagraph"/>
              <w:numPr>
                <w:ilvl w:val="0"/>
                <w:numId w:val="41"/>
              </w:numPr>
              <w:spacing w:before="0"/>
              <w:ind w:left="743" w:hanging="289"/>
              <w:contextualSpacing w:val="0"/>
              <w:rPr>
                <w:rFonts w:cstheme="minorHAnsi"/>
                <w:sz w:val="21"/>
                <w:szCs w:val="21"/>
              </w:rPr>
            </w:pPr>
            <w:r w:rsidRPr="00367EEF">
              <w:rPr>
                <w:rFonts w:cstheme="minorHAnsi"/>
                <w:sz w:val="21"/>
                <w:szCs w:val="21"/>
              </w:rPr>
              <w:t>Build and maintain organisational relationships to provide strategic leadership for collaborative participation and engagement amongst all Delivery Partners, and external stakeholders, and with the GOI</w:t>
            </w:r>
          </w:p>
          <w:p w14:paraId="7991D145" w14:textId="77777777" w:rsidR="001E13C6" w:rsidRPr="00367EEF" w:rsidRDefault="001E13C6" w:rsidP="00AA6098">
            <w:pPr>
              <w:pStyle w:val="ListParagraph"/>
              <w:numPr>
                <w:ilvl w:val="0"/>
                <w:numId w:val="41"/>
              </w:numPr>
              <w:spacing w:before="0"/>
              <w:ind w:left="743" w:hanging="289"/>
              <w:contextualSpacing w:val="0"/>
              <w:rPr>
                <w:rFonts w:cstheme="minorHAnsi"/>
                <w:sz w:val="21"/>
                <w:szCs w:val="21"/>
              </w:rPr>
            </w:pPr>
            <w:r w:rsidRPr="00367EEF">
              <w:rPr>
                <w:rFonts w:cstheme="minorHAnsi"/>
                <w:sz w:val="21"/>
                <w:szCs w:val="21"/>
              </w:rPr>
              <w:t>Establish and facilitate operations of the Partnership Steering Committee, and act as Secretariat</w:t>
            </w:r>
          </w:p>
          <w:p w14:paraId="6A16338F" w14:textId="77777777" w:rsidR="001E13C6" w:rsidRPr="00367EEF" w:rsidRDefault="001E13C6" w:rsidP="00AA6098">
            <w:pPr>
              <w:pStyle w:val="ListParagraph"/>
              <w:numPr>
                <w:ilvl w:val="0"/>
                <w:numId w:val="41"/>
              </w:numPr>
              <w:spacing w:before="0"/>
              <w:ind w:left="743" w:hanging="289"/>
              <w:contextualSpacing w:val="0"/>
              <w:rPr>
                <w:rFonts w:cstheme="minorHAnsi"/>
                <w:sz w:val="21"/>
                <w:szCs w:val="21"/>
              </w:rPr>
            </w:pPr>
            <w:r w:rsidRPr="00367EEF">
              <w:rPr>
                <w:rFonts w:cstheme="minorHAnsi"/>
                <w:sz w:val="21"/>
                <w:szCs w:val="21"/>
              </w:rPr>
              <w:t>Establish a Partnership Charter, with participation and agreement of Delivery Partners and DFAT</w:t>
            </w:r>
          </w:p>
          <w:p w14:paraId="70C4D993" w14:textId="77777777" w:rsidR="001E13C6" w:rsidRPr="00367EEF" w:rsidRDefault="001E13C6" w:rsidP="00AA6098">
            <w:pPr>
              <w:pStyle w:val="ListParagraph"/>
              <w:numPr>
                <w:ilvl w:val="0"/>
                <w:numId w:val="41"/>
              </w:numPr>
              <w:spacing w:before="0"/>
              <w:ind w:left="743" w:hanging="289"/>
              <w:contextualSpacing w:val="0"/>
              <w:rPr>
                <w:rFonts w:cstheme="minorHAnsi"/>
                <w:sz w:val="21"/>
                <w:szCs w:val="21"/>
              </w:rPr>
            </w:pPr>
            <w:r w:rsidRPr="00367EEF">
              <w:rPr>
                <w:rFonts w:cstheme="minorHAnsi"/>
                <w:sz w:val="21"/>
                <w:szCs w:val="21"/>
              </w:rPr>
              <w:t>Establish and maintain Communities of Practice for each key Sector and Theme of the Program, identifying policy priorities and reforms of mutual interest for joint action</w:t>
            </w:r>
          </w:p>
        </w:tc>
        <w:tc>
          <w:tcPr>
            <w:tcW w:w="1418" w:type="dxa"/>
          </w:tcPr>
          <w:p w14:paraId="4ADBDA6E"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407" w:type="dxa"/>
          </w:tcPr>
          <w:p w14:paraId="6F579BE1"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0F03F27D"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257A60AE"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62DBC0AF"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237BF2BC"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651BE51F"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7A31B365" w14:textId="77777777" w:rsidR="001E13C6" w:rsidRPr="00367EEF" w:rsidRDefault="001E13C6" w:rsidP="004428E5">
            <w:pPr>
              <w:rPr>
                <w:rFonts w:cstheme="minorHAnsi"/>
                <w:sz w:val="14"/>
                <w:szCs w:val="14"/>
              </w:rPr>
            </w:pPr>
            <w:r>
              <w:rPr>
                <w:rFonts w:cstheme="minorHAnsi"/>
                <w:i/>
                <w:iCs/>
              </w:rPr>
              <w:t>Secondary responsibility</w:t>
            </w:r>
          </w:p>
        </w:tc>
      </w:tr>
      <w:tr w:rsidR="00DC4F04" w:rsidRPr="00367EEF" w14:paraId="7F424D41" w14:textId="77777777" w:rsidTr="00DC4F04">
        <w:tc>
          <w:tcPr>
            <w:tcW w:w="5104" w:type="dxa"/>
          </w:tcPr>
          <w:p w14:paraId="4F5B36A0" w14:textId="77777777" w:rsidR="001E13C6" w:rsidRPr="00367EEF" w:rsidRDefault="001E13C6" w:rsidP="004428E5">
            <w:pPr>
              <w:pStyle w:val="ListParagraph"/>
              <w:numPr>
                <w:ilvl w:val="0"/>
                <w:numId w:val="34"/>
              </w:numPr>
              <w:spacing w:before="60"/>
              <w:ind w:left="357" w:hanging="357"/>
              <w:contextualSpacing w:val="0"/>
              <w:rPr>
                <w:rFonts w:cstheme="minorHAnsi"/>
                <w:b/>
                <w:bCs/>
                <w:sz w:val="21"/>
                <w:szCs w:val="21"/>
              </w:rPr>
            </w:pPr>
            <w:r w:rsidRPr="00367EEF">
              <w:rPr>
                <w:rFonts w:cstheme="minorHAnsi"/>
                <w:b/>
                <w:bCs/>
                <w:sz w:val="21"/>
                <w:szCs w:val="21"/>
              </w:rPr>
              <w:lastRenderedPageBreak/>
              <w:t xml:space="preserve">Knowledge management, monitoring and evaluation, and research  </w:t>
            </w:r>
          </w:p>
          <w:p w14:paraId="794B84C5" w14:textId="77777777" w:rsidR="001E13C6" w:rsidRPr="00367EEF" w:rsidRDefault="001E13C6" w:rsidP="00AA6098">
            <w:pPr>
              <w:pStyle w:val="ListParagraph"/>
              <w:numPr>
                <w:ilvl w:val="0"/>
                <w:numId w:val="42"/>
              </w:numPr>
              <w:spacing w:before="0"/>
              <w:ind w:left="743" w:hanging="289"/>
              <w:contextualSpacing w:val="0"/>
              <w:rPr>
                <w:rFonts w:cstheme="minorHAnsi"/>
                <w:sz w:val="21"/>
                <w:szCs w:val="21"/>
              </w:rPr>
            </w:pPr>
            <w:r w:rsidRPr="00367EEF">
              <w:rPr>
                <w:rFonts w:cstheme="minorHAnsi"/>
                <w:sz w:val="21"/>
                <w:szCs w:val="21"/>
              </w:rPr>
              <w:t>Develop and implement a Monitoring, Evaluation Reflection and Learning Framework (MERL) for program-wide application</w:t>
            </w:r>
          </w:p>
          <w:p w14:paraId="613161F1" w14:textId="77777777" w:rsidR="001E13C6" w:rsidRPr="00367EEF" w:rsidRDefault="001E13C6" w:rsidP="00AA6098">
            <w:pPr>
              <w:pStyle w:val="ListParagraph"/>
              <w:numPr>
                <w:ilvl w:val="0"/>
                <w:numId w:val="42"/>
              </w:numPr>
              <w:spacing w:before="0"/>
              <w:ind w:left="743" w:hanging="289"/>
              <w:contextualSpacing w:val="0"/>
              <w:rPr>
                <w:rFonts w:cstheme="minorHAnsi"/>
                <w:sz w:val="21"/>
                <w:szCs w:val="21"/>
              </w:rPr>
            </w:pPr>
            <w:r w:rsidRPr="00367EEF">
              <w:rPr>
                <w:rFonts w:cstheme="minorHAnsi"/>
                <w:sz w:val="21"/>
                <w:szCs w:val="21"/>
              </w:rPr>
              <w:t>Establish and maintain a Management Information System that captures data and reporting at Activity and Project Level, and links reporting to Outputs, IOs and EOPOs</w:t>
            </w:r>
          </w:p>
          <w:p w14:paraId="3E873570" w14:textId="77777777" w:rsidR="001E13C6" w:rsidRPr="00367EEF" w:rsidRDefault="001E13C6" w:rsidP="00AA6098">
            <w:pPr>
              <w:pStyle w:val="ListParagraph"/>
              <w:numPr>
                <w:ilvl w:val="0"/>
                <w:numId w:val="42"/>
              </w:numPr>
              <w:spacing w:before="0"/>
              <w:ind w:left="743" w:hanging="289"/>
              <w:contextualSpacing w:val="0"/>
              <w:rPr>
                <w:rFonts w:cstheme="minorHAnsi"/>
                <w:sz w:val="21"/>
                <w:szCs w:val="21"/>
              </w:rPr>
            </w:pPr>
            <w:r w:rsidRPr="00367EEF">
              <w:rPr>
                <w:rFonts w:cstheme="minorHAnsi"/>
                <w:sz w:val="21"/>
                <w:szCs w:val="21"/>
              </w:rPr>
              <w:t xml:space="preserve">Develop and implement tools using </w:t>
            </w:r>
            <w:proofErr w:type="gramStart"/>
            <w:r w:rsidRPr="00367EEF">
              <w:rPr>
                <w:rFonts w:cstheme="minorHAnsi"/>
                <w:sz w:val="21"/>
                <w:szCs w:val="21"/>
              </w:rPr>
              <w:t>mixed-methods</w:t>
            </w:r>
            <w:proofErr w:type="gramEnd"/>
            <w:r w:rsidRPr="00367EEF">
              <w:rPr>
                <w:rFonts w:cstheme="minorHAnsi"/>
                <w:sz w:val="21"/>
                <w:szCs w:val="21"/>
              </w:rPr>
              <w:t xml:space="preserve"> for data collection, analysis</w:t>
            </w:r>
            <w:r>
              <w:rPr>
                <w:rFonts w:cstheme="minorHAnsi"/>
                <w:sz w:val="21"/>
                <w:szCs w:val="21"/>
              </w:rPr>
              <w:t xml:space="preserve">, </w:t>
            </w:r>
            <w:r w:rsidRPr="00367EEF">
              <w:rPr>
                <w:rFonts w:cstheme="minorHAnsi"/>
                <w:sz w:val="21"/>
                <w:szCs w:val="21"/>
              </w:rPr>
              <w:t>an</w:t>
            </w:r>
            <w:r>
              <w:rPr>
                <w:rFonts w:cstheme="minorHAnsi"/>
                <w:sz w:val="21"/>
                <w:szCs w:val="21"/>
              </w:rPr>
              <w:t>d</w:t>
            </w:r>
            <w:r w:rsidRPr="00367EEF">
              <w:rPr>
                <w:rFonts w:cstheme="minorHAnsi"/>
                <w:sz w:val="21"/>
                <w:szCs w:val="21"/>
              </w:rPr>
              <w:t xml:space="preserve"> reporting and Output, IO and EOPO level</w:t>
            </w:r>
          </w:p>
          <w:p w14:paraId="6419F030" w14:textId="77777777" w:rsidR="001E13C6" w:rsidRPr="00367EEF" w:rsidRDefault="001E13C6" w:rsidP="00AA6098">
            <w:pPr>
              <w:pStyle w:val="ListParagraph"/>
              <w:numPr>
                <w:ilvl w:val="0"/>
                <w:numId w:val="42"/>
              </w:numPr>
              <w:spacing w:before="0"/>
              <w:ind w:left="743" w:hanging="289"/>
              <w:contextualSpacing w:val="0"/>
              <w:rPr>
                <w:rFonts w:cstheme="minorHAnsi"/>
                <w:sz w:val="21"/>
                <w:szCs w:val="21"/>
              </w:rPr>
            </w:pPr>
            <w:r w:rsidRPr="00367EEF">
              <w:rPr>
                <w:rFonts w:cstheme="minorHAnsi"/>
                <w:sz w:val="21"/>
                <w:szCs w:val="21"/>
              </w:rPr>
              <w:t>Provide technical support and engagement with all Delivery Partners on basic data set, Activity and Project reporting,</w:t>
            </w:r>
          </w:p>
          <w:p w14:paraId="52204DDC" w14:textId="77777777" w:rsidR="001E13C6" w:rsidRPr="00367EEF" w:rsidRDefault="001E13C6" w:rsidP="00AA6098">
            <w:pPr>
              <w:pStyle w:val="ListParagraph"/>
              <w:numPr>
                <w:ilvl w:val="0"/>
                <w:numId w:val="42"/>
              </w:numPr>
              <w:spacing w:before="0"/>
              <w:ind w:left="743" w:hanging="289"/>
              <w:contextualSpacing w:val="0"/>
              <w:rPr>
                <w:rFonts w:cstheme="minorHAnsi"/>
                <w:sz w:val="21"/>
                <w:szCs w:val="21"/>
              </w:rPr>
            </w:pPr>
            <w:r w:rsidRPr="00367EEF">
              <w:rPr>
                <w:rFonts w:cstheme="minorHAnsi"/>
                <w:sz w:val="21"/>
                <w:szCs w:val="21"/>
              </w:rPr>
              <w:t>Facilitate participation of Delivery Partners and other implementers (sub-contractors and grantees) in program-wide MERL processes for reflection and learning</w:t>
            </w:r>
          </w:p>
          <w:p w14:paraId="3C57C464" w14:textId="77777777" w:rsidR="001E13C6" w:rsidRPr="00367EEF" w:rsidRDefault="001E13C6" w:rsidP="00AA6098">
            <w:pPr>
              <w:pStyle w:val="ListParagraph"/>
              <w:numPr>
                <w:ilvl w:val="0"/>
                <w:numId w:val="42"/>
              </w:numPr>
              <w:spacing w:before="0"/>
              <w:ind w:left="743" w:hanging="289"/>
              <w:contextualSpacing w:val="0"/>
              <w:rPr>
                <w:rFonts w:cstheme="minorHAnsi"/>
                <w:sz w:val="21"/>
                <w:szCs w:val="21"/>
              </w:rPr>
            </w:pPr>
            <w:r w:rsidRPr="00367EEF">
              <w:rPr>
                <w:rFonts w:cstheme="minorHAnsi"/>
                <w:sz w:val="21"/>
                <w:szCs w:val="21"/>
              </w:rPr>
              <w:t>Conduct ongoing longitudinal research and analysis that captures ongoing lessons, insights and changes in context relevant to the program’s scope and delivery</w:t>
            </w:r>
          </w:p>
          <w:p w14:paraId="0E161782" w14:textId="77777777" w:rsidR="001E13C6" w:rsidRPr="00367EEF" w:rsidRDefault="001E13C6" w:rsidP="00AA6098">
            <w:pPr>
              <w:pStyle w:val="ListParagraph"/>
              <w:numPr>
                <w:ilvl w:val="0"/>
                <w:numId w:val="42"/>
              </w:numPr>
              <w:spacing w:before="0"/>
              <w:ind w:left="743" w:hanging="289"/>
              <w:contextualSpacing w:val="0"/>
              <w:rPr>
                <w:rFonts w:cstheme="minorHAnsi"/>
                <w:sz w:val="21"/>
                <w:szCs w:val="21"/>
              </w:rPr>
            </w:pPr>
            <w:r w:rsidRPr="00367EEF">
              <w:rPr>
                <w:rFonts w:cstheme="minorHAnsi"/>
                <w:sz w:val="21"/>
                <w:szCs w:val="21"/>
              </w:rPr>
              <w:t>Share and disseminate lessons, case studies, outcomes, insights and recommendations arising from program implementation, through accessible, informative and influencing strategies (linked to public diplomacy and communications) for internal and external audiences</w:t>
            </w:r>
          </w:p>
        </w:tc>
        <w:tc>
          <w:tcPr>
            <w:tcW w:w="1418" w:type="dxa"/>
          </w:tcPr>
          <w:p w14:paraId="00908E47"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407" w:type="dxa"/>
          </w:tcPr>
          <w:p w14:paraId="44AEE82C"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050DCA8A"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7D1FB3F2"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4447445F"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7D16DB48"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70E75323"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756D5AD3" w14:textId="77777777" w:rsidR="001E13C6" w:rsidRPr="00367EEF" w:rsidRDefault="001E13C6" w:rsidP="004428E5">
            <w:pPr>
              <w:rPr>
                <w:rFonts w:cstheme="minorHAnsi"/>
                <w:sz w:val="14"/>
                <w:szCs w:val="14"/>
              </w:rPr>
            </w:pPr>
            <w:r w:rsidRPr="00F051FC">
              <w:rPr>
                <w:rFonts w:cstheme="minorHAnsi"/>
                <w:i/>
                <w:iCs/>
              </w:rPr>
              <w:t>No responsibility</w:t>
            </w:r>
          </w:p>
        </w:tc>
      </w:tr>
      <w:tr w:rsidR="00DC4F04" w:rsidRPr="00367EEF" w14:paraId="7EE3B48F" w14:textId="77777777" w:rsidTr="00DC4F04">
        <w:tc>
          <w:tcPr>
            <w:tcW w:w="5104" w:type="dxa"/>
          </w:tcPr>
          <w:p w14:paraId="2D9AB984" w14:textId="77777777" w:rsidR="001E13C6" w:rsidRPr="00367EEF" w:rsidRDefault="001E13C6" w:rsidP="00AA6098">
            <w:pPr>
              <w:pStyle w:val="ListParagraph"/>
              <w:numPr>
                <w:ilvl w:val="0"/>
                <w:numId w:val="42"/>
              </w:numPr>
              <w:spacing w:before="0"/>
              <w:ind w:left="885" w:hanging="431"/>
              <w:contextualSpacing w:val="0"/>
              <w:rPr>
                <w:rFonts w:cstheme="minorHAnsi"/>
                <w:sz w:val="21"/>
                <w:szCs w:val="21"/>
              </w:rPr>
            </w:pPr>
            <w:r w:rsidRPr="00367EEF">
              <w:rPr>
                <w:rFonts w:cstheme="minorHAnsi"/>
                <w:sz w:val="21"/>
                <w:szCs w:val="21"/>
              </w:rPr>
              <w:lastRenderedPageBreak/>
              <w:t>Design and plan Activities and Projects with clear deliverables (Outputs) and outcomes (Objectives) in consistent manner that be coded by PL hierarchy and sector</w:t>
            </w:r>
          </w:p>
          <w:p w14:paraId="23CBBD05" w14:textId="77777777" w:rsidR="001E13C6" w:rsidRPr="00367EEF" w:rsidRDefault="001E13C6" w:rsidP="00AA6098">
            <w:pPr>
              <w:pStyle w:val="ListParagraph"/>
              <w:numPr>
                <w:ilvl w:val="0"/>
                <w:numId w:val="42"/>
              </w:numPr>
              <w:spacing w:before="0"/>
              <w:ind w:left="885" w:hanging="431"/>
              <w:contextualSpacing w:val="0"/>
              <w:rPr>
                <w:rFonts w:cstheme="minorHAnsi"/>
                <w:sz w:val="21"/>
                <w:szCs w:val="21"/>
              </w:rPr>
            </w:pPr>
            <w:r w:rsidRPr="00367EEF">
              <w:rPr>
                <w:rFonts w:cstheme="minorHAnsi"/>
                <w:sz w:val="21"/>
                <w:szCs w:val="21"/>
              </w:rPr>
              <w:t>Prepare reports on deliverables and outcomes and share with Primary Contractor and DFAT for aggregation into MIS database</w:t>
            </w:r>
          </w:p>
          <w:p w14:paraId="5A1F27E8" w14:textId="77777777" w:rsidR="001E13C6" w:rsidRPr="00367EEF" w:rsidRDefault="001E13C6" w:rsidP="00AA6098">
            <w:pPr>
              <w:pStyle w:val="ListParagraph"/>
              <w:numPr>
                <w:ilvl w:val="0"/>
                <w:numId w:val="42"/>
              </w:numPr>
              <w:spacing w:before="0"/>
              <w:ind w:left="885" w:hanging="431"/>
              <w:contextualSpacing w:val="0"/>
              <w:rPr>
                <w:rFonts w:cstheme="minorHAnsi"/>
                <w:sz w:val="21"/>
                <w:szCs w:val="21"/>
              </w:rPr>
            </w:pPr>
            <w:r w:rsidRPr="00367EEF">
              <w:rPr>
                <w:rFonts w:cstheme="minorHAnsi"/>
                <w:sz w:val="21"/>
                <w:szCs w:val="21"/>
              </w:rPr>
              <w:t>Collect disaggregated data on gender and disability on participation in Activities and Projects</w:t>
            </w:r>
          </w:p>
          <w:p w14:paraId="784AC6DF" w14:textId="77777777" w:rsidR="001E13C6" w:rsidRPr="00367EEF" w:rsidRDefault="001E13C6" w:rsidP="00AA6098">
            <w:pPr>
              <w:pStyle w:val="ListParagraph"/>
              <w:numPr>
                <w:ilvl w:val="0"/>
                <w:numId w:val="42"/>
              </w:numPr>
              <w:spacing w:before="0"/>
              <w:ind w:left="885" w:hanging="431"/>
              <w:contextualSpacing w:val="0"/>
              <w:rPr>
                <w:rFonts w:cstheme="minorHAnsi"/>
                <w:sz w:val="21"/>
                <w:szCs w:val="21"/>
              </w:rPr>
            </w:pPr>
            <w:r w:rsidRPr="00367EEF">
              <w:rPr>
                <w:rFonts w:cstheme="minorHAnsi"/>
                <w:sz w:val="21"/>
                <w:szCs w:val="21"/>
              </w:rPr>
              <w:t xml:space="preserve">Participate in regular (6 monthly) reflection sessions on progress, lessons and implications by sector and theme as appropriate, to inform future planning </w:t>
            </w:r>
          </w:p>
          <w:p w14:paraId="67BC3FD0" w14:textId="77777777" w:rsidR="001E13C6" w:rsidRPr="00367EEF" w:rsidRDefault="001E13C6" w:rsidP="00AA6098">
            <w:pPr>
              <w:pStyle w:val="ListParagraph"/>
              <w:numPr>
                <w:ilvl w:val="0"/>
                <w:numId w:val="42"/>
              </w:numPr>
              <w:spacing w:before="0"/>
              <w:ind w:left="885" w:hanging="431"/>
              <w:contextualSpacing w:val="0"/>
              <w:rPr>
                <w:rFonts w:cstheme="minorHAnsi"/>
                <w:sz w:val="21"/>
                <w:szCs w:val="21"/>
              </w:rPr>
            </w:pPr>
            <w:r w:rsidRPr="00367EEF">
              <w:rPr>
                <w:rFonts w:cstheme="minorHAnsi"/>
                <w:sz w:val="21"/>
                <w:szCs w:val="21"/>
              </w:rPr>
              <w:t>Prepare case studies and lessons learnt with implications for replication and scale up</w:t>
            </w:r>
          </w:p>
          <w:p w14:paraId="3BE8F07F" w14:textId="77777777" w:rsidR="001E13C6" w:rsidRPr="00367EEF" w:rsidRDefault="001E13C6" w:rsidP="00AA6098">
            <w:pPr>
              <w:pStyle w:val="ListParagraph"/>
              <w:numPr>
                <w:ilvl w:val="0"/>
                <w:numId w:val="42"/>
              </w:numPr>
              <w:spacing w:before="0"/>
              <w:ind w:left="885" w:hanging="431"/>
              <w:contextualSpacing w:val="0"/>
              <w:rPr>
                <w:rFonts w:cstheme="minorHAnsi"/>
                <w:sz w:val="21"/>
                <w:szCs w:val="21"/>
              </w:rPr>
            </w:pPr>
            <w:r w:rsidRPr="00367EEF">
              <w:rPr>
                <w:rFonts w:cstheme="minorHAnsi"/>
                <w:sz w:val="21"/>
                <w:szCs w:val="21"/>
              </w:rPr>
              <w:t>Undertake evaluations on significant Activities and Projects</w:t>
            </w:r>
          </w:p>
        </w:tc>
        <w:tc>
          <w:tcPr>
            <w:tcW w:w="1418" w:type="dxa"/>
          </w:tcPr>
          <w:p w14:paraId="725EFB1F" w14:textId="77777777" w:rsidR="001E13C6" w:rsidRPr="00367EEF" w:rsidRDefault="001E13C6" w:rsidP="004428E5">
            <w:pPr>
              <w:rPr>
                <w:rFonts w:cstheme="minorHAnsi"/>
                <w:noProof/>
                <w:sz w:val="14"/>
                <w:szCs w:val="14"/>
              </w:rPr>
            </w:pPr>
            <w:r w:rsidRPr="00367EEF">
              <w:rPr>
                <w:rFonts w:cstheme="minorHAnsi"/>
                <w:i/>
                <w:iCs/>
              </w:rPr>
              <w:t>P</w:t>
            </w:r>
            <w:r>
              <w:rPr>
                <w:rFonts w:cstheme="minorHAnsi"/>
                <w:i/>
                <w:iCs/>
              </w:rPr>
              <w:t>rimary responsibility</w:t>
            </w:r>
          </w:p>
        </w:tc>
        <w:tc>
          <w:tcPr>
            <w:tcW w:w="1407" w:type="dxa"/>
          </w:tcPr>
          <w:p w14:paraId="40D4BCF0"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3C611396"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73393782"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75136425"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03F5CB44"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0783B1DE"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624B5408" w14:textId="77777777" w:rsidR="001E13C6" w:rsidRPr="00367EEF" w:rsidRDefault="001E13C6" w:rsidP="004428E5">
            <w:pPr>
              <w:rPr>
                <w:rFonts w:cstheme="minorHAnsi"/>
                <w:sz w:val="14"/>
                <w:szCs w:val="14"/>
              </w:rPr>
            </w:pPr>
            <w:r>
              <w:rPr>
                <w:rFonts w:cstheme="minorHAnsi"/>
                <w:i/>
                <w:iCs/>
              </w:rPr>
              <w:t>Secondary responsibility</w:t>
            </w:r>
          </w:p>
        </w:tc>
      </w:tr>
      <w:tr w:rsidR="00DC4F04" w:rsidRPr="00367EEF" w14:paraId="600F0094" w14:textId="77777777" w:rsidTr="00DC4F04">
        <w:tc>
          <w:tcPr>
            <w:tcW w:w="5104" w:type="dxa"/>
          </w:tcPr>
          <w:p w14:paraId="0092C33F" w14:textId="77777777" w:rsidR="001E13C6" w:rsidRPr="00367EEF" w:rsidRDefault="001E13C6" w:rsidP="004428E5">
            <w:pPr>
              <w:pStyle w:val="ListParagraph"/>
              <w:numPr>
                <w:ilvl w:val="0"/>
                <w:numId w:val="34"/>
              </w:numPr>
              <w:spacing w:before="60"/>
              <w:ind w:left="357" w:hanging="357"/>
              <w:contextualSpacing w:val="0"/>
              <w:rPr>
                <w:rFonts w:cstheme="minorHAnsi"/>
                <w:b/>
                <w:bCs/>
                <w:sz w:val="21"/>
                <w:szCs w:val="21"/>
              </w:rPr>
            </w:pPr>
            <w:r w:rsidRPr="00367EEF">
              <w:rPr>
                <w:rFonts w:cstheme="minorHAnsi"/>
                <w:b/>
                <w:bCs/>
                <w:sz w:val="21"/>
                <w:szCs w:val="21"/>
              </w:rPr>
              <w:t>Gender, disability and social inclusion advisory, training and support services</w:t>
            </w:r>
          </w:p>
          <w:p w14:paraId="1958ED94" w14:textId="77777777" w:rsidR="001E13C6" w:rsidRPr="00367EEF" w:rsidRDefault="001E13C6" w:rsidP="00AA6098">
            <w:pPr>
              <w:pStyle w:val="ListParagraph"/>
              <w:numPr>
                <w:ilvl w:val="0"/>
                <w:numId w:val="47"/>
              </w:numPr>
              <w:spacing w:before="0"/>
              <w:ind w:left="743" w:hanging="289"/>
              <w:contextualSpacing w:val="0"/>
              <w:rPr>
                <w:rFonts w:cstheme="minorHAnsi"/>
                <w:sz w:val="21"/>
                <w:szCs w:val="21"/>
              </w:rPr>
            </w:pPr>
            <w:r w:rsidRPr="00367EEF">
              <w:rPr>
                <w:rFonts w:cstheme="minorHAnsi"/>
                <w:sz w:val="21"/>
                <w:szCs w:val="21"/>
              </w:rPr>
              <w:t>Develop a GEDSI Strategy aligned with program outcomes.</w:t>
            </w:r>
          </w:p>
          <w:p w14:paraId="039F0842" w14:textId="77777777" w:rsidR="001E13C6" w:rsidRPr="00367EEF" w:rsidRDefault="001E13C6" w:rsidP="00AA6098">
            <w:pPr>
              <w:pStyle w:val="ListParagraph"/>
              <w:numPr>
                <w:ilvl w:val="0"/>
                <w:numId w:val="47"/>
              </w:numPr>
              <w:spacing w:before="0"/>
              <w:ind w:left="743" w:hanging="289"/>
              <w:contextualSpacing w:val="0"/>
              <w:rPr>
                <w:rFonts w:cstheme="minorHAnsi"/>
                <w:sz w:val="21"/>
                <w:szCs w:val="21"/>
              </w:rPr>
            </w:pPr>
            <w:r w:rsidRPr="00367EEF">
              <w:rPr>
                <w:rFonts w:cstheme="minorHAnsi"/>
                <w:sz w:val="21"/>
                <w:szCs w:val="21"/>
              </w:rPr>
              <w:t>Provide technical advice so that GEDSI is integrated into the program’s Monitoring, Evaluation, Research and Learning (MERL) framework, with disaggregated indicators (gender, disability, geography).</w:t>
            </w:r>
          </w:p>
          <w:p w14:paraId="070C8184" w14:textId="77777777" w:rsidR="001E13C6" w:rsidRPr="00367EEF" w:rsidRDefault="001E13C6" w:rsidP="00AA6098">
            <w:pPr>
              <w:pStyle w:val="ListParagraph"/>
              <w:numPr>
                <w:ilvl w:val="0"/>
                <w:numId w:val="47"/>
              </w:numPr>
              <w:spacing w:before="0"/>
              <w:ind w:left="743" w:hanging="289"/>
              <w:contextualSpacing w:val="0"/>
              <w:rPr>
                <w:rFonts w:cstheme="minorHAnsi"/>
                <w:sz w:val="21"/>
                <w:szCs w:val="21"/>
              </w:rPr>
            </w:pPr>
            <w:r w:rsidRPr="00367EEF">
              <w:rPr>
                <w:rFonts w:cstheme="minorHAnsi"/>
                <w:sz w:val="21"/>
                <w:szCs w:val="21"/>
              </w:rPr>
              <w:t>Facilitate inclusive consultation processes within program processes and systems.</w:t>
            </w:r>
          </w:p>
          <w:p w14:paraId="05D16343" w14:textId="77777777" w:rsidR="001E13C6" w:rsidRPr="00367EEF" w:rsidRDefault="001E13C6" w:rsidP="004428E5">
            <w:pPr>
              <w:pStyle w:val="ListParagraph"/>
              <w:numPr>
                <w:ilvl w:val="0"/>
                <w:numId w:val="47"/>
              </w:numPr>
              <w:spacing w:before="0"/>
              <w:ind w:left="879" w:hanging="425"/>
              <w:contextualSpacing w:val="0"/>
              <w:rPr>
                <w:rFonts w:cstheme="minorHAnsi"/>
                <w:sz w:val="21"/>
                <w:szCs w:val="21"/>
              </w:rPr>
            </w:pPr>
            <w:r w:rsidRPr="00367EEF">
              <w:rPr>
                <w:rFonts w:cstheme="minorHAnsi"/>
                <w:sz w:val="21"/>
                <w:szCs w:val="21"/>
              </w:rPr>
              <w:lastRenderedPageBreak/>
              <w:t>Provide technical advice to ministries and private sector actors including on universal design principles in infrastructure planning and integration of GEDSI into infrastructure policies and investment plans.</w:t>
            </w:r>
          </w:p>
          <w:p w14:paraId="4CD9A2F2" w14:textId="77777777" w:rsidR="001E13C6" w:rsidRPr="00367EEF" w:rsidRDefault="001E13C6" w:rsidP="004428E5">
            <w:pPr>
              <w:pStyle w:val="ListParagraph"/>
              <w:numPr>
                <w:ilvl w:val="0"/>
                <w:numId w:val="47"/>
              </w:numPr>
              <w:spacing w:before="0"/>
              <w:ind w:left="879" w:hanging="425"/>
              <w:contextualSpacing w:val="0"/>
              <w:rPr>
                <w:rFonts w:cstheme="minorHAnsi"/>
                <w:sz w:val="21"/>
                <w:szCs w:val="21"/>
              </w:rPr>
            </w:pPr>
            <w:r w:rsidRPr="00367EEF">
              <w:rPr>
                <w:rFonts w:cstheme="minorHAnsi"/>
                <w:sz w:val="21"/>
                <w:szCs w:val="21"/>
              </w:rPr>
              <w:t xml:space="preserve">Design and oversee targeted sub-programs that address barriers faced by women or persons with a disability in accessing infrastructure, finance or climate adaptation. </w:t>
            </w:r>
          </w:p>
          <w:p w14:paraId="544CF671" w14:textId="77777777" w:rsidR="001E13C6" w:rsidRPr="00367EEF" w:rsidRDefault="001E13C6" w:rsidP="004428E5">
            <w:pPr>
              <w:pStyle w:val="ListParagraph"/>
              <w:numPr>
                <w:ilvl w:val="0"/>
                <w:numId w:val="47"/>
              </w:numPr>
              <w:spacing w:before="0"/>
              <w:ind w:left="879" w:hanging="425"/>
              <w:contextualSpacing w:val="0"/>
              <w:rPr>
                <w:rFonts w:cstheme="minorHAnsi"/>
                <w:sz w:val="21"/>
                <w:szCs w:val="21"/>
              </w:rPr>
            </w:pPr>
            <w:r w:rsidRPr="00367EEF">
              <w:rPr>
                <w:rFonts w:cstheme="minorHAnsi"/>
                <w:sz w:val="21"/>
                <w:szCs w:val="21"/>
              </w:rPr>
              <w:t>Assist program personnel and partners to integrate GEDSI into workstreams through conducting training and developing guidance notes and other documents.</w:t>
            </w:r>
          </w:p>
          <w:p w14:paraId="27972B03" w14:textId="77777777" w:rsidR="001E13C6" w:rsidRPr="00367EEF" w:rsidRDefault="001E13C6" w:rsidP="004428E5">
            <w:pPr>
              <w:pStyle w:val="ListParagraph"/>
              <w:numPr>
                <w:ilvl w:val="0"/>
                <w:numId w:val="47"/>
              </w:numPr>
              <w:spacing w:before="0"/>
              <w:ind w:left="879" w:hanging="425"/>
              <w:contextualSpacing w:val="0"/>
              <w:rPr>
                <w:rFonts w:cstheme="minorHAnsi"/>
                <w:sz w:val="21"/>
                <w:szCs w:val="21"/>
              </w:rPr>
            </w:pPr>
            <w:r w:rsidRPr="00367EEF">
              <w:rPr>
                <w:rFonts w:cstheme="minorHAnsi"/>
                <w:sz w:val="21"/>
                <w:szCs w:val="21"/>
              </w:rPr>
              <w:t xml:space="preserve">Conduct annual GEDSI reflection and learning reviews with stakeholders. </w:t>
            </w:r>
          </w:p>
          <w:p w14:paraId="6D59E362" w14:textId="77777777" w:rsidR="001E13C6" w:rsidRPr="00367EEF" w:rsidRDefault="001E13C6" w:rsidP="004428E5">
            <w:pPr>
              <w:pStyle w:val="ListParagraph"/>
              <w:numPr>
                <w:ilvl w:val="0"/>
                <w:numId w:val="47"/>
              </w:numPr>
              <w:spacing w:before="0"/>
              <w:ind w:left="879" w:hanging="425"/>
              <w:contextualSpacing w:val="0"/>
              <w:rPr>
                <w:rFonts w:cstheme="minorHAnsi"/>
                <w:sz w:val="21"/>
                <w:szCs w:val="21"/>
              </w:rPr>
            </w:pPr>
            <w:r w:rsidRPr="00367EEF">
              <w:rPr>
                <w:rFonts w:cstheme="minorHAnsi"/>
                <w:sz w:val="21"/>
                <w:szCs w:val="21"/>
              </w:rPr>
              <w:t xml:space="preserve">Engage with ministries responsible for infrastructure planning, delivery, financing and gender and social protection. </w:t>
            </w:r>
          </w:p>
          <w:p w14:paraId="2C7529E1" w14:textId="77777777" w:rsidR="001E13C6" w:rsidRPr="00367EEF" w:rsidRDefault="001E13C6" w:rsidP="004428E5">
            <w:pPr>
              <w:pStyle w:val="ListParagraph"/>
              <w:numPr>
                <w:ilvl w:val="0"/>
                <w:numId w:val="47"/>
              </w:numPr>
              <w:spacing w:before="0"/>
              <w:ind w:left="879" w:hanging="425"/>
              <w:contextualSpacing w:val="0"/>
              <w:rPr>
                <w:rFonts w:cstheme="minorHAnsi"/>
                <w:sz w:val="21"/>
                <w:szCs w:val="21"/>
              </w:rPr>
            </w:pPr>
            <w:r w:rsidRPr="00367EEF">
              <w:rPr>
                <w:rFonts w:cstheme="minorHAnsi"/>
                <w:sz w:val="21"/>
                <w:szCs w:val="21"/>
              </w:rPr>
              <w:t>Develop relationships with women-led businesses, CSOs and OPDs operating within program target areas.</w:t>
            </w:r>
          </w:p>
          <w:p w14:paraId="25D45935" w14:textId="77777777" w:rsidR="001E13C6" w:rsidRPr="00367EEF" w:rsidRDefault="001E13C6" w:rsidP="004428E5">
            <w:pPr>
              <w:pStyle w:val="ListParagraph"/>
              <w:numPr>
                <w:ilvl w:val="0"/>
                <w:numId w:val="47"/>
              </w:numPr>
              <w:spacing w:before="0"/>
              <w:ind w:left="879" w:hanging="425"/>
              <w:contextualSpacing w:val="0"/>
              <w:rPr>
                <w:rFonts w:cstheme="minorHAnsi"/>
                <w:sz w:val="21"/>
                <w:szCs w:val="21"/>
              </w:rPr>
            </w:pPr>
            <w:r w:rsidRPr="00367EEF">
              <w:rPr>
                <w:rFonts w:cstheme="minorHAnsi"/>
                <w:sz w:val="21"/>
                <w:szCs w:val="21"/>
              </w:rPr>
              <w:t>Establish program wide MERL methods and tools for monitoring and reporting on GEDSI outcomes</w:t>
            </w:r>
          </w:p>
        </w:tc>
        <w:tc>
          <w:tcPr>
            <w:tcW w:w="1418" w:type="dxa"/>
          </w:tcPr>
          <w:p w14:paraId="5E6F1022" w14:textId="77777777" w:rsidR="001E13C6" w:rsidRPr="00367EEF" w:rsidRDefault="001E13C6" w:rsidP="004428E5">
            <w:pPr>
              <w:rPr>
                <w:rFonts w:cstheme="minorHAnsi"/>
                <w:sz w:val="14"/>
                <w:szCs w:val="14"/>
              </w:rPr>
            </w:pPr>
            <w:r w:rsidRPr="00367EEF">
              <w:rPr>
                <w:rFonts w:cstheme="minorHAnsi"/>
                <w:i/>
                <w:iCs/>
              </w:rPr>
              <w:lastRenderedPageBreak/>
              <w:t>P</w:t>
            </w:r>
            <w:r>
              <w:rPr>
                <w:rFonts w:cstheme="minorHAnsi"/>
                <w:i/>
                <w:iCs/>
              </w:rPr>
              <w:t>rimary responsibility</w:t>
            </w:r>
          </w:p>
        </w:tc>
        <w:tc>
          <w:tcPr>
            <w:tcW w:w="1407" w:type="dxa"/>
          </w:tcPr>
          <w:p w14:paraId="65CAC5EF"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2F185D02"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54B4E0E1"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3A23F8B2"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1108A028"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12F4C9B1"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53EA56C1" w14:textId="77777777" w:rsidR="001E13C6" w:rsidRPr="00367EEF" w:rsidRDefault="001E13C6" w:rsidP="004428E5">
            <w:pPr>
              <w:rPr>
                <w:rFonts w:cstheme="minorHAnsi"/>
                <w:sz w:val="14"/>
                <w:szCs w:val="14"/>
              </w:rPr>
            </w:pPr>
            <w:r>
              <w:rPr>
                <w:rFonts w:cstheme="minorHAnsi"/>
                <w:i/>
                <w:iCs/>
              </w:rPr>
              <w:t>Secondary responsibility</w:t>
            </w:r>
          </w:p>
        </w:tc>
      </w:tr>
      <w:tr w:rsidR="00DC4F04" w:rsidRPr="00367EEF" w14:paraId="2CCAFB60" w14:textId="77777777" w:rsidTr="00DC4F04">
        <w:tc>
          <w:tcPr>
            <w:tcW w:w="5104" w:type="dxa"/>
          </w:tcPr>
          <w:p w14:paraId="3A961F22" w14:textId="77777777" w:rsidR="001E13C6" w:rsidRPr="00367EEF" w:rsidRDefault="001E13C6" w:rsidP="004428E5">
            <w:pPr>
              <w:pStyle w:val="ListParagraph"/>
              <w:numPr>
                <w:ilvl w:val="0"/>
                <w:numId w:val="47"/>
              </w:numPr>
              <w:spacing w:before="0"/>
              <w:ind w:left="879" w:hanging="425"/>
              <w:contextualSpacing w:val="0"/>
              <w:rPr>
                <w:rFonts w:cstheme="minorHAnsi"/>
                <w:sz w:val="21"/>
                <w:szCs w:val="21"/>
              </w:rPr>
            </w:pPr>
            <w:r w:rsidRPr="00367EEF">
              <w:rPr>
                <w:rFonts w:cstheme="minorHAnsi"/>
                <w:sz w:val="21"/>
                <w:szCs w:val="21"/>
              </w:rPr>
              <w:t>Ensure GEDSI dimensions are addressed in social and environmental safeguards assessments.</w:t>
            </w:r>
          </w:p>
          <w:p w14:paraId="2C352E60" w14:textId="77777777" w:rsidR="001E13C6" w:rsidRPr="00367EEF" w:rsidRDefault="001E13C6" w:rsidP="004428E5">
            <w:pPr>
              <w:pStyle w:val="ListParagraph"/>
              <w:numPr>
                <w:ilvl w:val="0"/>
                <w:numId w:val="47"/>
              </w:numPr>
              <w:spacing w:before="0"/>
              <w:ind w:left="879" w:hanging="425"/>
              <w:contextualSpacing w:val="0"/>
              <w:rPr>
                <w:rFonts w:cstheme="minorHAnsi"/>
                <w:sz w:val="21"/>
                <w:szCs w:val="21"/>
              </w:rPr>
            </w:pPr>
            <w:r w:rsidRPr="00367EEF">
              <w:rPr>
                <w:rFonts w:cstheme="minorHAnsi"/>
                <w:sz w:val="21"/>
                <w:szCs w:val="21"/>
              </w:rPr>
              <w:t>Develop risk mitigation measures for exclusion, discrimination, or harm to marginalised groups.</w:t>
            </w:r>
          </w:p>
          <w:p w14:paraId="0F40D63F" w14:textId="77777777" w:rsidR="001E13C6" w:rsidRPr="00367EEF" w:rsidRDefault="001E13C6" w:rsidP="00B441CB">
            <w:pPr>
              <w:pStyle w:val="ListParagraph"/>
              <w:numPr>
                <w:ilvl w:val="0"/>
                <w:numId w:val="47"/>
              </w:numPr>
              <w:spacing w:before="0"/>
              <w:ind w:left="879" w:hanging="425"/>
              <w:contextualSpacing w:val="0"/>
              <w:rPr>
                <w:rFonts w:cstheme="minorHAnsi"/>
                <w:sz w:val="21"/>
                <w:szCs w:val="21"/>
              </w:rPr>
            </w:pPr>
            <w:r w:rsidRPr="00367EEF">
              <w:rPr>
                <w:rFonts w:cstheme="minorHAnsi"/>
                <w:sz w:val="21"/>
                <w:szCs w:val="21"/>
              </w:rPr>
              <w:lastRenderedPageBreak/>
              <w:t xml:space="preserve">Identify plan and implement specific activities addressing gender and disability </w:t>
            </w:r>
          </w:p>
        </w:tc>
        <w:tc>
          <w:tcPr>
            <w:tcW w:w="1418" w:type="dxa"/>
          </w:tcPr>
          <w:p w14:paraId="4567D94C" w14:textId="77777777" w:rsidR="001E13C6" w:rsidRPr="00367EEF" w:rsidRDefault="001E13C6" w:rsidP="004428E5">
            <w:pPr>
              <w:rPr>
                <w:rFonts w:cstheme="minorHAnsi"/>
                <w:noProof/>
                <w:sz w:val="14"/>
                <w:szCs w:val="14"/>
              </w:rPr>
            </w:pPr>
            <w:r w:rsidRPr="00367EEF">
              <w:rPr>
                <w:rFonts w:cstheme="minorHAnsi"/>
                <w:i/>
                <w:iCs/>
              </w:rPr>
              <w:lastRenderedPageBreak/>
              <w:t>P</w:t>
            </w:r>
            <w:r>
              <w:rPr>
                <w:rFonts w:cstheme="minorHAnsi"/>
                <w:i/>
                <w:iCs/>
              </w:rPr>
              <w:t>rimary responsibility</w:t>
            </w:r>
          </w:p>
        </w:tc>
        <w:tc>
          <w:tcPr>
            <w:tcW w:w="1407" w:type="dxa"/>
          </w:tcPr>
          <w:p w14:paraId="3C080B1B" w14:textId="77777777" w:rsidR="001E13C6" w:rsidRPr="00367EEF" w:rsidRDefault="001E13C6" w:rsidP="004428E5">
            <w:pPr>
              <w:rPr>
                <w:rFonts w:cstheme="minorHAnsi"/>
                <w:noProof/>
                <w:sz w:val="14"/>
                <w:szCs w:val="14"/>
              </w:rPr>
            </w:pPr>
            <w:r w:rsidRPr="00367EEF">
              <w:rPr>
                <w:rFonts w:cstheme="minorHAnsi"/>
                <w:i/>
                <w:iCs/>
              </w:rPr>
              <w:t>P</w:t>
            </w:r>
            <w:r>
              <w:rPr>
                <w:rFonts w:cstheme="minorHAnsi"/>
                <w:i/>
                <w:iCs/>
              </w:rPr>
              <w:t>rimary responsibility</w:t>
            </w:r>
          </w:p>
        </w:tc>
        <w:tc>
          <w:tcPr>
            <w:tcW w:w="1372" w:type="dxa"/>
          </w:tcPr>
          <w:p w14:paraId="1B9EE420" w14:textId="77777777" w:rsidR="001E13C6" w:rsidRPr="00367EEF" w:rsidRDefault="001E13C6" w:rsidP="004428E5">
            <w:pPr>
              <w:rPr>
                <w:rFonts w:cstheme="minorHAnsi"/>
                <w:noProof/>
                <w:sz w:val="14"/>
                <w:szCs w:val="14"/>
              </w:rPr>
            </w:pPr>
            <w:r w:rsidRPr="00367EEF">
              <w:rPr>
                <w:rFonts w:cstheme="minorHAnsi"/>
                <w:i/>
                <w:iCs/>
              </w:rPr>
              <w:t>P</w:t>
            </w:r>
            <w:r>
              <w:rPr>
                <w:rFonts w:cstheme="minorHAnsi"/>
                <w:i/>
                <w:iCs/>
              </w:rPr>
              <w:t>rimary responsibility</w:t>
            </w:r>
          </w:p>
        </w:tc>
        <w:tc>
          <w:tcPr>
            <w:tcW w:w="1372" w:type="dxa"/>
          </w:tcPr>
          <w:p w14:paraId="39A266E2" w14:textId="77777777" w:rsidR="001E13C6" w:rsidRPr="00367EEF" w:rsidRDefault="001E13C6" w:rsidP="004428E5">
            <w:pPr>
              <w:rPr>
                <w:rFonts w:cstheme="minorHAnsi"/>
                <w:noProof/>
                <w:sz w:val="14"/>
                <w:szCs w:val="14"/>
              </w:rPr>
            </w:pPr>
            <w:r w:rsidRPr="00367EEF">
              <w:rPr>
                <w:rFonts w:cstheme="minorHAnsi"/>
                <w:i/>
                <w:iCs/>
              </w:rPr>
              <w:t>P</w:t>
            </w:r>
            <w:r>
              <w:rPr>
                <w:rFonts w:cstheme="minorHAnsi"/>
                <w:i/>
                <w:iCs/>
              </w:rPr>
              <w:t>rimary responsibility</w:t>
            </w:r>
          </w:p>
        </w:tc>
        <w:tc>
          <w:tcPr>
            <w:tcW w:w="1372" w:type="dxa"/>
          </w:tcPr>
          <w:p w14:paraId="2651BBFA" w14:textId="77777777" w:rsidR="001E13C6" w:rsidRPr="00367EEF" w:rsidRDefault="001E13C6" w:rsidP="004428E5">
            <w:pPr>
              <w:rPr>
                <w:rFonts w:cstheme="minorHAnsi"/>
                <w:noProof/>
                <w:sz w:val="14"/>
                <w:szCs w:val="14"/>
              </w:rPr>
            </w:pPr>
            <w:r w:rsidRPr="00367EEF">
              <w:rPr>
                <w:rFonts w:cstheme="minorHAnsi"/>
                <w:i/>
                <w:iCs/>
              </w:rPr>
              <w:t>P</w:t>
            </w:r>
            <w:r>
              <w:rPr>
                <w:rFonts w:cstheme="minorHAnsi"/>
                <w:i/>
                <w:iCs/>
              </w:rPr>
              <w:t>rimary responsibility</w:t>
            </w:r>
          </w:p>
        </w:tc>
        <w:tc>
          <w:tcPr>
            <w:tcW w:w="1372" w:type="dxa"/>
          </w:tcPr>
          <w:p w14:paraId="28A5316D" w14:textId="77777777" w:rsidR="001E13C6" w:rsidRPr="00367EEF" w:rsidRDefault="001E13C6" w:rsidP="004428E5">
            <w:pPr>
              <w:rPr>
                <w:rFonts w:cstheme="minorHAnsi"/>
                <w:noProof/>
                <w:sz w:val="14"/>
                <w:szCs w:val="14"/>
              </w:rPr>
            </w:pPr>
            <w:r w:rsidRPr="00367EEF">
              <w:rPr>
                <w:rFonts w:cstheme="minorHAnsi"/>
                <w:i/>
                <w:iCs/>
              </w:rPr>
              <w:t>P</w:t>
            </w:r>
            <w:r>
              <w:rPr>
                <w:rFonts w:cstheme="minorHAnsi"/>
                <w:i/>
                <w:iCs/>
              </w:rPr>
              <w:t>rimary responsibility</w:t>
            </w:r>
          </w:p>
        </w:tc>
        <w:tc>
          <w:tcPr>
            <w:tcW w:w="1372" w:type="dxa"/>
          </w:tcPr>
          <w:p w14:paraId="6465E0A3" w14:textId="77777777" w:rsidR="001E13C6" w:rsidRPr="00367EEF" w:rsidRDefault="001E13C6" w:rsidP="004428E5">
            <w:pPr>
              <w:rPr>
                <w:rFonts w:cstheme="minorHAnsi"/>
                <w:noProof/>
                <w:sz w:val="14"/>
                <w:szCs w:val="14"/>
              </w:rPr>
            </w:pPr>
            <w:r w:rsidRPr="00367EEF">
              <w:rPr>
                <w:rFonts w:cstheme="minorHAnsi"/>
                <w:i/>
                <w:iCs/>
              </w:rPr>
              <w:t>P</w:t>
            </w:r>
            <w:r>
              <w:rPr>
                <w:rFonts w:cstheme="minorHAnsi"/>
                <w:i/>
                <w:iCs/>
              </w:rPr>
              <w:t>rimary responsibility</w:t>
            </w:r>
          </w:p>
        </w:tc>
        <w:tc>
          <w:tcPr>
            <w:tcW w:w="1372" w:type="dxa"/>
          </w:tcPr>
          <w:p w14:paraId="3367B657" w14:textId="77777777" w:rsidR="001E13C6" w:rsidRPr="00367EEF" w:rsidRDefault="001E13C6" w:rsidP="004428E5">
            <w:pPr>
              <w:rPr>
                <w:rFonts w:cstheme="minorHAnsi"/>
                <w:noProof/>
                <w:sz w:val="14"/>
                <w:szCs w:val="14"/>
              </w:rPr>
            </w:pPr>
            <w:r>
              <w:rPr>
                <w:rFonts w:cstheme="minorHAnsi"/>
                <w:i/>
                <w:iCs/>
              </w:rPr>
              <w:t>Secondary responsibility</w:t>
            </w:r>
          </w:p>
        </w:tc>
      </w:tr>
      <w:tr w:rsidR="00DC4F04" w:rsidRPr="00367EEF" w14:paraId="7DE5AECA" w14:textId="77777777" w:rsidTr="00DC4F04">
        <w:tc>
          <w:tcPr>
            <w:tcW w:w="5104" w:type="dxa"/>
          </w:tcPr>
          <w:p w14:paraId="021A6E91" w14:textId="77777777" w:rsidR="001E13C6" w:rsidRPr="00367EEF" w:rsidRDefault="001E13C6" w:rsidP="004428E5">
            <w:pPr>
              <w:pStyle w:val="ListParagraph"/>
              <w:numPr>
                <w:ilvl w:val="0"/>
                <w:numId w:val="47"/>
              </w:numPr>
              <w:spacing w:before="0"/>
              <w:ind w:left="879" w:hanging="425"/>
              <w:contextualSpacing w:val="0"/>
              <w:rPr>
                <w:rFonts w:cstheme="minorHAnsi"/>
                <w:sz w:val="21"/>
                <w:szCs w:val="21"/>
              </w:rPr>
            </w:pPr>
            <w:r w:rsidRPr="00367EEF">
              <w:rPr>
                <w:rFonts w:cstheme="minorHAnsi"/>
                <w:sz w:val="21"/>
                <w:szCs w:val="21"/>
              </w:rPr>
              <w:t>Design a grants program with NGOs, CSOs and CBOs to enable women’s and disability organisations to participate in climate and infrastructure policy and planning, and to progress GEDSI outcomes.</w:t>
            </w:r>
          </w:p>
        </w:tc>
        <w:tc>
          <w:tcPr>
            <w:tcW w:w="1418" w:type="dxa"/>
          </w:tcPr>
          <w:p w14:paraId="4B10583D" w14:textId="77777777" w:rsidR="001E13C6" w:rsidRPr="00367EEF" w:rsidRDefault="001E13C6" w:rsidP="004428E5">
            <w:pPr>
              <w:rPr>
                <w:rFonts w:cstheme="minorHAnsi"/>
                <w:noProof/>
                <w:sz w:val="14"/>
                <w:szCs w:val="14"/>
              </w:rPr>
            </w:pPr>
            <w:r w:rsidRPr="00F051FC">
              <w:rPr>
                <w:rFonts w:cstheme="minorHAnsi"/>
                <w:i/>
                <w:iCs/>
              </w:rPr>
              <w:t>No responsibility</w:t>
            </w:r>
          </w:p>
        </w:tc>
        <w:tc>
          <w:tcPr>
            <w:tcW w:w="1407" w:type="dxa"/>
          </w:tcPr>
          <w:p w14:paraId="4D15F268" w14:textId="77777777" w:rsidR="001E13C6" w:rsidRPr="00367EEF" w:rsidRDefault="001E13C6" w:rsidP="004428E5">
            <w:pPr>
              <w:rPr>
                <w:rFonts w:cstheme="minorHAnsi"/>
                <w:noProof/>
                <w:sz w:val="14"/>
                <w:szCs w:val="14"/>
              </w:rPr>
            </w:pPr>
            <w:r w:rsidRPr="00F051FC">
              <w:rPr>
                <w:rFonts w:cstheme="minorHAnsi"/>
                <w:i/>
                <w:iCs/>
              </w:rPr>
              <w:t>No responsibility</w:t>
            </w:r>
          </w:p>
        </w:tc>
        <w:tc>
          <w:tcPr>
            <w:tcW w:w="1372" w:type="dxa"/>
          </w:tcPr>
          <w:p w14:paraId="5E014CE2" w14:textId="77777777" w:rsidR="001E13C6" w:rsidRPr="00367EEF" w:rsidRDefault="001E13C6" w:rsidP="004428E5">
            <w:pPr>
              <w:rPr>
                <w:rFonts w:cstheme="minorHAnsi"/>
                <w:noProof/>
                <w:sz w:val="14"/>
                <w:szCs w:val="14"/>
              </w:rPr>
            </w:pPr>
            <w:r w:rsidRPr="00F051FC">
              <w:rPr>
                <w:rFonts w:cstheme="minorHAnsi"/>
                <w:i/>
                <w:iCs/>
              </w:rPr>
              <w:t>No responsibility</w:t>
            </w:r>
          </w:p>
        </w:tc>
        <w:tc>
          <w:tcPr>
            <w:tcW w:w="1372" w:type="dxa"/>
          </w:tcPr>
          <w:p w14:paraId="72EF506B" w14:textId="77777777" w:rsidR="001E13C6" w:rsidRPr="00367EEF" w:rsidRDefault="001E13C6" w:rsidP="004428E5">
            <w:pPr>
              <w:rPr>
                <w:rFonts w:cstheme="minorHAnsi"/>
                <w:noProof/>
                <w:sz w:val="14"/>
                <w:szCs w:val="14"/>
              </w:rPr>
            </w:pPr>
            <w:r w:rsidRPr="00367EEF">
              <w:rPr>
                <w:rFonts w:cstheme="minorHAnsi"/>
                <w:i/>
                <w:iCs/>
              </w:rPr>
              <w:t>P</w:t>
            </w:r>
            <w:r>
              <w:rPr>
                <w:rFonts w:cstheme="minorHAnsi"/>
                <w:i/>
                <w:iCs/>
              </w:rPr>
              <w:t>rimary responsibility</w:t>
            </w:r>
          </w:p>
        </w:tc>
        <w:tc>
          <w:tcPr>
            <w:tcW w:w="1372" w:type="dxa"/>
          </w:tcPr>
          <w:p w14:paraId="61ECFC4D" w14:textId="77777777" w:rsidR="001E13C6" w:rsidRPr="00367EEF" w:rsidRDefault="001E13C6" w:rsidP="004428E5">
            <w:pPr>
              <w:rPr>
                <w:rFonts w:cstheme="minorHAnsi"/>
                <w:noProof/>
                <w:sz w:val="14"/>
                <w:szCs w:val="14"/>
              </w:rPr>
            </w:pPr>
            <w:r w:rsidRPr="00F051FC">
              <w:rPr>
                <w:rFonts w:cstheme="minorHAnsi"/>
                <w:i/>
                <w:iCs/>
              </w:rPr>
              <w:t>No responsibility</w:t>
            </w:r>
          </w:p>
        </w:tc>
        <w:tc>
          <w:tcPr>
            <w:tcW w:w="1372" w:type="dxa"/>
          </w:tcPr>
          <w:p w14:paraId="5B97F14F" w14:textId="77777777" w:rsidR="001E13C6" w:rsidRPr="00367EEF" w:rsidRDefault="001E13C6" w:rsidP="004428E5">
            <w:pPr>
              <w:rPr>
                <w:rFonts w:cstheme="minorHAnsi"/>
                <w:noProof/>
                <w:sz w:val="14"/>
                <w:szCs w:val="14"/>
              </w:rPr>
            </w:pPr>
            <w:r w:rsidRPr="00F051FC">
              <w:rPr>
                <w:rFonts w:cstheme="minorHAnsi"/>
                <w:i/>
                <w:iCs/>
              </w:rPr>
              <w:t>No responsibility</w:t>
            </w:r>
          </w:p>
        </w:tc>
        <w:tc>
          <w:tcPr>
            <w:tcW w:w="1372" w:type="dxa"/>
          </w:tcPr>
          <w:p w14:paraId="6F114DA5" w14:textId="77777777" w:rsidR="001E13C6" w:rsidRPr="00367EEF" w:rsidRDefault="001E13C6" w:rsidP="004428E5">
            <w:pPr>
              <w:rPr>
                <w:rFonts w:cstheme="minorHAnsi"/>
                <w:noProof/>
                <w:sz w:val="14"/>
                <w:szCs w:val="14"/>
              </w:rPr>
            </w:pPr>
            <w:r w:rsidRPr="00F051FC">
              <w:rPr>
                <w:rFonts w:cstheme="minorHAnsi"/>
                <w:i/>
                <w:iCs/>
              </w:rPr>
              <w:t>No responsibility</w:t>
            </w:r>
          </w:p>
        </w:tc>
        <w:tc>
          <w:tcPr>
            <w:tcW w:w="1372" w:type="dxa"/>
          </w:tcPr>
          <w:p w14:paraId="05DCAD01" w14:textId="77777777" w:rsidR="001E13C6" w:rsidRPr="00367EEF" w:rsidRDefault="001E13C6" w:rsidP="004428E5">
            <w:pPr>
              <w:rPr>
                <w:rFonts w:cstheme="minorHAnsi"/>
                <w:noProof/>
                <w:sz w:val="14"/>
                <w:szCs w:val="14"/>
              </w:rPr>
            </w:pPr>
            <w:r w:rsidRPr="00F051FC">
              <w:rPr>
                <w:rFonts w:cstheme="minorHAnsi"/>
                <w:i/>
                <w:iCs/>
              </w:rPr>
              <w:t>No responsibility</w:t>
            </w:r>
          </w:p>
        </w:tc>
      </w:tr>
      <w:tr w:rsidR="00DC4F04" w:rsidRPr="00367EEF" w14:paraId="6F7EA09C" w14:textId="77777777" w:rsidTr="00DC4F04">
        <w:tc>
          <w:tcPr>
            <w:tcW w:w="5104" w:type="dxa"/>
          </w:tcPr>
          <w:p w14:paraId="6F6F7AC2" w14:textId="77777777" w:rsidR="001E13C6" w:rsidRPr="00367EEF" w:rsidRDefault="001E13C6" w:rsidP="004428E5">
            <w:pPr>
              <w:pStyle w:val="ListParagraph"/>
              <w:numPr>
                <w:ilvl w:val="0"/>
                <w:numId w:val="47"/>
              </w:numPr>
              <w:spacing w:before="0"/>
              <w:ind w:left="879" w:hanging="425"/>
              <w:contextualSpacing w:val="0"/>
              <w:rPr>
                <w:rFonts w:cstheme="minorHAnsi"/>
                <w:sz w:val="21"/>
                <w:szCs w:val="21"/>
              </w:rPr>
            </w:pPr>
            <w:r w:rsidRPr="00367EEF">
              <w:rPr>
                <w:rFonts w:cstheme="minorHAnsi"/>
                <w:sz w:val="21"/>
                <w:szCs w:val="21"/>
              </w:rPr>
              <w:t>Design and plan Activities and Projects with women-led businesses that address climate resil</w:t>
            </w:r>
            <w:r>
              <w:rPr>
                <w:rFonts w:cstheme="minorHAnsi"/>
                <w:sz w:val="21"/>
                <w:szCs w:val="21"/>
              </w:rPr>
              <w:t>i</w:t>
            </w:r>
            <w:r w:rsidRPr="00367EEF">
              <w:rPr>
                <w:rFonts w:cstheme="minorHAnsi"/>
                <w:sz w:val="21"/>
                <w:szCs w:val="21"/>
              </w:rPr>
              <w:t xml:space="preserve">ence and influence operations of financial markets  </w:t>
            </w:r>
          </w:p>
        </w:tc>
        <w:tc>
          <w:tcPr>
            <w:tcW w:w="1418" w:type="dxa"/>
          </w:tcPr>
          <w:p w14:paraId="22C55C97" w14:textId="77777777" w:rsidR="001E13C6" w:rsidRPr="00367EEF" w:rsidRDefault="001E13C6" w:rsidP="004428E5">
            <w:pPr>
              <w:rPr>
                <w:rFonts w:cstheme="minorHAnsi"/>
                <w:noProof/>
                <w:sz w:val="14"/>
                <w:szCs w:val="14"/>
              </w:rPr>
            </w:pPr>
            <w:r w:rsidRPr="00F051FC">
              <w:rPr>
                <w:rFonts w:cstheme="minorHAnsi"/>
                <w:i/>
                <w:iCs/>
              </w:rPr>
              <w:t>No responsibility</w:t>
            </w:r>
          </w:p>
        </w:tc>
        <w:tc>
          <w:tcPr>
            <w:tcW w:w="1407" w:type="dxa"/>
          </w:tcPr>
          <w:p w14:paraId="087DC6EE" w14:textId="77777777" w:rsidR="001E13C6" w:rsidRPr="00367EEF" w:rsidRDefault="001E13C6" w:rsidP="004428E5">
            <w:pPr>
              <w:rPr>
                <w:rFonts w:cstheme="minorHAnsi"/>
                <w:noProof/>
                <w:sz w:val="14"/>
                <w:szCs w:val="14"/>
              </w:rPr>
            </w:pPr>
            <w:r w:rsidRPr="00F051FC">
              <w:rPr>
                <w:rFonts w:cstheme="minorHAnsi"/>
                <w:i/>
                <w:iCs/>
              </w:rPr>
              <w:t>No responsibility</w:t>
            </w:r>
          </w:p>
        </w:tc>
        <w:tc>
          <w:tcPr>
            <w:tcW w:w="1372" w:type="dxa"/>
          </w:tcPr>
          <w:p w14:paraId="5C45432B" w14:textId="77777777" w:rsidR="001E13C6" w:rsidRPr="00367EEF" w:rsidRDefault="001E13C6" w:rsidP="004428E5">
            <w:pPr>
              <w:rPr>
                <w:rFonts w:cstheme="minorHAnsi"/>
                <w:noProof/>
                <w:sz w:val="14"/>
                <w:szCs w:val="14"/>
              </w:rPr>
            </w:pPr>
            <w:r w:rsidRPr="00367EEF">
              <w:rPr>
                <w:rFonts w:cstheme="minorHAnsi"/>
                <w:i/>
                <w:iCs/>
              </w:rPr>
              <w:t>P</w:t>
            </w:r>
            <w:r>
              <w:rPr>
                <w:rFonts w:cstheme="minorHAnsi"/>
                <w:i/>
                <w:iCs/>
              </w:rPr>
              <w:t>rimary responsibility</w:t>
            </w:r>
          </w:p>
        </w:tc>
        <w:tc>
          <w:tcPr>
            <w:tcW w:w="1372" w:type="dxa"/>
          </w:tcPr>
          <w:p w14:paraId="682EB6FD" w14:textId="77777777" w:rsidR="001E13C6" w:rsidRPr="00367EEF" w:rsidRDefault="001E13C6" w:rsidP="004428E5">
            <w:pPr>
              <w:rPr>
                <w:rFonts w:cstheme="minorHAnsi"/>
                <w:noProof/>
                <w:sz w:val="14"/>
                <w:szCs w:val="14"/>
              </w:rPr>
            </w:pPr>
            <w:r w:rsidRPr="00F051FC">
              <w:rPr>
                <w:rFonts w:cstheme="minorHAnsi"/>
                <w:i/>
                <w:iCs/>
              </w:rPr>
              <w:t>No responsibility</w:t>
            </w:r>
          </w:p>
        </w:tc>
        <w:tc>
          <w:tcPr>
            <w:tcW w:w="1372" w:type="dxa"/>
          </w:tcPr>
          <w:p w14:paraId="632EF71A" w14:textId="77777777" w:rsidR="001E13C6" w:rsidRPr="00367EEF" w:rsidRDefault="001E13C6" w:rsidP="004428E5">
            <w:pPr>
              <w:rPr>
                <w:rFonts w:cstheme="minorHAnsi"/>
                <w:noProof/>
                <w:sz w:val="14"/>
                <w:szCs w:val="14"/>
              </w:rPr>
            </w:pPr>
            <w:r w:rsidRPr="00F051FC">
              <w:rPr>
                <w:rFonts w:cstheme="minorHAnsi"/>
                <w:i/>
                <w:iCs/>
              </w:rPr>
              <w:t>No responsibility</w:t>
            </w:r>
          </w:p>
        </w:tc>
        <w:tc>
          <w:tcPr>
            <w:tcW w:w="1372" w:type="dxa"/>
          </w:tcPr>
          <w:p w14:paraId="1BCA8F91" w14:textId="77777777" w:rsidR="001E13C6" w:rsidRPr="00367EEF" w:rsidRDefault="001E13C6" w:rsidP="004428E5">
            <w:pPr>
              <w:rPr>
                <w:rFonts w:cstheme="minorHAnsi"/>
                <w:noProof/>
                <w:sz w:val="14"/>
                <w:szCs w:val="14"/>
              </w:rPr>
            </w:pPr>
            <w:r w:rsidRPr="00F051FC">
              <w:rPr>
                <w:rFonts w:cstheme="minorHAnsi"/>
                <w:i/>
                <w:iCs/>
              </w:rPr>
              <w:t>No responsibility</w:t>
            </w:r>
          </w:p>
        </w:tc>
        <w:tc>
          <w:tcPr>
            <w:tcW w:w="1372" w:type="dxa"/>
          </w:tcPr>
          <w:p w14:paraId="44F26F76" w14:textId="77777777" w:rsidR="001E13C6" w:rsidRPr="00367EEF" w:rsidRDefault="001E13C6" w:rsidP="004428E5">
            <w:pPr>
              <w:rPr>
                <w:rFonts w:cstheme="minorHAnsi"/>
                <w:noProof/>
                <w:sz w:val="14"/>
                <w:szCs w:val="14"/>
              </w:rPr>
            </w:pPr>
            <w:r w:rsidRPr="00F051FC">
              <w:rPr>
                <w:rFonts w:cstheme="minorHAnsi"/>
                <w:i/>
                <w:iCs/>
              </w:rPr>
              <w:t>No responsibility</w:t>
            </w:r>
          </w:p>
        </w:tc>
        <w:tc>
          <w:tcPr>
            <w:tcW w:w="1372" w:type="dxa"/>
          </w:tcPr>
          <w:p w14:paraId="23AAEE24" w14:textId="77777777" w:rsidR="001E13C6" w:rsidRPr="00367EEF" w:rsidRDefault="001E13C6" w:rsidP="004428E5">
            <w:pPr>
              <w:rPr>
                <w:rFonts w:cstheme="minorHAnsi"/>
                <w:noProof/>
                <w:sz w:val="14"/>
                <w:szCs w:val="14"/>
              </w:rPr>
            </w:pPr>
            <w:r w:rsidRPr="00F051FC">
              <w:rPr>
                <w:rFonts w:cstheme="minorHAnsi"/>
                <w:i/>
                <w:iCs/>
              </w:rPr>
              <w:t>No responsibility</w:t>
            </w:r>
          </w:p>
        </w:tc>
      </w:tr>
      <w:tr w:rsidR="00DC4F04" w:rsidRPr="00367EEF" w14:paraId="22EFC804" w14:textId="77777777" w:rsidTr="00DC4F04">
        <w:tc>
          <w:tcPr>
            <w:tcW w:w="5104" w:type="dxa"/>
          </w:tcPr>
          <w:p w14:paraId="67E47017" w14:textId="77777777" w:rsidR="001E13C6" w:rsidRPr="00367EEF" w:rsidRDefault="001E13C6" w:rsidP="004428E5">
            <w:pPr>
              <w:pStyle w:val="ListParagraph"/>
              <w:numPr>
                <w:ilvl w:val="0"/>
                <w:numId w:val="34"/>
              </w:numPr>
              <w:spacing w:before="60"/>
              <w:ind w:left="357" w:hanging="357"/>
              <w:contextualSpacing w:val="0"/>
              <w:rPr>
                <w:rFonts w:cstheme="minorHAnsi"/>
                <w:b/>
                <w:bCs/>
                <w:sz w:val="21"/>
                <w:szCs w:val="21"/>
              </w:rPr>
            </w:pPr>
            <w:r w:rsidRPr="00367EEF">
              <w:rPr>
                <w:rFonts w:cstheme="minorHAnsi"/>
                <w:b/>
                <w:bCs/>
                <w:sz w:val="21"/>
                <w:szCs w:val="21"/>
              </w:rPr>
              <w:t>Climate policy and technical services on mitigation, adaptation and resilience (including climate and disaster risk analysis and assessment) and sustainable, green and climate finance.</w:t>
            </w:r>
          </w:p>
          <w:p w14:paraId="41AD0017" w14:textId="77777777" w:rsidR="001E13C6" w:rsidRPr="00367EEF" w:rsidRDefault="001E13C6" w:rsidP="00B441CB">
            <w:pPr>
              <w:pStyle w:val="ListParagraph"/>
              <w:numPr>
                <w:ilvl w:val="0"/>
                <w:numId w:val="55"/>
              </w:numPr>
              <w:spacing w:before="0"/>
              <w:ind w:left="743" w:hanging="289"/>
              <w:contextualSpacing w:val="0"/>
              <w:rPr>
                <w:rFonts w:cstheme="minorHAnsi"/>
                <w:sz w:val="21"/>
                <w:szCs w:val="21"/>
              </w:rPr>
            </w:pPr>
            <w:r w:rsidRPr="00367EEF">
              <w:rPr>
                <w:rFonts w:cstheme="minorHAnsi"/>
                <w:sz w:val="21"/>
                <w:szCs w:val="21"/>
              </w:rPr>
              <w:t xml:space="preserve">Develop a climate change strategy (external and internal), implementation tools and investment criteria to be applied across the program. </w:t>
            </w:r>
          </w:p>
          <w:p w14:paraId="24E9551D" w14:textId="77777777" w:rsidR="001E13C6" w:rsidRPr="00367EEF" w:rsidRDefault="001E13C6" w:rsidP="00B441CB">
            <w:pPr>
              <w:pStyle w:val="ListParagraph"/>
              <w:numPr>
                <w:ilvl w:val="0"/>
                <w:numId w:val="55"/>
              </w:numPr>
              <w:spacing w:before="0"/>
              <w:ind w:left="743" w:hanging="289"/>
              <w:contextualSpacing w:val="0"/>
              <w:rPr>
                <w:rFonts w:cstheme="minorHAnsi"/>
                <w:sz w:val="21"/>
                <w:szCs w:val="21"/>
              </w:rPr>
            </w:pPr>
            <w:r w:rsidRPr="00367EEF">
              <w:rPr>
                <w:rFonts w:cstheme="minorHAnsi"/>
                <w:sz w:val="21"/>
                <w:szCs w:val="21"/>
              </w:rPr>
              <w:t xml:space="preserve">Establish an information sharing and learning platform that enables capacity building and consistent application of the climate change strategy across delivery partners. </w:t>
            </w:r>
          </w:p>
          <w:p w14:paraId="2672FC73" w14:textId="77777777" w:rsidR="001E13C6" w:rsidRPr="00367EEF" w:rsidRDefault="001E13C6" w:rsidP="00B441CB">
            <w:pPr>
              <w:pStyle w:val="ListParagraph"/>
              <w:numPr>
                <w:ilvl w:val="0"/>
                <w:numId w:val="55"/>
              </w:numPr>
              <w:spacing w:before="0"/>
              <w:ind w:left="743" w:hanging="289"/>
              <w:contextualSpacing w:val="0"/>
              <w:rPr>
                <w:rFonts w:cstheme="minorHAnsi"/>
                <w:sz w:val="21"/>
                <w:szCs w:val="21"/>
              </w:rPr>
            </w:pPr>
            <w:r w:rsidRPr="00367EEF">
              <w:rPr>
                <w:rFonts w:cstheme="minorHAnsi"/>
                <w:sz w:val="21"/>
                <w:szCs w:val="21"/>
              </w:rPr>
              <w:t>Engage with and maintain relationships with key climate change sector actors in Indonesia, regionally and globally to tailor activities to Indonesian priorities and reflect emerging sector standards</w:t>
            </w:r>
          </w:p>
          <w:p w14:paraId="244B831F" w14:textId="77777777" w:rsidR="001E13C6" w:rsidRPr="00367EEF" w:rsidRDefault="001E13C6" w:rsidP="00B441CB">
            <w:pPr>
              <w:pStyle w:val="ListParagraph"/>
              <w:numPr>
                <w:ilvl w:val="0"/>
                <w:numId w:val="55"/>
              </w:numPr>
              <w:spacing w:before="0"/>
              <w:ind w:left="743" w:hanging="289"/>
              <w:contextualSpacing w:val="0"/>
              <w:rPr>
                <w:rFonts w:cstheme="minorHAnsi"/>
                <w:sz w:val="21"/>
                <w:szCs w:val="21"/>
              </w:rPr>
            </w:pPr>
            <w:r w:rsidRPr="00367EEF">
              <w:rPr>
                <w:rFonts w:cstheme="minorHAnsi"/>
                <w:sz w:val="21"/>
                <w:szCs w:val="21"/>
              </w:rPr>
              <w:t xml:space="preserve">Technical expertise on mitigation, adaptation and resilience in the infrastructure sector, </w:t>
            </w:r>
            <w:r w:rsidRPr="00367EEF">
              <w:rPr>
                <w:rFonts w:cstheme="minorHAnsi"/>
                <w:sz w:val="21"/>
                <w:szCs w:val="21"/>
              </w:rPr>
              <w:lastRenderedPageBreak/>
              <w:t>including application across sector planning, project pipeline and lifecycle.</w:t>
            </w:r>
          </w:p>
          <w:p w14:paraId="7FF210B4" w14:textId="77777777" w:rsidR="001E13C6" w:rsidRPr="00367EEF" w:rsidRDefault="001E13C6" w:rsidP="00B441CB">
            <w:pPr>
              <w:pStyle w:val="ListParagraph"/>
              <w:numPr>
                <w:ilvl w:val="0"/>
                <w:numId w:val="55"/>
              </w:numPr>
              <w:spacing w:before="0"/>
              <w:ind w:left="743" w:hanging="289"/>
              <w:contextualSpacing w:val="0"/>
              <w:rPr>
                <w:rFonts w:cstheme="minorHAnsi"/>
                <w:sz w:val="21"/>
                <w:szCs w:val="21"/>
              </w:rPr>
            </w:pPr>
            <w:r w:rsidRPr="00367EEF">
              <w:rPr>
                <w:rFonts w:cstheme="minorHAnsi"/>
                <w:sz w:val="21"/>
                <w:szCs w:val="21"/>
              </w:rPr>
              <w:t>Quality assurance of technical outputs on climate change themes</w:t>
            </w:r>
          </w:p>
          <w:p w14:paraId="0477BE6F" w14:textId="77777777" w:rsidR="001E13C6" w:rsidRPr="00367EEF" w:rsidRDefault="001E13C6" w:rsidP="00B441CB">
            <w:pPr>
              <w:pStyle w:val="ListParagraph"/>
              <w:numPr>
                <w:ilvl w:val="0"/>
                <w:numId w:val="55"/>
              </w:numPr>
              <w:spacing w:before="0" w:after="0"/>
              <w:ind w:left="743" w:hanging="289"/>
              <w:contextualSpacing w:val="0"/>
              <w:rPr>
                <w:rFonts w:cstheme="minorHAnsi"/>
                <w:sz w:val="21"/>
                <w:szCs w:val="21"/>
              </w:rPr>
            </w:pPr>
            <w:r w:rsidRPr="00367EEF">
              <w:rPr>
                <w:rFonts w:cstheme="minorHAnsi"/>
                <w:sz w:val="21"/>
                <w:szCs w:val="21"/>
              </w:rPr>
              <w:t>Niche advisory to GOI counterparts and partners on specific technical topics including (but not limited to)</w:t>
            </w:r>
            <w:r>
              <w:rPr>
                <w:rFonts w:cstheme="minorHAnsi"/>
                <w:sz w:val="21"/>
                <w:szCs w:val="21"/>
              </w:rPr>
              <w:t>:</w:t>
            </w:r>
          </w:p>
          <w:p w14:paraId="00D15150" w14:textId="77777777" w:rsidR="001E13C6" w:rsidRPr="00367EEF" w:rsidRDefault="001E13C6" w:rsidP="00B441CB">
            <w:pPr>
              <w:pStyle w:val="ListParagraph"/>
              <w:numPr>
                <w:ilvl w:val="0"/>
                <w:numId w:val="56"/>
              </w:numPr>
              <w:ind w:left="1169" w:hanging="278"/>
              <w:rPr>
                <w:rFonts w:cstheme="minorHAnsi"/>
                <w:sz w:val="21"/>
                <w:szCs w:val="21"/>
              </w:rPr>
            </w:pPr>
            <w:r w:rsidRPr="00367EEF">
              <w:rPr>
                <w:rFonts w:cstheme="minorHAnsi"/>
                <w:sz w:val="21"/>
                <w:szCs w:val="21"/>
              </w:rPr>
              <w:t>Physical and transition climate and disaster risk assessments</w:t>
            </w:r>
          </w:p>
          <w:p w14:paraId="79292B3F" w14:textId="77777777" w:rsidR="001E13C6" w:rsidRPr="00367EEF" w:rsidRDefault="001E13C6" w:rsidP="00B441CB">
            <w:pPr>
              <w:pStyle w:val="ListParagraph"/>
              <w:numPr>
                <w:ilvl w:val="0"/>
                <w:numId w:val="56"/>
              </w:numPr>
              <w:ind w:left="1169" w:hanging="278"/>
              <w:rPr>
                <w:rFonts w:cstheme="minorHAnsi"/>
                <w:sz w:val="21"/>
                <w:szCs w:val="21"/>
              </w:rPr>
            </w:pPr>
            <w:r w:rsidRPr="00367EEF">
              <w:rPr>
                <w:rFonts w:cstheme="minorHAnsi"/>
                <w:sz w:val="21"/>
                <w:szCs w:val="21"/>
              </w:rPr>
              <w:t>Emissions Appraisals</w:t>
            </w:r>
          </w:p>
          <w:p w14:paraId="3B6D1124" w14:textId="77777777" w:rsidR="001E13C6" w:rsidRPr="00367EEF" w:rsidRDefault="001E13C6" w:rsidP="00B441CB">
            <w:pPr>
              <w:pStyle w:val="ListParagraph"/>
              <w:numPr>
                <w:ilvl w:val="0"/>
                <w:numId w:val="56"/>
              </w:numPr>
              <w:ind w:left="1169" w:hanging="278"/>
              <w:rPr>
                <w:rFonts w:cstheme="minorHAnsi"/>
                <w:sz w:val="21"/>
                <w:szCs w:val="21"/>
              </w:rPr>
            </w:pPr>
            <w:r w:rsidRPr="00367EEF">
              <w:rPr>
                <w:rFonts w:cstheme="minorHAnsi"/>
                <w:sz w:val="21"/>
                <w:szCs w:val="21"/>
              </w:rPr>
              <w:t xml:space="preserve">Climate Management and Monitoring Plans </w:t>
            </w:r>
          </w:p>
          <w:p w14:paraId="62375DD4" w14:textId="77777777" w:rsidR="001E13C6" w:rsidRPr="00367EEF" w:rsidRDefault="001E13C6" w:rsidP="00B441CB">
            <w:pPr>
              <w:pStyle w:val="ListParagraph"/>
              <w:numPr>
                <w:ilvl w:val="0"/>
                <w:numId w:val="56"/>
              </w:numPr>
              <w:ind w:left="1169" w:hanging="278"/>
              <w:rPr>
                <w:rFonts w:cstheme="minorHAnsi"/>
                <w:sz w:val="21"/>
                <w:szCs w:val="21"/>
              </w:rPr>
            </w:pPr>
            <w:r w:rsidRPr="00367EEF">
              <w:rPr>
                <w:rFonts w:cstheme="minorHAnsi"/>
                <w:sz w:val="21"/>
                <w:szCs w:val="21"/>
              </w:rPr>
              <w:t xml:space="preserve">Emissions Management and Monitoring Plans </w:t>
            </w:r>
          </w:p>
          <w:p w14:paraId="0117805C" w14:textId="77777777" w:rsidR="001E13C6" w:rsidRPr="00367EEF" w:rsidRDefault="001E13C6" w:rsidP="00B441CB">
            <w:pPr>
              <w:pStyle w:val="ListParagraph"/>
              <w:numPr>
                <w:ilvl w:val="0"/>
                <w:numId w:val="56"/>
              </w:numPr>
              <w:ind w:left="1169" w:hanging="278"/>
              <w:rPr>
                <w:rFonts w:cstheme="minorHAnsi"/>
                <w:sz w:val="21"/>
                <w:szCs w:val="21"/>
              </w:rPr>
            </w:pPr>
            <w:r w:rsidRPr="00367EEF">
              <w:rPr>
                <w:rFonts w:cstheme="minorHAnsi"/>
                <w:sz w:val="21"/>
                <w:szCs w:val="21"/>
              </w:rPr>
              <w:t>-Climate, Green and Sustainable finance alignment, readiness, and deals.</w:t>
            </w:r>
          </w:p>
          <w:p w14:paraId="7DA403F0" w14:textId="77777777" w:rsidR="001E13C6" w:rsidRPr="00367EEF" w:rsidRDefault="001E13C6" w:rsidP="00B441CB">
            <w:pPr>
              <w:pStyle w:val="ListParagraph"/>
              <w:numPr>
                <w:ilvl w:val="0"/>
                <w:numId w:val="56"/>
              </w:numPr>
              <w:ind w:left="1169" w:hanging="278"/>
              <w:rPr>
                <w:rFonts w:cstheme="minorHAnsi"/>
                <w:sz w:val="21"/>
                <w:szCs w:val="21"/>
              </w:rPr>
            </w:pPr>
            <w:r w:rsidRPr="00367EEF">
              <w:rPr>
                <w:rFonts w:cstheme="minorHAnsi"/>
                <w:sz w:val="21"/>
                <w:szCs w:val="21"/>
              </w:rPr>
              <w:t>Cost-benefit analysis of climate adaptation, mitigation and co-benefits</w:t>
            </w:r>
          </w:p>
          <w:p w14:paraId="18380913" w14:textId="77777777" w:rsidR="001E13C6" w:rsidRPr="00367EEF" w:rsidRDefault="001E13C6" w:rsidP="00B441CB">
            <w:pPr>
              <w:pStyle w:val="ListParagraph"/>
              <w:numPr>
                <w:ilvl w:val="0"/>
                <w:numId w:val="56"/>
              </w:numPr>
              <w:ind w:left="1169" w:hanging="278"/>
              <w:rPr>
                <w:rFonts w:cstheme="minorHAnsi"/>
                <w:sz w:val="21"/>
                <w:szCs w:val="21"/>
              </w:rPr>
            </w:pPr>
            <w:r w:rsidRPr="00367EEF">
              <w:rPr>
                <w:rFonts w:cstheme="minorHAnsi"/>
                <w:sz w:val="21"/>
                <w:szCs w:val="21"/>
              </w:rPr>
              <w:t>Climate and Disaster Resilient universal design principles</w:t>
            </w:r>
          </w:p>
          <w:p w14:paraId="38C0D8B9" w14:textId="77777777" w:rsidR="001E13C6" w:rsidRPr="00367EEF" w:rsidRDefault="001E13C6" w:rsidP="00B441CB">
            <w:pPr>
              <w:pStyle w:val="ListParagraph"/>
              <w:numPr>
                <w:ilvl w:val="0"/>
                <w:numId w:val="56"/>
              </w:numPr>
              <w:ind w:left="1169" w:hanging="278"/>
              <w:rPr>
                <w:rFonts w:cstheme="minorHAnsi"/>
                <w:sz w:val="21"/>
                <w:szCs w:val="21"/>
              </w:rPr>
            </w:pPr>
            <w:r w:rsidRPr="00367EEF">
              <w:rPr>
                <w:rFonts w:cstheme="minorHAnsi"/>
                <w:sz w:val="21"/>
                <w:szCs w:val="21"/>
              </w:rPr>
              <w:t>Nature-based solutions and natural resource management</w:t>
            </w:r>
          </w:p>
          <w:p w14:paraId="5946FB3C" w14:textId="77777777" w:rsidR="001E13C6" w:rsidRPr="00367EEF" w:rsidRDefault="001E13C6" w:rsidP="00B441CB">
            <w:pPr>
              <w:pStyle w:val="ListParagraph"/>
              <w:numPr>
                <w:ilvl w:val="0"/>
                <w:numId w:val="56"/>
              </w:numPr>
              <w:ind w:left="1169" w:hanging="278"/>
              <w:rPr>
                <w:rFonts w:cstheme="minorHAnsi"/>
                <w:sz w:val="21"/>
                <w:szCs w:val="21"/>
              </w:rPr>
            </w:pPr>
            <w:r w:rsidRPr="00367EEF">
              <w:rPr>
                <w:rFonts w:cstheme="minorHAnsi"/>
                <w:sz w:val="21"/>
                <w:szCs w:val="21"/>
              </w:rPr>
              <w:t xml:space="preserve">Urban and green design </w:t>
            </w:r>
          </w:p>
          <w:p w14:paraId="13211852" w14:textId="77777777" w:rsidR="001E13C6" w:rsidRPr="00367EEF" w:rsidRDefault="001E13C6" w:rsidP="00B441CB">
            <w:pPr>
              <w:pStyle w:val="ListParagraph"/>
              <w:numPr>
                <w:ilvl w:val="0"/>
                <w:numId w:val="56"/>
              </w:numPr>
              <w:ind w:left="1169" w:hanging="278"/>
              <w:rPr>
                <w:rFonts w:cstheme="minorHAnsi"/>
                <w:sz w:val="21"/>
                <w:szCs w:val="21"/>
              </w:rPr>
            </w:pPr>
            <w:r w:rsidRPr="00367EEF">
              <w:rPr>
                <w:rFonts w:cstheme="minorHAnsi"/>
                <w:sz w:val="21"/>
                <w:szCs w:val="21"/>
              </w:rPr>
              <w:t>GEDSI-Climate nexus</w:t>
            </w:r>
          </w:p>
          <w:p w14:paraId="77AECE5D" w14:textId="77777777" w:rsidR="001E13C6" w:rsidRPr="00367EEF" w:rsidRDefault="001E13C6" w:rsidP="00B441CB">
            <w:pPr>
              <w:pStyle w:val="ListParagraph"/>
              <w:numPr>
                <w:ilvl w:val="0"/>
                <w:numId w:val="56"/>
              </w:numPr>
              <w:ind w:left="1169" w:hanging="278"/>
              <w:rPr>
                <w:rFonts w:cstheme="minorHAnsi"/>
                <w:sz w:val="21"/>
                <w:szCs w:val="21"/>
              </w:rPr>
            </w:pPr>
            <w:r w:rsidRPr="00367EEF">
              <w:rPr>
                <w:rFonts w:cstheme="minorHAnsi"/>
                <w:sz w:val="21"/>
                <w:szCs w:val="21"/>
              </w:rPr>
              <w:t xml:space="preserve">Climate science, modelling and </w:t>
            </w:r>
            <w:proofErr w:type="gramStart"/>
            <w:r w:rsidRPr="00367EEF">
              <w:rPr>
                <w:rFonts w:cstheme="minorHAnsi"/>
                <w:sz w:val="21"/>
                <w:szCs w:val="21"/>
              </w:rPr>
              <w:t>decision making</w:t>
            </w:r>
            <w:proofErr w:type="gramEnd"/>
            <w:r w:rsidRPr="00367EEF">
              <w:rPr>
                <w:rFonts w:cstheme="minorHAnsi"/>
                <w:sz w:val="21"/>
                <w:szCs w:val="21"/>
              </w:rPr>
              <w:t xml:space="preserve"> tools</w:t>
            </w:r>
          </w:p>
          <w:p w14:paraId="082FB80E" w14:textId="77777777" w:rsidR="001E13C6" w:rsidRPr="00367EEF" w:rsidRDefault="001E13C6" w:rsidP="00B441CB">
            <w:pPr>
              <w:pStyle w:val="ListParagraph"/>
              <w:numPr>
                <w:ilvl w:val="0"/>
                <w:numId w:val="56"/>
              </w:numPr>
              <w:ind w:left="1169" w:hanging="278"/>
              <w:rPr>
                <w:rFonts w:cstheme="minorHAnsi"/>
                <w:sz w:val="21"/>
                <w:szCs w:val="21"/>
              </w:rPr>
            </w:pPr>
            <w:r w:rsidRPr="00367EEF">
              <w:rPr>
                <w:rFonts w:cstheme="minorHAnsi"/>
                <w:sz w:val="21"/>
                <w:szCs w:val="21"/>
              </w:rPr>
              <w:t>National and sector climate policy</w:t>
            </w:r>
          </w:p>
          <w:p w14:paraId="29B4A4B7" w14:textId="77777777" w:rsidR="001E13C6" w:rsidRPr="00367EEF" w:rsidRDefault="001E13C6" w:rsidP="00B441CB">
            <w:pPr>
              <w:pStyle w:val="ListParagraph"/>
              <w:numPr>
                <w:ilvl w:val="0"/>
                <w:numId w:val="56"/>
              </w:numPr>
              <w:ind w:left="1169" w:hanging="278"/>
              <w:rPr>
                <w:rFonts w:cstheme="minorHAnsi"/>
              </w:rPr>
            </w:pPr>
            <w:r w:rsidRPr="00367EEF">
              <w:rPr>
                <w:rFonts w:cstheme="minorHAnsi"/>
                <w:sz w:val="21"/>
                <w:szCs w:val="21"/>
              </w:rPr>
              <w:t>ESG reporting and systems</w:t>
            </w:r>
          </w:p>
        </w:tc>
        <w:tc>
          <w:tcPr>
            <w:tcW w:w="1418" w:type="dxa"/>
          </w:tcPr>
          <w:p w14:paraId="121FB9BB" w14:textId="77777777" w:rsidR="001E13C6" w:rsidRPr="00367EEF" w:rsidRDefault="001E13C6" w:rsidP="004428E5">
            <w:pPr>
              <w:rPr>
                <w:rFonts w:cstheme="minorHAnsi"/>
                <w:sz w:val="14"/>
                <w:szCs w:val="14"/>
              </w:rPr>
            </w:pPr>
            <w:r>
              <w:rPr>
                <w:rFonts w:cstheme="minorHAnsi"/>
                <w:i/>
                <w:iCs/>
              </w:rPr>
              <w:lastRenderedPageBreak/>
              <w:t>Secondary responsibility</w:t>
            </w:r>
          </w:p>
        </w:tc>
        <w:tc>
          <w:tcPr>
            <w:tcW w:w="1407" w:type="dxa"/>
          </w:tcPr>
          <w:p w14:paraId="6624E5B7"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308D92D2"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42464700"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1D1E9422"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39259A9E"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72A97710"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6A498E95" w14:textId="77777777" w:rsidR="001E13C6" w:rsidRPr="00367EEF" w:rsidRDefault="001E13C6" w:rsidP="004428E5">
            <w:pPr>
              <w:rPr>
                <w:rFonts w:cstheme="minorHAnsi"/>
                <w:sz w:val="14"/>
                <w:szCs w:val="14"/>
              </w:rPr>
            </w:pPr>
            <w:r w:rsidRPr="00F051FC">
              <w:rPr>
                <w:rFonts w:cstheme="minorHAnsi"/>
                <w:i/>
                <w:iCs/>
              </w:rPr>
              <w:t>No responsibility</w:t>
            </w:r>
          </w:p>
        </w:tc>
      </w:tr>
      <w:tr w:rsidR="00DC4F04" w:rsidRPr="00367EEF" w14:paraId="2387CD6E" w14:textId="77777777" w:rsidTr="00DC4F04">
        <w:tc>
          <w:tcPr>
            <w:tcW w:w="5104" w:type="dxa"/>
          </w:tcPr>
          <w:p w14:paraId="63D90BC8" w14:textId="77777777" w:rsidR="001E13C6" w:rsidRPr="00367EEF" w:rsidRDefault="001E13C6" w:rsidP="004428E5">
            <w:pPr>
              <w:pStyle w:val="ListParagraph"/>
              <w:numPr>
                <w:ilvl w:val="0"/>
                <w:numId w:val="34"/>
              </w:numPr>
              <w:spacing w:before="60"/>
              <w:ind w:left="357" w:hanging="357"/>
              <w:contextualSpacing w:val="0"/>
              <w:rPr>
                <w:rFonts w:cstheme="minorHAnsi"/>
                <w:b/>
                <w:bCs/>
                <w:sz w:val="21"/>
                <w:szCs w:val="21"/>
              </w:rPr>
            </w:pPr>
            <w:r w:rsidRPr="00367EEF">
              <w:rPr>
                <w:rFonts w:cstheme="minorHAnsi"/>
                <w:b/>
                <w:bCs/>
                <w:sz w:val="21"/>
                <w:szCs w:val="21"/>
              </w:rPr>
              <w:t>Risk management</w:t>
            </w:r>
          </w:p>
          <w:p w14:paraId="18A5D8B1" w14:textId="77777777" w:rsidR="001E13C6" w:rsidRPr="00367EEF" w:rsidRDefault="001E13C6" w:rsidP="004428E5">
            <w:pPr>
              <w:pStyle w:val="ListParagraph"/>
              <w:numPr>
                <w:ilvl w:val="0"/>
                <w:numId w:val="43"/>
              </w:numPr>
              <w:spacing w:before="0"/>
              <w:ind w:left="879" w:hanging="425"/>
              <w:contextualSpacing w:val="0"/>
              <w:rPr>
                <w:rFonts w:cstheme="minorHAnsi"/>
                <w:sz w:val="21"/>
                <w:szCs w:val="21"/>
              </w:rPr>
            </w:pPr>
            <w:r w:rsidRPr="00367EEF">
              <w:rPr>
                <w:rFonts w:cstheme="minorHAnsi"/>
                <w:sz w:val="21"/>
                <w:szCs w:val="21"/>
              </w:rPr>
              <w:lastRenderedPageBreak/>
              <w:t>Establish and maintain a Program Risk Register, covering strategic, operational, contextual, and safeguarding risks</w:t>
            </w:r>
          </w:p>
          <w:p w14:paraId="2D76BA65" w14:textId="77777777" w:rsidR="001E13C6" w:rsidRPr="00367EEF" w:rsidRDefault="001E13C6" w:rsidP="004428E5">
            <w:pPr>
              <w:pStyle w:val="ListParagraph"/>
              <w:numPr>
                <w:ilvl w:val="0"/>
                <w:numId w:val="43"/>
              </w:numPr>
              <w:spacing w:before="0"/>
              <w:ind w:left="879" w:hanging="425"/>
              <w:contextualSpacing w:val="0"/>
              <w:rPr>
                <w:rFonts w:cstheme="minorHAnsi"/>
                <w:sz w:val="21"/>
                <w:szCs w:val="21"/>
              </w:rPr>
            </w:pPr>
            <w:r w:rsidRPr="00367EEF">
              <w:rPr>
                <w:rFonts w:cstheme="minorHAnsi"/>
                <w:sz w:val="21"/>
                <w:szCs w:val="21"/>
              </w:rPr>
              <w:t xml:space="preserve">Update risk </w:t>
            </w:r>
            <w:proofErr w:type="gramStart"/>
            <w:r w:rsidRPr="00367EEF">
              <w:rPr>
                <w:rFonts w:cstheme="minorHAnsi"/>
                <w:sz w:val="21"/>
                <w:szCs w:val="21"/>
              </w:rPr>
              <w:t>register</w:t>
            </w:r>
            <w:proofErr w:type="gramEnd"/>
            <w:r w:rsidRPr="00367EEF">
              <w:rPr>
                <w:rFonts w:cstheme="minorHAnsi"/>
                <w:sz w:val="21"/>
                <w:szCs w:val="21"/>
              </w:rPr>
              <w:t xml:space="preserve"> quarterly, with inputs from DFAT and other partners. </w:t>
            </w:r>
          </w:p>
          <w:p w14:paraId="3ED98218" w14:textId="77777777" w:rsidR="001E13C6" w:rsidRPr="00367EEF" w:rsidRDefault="001E13C6" w:rsidP="004428E5">
            <w:pPr>
              <w:pStyle w:val="ListParagraph"/>
              <w:numPr>
                <w:ilvl w:val="0"/>
                <w:numId w:val="43"/>
              </w:numPr>
              <w:spacing w:before="0"/>
              <w:ind w:left="879" w:hanging="425"/>
              <w:contextualSpacing w:val="0"/>
              <w:rPr>
                <w:rFonts w:cstheme="minorHAnsi"/>
                <w:sz w:val="21"/>
                <w:szCs w:val="21"/>
              </w:rPr>
            </w:pPr>
            <w:r w:rsidRPr="00367EEF">
              <w:rPr>
                <w:rFonts w:cstheme="minorHAnsi"/>
                <w:sz w:val="21"/>
                <w:szCs w:val="21"/>
              </w:rPr>
              <w:t>Embed risk discussion within governance mechanisms</w:t>
            </w:r>
          </w:p>
          <w:p w14:paraId="39609E8C" w14:textId="77777777" w:rsidR="001E13C6" w:rsidRPr="00367EEF" w:rsidRDefault="001E13C6" w:rsidP="004428E5">
            <w:pPr>
              <w:pStyle w:val="ListParagraph"/>
              <w:numPr>
                <w:ilvl w:val="0"/>
                <w:numId w:val="43"/>
              </w:numPr>
              <w:spacing w:before="0"/>
              <w:ind w:left="879" w:hanging="425"/>
              <w:contextualSpacing w:val="0"/>
              <w:rPr>
                <w:rFonts w:cstheme="minorHAnsi"/>
                <w:sz w:val="21"/>
                <w:szCs w:val="21"/>
              </w:rPr>
            </w:pPr>
            <w:r w:rsidRPr="00367EEF">
              <w:rPr>
                <w:rFonts w:cstheme="minorHAnsi"/>
                <w:sz w:val="21"/>
                <w:szCs w:val="21"/>
              </w:rPr>
              <w:t>Apply environmental and social safeguards screening to all infrastructure-related activities.</w:t>
            </w:r>
          </w:p>
          <w:p w14:paraId="4AAF33CE" w14:textId="77777777" w:rsidR="001E13C6" w:rsidRPr="00367EEF" w:rsidRDefault="001E13C6" w:rsidP="004428E5">
            <w:pPr>
              <w:pStyle w:val="ListParagraph"/>
              <w:numPr>
                <w:ilvl w:val="0"/>
                <w:numId w:val="43"/>
              </w:numPr>
              <w:spacing w:before="0"/>
              <w:ind w:left="879" w:hanging="425"/>
              <w:contextualSpacing w:val="0"/>
              <w:rPr>
                <w:rFonts w:cstheme="minorHAnsi"/>
                <w:sz w:val="21"/>
                <w:szCs w:val="21"/>
              </w:rPr>
            </w:pPr>
            <w:r w:rsidRPr="00367EEF">
              <w:rPr>
                <w:rFonts w:cstheme="minorHAnsi"/>
                <w:sz w:val="21"/>
                <w:szCs w:val="21"/>
              </w:rPr>
              <w:t xml:space="preserve">Develop compliance policies aligned to DFAT’s requirements on PSEAH, Child Protection, fraud and corruption and anti-terrorism. </w:t>
            </w:r>
          </w:p>
          <w:p w14:paraId="3E634299" w14:textId="77777777" w:rsidR="001E13C6" w:rsidRPr="00367EEF" w:rsidRDefault="001E13C6" w:rsidP="004428E5">
            <w:pPr>
              <w:pStyle w:val="ListParagraph"/>
              <w:numPr>
                <w:ilvl w:val="0"/>
                <w:numId w:val="43"/>
              </w:numPr>
              <w:spacing w:before="0"/>
              <w:ind w:left="879" w:hanging="425"/>
              <w:contextualSpacing w:val="0"/>
              <w:rPr>
                <w:rFonts w:cstheme="minorHAnsi"/>
                <w:sz w:val="21"/>
                <w:szCs w:val="21"/>
              </w:rPr>
            </w:pPr>
            <w:r w:rsidRPr="00367EEF">
              <w:rPr>
                <w:rFonts w:cstheme="minorHAnsi"/>
                <w:sz w:val="21"/>
                <w:szCs w:val="21"/>
              </w:rPr>
              <w:t xml:space="preserve">Conduct routine financial audits and spot checks </w:t>
            </w:r>
          </w:p>
          <w:p w14:paraId="00FEBC7B" w14:textId="77777777" w:rsidR="001E13C6" w:rsidRPr="00367EEF" w:rsidRDefault="001E13C6" w:rsidP="004428E5">
            <w:pPr>
              <w:pStyle w:val="ListParagraph"/>
              <w:numPr>
                <w:ilvl w:val="0"/>
                <w:numId w:val="43"/>
              </w:numPr>
              <w:spacing w:before="0"/>
              <w:ind w:left="879" w:hanging="425"/>
              <w:contextualSpacing w:val="0"/>
              <w:rPr>
                <w:rFonts w:cstheme="minorHAnsi"/>
                <w:sz w:val="21"/>
                <w:szCs w:val="21"/>
              </w:rPr>
            </w:pPr>
            <w:r w:rsidRPr="00367EEF">
              <w:rPr>
                <w:rFonts w:cstheme="minorHAnsi"/>
                <w:sz w:val="21"/>
                <w:szCs w:val="21"/>
              </w:rPr>
              <w:t>Establish independent whistleblower and complaints mechanisms and report incidents to DFAT.</w:t>
            </w:r>
          </w:p>
          <w:p w14:paraId="47916671" w14:textId="77777777" w:rsidR="001E13C6" w:rsidRPr="00367EEF" w:rsidRDefault="001E13C6" w:rsidP="004428E5">
            <w:pPr>
              <w:pStyle w:val="ListParagraph"/>
              <w:numPr>
                <w:ilvl w:val="0"/>
                <w:numId w:val="43"/>
              </w:numPr>
              <w:spacing w:before="0"/>
              <w:ind w:left="879" w:hanging="425"/>
              <w:contextualSpacing w:val="0"/>
              <w:rPr>
                <w:rFonts w:cstheme="minorHAnsi"/>
                <w:sz w:val="21"/>
                <w:szCs w:val="21"/>
              </w:rPr>
            </w:pPr>
            <w:r w:rsidRPr="00367EEF">
              <w:rPr>
                <w:rFonts w:cstheme="minorHAnsi"/>
                <w:sz w:val="21"/>
                <w:szCs w:val="21"/>
              </w:rPr>
              <w:t>Develop training modules on PSEAH, child protection, fraud and terrorism for personnel and partners.</w:t>
            </w:r>
          </w:p>
          <w:p w14:paraId="3013D9E4" w14:textId="77777777" w:rsidR="001E13C6" w:rsidRPr="00367EEF" w:rsidRDefault="001E13C6" w:rsidP="004428E5">
            <w:pPr>
              <w:pStyle w:val="ListParagraph"/>
              <w:numPr>
                <w:ilvl w:val="0"/>
                <w:numId w:val="43"/>
              </w:numPr>
              <w:spacing w:before="0"/>
              <w:ind w:left="879" w:hanging="425"/>
              <w:contextualSpacing w:val="0"/>
              <w:rPr>
                <w:rFonts w:cstheme="minorHAnsi"/>
                <w:sz w:val="21"/>
                <w:szCs w:val="21"/>
              </w:rPr>
            </w:pPr>
            <w:r w:rsidRPr="00367EEF">
              <w:rPr>
                <w:rFonts w:cstheme="minorHAnsi"/>
                <w:sz w:val="21"/>
                <w:szCs w:val="21"/>
              </w:rPr>
              <w:t>Provide capacity building to partners including in financial and fraud controls and management</w:t>
            </w:r>
          </w:p>
          <w:p w14:paraId="049AC0CB" w14:textId="77777777" w:rsidR="001E13C6" w:rsidRPr="00367EEF" w:rsidRDefault="001E13C6" w:rsidP="004428E5">
            <w:pPr>
              <w:pStyle w:val="ListParagraph"/>
              <w:numPr>
                <w:ilvl w:val="0"/>
                <w:numId w:val="43"/>
              </w:numPr>
              <w:spacing w:before="0"/>
              <w:ind w:left="879" w:hanging="425"/>
              <w:contextualSpacing w:val="0"/>
              <w:rPr>
                <w:rFonts w:cstheme="minorHAnsi"/>
                <w:sz w:val="21"/>
                <w:szCs w:val="21"/>
              </w:rPr>
            </w:pPr>
            <w:r w:rsidRPr="00367EEF">
              <w:rPr>
                <w:rFonts w:cstheme="minorHAnsi"/>
                <w:sz w:val="21"/>
                <w:szCs w:val="21"/>
              </w:rPr>
              <w:t>Lead risk reporting to DFAT including documenting lessons.</w:t>
            </w:r>
          </w:p>
          <w:p w14:paraId="3FE2F1BB" w14:textId="77777777" w:rsidR="001E13C6" w:rsidRPr="00367EEF" w:rsidRDefault="001E13C6" w:rsidP="004428E5">
            <w:pPr>
              <w:pStyle w:val="ListParagraph"/>
              <w:numPr>
                <w:ilvl w:val="0"/>
                <w:numId w:val="43"/>
              </w:numPr>
              <w:spacing w:before="0"/>
              <w:ind w:left="879" w:hanging="425"/>
              <w:contextualSpacing w:val="0"/>
              <w:rPr>
                <w:rFonts w:cstheme="minorHAnsi"/>
                <w:sz w:val="21"/>
                <w:szCs w:val="21"/>
              </w:rPr>
            </w:pPr>
            <w:r w:rsidRPr="00367EEF">
              <w:rPr>
                <w:rFonts w:cstheme="minorHAnsi"/>
                <w:sz w:val="21"/>
                <w:szCs w:val="21"/>
              </w:rPr>
              <w:t xml:space="preserve">Appoint Safeguards, PSEAH, Climate and GEDSI Advisers to support DFAT and delivery partners </w:t>
            </w:r>
          </w:p>
        </w:tc>
        <w:tc>
          <w:tcPr>
            <w:tcW w:w="1418" w:type="dxa"/>
          </w:tcPr>
          <w:p w14:paraId="00605F71" w14:textId="77777777" w:rsidR="001E13C6" w:rsidRPr="00367EEF" w:rsidRDefault="001E13C6" w:rsidP="004428E5">
            <w:pPr>
              <w:rPr>
                <w:rFonts w:cstheme="minorHAnsi"/>
                <w:sz w:val="14"/>
                <w:szCs w:val="14"/>
              </w:rPr>
            </w:pPr>
            <w:r w:rsidRPr="00367EEF">
              <w:rPr>
                <w:rFonts w:cstheme="minorHAnsi"/>
                <w:i/>
                <w:iCs/>
              </w:rPr>
              <w:lastRenderedPageBreak/>
              <w:t>P</w:t>
            </w:r>
            <w:r>
              <w:rPr>
                <w:rFonts w:cstheme="minorHAnsi"/>
                <w:i/>
                <w:iCs/>
              </w:rPr>
              <w:t>rimary responsibility</w:t>
            </w:r>
          </w:p>
        </w:tc>
        <w:tc>
          <w:tcPr>
            <w:tcW w:w="1407" w:type="dxa"/>
          </w:tcPr>
          <w:p w14:paraId="0C3A10A0"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2A9C81CD"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512C55C0"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2CE291DD"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0B0284AF"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372" w:type="dxa"/>
          </w:tcPr>
          <w:p w14:paraId="7AA8E64B"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3C97B858" w14:textId="77777777" w:rsidR="001E13C6" w:rsidRPr="00367EEF" w:rsidRDefault="001E13C6" w:rsidP="004428E5">
            <w:pPr>
              <w:rPr>
                <w:rFonts w:cstheme="minorHAnsi"/>
                <w:sz w:val="14"/>
                <w:szCs w:val="14"/>
              </w:rPr>
            </w:pPr>
            <w:r w:rsidRPr="00F051FC">
              <w:rPr>
                <w:rFonts w:cstheme="minorHAnsi"/>
                <w:i/>
                <w:iCs/>
              </w:rPr>
              <w:t>No responsibility</w:t>
            </w:r>
          </w:p>
        </w:tc>
      </w:tr>
      <w:tr w:rsidR="00DC4F04" w:rsidRPr="00367EEF" w14:paraId="58739554" w14:textId="77777777" w:rsidTr="00DC4F04">
        <w:tc>
          <w:tcPr>
            <w:tcW w:w="5104" w:type="dxa"/>
          </w:tcPr>
          <w:p w14:paraId="2BE0B70D" w14:textId="77777777" w:rsidR="001E13C6" w:rsidRPr="00367EEF" w:rsidRDefault="001E13C6" w:rsidP="004428E5">
            <w:pPr>
              <w:pStyle w:val="ListParagraph"/>
              <w:numPr>
                <w:ilvl w:val="0"/>
                <w:numId w:val="34"/>
              </w:numPr>
              <w:spacing w:before="60"/>
              <w:ind w:left="357" w:hanging="357"/>
              <w:contextualSpacing w:val="0"/>
              <w:rPr>
                <w:rFonts w:cstheme="minorHAnsi"/>
                <w:b/>
                <w:bCs/>
                <w:sz w:val="21"/>
                <w:szCs w:val="21"/>
              </w:rPr>
            </w:pPr>
            <w:r w:rsidRPr="00367EEF">
              <w:rPr>
                <w:rFonts w:cstheme="minorHAnsi"/>
                <w:b/>
                <w:bCs/>
                <w:sz w:val="21"/>
                <w:szCs w:val="21"/>
              </w:rPr>
              <w:lastRenderedPageBreak/>
              <w:t>Financial management for program management and grants oversight</w:t>
            </w:r>
          </w:p>
          <w:p w14:paraId="66DB2924" w14:textId="77777777" w:rsidR="001E13C6" w:rsidRPr="00367EEF" w:rsidRDefault="001E13C6" w:rsidP="00D41A6F">
            <w:pPr>
              <w:pStyle w:val="ListParagraph"/>
              <w:numPr>
                <w:ilvl w:val="0"/>
                <w:numId w:val="57"/>
              </w:numPr>
              <w:spacing w:before="0"/>
              <w:ind w:left="743" w:hanging="289"/>
              <w:contextualSpacing w:val="0"/>
              <w:rPr>
                <w:rFonts w:cstheme="minorHAnsi"/>
                <w:sz w:val="21"/>
                <w:szCs w:val="21"/>
              </w:rPr>
            </w:pPr>
            <w:r w:rsidRPr="00367EEF">
              <w:rPr>
                <w:rFonts w:cstheme="minorHAnsi"/>
                <w:sz w:val="21"/>
                <w:szCs w:val="21"/>
              </w:rPr>
              <w:t>Establish and maintain Chart of Accounts and financial management systems that report on cost categories and cost centres related to the pricing Schedule, and an Activity Based Costing category related to Activities and Projects, to link financial reporting to implementation</w:t>
            </w:r>
          </w:p>
          <w:p w14:paraId="00C6257F" w14:textId="77777777" w:rsidR="001E13C6" w:rsidRPr="00367EEF" w:rsidRDefault="001E13C6" w:rsidP="00D41A6F">
            <w:pPr>
              <w:pStyle w:val="ListParagraph"/>
              <w:numPr>
                <w:ilvl w:val="0"/>
                <w:numId w:val="57"/>
              </w:numPr>
              <w:spacing w:before="0"/>
              <w:ind w:left="743" w:hanging="289"/>
              <w:contextualSpacing w:val="0"/>
              <w:rPr>
                <w:rFonts w:cstheme="minorHAnsi"/>
                <w:sz w:val="21"/>
                <w:szCs w:val="21"/>
              </w:rPr>
            </w:pPr>
            <w:r w:rsidRPr="00367EEF">
              <w:rPr>
                <w:rFonts w:cstheme="minorHAnsi"/>
                <w:sz w:val="21"/>
                <w:szCs w:val="21"/>
              </w:rPr>
              <w:t>Maintain accurate financial records in accordance with accounting standards</w:t>
            </w:r>
          </w:p>
          <w:p w14:paraId="4C991D54" w14:textId="77777777" w:rsidR="001E13C6" w:rsidRPr="00367EEF" w:rsidRDefault="001E13C6" w:rsidP="00D41A6F">
            <w:pPr>
              <w:pStyle w:val="ListParagraph"/>
              <w:numPr>
                <w:ilvl w:val="0"/>
                <w:numId w:val="57"/>
              </w:numPr>
              <w:spacing w:before="0"/>
              <w:ind w:left="743" w:hanging="289"/>
              <w:contextualSpacing w:val="0"/>
              <w:rPr>
                <w:rFonts w:cstheme="minorHAnsi"/>
                <w:sz w:val="21"/>
                <w:szCs w:val="21"/>
              </w:rPr>
            </w:pPr>
            <w:r w:rsidRPr="00367EEF">
              <w:rPr>
                <w:rFonts w:cstheme="minorHAnsi"/>
                <w:sz w:val="21"/>
                <w:szCs w:val="21"/>
              </w:rPr>
              <w:t>Make records available for audit as required</w:t>
            </w:r>
          </w:p>
          <w:p w14:paraId="2906EF18" w14:textId="77777777" w:rsidR="001E13C6" w:rsidRPr="00367EEF" w:rsidRDefault="001E13C6" w:rsidP="00D41A6F">
            <w:pPr>
              <w:pStyle w:val="ListParagraph"/>
              <w:numPr>
                <w:ilvl w:val="0"/>
                <w:numId w:val="57"/>
              </w:numPr>
              <w:spacing w:before="0"/>
              <w:ind w:left="743" w:hanging="289"/>
              <w:contextualSpacing w:val="0"/>
              <w:rPr>
                <w:rFonts w:cstheme="minorHAnsi"/>
                <w:sz w:val="21"/>
                <w:szCs w:val="21"/>
              </w:rPr>
            </w:pPr>
            <w:r w:rsidRPr="00367EEF">
              <w:rPr>
                <w:rFonts w:cstheme="minorHAnsi"/>
                <w:sz w:val="21"/>
                <w:szCs w:val="21"/>
              </w:rPr>
              <w:t>Provide support to Delivery Partners and other implementing parties to ensure budgeting and financial reporting can be integrated into the MIS and financial reports.</w:t>
            </w:r>
          </w:p>
        </w:tc>
        <w:tc>
          <w:tcPr>
            <w:tcW w:w="1418" w:type="dxa"/>
          </w:tcPr>
          <w:p w14:paraId="0A0F26EA"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407" w:type="dxa"/>
          </w:tcPr>
          <w:p w14:paraId="0254A585"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045E8FE0"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3AC22C77"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4630A285"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52D795F1"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33A01F49"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20DCFA1B" w14:textId="77777777" w:rsidR="001E13C6" w:rsidRPr="00367EEF" w:rsidRDefault="001E13C6" w:rsidP="004428E5">
            <w:pPr>
              <w:rPr>
                <w:rFonts w:cstheme="minorHAnsi"/>
                <w:sz w:val="14"/>
                <w:szCs w:val="14"/>
              </w:rPr>
            </w:pPr>
            <w:r w:rsidRPr="00F051FC">
              <w:rPr>
                <w:rFonts w:cstheme="minorHAnsi"/>
                <w:i/>
                <w:iCs/>
              </w:rPr>
              <w:t>No responsibility</w:t>
            </w:r>
          </w:p>
        </w:tc>
      </w:tr>
      <w:tr w:rsidR="00DC4F04" w:rsidRPr="00367EEF" w14:paraId="744AE778" w14:textId="77777777" w:rsidTr="00DC4F04">
        <w:tc>
          <w:tcPr>
            <w:tcW w:w="5104" w:type="dxa"/>
          </w:tcPr>
          <w:p w14:paraId="6534A835" w14:textId="77777777" w:rsidR="001E13C6" w:rsidRPr="00367EEF" w:rsidRDefault="001E13C6" w:rsidP="004428E5">
            <w:pPr>
              <w:pStyle w:val="ListParagraph"/>
              <w:numPr>
                <w:ilvl w:val="0"/>
                <w:numId w:val="34"/>
              </w:numPr>
              <w:spacing w:before="60"/>
              <w:ind w:left="357" w:hanging="357"/>
              <w:contextualSpacing w:val="0"/>
              <w:rPr>
                <w:rFonts w:cstheme="minorHAnsi"/>
                <w:b/>
                <w:bCs/>
                <w:sz w:val="21"/>
                <w:szCs w:val="21"/>
              </w:rPr>
            </w:pPr>
            <w:r w:rsidRPr="00367EEF">
              <w:rPr>
                <w:rFonts w:cstheme="minorHAnsi"/>
                <w:b/>
                <w:bCs/>
                <w:sz w:val="21"/>
                <w:szCs w:val="21"/>
              </w:rPr>
              <w:t xml:space="preserve">Procurement, </w:t>
            </w:r>
            <w:r>
              <w:rPr>
                <w:rFonts w:cstheme="minorHAnsi"/>
                <w:b/>
                <w:bCs/>
                <w:sz w:val="21"/>
                <w:szCs w:val="21"/>
              </w:rPr>
              <w:t>c</w:t>
            </w:r>
            <w:r w:rsidRPr="00367EEF">
              <w:rPr>
                <w:rFonts w:cstheme="minorHAnsi"/>
                <w:b/>
                <w:bCs/>
                <w:sz w:val="21"/>
                <w:szCs w:val="21"/>
              </w:rPr>
              <w:t xml:space="preserve">ontract and </w:t>
            </w:r>
            <w:r>
              <w:rPr>
                <w:rFonts w:cstheme="minorHAnsi"/>
                <w:b/>
                <w:bCs/>
                <w:sz w:val="21"/>
                <w:szCs w:val="21"/>
              </w:rPr>
              <w:t>a</w:t>
            </w:r>
            <w:r w:rsidRPr="00367EEF">
              <w:rPr>
                <w:rFonts w:cstheme="minorHAnsi"/>
                <w:b/>
                <w:bCs/>
                <w:sz w:val="21"/>
                <w:szCs w:val="21"/>
              </w:rPr>
              <w:t>greement management</w:t>
            </w:r>
          </w:p>
          <w:p w14:paraId="3025DA4A" w14:textId="77777777" w:rsidR="001E13C6" w:rsidRPr="00367EEF" w:rsidRDefault="001E13C6" w:rsidP="00D41A6F">
            <w:pPr>
              <w:pStyle w:val="ListParagraph"/>
              <w:numPr>
                <w:ilvl w:val="0"/>
                <w:numId w:val="44"/>
              </w:numPr>
              <w:spacing w:before="0"/>
              <w:ind w:left="743" w:hanging="289"/>
              <w:contextualSpacing w:val="0"/>
              <w:rPr>
                <w:rFonts w:cstheme="minorHAnsi"/>
                <w:sz w:val="21"/>
                <w:szCs w:val="21"/>
              </w:rPr>
            </w:pPr>
            <w:r w:rsidRPr="00367EEF">
              <w:rPr>
                <w:rFonts w:cstheme="minorHAnsi"/>
                <w:sz w:val="21"/>
                <w:szCs w:val="21"/>
              </w:rPr>
              <w:t>Establish and maintain a standardised system and process for sub-contracts and grant to third party providers</w:t>
            </w:r>
          </w:p>
          <w:p w14:paraId="373404FA" w14:textId="77777777" w:rsidR="001E13C6" w:rsidRPr="00367EEF" w:rsidRDefault="001E13C6" w:rsidP="00D41A6F">
            <w:pPr>
              <w:pStyle w:val="ListParagraph"/>
              <w:numPr>
                <w:ilvl w:val="0"/>
                <w:numId w:val="44"/>
              </w:numPr>
              <w:spacing w:before="0"/>
              <w:ind w:left="743" w:hanging="289"/>
              <w:contextualSpacing w:val="0"/>
              <w:rPr>
                <w:rFonts w:cstheme="minorHAnsi"/>
                <w:sz w:val="21"/>
                <w:szCs w:val="21"/>
              </w:rPr>
            </w:pPr>
            <w:r w:rsidRPr="00367EEF">
              <w:rPr>
                <w:rFonts w:cstheme="minorHAnsi"/>
                <w:sz w:val="21"/>
                <w:szCs w:val="21"/>
              </w:rPr>
              <w:t>Establish and maintain a procurement pathway and selection process suitable for small Activities, larger scale Projects, and grants to CSO/CBOs and SMEs</w:t>
            </w:r>
          </w:p>
          <w:p w14:paraId="61AFB838" w14:textId="77777777" w:rsidR="001E13C6" w:rsidRPr="00367EEF" w:rsidRDefault="001E13C6" w:rsidP="00D41A6F">
            <w:pPr>
              <w:pStyle w:val="ListParagraph"/>
              <w:numPr>
                <w:ilvl w:val="0"/>
                <w:numId w:val="44"/>
              </w:numPr>
              <w:spacing w:before="0"/>
              <w:ind w:left="743" w:hanging="289"/>
              <w:contextualSpacing w:val="0"/>
              <w:rPr>
                <w:rFonts w:cstheme="minorHAnsi"/>
                <w:sz w:val="21"/>
                <w:szCs w:val="21"/>
              </w:rPr>
            </w:pPr>
            <w:r w:rsidRPr="00367EEF">
              <w:rPr>
                <w:rFonts w:cstheme="minorHAnsi"/>
                <w:sz w:val="21"/>
                <w:szCs w:val="21"/>
              </w:rPr>
              <w:t>Maintain a contract and grant register, with key deliverables, payment milestones and financial reporting obligation, to report on compliance and progress across the portfolio</w:t>
            </w:r>
          </w:p>
          <w:p w14:paraId="2D3B2E89" w14:textId="77777777" w:rsidR="001E13C6" w:rsidRPr="00367EEF" w:rsidRDefault="001E13C6" w:rsidP="00D41A6F">
            <w:pPr>
              <w:pStyle w:val="ListParagraph"/>
              <w:numPr>
                <w:ilvl w:val="0"/>
                <w:numId w:val="44"/>
              </w:numPr>
              <w:spacing w:before="0"/>
              <w:ind w:left="743" w:hanging="289"/>
              <w:contextualSpacing w:val="0"/>
              <w:rPr>
                <w:rFonts w:cstheme="minorHAnsi"/>
                <w:sz w:val="21"/>
                <w:szCs w:val="21"/>
              </w:rPr>
            </w:pPr>
            <w:r w:rsidRPr="00367EEF">
              <w:rPr>
                <w:rFonts w:cstheme="minorHAnsi"/>
                <w:sz w:val="21"/>
                <w:szCs w:val="21"/>
              </w:rPr>
              <w:lastRenderedPageBreak/>
              <w:t xml:space="preserve">Maintain a quality assurance system for Delivery Partners to monitor and report on quality deliverables throughout implementation </w:t>
            </w:r>
          </w:p>
        </w:tc>
        <w:tc>
          <w:tcPr>
            <w:tcW w:w="1418" w:type="dxa"/>
          </w:tcPr>
          <w:p w14:paraId="527510B7" w14:textId="77777777" w:rsidR="001E13C6" w:rsidRPr="00367EEF" w:rsidRDefault="001E13C6" w:rsidP="004428E5">
            <w:pPr>
              <w:rPr>
                <w:rFonts w:cstheme="minorHAnsi"/>
                <w:sz w:val="14"/>
                <w:szCs w:val="14"/>
              </w:rPr>
            </w:pPr>
            <w:r w:rsidRPr="00367EEF">
              <w:rPr>
                <w:rFonts w:cstheme="minorHAnsi"/>
                <w:i/>
                <w:iCs/>
              </w:rPr>
              <w:lastRenderedPageBreak/>
              <w:t>P</w:t>
            </w:r>
            <w:r>
              <w:rPr>
                <w:rFonts w:cstheme="minorHAnsi"/>
                <w:i/>
                <w:iCs/>
              </w:rPr>
              <w:t>rimary responsibility</w:t>
            </w:r>
          </w:p>
        </w:tc>
        <w:tc>
          <w:tcPr>
            <w:tcW w:w="1407" w:type="dxa"/>
          </w:tcPr>
          <w:p w14:paraId="700F193D"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0E48346C"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030FBF12"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0E21D2FC"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42A7BEED"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38546F7A"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1A456BF2" w14:textId="77777777" w:rsidR="001E13C6" w:rsidRPr="00367EEF" w:rsidRDefault="001E13C6" w:rsidP="004428E5">
            <w:pPr>
              <w:rPr>
                <w:rFonts w:cstheme="minorHAnsi"/>
                <w:sz w:val="14"/>
                <w:szCs w:val="14"/>
              </w:rPr>
            </w:pPr>
            <w:r w:rsidRPr="00F051FC">
              <w:rPr>
                <w:rFonts w:cstheme="minorHAnsi"/>
                <w:i/>
                <w:iCs/>
              </w:rPr>
              <w:t>No responsibility</w:t>
            </w:r>
          </w:p>
        </w:tc>
      </w:tr>
      <w:tr w:rsidR="00DC4F04" w:rsidRPr="00367EEF" w14:paraId="7B36D759" w14:textId="77777777" w:rsidTr="00DC4F04">
        <w:tc>
          <w:tcPr>
            <w:tcW w:w="5104" w:type="dxa"/>
          </w:tcPr>
          <w:p w14:paraId="789EEE83" w14:textId="77777777" w:rsidR="001E13C6" w:rsidRPr="00367EEF" w:rsidRDefault="001E13C6" w:rsidP="004428E5">
            <w:pPr>
              <w:pStyle w:val="ListParagraph"/>
              <w:numPr>
                <w:ilvl w:val="0"/>
                <w:numId w:val="34"/>
              </w:numPr>
              <w:spacing w:before="60"/>
              <w:ind w:left="357" w:hanging="357"/>
              <w:contextualSpacing w:val="0"/>
              <w:rPr>
                <w:rFonts w:cstheme="minorHAnsi"/>
                <w:b/>
                <w:bCs/>
                <w:sz w:val="21"/>
                <w:szCs w:val="21"/>
              </w:rPr>
            </w:pPr>
            <w:r w:rsidRPr="00367EEF">
              <w:rPr>
                <w:rFonts w:cstheme="minorHAnsi"/>
                <w:b/>
                <w:bCs/>
                <w:sz w:val="21"/>
                <w:szCs w:val="21"/>
              </w:rPr>
              <w:t xml:space="preserve">Government to Government (GOA/others) partnership development and implementation support </w:t>
            </w:r>
          </w:p>
          <w:p w14:paraId="0431049D" w14:textId="77777777" w:rsidR="001E13C6" w:rsidRPr="00367EEF" w:rsidRDefault="001E13C6" w:rsidP="004428E5">
            <w:pPr>
              <w:pStyle w:val="ListParagraph"/>
              <w:numPr>
                <w:ilvl w:val="0"/>
                <w:numId w:val="58"/>
              </w:numPr>
              <w:spacing w:before="0"/>
              <w:ind w:left="880" w:hanging="426"/>
              <w:contextualSpacing w:val="0"/>
              <w:rPr>
                <w:rFonts w:cstheme="minorHAnsi"/>
                <w:sz w:val="21"/>
                <w:szCs w:val="21"/>
              </w:rPr>
            </w:pPr>
            <w:r w:rsidRPr="00367EEF">
              <w:rPr>
                <w:rFonts w:cstheme="minorHAnsi"/>
                <w:sz w:val="21"/>
                <w:szCs w:val="21"/>
              </w:rPr>
              <w:t>Identify with DFAT potential G2G partnerships.</w:t>
            </w:r>
          </w:p>
          <w:p w14:paraId="678AB999" w14:textId="77777777" w:rsidR="001E13C6" w:rsidRPr="00367EEF" w:rsidRDefault="001E13C6" w:rsidP="004428E5">
            <w:pPr>
              <w:pStyle w:val="ListParagraph"/>
              <w:numPr>
                <w:ilvl w:val="0"/>
                <w:numId w:val="58"/>
              </w:numPr>
              <w:spacing w:before="0"/>
              <w:ind w:left="880" w:hanging="426"/>
              <w:contextualSpacing w:val="0"/>
              <w:rPr>
                <w:rFonts w:cstheme="minorHAnsi"/>
                <w:sz w:val="21"/>
                <w:szCs w:val="21"/>
              </w:rPr>
            </w:pPr>
            <w:r w:rsidRPr="00367EEF">
              <w:rPr>
                <w:rFonts w:cstheme="minorHAnsi"/>
                <w:sz w:val="21"/>
                <w:szCs w:val="21"/>
              </w:rPr>
              <w:t>Support G2G and GOI joint scoping for G2G engagement (e.g. policy reform, capacity building, institutional strengthening).</w:t>
            </w:r>
          </w:p>
          <w:p w14:paraId="4FFF161F" w14:textId="77777777" w:rsidR="001E13C6" w:rsidRPr="00367EEF" w:rsidRDefault="001E13C6" w:rsidP="004428E5">
            <w:pPr>
              <w:pStyle w:val="ListParagraph"/>
              <w:numPr>
                <w:ilvl w:val="0"/>
                <w:numId w:val="58"/>
              </w:numPr>
              <w:spacing w:before="0"/>
              <w:ind w:left="880" w:hanging="426"/>
              <w:contextualSpacing w:val="0"/>
              <w:rPr>
                <w:rFonts w:cstheme="minorHAnsi"/>
                <w:sz w:val="21"/>
                <w:szCs w:val="21"/>
              </w:rPr>
            </w:pPr>
            <w:r w:rsidRPr="00367EEF">
              <w:rPr>
                <w:rFonts w:cstheme="minorHAnsi"/>
                <w:sz w:val="21"/>
                <w:szCs w:val="21"/>
              </w:rPr>
              <w:t>Provide technical assistance for development of M&amp;E frameworks and integration of GEDSI within concepts and workplans</w:t>
            </w:r>
          </w:p>
          <w:p w14:paraId="0800808D" w14:textId="77777777" w:rsidR="001E13C6" w:rsidRPr="00367EEF" w:rsidRDefault="001E13C6" w:rsidP="004428E5">
            <w:pPr>
              <w:pStyle w:val="ListParagraph"/>
              <w:numPr>
                <w:ilvl w:val="0"/>
                <w:numId w:val="58"/>
              </w:numPr>
              <w:spacing w:before="0"/>
              <w:ind w:left="880" w:hanging="426"/>
              <w:contextualSpacing w:val="0"/>
              <w:rPr>
                <w:rFonts w:cstheme="minorHAnsi"/>
                <w:sz w:val="21"/>
                <w:szCs w:val="21"/>
              </w:rPr>
            </w:pPr>
            <w:r w:rsidRPr="00367EEF">
              <w:rPr>
                <w:rFonts w:cstheme="minorHAnsi"/>
                <w:sz w:val="21"/>
                <w:szCs w:val="21"/>
              </w:rPr>
              <w:t>Draft partnership terms of reference, workplans, or MOUs.</w:t>
            </w:r>
          </w:p>
          <w:p w14:paraId="16505A2C" w14:textId="77777777" w:rsidR="001E13C6" w:rsidRPr="00367EEF" w:rsidRDefault="001E13C6" w:rsidP="004428E5">
            <w:pPr>
              <w:pStyle w:val="ListParagraph"/>
              <w:numPr>
                <w:ilvl w:val="0"/>
                <w:numId w:val="58"/>
              </w:numPr>
              <w:spacing w:before="0"/>
              <w:ind w:left="880" w:hanging="426"/>
              <w:contextualSpacing w:val="0"/>
              <w:rPr>
                <w:rFonts w:cstheme="minorHAnsi"/>
                <w:sz w:val="21"/>
                <w:szCs w:val="21"/>
              </w:rPr>
            </w:pPr>
            <w:r w:rsidRPr="00367EEF">
              <w:rPr>
                <w:rFonts w:cstheme="minorHAnsi"/>
                <w:sz w:val="21"/>
                <w:szCs w:val="21"/>
              </w:rPr>
              <w:t xml:space="preserve">Maintain a register of G2G partnerships </w:t>
            </w:r>
          </w:p>
          <w:p w14:paraId="239FFF43" w14:textId="77777777" w:rsidR="001E13C6" w:rsidRPr="00367EEF" w:rsidRDefault="001E13C6" w:rsidP="004428E5">
            <w:pPr>
              <w:pStyle w:val="ListParagraph"/>
              <w:numPr>
                <w:ilvl w:val="0"/>
                <w:numId w:val="58"/>
              </w:numPr>
              <w:spacing w:before="0"/>
              <w:ind w:left="880" w:hanging="426"/>
              <w:contextualSpacing w:val="0"/>
              <w:rPr>
                <w:rFonts w:cstheme="minorHAnsi"/>
                <w:sz w:val="21"/>
                <w:szCs w:val="21"/>
              </w:rPr>
            </w:pPr>
            <w:r>
              <w:rPr>
                <w:rFonts w:cstheme="minorHAnsi"/>
                <w:sz w:val="21"/>
                <w:szCs w:val="21"/>
              </w:rPr>
              <w:t>P</w:t>
            </w:r>
            <w:r w:rsidRPr="00367EEF">
              <w:rPr>
                <w:rFonts w:cstheme="minorHAnsi"/>
                <w:sz w:val="21"/>
                <w:szCs w:val="21"/>
              </w:rPr>
              <w:t xml:space="preserve">rovide administration and logistics support for activity delivery in Indonesia and in Australia </w:t>
            </w:r>
          </w:p>
          <w:p w14:paraId="4C10666F" w14:textId="77777777" w:rsidR="001E13C6" w:rsidRPr="00367EEF" w:rsidRDefault="001E13C6" w:rsidP="004428E5">
            <w:pPr>
              <w:pStyle w:val="ListParagraph"/>
              <w:numPr>
                <w:ilvl w:val="0"/>
                <w:numId w:val="58"/>
              </w:numPr>
              <w:spacing w:before="0"/>
              <w:ind w:left="880" w:hanging="426"/>
              <w:contextualSpacing w:val="0"/>
              <w:rPr>
                <w:rFonts w:cstheme="minorHAnsi"/>
                <w:sz w:val="21"/>
                <w:szCs w:val="21"/>
              </w:rPr>
            </w:pPr>
            <w:r>
              <w:rPr>
                <w:rFonts w:cstheme="minorHAnsi"/>
                <w:sz w:val="21"/>
                <w:szCs w:val="21"/>
              </w:rPr>
              <w:t>C</w:t>
            </w:r>
            <w:r w:rsidRPr="00367EEF">
              <w:rPr>
                <w:rFonts w:cstheme="minorHAnsi"/>
                <w:sz w:val="21"/>
                <w:szCs w:val="21"/>
              </w:rPr>
              <w:t xml:space="preserve">apture data, outcomes and lessons learned to inform partnership development and reporting </w:t>
            </w:r>
          </w:p>
          <w:p w14:paraId="2C3699E6" w14:textId="77777777" w:rsidR="001E13C6" w:rsidRPr="00367EEF" w:rsidRDefault="001E13C6" w:rsidP="004428E5">
            <w:pPr>
              <w:pStyle w:val="ListParagraph"/>
              <w:numPr>
                <w:ilvl w:val="0"/>
                <w:numId w:val="58"/>
              </w:numPr>
              <w:spacing w:before="0"/>
              <w:ind w:left="880" w:hanging="426"/>
              <w:contextualSpacing w:val="0"/>
              <w:rPr>
                <w:rFonts w:cstheme="minorHAnsi"/>
                <w:sz w:val="21"/>
                <w:szCs w:val="21"/>
              </w:rPr>
            </w:pPr>
            <w:r>
              <w:rPr>
                <w:rFonts w:cstheme="minorHAnsi"/>
                <w:sz w:val="21"/>
                <w:szCs w:val="21"/>
              </w:rPr>
              <w:t>F</w:t>
            </w:r>
            <w:r w:rsidRPr="00367EEF">
              <w:rPr>
                <w:rFonts w:cstheme="minorHAnsi"/>
                <w:sz w:val="21"/>
                <w:szCs w:val="21"/>
              </w:rPr>
              <w:t>acilitate integration of partnerships within broader program workstreams.</w:t>
            </w:r>
          </w:p>
          <w:p w14:paraId="45BAE3C5" w14:textId="77777777" w:rsidR="001E13C6" w:rsidRPr="00367EEF" w:rsidRDefault="001E13C6" w:rsidP="004428E5">
            <w:pPr>
              <w:pStyle w:val="ListParagraph"/>
              <w:numPr>
                <w:ilvl w:val="0"/>
                <w:numId w:val="58"/>
              </w:numPr>
              <w:spacing w:before="0"/>
              <w:ind w:left="880" w:hanging="426"/>
              <w:contextualSpacing w:val="0"/>
              <w:rPr>
                <w:rFonts w:cstheme="minorHAnsi"/>
                <w:sz w:val="21"/>
                <w:szCs w:val="21"/>
              </w:rPr>
            </w:pPr>
            <w:r>
              <w:rPr>
                <w:rFonts w:cstheme="minorHAnsi"/>
                <w:sz w:val="21"/>
                <w:szCs w:val="21"/>
              </w:rPr>
              <w:t>P</w:t>
            </w:r>
            <w:r w:rsidRPr="00367EEF">
              <w:rPr>
                <w:rFonts w:cstheme="minorHAnsi"/>
                <w:sz w:val="21"/>
                <w:szCs w:val="21"/>
              </w:rPr>
              <w:t>rovide public diplomacy content to DFAT and government partners.</w:t>
            </w:r>
          </w:p>
        </w:tc>
        <w:tc>
          <w:tcPr>
            <w:tcW w:w="1418" w:type="dxa"/>
          </w:tcPr>
          <w:p w14:paraId="2DC0E6E4"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c>
          <w:tcPr>
            <w:tcW w:w="1407" w:type="dxa"/>
          </w:tcPr>
          <w:p w14:paraId="5C668900"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64A2AC79"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4FBF983D"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044046C9"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30E852B4"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5BB99A62"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7A647704" w14:textId="77777777" w:rsidR="001E13C6" w:rsidRPr="00367EEF" w:rsidRDefault="001E13C6" w:rsidP="004428E5">
            <w:pPr>
              <w:rPr>
                <w:rFonts w:cstheme="minorHAnsi"/>
                <w:sz w:val="14"/>
                <w:szCs w:val="14"/>
              </w:rPr>
            </w:pPr>
            <w:r w:rsidRPr="00367EEF">
              <w:rPr>
                <w:rFonts w:cstheme="minorHAnsi"/>
                <w:i/>
                <w:iCs/>
              </w:rPr>
              <w:t>P</w:t>
            </w:r>
            <w:r>
              <w:rPr>
                <w:rFonts w:cstheme="minorHAnsi"/>
                <w:i/>
                <w:iCs/>
              </w:rPr>
              <w:t>rimary responsibility</w:t>
            </w:r>
          </w:p>
        </w:tc>
      </w:tr>
      <w:tr w:rsidR="00DC4F04" w:rsidRPr="00367EEF" w14:paraId="51D0008E" w14:textId="77777777" w:rsidTr="00DC4F04">
        <w:tc>
          <w:tcPr>
            <w:tcW w:w="5104" w:type="dxa"/>
          </w:tcPr>
          <w:p w14:paraId="01F07E20" w14:textId="77777777" w:rsidR="001E13C6" w:rsidRPr="00367EEF" w:rsidRDefault="001E13C6" w:rsidP="004428E5">
            <w:pPr>
              <w:pStyle w:val="ListParagraph"/>
              <w:numPr>
                <w:ilvl w:val="0"/>
                <w:numId w:val="34"/>
              </w:numPr>
              <w:spacing w:before="60"/>
              <w:ind w:left="357" w:hanging="357"/>
              <w:contextualSpacing w:val="0"/>
              <w:rPr>
                <w:rFonts w:cstheme="minorHAnsi"/>
                <w:b/>
                <w:bCs/>
                <w:sz w:val="21"/>
                <w:szCs w:val="21"/>
              </w:rPr>
            </w:pPr>
            <w:r w:rsidRPr="00367EEF">
              <w:rPr>
                <w:rFonts w:cstheme="minorHAnsi"/>
                <w:b/>
                <w:bCs/>
                <w:sz w:val="21"/>
                <w:szCs w:val="21"/>
              </w:rPr>
              <w:t>Communications and public diplomacy</w:t>
            </w:r>
          </w:p>
          <w:p w14:paraId="022350CB" w14:textId="77777777" w:rsidR="001E13C6" w:rsidRPr="00367EEF" w:rsidRDefault="001E13C6" w:rsidP="004428E5">
            <w:pPr>
              <w:pStyle w:val="ListParagraph"/>
              <w:numPr>
                <w:ilvl w:val="0"/>
                <w:numId w:val="52"/>
              </w:numPr>
              <w:spacing w:before="0"/>
              <w:ind w:left="880" w:hanging="426"/>
              <w:contextualSpacing w:val="0"/>
              <w:rPr>
                <w:rFonts w:cstheme="minorHAnsi"/>
                <w:sz w:val="21"/>
                <w:szCs w:val="21"/>
              </w:rPr>
            </w:pPr>
            <w:r w:rsidRPr="00367EEF">
              <w:rPr>
                <w:rFonts w:cstheme="minorHAnsi"/>
                <w:sz w:val="21"/>
                <w:szCs w:val="21"/>
              </w:rPr>
              <w:t>Develop and establish a Public Diplomacy and Communications Strategy for use by all Delivery Partners</w:t>
            </w:r>
          </w:p>
          <w:p w14:paraId="1FDF33F2" w14:textId="77777777" w:rsidR="001E13C6" w:rsidRPr="00367EEF" w:rsidRDefault="001E13C6" w:rsidP="004428E5">
            <w:pPr>
              <w:pStyle w:val="ListParagraph"/>
              <w:numPr>
                <w:ilvl w:val="0"/>
                <w:numId w:val="52"/>
              </w:numPr>
              <w:spacing w:before="0"/>
              <w:ind w:left="880" w:hanging="426"/>
              <w:contextualSpacing w:val="0"/>
              <w:rPr>
                <w:rFonts w:cstheme="minorHAnsi"/>
                <w:sz w:val="21"/>
                <w:szCs w:val="21"/>
              </w:rPr>
            </w:pPr>
            <w:r w:rsidRPr="00367EEF">
              <w:rPr>
                <w:rFonts w:cstheme="minorHAnsi"/>
                <w:sz w:val="21"/>
                <w:szCs w:val="21"/>
              </w:rPr>
              <w:lastRenderedPageBreak/>
              <w:t>Establish and maintain a website and other social media platforms for dissemination and sharing of research, lessons, case studies and program outcomes for use by internal and external stakeholders</w:t>
            </w:r>
          </w:p>
          <w:p w14:paraId="50D89E3B" w14:textId="77777777" w:rsidR="001E13C6" w:rsidRPr="00367EEF" w:rsidRDefault="001E13C6" w:rsidP="004428E5">
            <w:pPr>
              <w:pStyle w:val="ListParagraph"/>
              <w:numPr>
                <w:ilvl w:val="0"/>
                <w:numId w:val="52"/>
              </w:numPr>
              <w:spacing w:before="0"/>
              <w:ind w:left="880" w:hanging="426"/>
              <w:contextualSpacing w:val="0"/>
              <w:rPr>
                <w:rFonts w:cstheme="minorHAnsi"/>
                <w:sz w:val="21"/>
                <w:szCs w:val="21"/>
              </w:rPr>
            </w:pPr>
            <w:r w:rsidRPr="00367EEF">
              <w:rPr>
                <w:rFonts w:cstheme="minorHAnsi"/>
                <w:sz w:val="21"/>
                <w:szCs w:val="21"/>
              </w:rPr>
              <w:t>Identify opportunities for public events, in association with DFAT and GOI, to showcase program performance and results</w:t>
            </w:r>
          </w:p>
          <w:p w14:paraId="213B0F08" w14:textId="77777777" w:rsidR="001E13C6" w:rsidRPr="00367EEF" w:rsidRDefault="001E13C6" w:rsidP="004428E5">
            <w:pPr>
              <w:pStyle w:val="ListParagraph"/>
              <w:numPr>
                <w:ilvl w:val="0"/>
                <w:numId w:val="52"/>
              </w:numPr>
              <w:spacing w:before="0"/>
              <w:ind w:left="880" w:hanging="426"/>
              <w:contextualSpacing w:val="0"/>
              <w:rPr>
                <w:rFonts w:cstheme="minorHAnsi"/>
                <w:sz w:val="21"/>
                <w:szCs w:val="21"/>
              </w:rPr>
            </w:pPr>
            <w:r w:rsidRPr="00367EEF">
              <w:rPr>
                <w:rFonts w:cstheme="minorHAnsi"/>
                <w:sz w:val="21"/>
                <w:szCs w:val="21"/>
              </w:rPr>
              <w:t>Support Delivery Partners, staff, associates and stakeholders, to prepare material for external publications</w:t>
            </w:r>
          </w:p>
          <w:p w14:paraId="71BC7853" w14:textId="77777777" w:rsidR="001E13C6" w:rsidRPr="00367EEF" w:rsidRDefault="001E13C6" w:rsidP="00D41A6F">
            <w:pPr>
              <w:pStyle w:val="ListParagraph"/>
              <w:numPr>
                <w:ilvl w:val="0"/>
                <w:numId w:val="52"/>
              </w:numPr>
              <w:spacing w:before="0"/>
              <w:ind w:left="879" w:hanging="425"/>
              <w:contextualSpacing w:val="0"/>
              <w:rPr>
                <w:rFonts w:cstheme="minorHAnsi"/>
                <w:sz w:val="21"/>
                <w:szCs w:val="21"/>
              </w:rPr>
            </w:pPr>
            <w:r w:rsidRPr="00367EEF">
              <w:rPr>
                <w:rFonts w:cstheme="minorHAnsi"/>
                <w:sz w:val="21"/>
                <w:szCs w:val="21"/>
              </w:rPr>
              <w:t>Engage with the media, both traditional and social media platforms, for broad awareness raising and socialisation of policy reforms</w:t>
            </w:r>
          </w:p>
        </w:tc>
        <w:tc>
          <w:tcPr>
            <w:tcW w:w="1418" w:type="dxa"/>
          </w:tcPr>
          <w:p w14:paraId="666100DC" w14:textId="77777777" w:rsidR="001E13C6" w:rsidRPr="00367EEF" w:rsidRDefault="001E13C6" w:rsidP="004428E5">
            <w:pPr>
              <w:rPr>
                <w:rFonts w:cstheme="minorHAnsi"/>
                <w:sz w:val="14"/>
                <w:szCs w:val="14"/>
              </w:rPr>
            </w:pPr>
            <w:r w:rsidRPr="00367EEF">
              <w:rPr>
                <w:rFonts w:cstheme="minorHAnsi"/>
                <w:i/>
                <w:iCs/>
              </w:rPr>
              <w:lastRenderedPageBreak/>
              <w:t>P</w:t>
            </w:r>
            <w:r>
              <w:rPr>
                <w:rFonts w:cstheme="minorHAnsi"/>
                <w:i/>
                <w:iCs/>
              </w:rPr>
              <w:t>rimary responsibility</w:t>
            </w:r>
          </w:p>
        </w:tc>
        <w:tc>
          <w:tcPr>
            <w:tcW w:w="1407" w:type="dxa"/>
          </w:tcPr>
          <w:p w14:paraId="326AE9BD"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4A95CE21"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701192FD"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6D40ED4B"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6EDC39F9"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11A8FCAC"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1AF205AA" w14:textId="77777777" w:rsidR="001E13C6" w:rsidRPr="00367EEF" w:rsidRDefault="001E13C6" w:rsidP="004428E5">
            <w:pPr>
              <w:rPr>
                <w:rFonts w:cstheme="minorHAnsi"/>
                <w:sz w:val="14"/>
                <w:szCs w:val="14"/>
              </w:rPr>
            </w:pPr>
            <w:r>
              <w:rPr>
                <w:rFonts w:cstheme="minorHAnsi"/>
                <w:i/>
                <w:iCs/>
              </w:rPr>
              <w:t>Secondary responsibility</w:t>
            </w:r>
          </w:p>
        </w:tc>
      </w:tr>
      <w:tr w:rsidR="00DC4F04" w:rsidRPr="00367EEF" w14:paraId="21E99067" w14:textId="77777777" w:rsidTr="00DC4F04">
        <w:tc>
          <w:tcPr>
            <w:tcW w:w="5104" w:type="dxa"/>
          </w:tcPr>
          <w:p w14:paraId="33B23176" w14:textId="77777777" w:rsidR="001E13C6" w:rsidRPr="00367EEF" w:rsidRDefault="001E13C6" w:rsidP="004428E5">
            <w:pPr>
              <w:pStyle w:val="ListParagraph"/>
              <w:numPr>
                <w:ilvl w:val="0"/>
                <w:numId w:val="34"/>
              </w:numPr>
              <w:spacing w:before="60"/>
              <w:ind w:left="357" w:hanging="357"/>
              <w:contextualSpacing w:val="0"/>
              <w:rPr>
                <w:rFonts w:cstheme="minorHAnsi"/>
                <w:b/>
                <w:bCs/>
                <w:sz w:val="21"/>
                <w:szCs w:val="21"/>
              </w:rPr>
            </w:pPr>
            <w:r w:rsidRPr="00367EEF">
              <w:rPr>
                <w:rFonts w:cstheme="minorHAnsi"/>
                <w:b/>
                <w:bCs/>
                <w:sz w:val="21"/>
                <w:szCs w:val="21"/>
              </w:rPr>
              <w:t>Policy dialogue, both formal and informal</w:t>
            </w:r>
          </w:p>
          <w:p w14:paraId="56204898" w14:textId="77777777" w:rsidR="001E13C6" w:rsidRPr="00367EEF" w:rsidRDefault="001E13C6" w:rsidP="004428E5">
            <w:pPr>
              <w:pStyle w:val="ListParagraph"/>
              <w:numPr>
                <w:ilvl w:val="0"/>
                <w:numId w:val="45"/>
              </w:numPr>
              <w:spacing w:before="0"/>
              <w:ind w:left="879" w:hanging="425"/>
              <w:contextualSpacing w:val="0"/>
              <w:rPr>
                <w:rFonts w:cstheme="minorHAnsi"/>
                <w:sz w:val="21"/>
                <w:szCs w:val="21"/>
              </w:rPr>
            </w:pPr>
            <w:r w:rsidRPr="00367EEF">
              <w:rPr>
                <w:rFonts w:cstheme="minorHAnsi"/>
                <w:sz w:val="21"/>
                <w:szCs w:val="21"/>
              </w:rPr>
              <w:t>Build relationships with GOI officials at national, provincial and local level, and with Statutory Bodies and other quasi-governmental institutions, with interest and stake in program outcomes and sectors</w:t>
            </w:r>
          </w:p>
          <w:p w14:paraId="2F8DC90F" w14:textId="77777777" w:rsidR="001E13C6" w:rsidRPr="00367EEF" w:rsidRDefault="001E13C6" w:rsidP="004428E5">
            <w:pPr>
              <w:pStyle w:val="ListParagraph"/>
              <w:numPr>
                <w:ilvl w:val="0"/>
                <w:numId w:val="45"/>
              </w:numPr>
              <w:spacing w:before="0"/>
              <w:ind w:left="879" w:hanging="425"/>
              <w:contextualSpacing w:val="0"/>
              <w:rPr>
                <w:rFonts w:cstheme="minorHAnsi"/>
                <w:sz w:val="21"/>
                <w:szCs w:val="21"/>
              </w:rPr>
            </w:pPr>
            <w:r w:rsidRPr="00367EEF">
              <w:rPr>
                <w:rFonts w:cstheme="minorHAnsi"/>
                <w:sz w:val="21"/>
                <w:szCs w:val="21"/>
              </w:rPr>
              <w:t>Identify critical reform issues of mutual interest to multiple stakeholders</w:t>
            </w:r>
          </w:p>
          <w:p w14:paraId="6D67161E" w14:textId="77777777" w:rsidR="001E13C6" w:rsidRPr="00367EEF" w:rsidRDefault="001E13C6" w:rsidP="004428E5">
            <w:pPr>
              <w:pStyle w:val="ListParagraph"/>
              <w:numPr>
                <w:ilvl w:val="0"/>
                <w:numId w:val="45"/>
              </w:numPr>
              <w:spacing w:before="0"/>
              <w:ind w:left="879" w:hanging="425"/>
              <w:contextualSpacing w:val="0"/>
              <w:rPr>
                <w:rFonts w:cstheme="minorHAnsi"/>
                <w:sz w:val="21"/>
                <w:szCs w:val="21"/>
              </w:rPr>
            </w:pPr>
            <w:r w:rsidRPr="00367EEF">
              <w:rPr>
                <w:rFonts w:cstheme="minorHAnsi"/>
                <w:sz w:val="21"/>
                <w:szCs w:val="21"/>
              </w:rPr>
              <w:t>Undertake research and analysis of constraints and opportunities, and lessons from international practice of relevance to the policy concern</w:t>
            </w:r>
          </w:p>
          <w:p w14:paraId="26C87CA7" w14:textId="77777777" w:rsidR="001E13C6" w:rsidRPr="00367EEF" w:rsidRDefault="001E13C6" w:rsidP="004428E5">
            <w:pPr>
              <w:pStyle w:val="ListParagraph"/>
              <w:numPr>
                <w:ilvl w:val="0"/>
                <w:numId w:val="45"/>
              </w:numPr>
              <w:spacing w:before="0"/>
              <w:ind w:left="879" w:hanging="425"/>
              <w:contextualSpacing w:val="0"/>
              <w:rPr>
                <w:rFonts w:cstheme="minorHAnsi"/>
                <w:sz w:val="21"/>
                <w:szCs w:val="21"/>
              </w:rPr>
            </w:pPr>
            <w:r w:rsidRPr="00367EEF">
              <w:rPr>
                <w:rFonts w:cstheme="minorHAnsi"/>
                <w:sz w:val="21"/>
                <w:szCs w:val="21"/>
              </w:rPr>
              <w:t xml:space="preserve">Create forums for discussion and dialogue with individuals and groups, policy and technical, </w:t>
            </w:r>
            <w:r w:rsidRPr="00367EEF">
              <w:rPr>
                <w:rFonts w:cstheme="minorHAnsi"/>
                <w:sz w:val="21"/>
                <w:szCs w:val="21"/>
              </w:rPr>
              <w:lastRenderedPageBreak/>
              <w:t xml:space="preserve">and with internal and external stakeholders, to canvass and create </w:t>
            </w:r>
            <w:proofErr w:type="gramStart"/>
            <w:r w:rsidRPr="00367EEF">
              <w:rPr>
                <w:rFonts w:cstheme="minorHAnsi"/>
                <w:sz w:val="21"/>
                <w:szCs w:val="21"/>
              </w:rPr>
              <w:t>locally-led</w:t>
            </w:r>
            <w:proofErr w:type="gramEnd"/>
            <w:r w:rsidRPr="00367EEF">
              <w:rPr>
                <w:rFonts w:cstheme="minorHAnsi"/>
                <w:sz w:val="21"/>
                <w:szCs w:val="21"/>
              </w:rPr>
              <w:t xml:space="preserve"> solutions</w:t>
            </w:r>
          </w:p>
          <w:p w14:paraId="7462E0F7" w14:textId="77777777" w:rsidR="001E13C6" w:rsidRPr="00367EEF" w:rsidRDefault="001E13C6" w:rsidP="004428E5">
            <w:pPr>
              <w:pStyle w:val="ListParagraph"/>
              <w:numPr>
                <w:ilvl w:val="0"/>
                <w:numId w:val="45"/>
              </w:numPr>
              <w:spacing w:before="0"/>
              <w:ind w:left="879" w:hanging="425"/>
              <w:contextualSpacing w:val="0"/>
              <w:rPr>
                <w:rFonts w:cstheme="minorHAnsi"/>
                <w:sz w:val="21"/>
                <w:szCs w:val="21"/>
              </w:rPr>
            </w:pPr>
            <w:r w:rsidRPr="00367EEF">
              <w:rPr>
                <w:rFonts w:cstheme="minorHAnsi"/>
                <w:sz w:val="21"/>
                <w:szCs w:val="21"/>
              </w:rPr>
              <w:t>Use formal settings to coalesce ideas and commitment from different parties towards a common understanding and commitment to policy positions (</w:t>
            </w:r>
            <w:proofErr w:type="spellStart"/>
            <w:r w:rsidRPr="00367EEF">
              <w:rPr>
                <w:rFonts w:cstheme="minorHAnsi"/>
                <w:sz w:val="21"/>
                <w:szCs w:val="21"/>
              </w:rPr>
              <w:t>eg</w:t>
            </w:r>
            <w:proofErr w:type="spellEnd"/>
            <w:r w:rsidRPr="00367EEF">
              <w:rPr>
                <w:rFonts w:cstheme="minorHAnsi"/>
                <w:sz w:val="21"/>
                <w:szCs w:val="21"/>
              </w:rPr>
              <w:t xml:space="preserve"> high level Ministerial meetings, events, international conferences)</w:t>
            </w:r>
          </w:p>
        </w:tc>
        <w:tc>
          <w:tcPr>
            <w:tcW w:w="1418" w:type="dxa"/>
          </w:tcPr>
          <w:p w14:paraId="105D5CD1" w14:textId="77777777" w:rsidR="001E13C6" w:rsidRPr="00367EEF" w:rsidRDefault="001E13C6" w:rsidP="004428E5">
            <w:pPr>
              <w:rPr>
                <w:rFonts w:cstheme="minorHAnsi"/>
                <w:sz w:val="14"/>
                <w:szCs w:val="14"/>
              </w:rPr>
            </w:pPr>
            <w:r>
              <w:rPr>
                <w:rFonts w:cstheme="minorHAnsi"/>
                <w:i/>
                <w:iCs/>
              </w:rPr>
              <w:lastRenderedPageBreak/>
              <w:t>Secondary responsibility</w:t>
            </w:r>
          </w:p>
        </w:tc>
        <w:tc>
          <w:tcPr>
            <w:tcW w:w="1407" w:type="dxa"/>
          </w:tcPr>
          <w:p w14:paraId="68BE85C8"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701F2AE9"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76BE2401"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777821D6"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56B70919"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46E4F5C0" w14:textId="77777777" w:rsidR="001E13C6" w:rsidRPr="00367EEF" w:rsidRDefault="001E13C6" w:rsidP="004428E5">
            <w:pPr>
              <w:rPr>
                <w:rFonts w:cstheme="minorHAnsi"/>
                <w:sz w:val="14"/>
                <w:szCs w:val="14"/>
              </w:rPr>
            </w:pPr>
            <w:r>
              <w:rPr>
                <w:rFonts w:cstheme="minorHAnsi"/>
                <w:i/>
                <w:iCs/>
              </w:rPr>
              <w:t>Secondary responsibility</w:t>
            </w:r>
          </w:p>
        </w:tc>
        <w:tc>
          <w:tcPr>
            <w:tcW w:w="1372" w:type="dxa"/>
          </w:tcPr>
          <w:p w14:paraId="58B48F48" w14:textId="77777777" w:rsidR="001E13C6" w:rsidRPr="00367EEF" w:rsidRDefault="001E13C6" w:rsidP="004428E5">
            <w:pPr>
              <w:rPr>
                <w:rFonts w:cstheme="minorHAnsi"/>
                <w:b/>
                <w:bCs/>
                <w:sz w:val="14"/>
                <w:szCs w:val="14"/>
              </w:rPr>
            </w:pPr>
            <w:r w:rsidRPr="00367EEF">
              <w:rPr>
                <w:rFonts w:cstheme="minorHAnsi"/>
                <w:i/>
                <w:iCs/>
              </w:rPr>
              <w:t>P</w:t>
            </w:r>
            <w:r>
              <w:rPr>
                <w:rFonts w:cstheme="minorHAnsi"/>
                <w:i/>
                <w:iCs/>
              </w:rPr>
              <w:t>rimary responsibility</w:t>
            </w:r>
          </w:p>
        </w:tc>
      </w:tr>
      <w:tr w:rsidR="00DC4F04" w:rsidRPr="00367EEF" w14:paraId="1D3652F9" w14:textId="77777777" w:rsidTr="00DC4F04">
        <w:tc>
          <w:tcPr>
            <w:tcW w:w="5104" w:type="dxa"/>
          </w:tcPr>
          <w:p w14:paraId="185591B1" w14:textId="77777777" w:rsidR="001E13C6" w:rsidRPr="00367EEF" w:rsidRDefault="001E13C6" w:rsidP="004428E5">
            <w:pPr>
              <w:pStyle w:val="ListParagraph"/>
              <w:numPr>
                <w:ilvl w:val="0"/>
                <w:numId w:val="34"/>
              </w:numPr>
              <w:spacing w:before="60"/>
              <w:ind w:left="357" w:hanging="357"/>
              <w:contextualSpacing w:val="0"/>
              <w:rPr>
                <w:rFonts w:cstheme="minorHAnsi"/>
                <w:sz w:val="21"/>
                <w:szCs w:val="21"/>
              </w:rPr>
            </w:pPr>
            <w:r w:rsidRPr="00E24728">
              <w:rPr>
                <w:rFonts w:cstheme="minorHAnsi"/>
                <w:b/>
                <w:bCs/>
                <w:sz w:val="21"/>
                <w:szCs w:val="21"/>
              </w:rPr>
              <w:t>Program planning, management and operations</w:t>
            </w:r>
          </w:p>
          <w:p w14:paraId="25C2F7B6" w14:textId="77777777" w:rsidR="001E13C6" w:rsidRPr="00367EEF" w:rsidRDefault="001E13C6" w:rsidP="005929AA">
            <w:pPr>
              <w:pStyle w:val="ListParagraph"/>
              <w:numPr>
                <w:ilvl w:val="0"/>
                <w:numId w:val="46"/>
              </w:numPr>
              <w:spacing w:before="0"/>
              <w:ind w:left="743" w:hanging="289"/>
              <w:contextualSpacing w:val="0"/>
              <w:rPr>
                <w:rFonts w:cstheme="minorHAnsi"/>
                <w:sz w:val="21"/>
                <w:szCs w:val="21"/>
              </w:rPr>
            </w:pPr>
            <w:r w:rsidRPr="00367EEF">
              <w:rPr>
                <w:rFonts w:cstheme="minorHAnsi"/>
                <w:sz w:val="21"/>
                <w:szCs w:val="21"/>
              </w:rPr>
              <w:t>Develop Sector Engagement Strategies and Thematic Strategies identified in the scope of the program, as a basis for stakeholder and policy engagement, Activity and Project identification, and for progress monitoring and MERL</w:t>
            </w:r>
          </w:p>
          <w:p w14:paraId="43A5D4BD" w14:textId="77777777" w:rsidR="001E13C6" w:rsidRPr="00367EEF" w:rsidRDefault="001E13C6" w:rsidP="005929AA">
            <w:pPr>
              <w:pStyle w:val="ListParagraph"/>
              <w:numPr>
                <w:ilvl w:val="0"/>
                <w:numId w:val="46"/>
              </w:numPr>
              <w:spacing w:before="0"/>
              <w:ind w:left="743" w:hanging="289"/>
              <w:contextualSpacing w:val="0"/>
              <w:rPr>
                <w:rFonts w:cstheme="minorHAnsi"/>
                <w:sz w:val="21"/>
                <w:szCs w:val="21"/>
              </w:rPr>
            </w:pPr>
            <w:r w:rsidRPr="00367EEF">
              <w:rPr>
                <w:rFonts w:cstheme="minorHAnsi"/>
                <w:sz w:val="21"/>
                <w:szCs w:val="21"/>
              </w:rPr>
              <w:t>Provide executive level and senior management services for leadership across the portfolio on strategic planning and performance, research and policy, climate and infrastructure, and private sector and financing; and provide technical services across the portfolio in GEDSI, innovation, financing and automation and AI.</w:t>
            </w:r>
          </w:p>
          <w:p w14:paraId="4BDF2569" w14:textId="77777777" w:rsidR="001E13C6" w:rsidRPr="00367EEF" w:rsidRDefault="001E13C6" w:rsidP="005929AA">
            <w:pPr>
              <w:pStyle w:val="ListParagraph"/>
              <w:numPr>
                <w:ilvl w:val="0"/>
                <w:numId w:val="46"/>
              </w:numPr>
              <w:spacing w:before="0"/>
              <w:ind w:left="743" w:hanging="289"/>
              <w:contextualSpacing w:val="0"/>
              <w:rPr>
                <w:rFonts w:cstheme="minorHAnsi"/>
                <w:sz w:val="21"/>
                <w:szCs w:val="21"/>
              </w:rPr>
            </w:pPr>
            <w:r w:rsidRPr="00367EEF">
              <w:rPr>
                <w:rFonts w:cstheme="minorHAnsi"/>
                <w:sz w:val="21"/>
                <w:szCs w:val="21"/>
              </w:rPr>
              <w:t>Provide a technical services team (Lead Advisers and program coordinators/administrators) with expertise in core sectors of the program (renewable energy; water, sanitation and waste management; and transport and urban connectivity) and personnel to identify, scope, plan deliver, and/or procure and oversee delivery of approved Activities and Projects.</w:t>
            </w:r>
          </w:p>
          <w:p w14:paraId="4AAB0350" w14:textId="77777777" w:rsidR="001E13C6" w:rsidRPr="00367EEF" w:rsidRDefault="001E13C6" w:rsidP="005929AA">
            <w:pPr>
              <w:pStyle w:val="ListParagraph"/>
              <w:numPr>
                <w:ilvl w:val="0"/>
                <w:numId w:val="46"/>
              </w:numPr>
              <w:spacing w:before="0"/>
              <w:ind w:left="743" w:hanging="289"/>
              <w:contextualSpacing w:val="0"/>
              <w:rPr>
                <w:rFonts w:cstheme="minorHAnsi"/>
                <w:sz w:val="21"/>
                <w:szCs w:val="21"/>
              </w:rPr>
            </w:pPr>
            <w:r w:rsidRPr="00367EEF">
              <w:rPr>
                <w:rFonts w:cstheme="minorHAnsi"/>
                <w:sz w:val="21"/>
                <w:szCs w:val="21"/>
              </w:rPr>
              <w:lastRenderedPageBreak/>
              <w:t>Undertake administrative and logistical support necessary for portfolio, Activity and project level implementation</w:t>
            </w:r>
          </w:p>
          <w:p w14:paraId="1DAAE98F" w14:textId="77777777" w:rsidR="001E13C6" w:rsidRPr="00367EEF" w:rsidRDefault="001E13C6" w:rsidP="005929AA">
            <w:pPr>
              <w:pStyle w:val="ListParagraph"/>
              <w:numPr>
                <w:ilvl w:val="0"/>
                <w:numId w:val="46"/>
              </w:numPr>
              <w:spacing w:before="0"/>
              <w:ind w:left="743" w:hanging="289"/>
              <w:contextualSpacing w:val="0"/>
              <w:rPr>
                <w:rFonts w:cstheme="minorHAnsi"/>
                <w:sz w:val="21"/>
                <w:szCs w:val="21"/>
              </w:rPr>
            </w:pPr>
            <w:r w:rsidRPr="00367EEF">
              <w:rPr>
                <w:rFonts w:cstheme="minorHAnsi"/>
                <w:sz w:val="21"/>
                <w:szCs w:val="21"/>
              </w:rPr>
              <w:t>Provide physical and virtual work environment to support effective program services, meeting OHS, SEAH and other compliance obligations.</w:t>
            </w:r>
          </w:p>
        </w:tc>
        <w:tc>
          <w:tcPr>
            <w:tcW w:w="1418" w:type="dxa"/>
          </w:tcPr>
          <w:p w14:paraId="40CED017" w14:textId="77777777" w:rsidR="001E13C6" w:rsidRPr="00367EEF" w:rsidRDefault="001E13C6" w:rsidP="004428E5">
            <w:pPr>
              <w:rPr>
                <w:rFonts w:cstheme="minorHAnsi"/>
                <w:sz w:val="14"/>
                <w:szCs w:val="14"/>
              </w:rPr>
            </w:pPr>
            <w:r w:rsidRPr="00367EEF">
              <w:rPr>
                <w:rFonts w:cstheme="minorHAnsi"/>
                <w:i/>
                <w:iCs/>
              </w:rPr>
              <w:lastRenderedPageBreak/>
              <w:t>P</w:t>
            </w:r>
            <w:r>
              <w:rPr>
                <w:rFonts w:cstheme="minorHAnsi"/>
                <w:i/>
                <w:iCs/>
              </w:rPr>
              <w:t>rimary responsibility</w:t>
            </w:r>
          </w:p>
        </w:tc>
        <w:tc>
          <w:tcPr>
            <w:tcW w:w="1407" w:type="dxa"/>
          </w:tcPr>
          <w:p w14:paraId="5911E496"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1E7B2D5B"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7687ADE2"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4E26AF49"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3D1F6AD9"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7952CCD0" w14:textId="77777777" w:rsidR="001E13C6" w:rsidRPr="00367EEF" w:rsidRDefault="001E13C6" w:rsidP="004428E5">
            <w:pPr>
              <w:rPr>
                <w:rFonts w:cstheme="minorHAnsi"/>
                <w:sz w:val="14"/>
                <w:szCs w:val="14"/>
              </w:rPr>
            </w:pPr>
            <w:r w:rsidRPr="00F051FC">
              <w:rPr>
                <w:rFonts w:cstheme="minorHAnsi"/>
                <w:i/>
                <w:iCs/>
              </w:rPr>
              <w:t>No responsibility</w:t>
            </w:r>
          </w:p>
        </w:tc>
        <w:tc>
          <w:tcPr>
            <w:tcW w:w="1372" w:type="dxa"/>
          </w:tcPr>
          <w:p w14:paraId="78883A6D" w14:textId="77777777" w:rsidR="001E13C6" w:rsidRPr="00367EEF" w:rsidRDefault="001E13C6" w:rsidP="004428E5">
            <w:pPr>
              <w:rPr>
                <w:rFonts w:cstheme="minorHAnsi"/>
                <w:sz w:val="14"/>
                <w:szCs w:val="14"/>
              </w:rPr>
            </w:pPr>
            <w:r w:rsidRPr="00F051FC">
              <w:rPr>
                <w:rFonts w:cstheme="minorHAnsi"/>
                <w:i/>
                <w:iCs/>
              </w:rPr>
              <w:t>No responsibility</w:t>
            </w:r>
          </w:p>
        </w:tc>
      </w:tr>
    </w:tbl>
    <w:p w14:paraId="6CC2B2E6" w14:textId="77777777" w:rsidR="00850943" w:rsidRDefault="00850943" w:rsidP="00850943">
      <w:pPr>
        <w:spacing w:before="0" w:after="0"/>
        <w:rPr>
          <w:b/>
          <w:bCs/>
        </w:rPr>
      </w:pPr>
    </w:p>
    <w:tbl>
      <w:tblPr>
        <w:tblStyle w:val="TableGrid"/>
        <w:tblW w:w="14742" w:type="dxa"/>
        <w:tblInd w:w="-572" w:type="dxa"/>
        <w:tblLayout w:type="fixed"/>
        <w:tblLook w:val="0480" w:firstRow="0" w:lastRow="0" w:firstColumn="1" w:lastColumn="0" w:noHBand="0" w:noVBand="1"/>
        <w:tblCaption w:val=" Indicative Services and Capabilities by Delivery Partner"/>
        <w:tblDescription w:val="Technical Advisory Group "/>
      </w:tblPr>
      <w:tblGrid>
        <w:gridCol w:w="12616"/>
        <w:gridCol w:w="2126"/>
      </w:tblGrid>
      <w:tr w:rsidR="00850943" w:rsidRPr="008C4949" w14:paraId="1F20E6E0" w14:textId="77777777" w:rsidTr="005929AA">
        <w:tc>
          <w:tcPr>
            <w:tcW w:w="12616" w:type="dxa"/>
            <w:vAlign w:val="center"/>
          </w:tcPr>
          <w:p w14:paraId="0D478A74" w14:textId="77777777" w:rsidR="00850943" w:rsidRPr="008C4949" w:rsidRDefault="00850943" w:rsidP="008524C4">
            <w:pPr>
              <w:rPr>
                <w:b/>
                <w:bCs/>
                <w:sz w:val="24"/>
                <w:szCs w:val="24"/>
              </w:rPr>
            </w:pPr>
            <w:r w:rsidRPr="008C4949">
              <w:rPr>
                <w:b/>
                <w:bCs/>
                <w:sz w:val="24"/>
                <w:szCs w:val="24"/>
              </w:rPr>
              <w:t>Services - functions</w:t>
            </w:r>
          </w:p>
        </w:tc>
        <w:tc>
          <w:tcPr>
            <w:tcW w:w="2126" w:type="dxa"/>
          </w:tcPr>
          <w:p w14:paraId="0C973034" w14:textId="77777777" w:rsidR="00850943" w:rsidRPr="008C4949" w:rsidRDefault="00850943" w:rsidP="005929AA">
            <w:pPr>
              <w:jc w:val="center"/>
              <w:rPr>
                <w:b/>
                <w:bCs/>
                <w:sz w:val="24"/>
                <w:szCs w:val="24"/>
              </w:rPr>
            </w:pPr>
            <w:r w:rsidRPr="6A1E326B">
              <w:rPr>
                <w:noProof/>
                <w:sz w:val="16"/>
                <w:szCs w:val="16"/>
              </w:rPr>
              <w:t>Technical Advisory Group (TAG</w:t>
            </w:r>
            <w:r w:rsidRPr="6A1E326B">
              <w:rPr>
                <w:noProof/>
                <w:sz w:val="24"/>
                <w:szCs w:val="24"/>
              </w:rPr>
              <w:t>)</w:t>
            </w:r>
          </w:p>
        </w:tc>
      </w:tr>
      <w:tr w:rsidR="00850943" w:rsidRPr="00F8651C" w14:paraId="62ADD80C" w14:textId="77777777" w:rsidTr="005929AA">
        <w:tc>
          <w:tcPr>
            <w:tcW w:w="12616" w:type="dxa"/>
          </w:tcPr>
          <w:p w14:paraId="4C45EAC1" w14:textId="77777777" w:rsidR="00850943" w:rsidRDefault="00850943" w:rsidP="00686269">
            <w:pPr>
              <w:pStyle w:val="ListParagraph"/>
              <w:numPr>
                <w:ilvl w:val="0"/>
                <w:numId w:val="53"/>
              </w:numPr>
              <w:ind w:left="357" w:hanging="357"/>
              <w:contextualSpacing w:val="0"/>
              <w:rPr>
                <w:sz w:val="21"/>
                <w:szCs w:val="21"/>
              </w:rPr>
            </w:pPr>
            <w:r>
              <w:rPr>
                <w:sz w:val="21"/>
                <w:szCs w:val="21"/>
              </w:rPr>
              <w:t>Maintain current understanding of the policy and operational context for climate, infrastructure and financing programming in Indonesia</w:t>
            </w:r>
          </w:p>
          <w:p w14:paraId="314BBD9D" w14:textId="77777777" w:rsidR="00850943" w:rsidRDefault="00850943" w:rsidP="00686269">
            <w:pPr>
              <w:pStyle w:val="ListParagraph"/>
              <w:numPr>
                <w:ilvl w:val="0"/>
                <w:numId w:val="53"/>
              </w:numPr>
              <w:spacing w:before="60" w:after="0"/>
              <w:ind w:left="357" w:hanging="357"/>
              <w:contextualSpacing w:val="0"/>
              <w:rPr>
                <w:sz w:val="21"/>
                <w:szCs w:val="21"/>
              </w:rPr>
            </w:pPr>
            <w:r>
              <w:rPr>
                <w:sz w:val="21"/>
                <w:szCs w:val="21"/>
              </w:rPr>
              <w:t>Provide technical advice to DFAT officers upon request in the areas of:</w:t>
            </w:r>
          </w:p>
          <w:p w14:paraId="41B5FF29" w14:textId="77777777" w:rsidR="00850943" w:rsidRDefault="00850943" w:rsidP="00686269">
            <w:pPr>
              <w:pStyle w:val="ListParagraph"/>
              <w:numPr>
                <w:ilvl w:val="0"/>
                <w:numId w:val="54"/>
              </w:numPr>
              <w:ind w:left="1021"/>
              <w:rPr>
                <w:sz w:val="21"/>
                <w:szCs w:val="21"/>
              </w:rPr>
            </w:pPr>
            <w:r>
              <w:rPr>
                <w:sz w:val="21"/>
                <w:szCs w:val="21"/>
              </w:rPr>
              <w:t>Climate adaptation and mitigation</w:t>
            </w:r>
          </w:p>
          <w:p w14:paraId="7E0A9A89" w14:textId="77777777" w:rsidR="00850943" w:rsidRDefault="00850943" w:rsidP="00686269">
            <w:pPr>
              <w:pStyle w:val="ListParagraph"/>
              <w:numPr>
                <w:ilvl w:val="0"/>
                <w:numId w:val="54"/>
              </w:numPr>
              <w:ind w:left="1021"/>
              <w:rPr>
                <w:sz w:val="21"/>
                <w:szCs w:val="21"/>
              </w:rPr>
            </w:pPr>
            <w:r>
              <w:rPr>
                <w:sz w:val="21"/>
                <w:szCs w:val="21"/>
              </w:rPr>
              <w:t>Development financing</w:t>
            </w:r>
          </w:p>
          <w:p w14:paraId="77D78762" w14:textId="77777777" w:rsidR="00850943" w:rsidRDefault="00850943" w:rsidP="00686269">
            <w:pPr>
              <w:pStyle w:val="ListParagraph"/>
              <w:numPr>
                <w:ilvl w:val="0"/>
                <w:numId w:val="54"/>
              </w:numPr>
              <w:ind w:left="1021"/>
              <w:rPr>
                <w:sz w:val="21"/>
                <w:szCs w:val="21"/>
              </w:rPr>
            </w:pPr>
            <w:r>
              <w:rPr>
                <w:sz w:val="21"/>
                <w:szCs w:val="21"/>
              </w:rPr>
              <w:t>Infrastructure planning and development</w:t>
            </w:r>
          </w:p>
          <w:p w14:paraId="2271A022" w14:textId="77777777" w:rsidR="00850943" w:rsidRDefault="00850943" w:rsidP="00686269">
            <w:pPr>
              <w:pStyle w:val="ListParagraph"/>
              <w:numPr>
                <w:ilvl w:val="0"/>
                <w:numId w:val="54"/>
              </w:numPr>
              <w:ind w:left="1021"/>
              <w:rPr>
                <w:sz w:val="21"/>
                <w:szCs w:val="21"/>
              </w:rPr>
            </w:pPr>
            <w:r>
              <w:rPr>
                <w:sz w:val="21"/>
                <w:szCs w:val="21"/>
              </w:rPr>
              <w:t>Water support, sanitation and waste management</w:t>
            </w:r>
          </w:p>
          <w:p w14:paraId="7C18F09F" w14:textId="77777777" w:rsidR="00850943" w:rsidRDefault="00850943" w:rsidP="00686269">
            <w:pPr>
              <w:pStyle w:val="ListParagraph"/>
              <w:numPr>
                <w:ilvl w:val="0"/>
                <w:numId w:val="54"/>
              </w:numPr>
              <w:ind w:left="1021"/>
              <w:rPr>
                <w:sz w:val="21"/>
                <w:szCs w:val="21"/>
              </w:rPr>
            </w:pPr>
            <w:r>
              <w:rPr>
                <w:sz w:val="21"/>
                <w:szCs w:val="21"/>
              </w:rPr>
              <w:t>Transport and urban connectivity</w:t>
            </w:r>
          </w:p>
          <w:p w14:paraId="63D3ED69" w14:textId="77777777" w:rsidR="00850943" w:rsidRDefault="00850943" w:rsidP="00686269">
            <w:pPr>
              <w:pStyle w:val="ListParagraph"/>
              <w:numPr>
                <w:ilvl w:val="0"/>
                <w:numId w:val="54"/>
              </w:numPr>
              <w:ind w:left="1021"/>
              <w:rPr>
                <w:sz w:val="21"/>
                <w:szCs w:val="21"/>
              </w:rPr>
            </w:pPr>
            <w:r>
              <w:rPr>
                <w:sz w:val="21"/>
                <w:szCs w:val="21"/>
              </w:rPr>
              <w:t>Renewable energy</w:t>
            </w:r>
          </w:p>
          <w:p w14:paraId="5447B37A" w14:textId="77777777" w:rsidR="00850943" w:rsidRDefault="00850943" w:rsidP="00686269">
            <w:pPr>
              <w:pStyle w:val="ListParagraph"/>
              <w:numPr>
                <w:ilvl w:val="0"/>
                <w:numId w:val="54"/>
              </w:numPr>
              <w:ind w:left="1021"/>
              <w:rPr>
                <w:sz w:val="21"/>
                <w:szCs w:val="21"/>
              </w:rPr>
            </w:pPr>
            <w:r>
              <w:rPr>
                <w:sz w:val="21"/>
                <w:szCs w:val="21"/>
              </w:rPr>
              <w:t>GEDSI</w:t>
            </w:r>
          </w:p>
          <w:p w14:paraId="5DBD4375" w14:textId="77777777" w:rsidR="00850943" w:rsidRDefault="00850943" w:rsidP="00686269">
            <w:pPr>
              <w:pStyle w:val="ListParagraph"/>
              <w:numPr>
                <w:ilvl w:val="0"/>
                <w:numId w:val="54"/>
              </w:numPr>
              <w:ind w:left="1021"/>
              <w:rPr>
                <w:sz w:val="21"/>
                <w:szCs w:val="21"/>
              </w:rPr>
            </w:pPr>
            <w:r>
              <w:rPr>
                <w:sz w:val="21"/>
                <w:szCs w:val="21"/>
              </w:rPr>
              <w:t>Innovation</w:t>
            </w:r>
          </w:p>
          <w:p w14:paraId="40D1CE2C" w14:textId="77777777" w:rsidR="00850943" w:rsidRPr="008C4949" w:rsidRDefault="00850943" w:rsidP="00686269">
            <w:pPr>
              <w:pStyle w:val="ListParagraph"/>
              <w:numPr>
                <w:ilvl w:val="0"/>
                <w:numId w:val="54"/>
              </w:numPr>
              <w:spacing w:before="0"/>
              <w:ind w:left="1020" w:hanging="357"/>
              <w:contextualSpacing w:val="0"/>
              <w:rPr>
                <w:sz w:val="21"/>
                <w:szCs w:val="21"/>
              </w:rPr>
            </w:pPr>
            <w:r>
              <w:rPr>
                <w:sz w:val="21"/>
                <w:szCs w:val="21"/>
              </w:rPr>
              <w:t>Automation and digitalisation (including AI)</w:t>
            </w:r>
          </w:p>
          <w:p w14:paraId="4BDF52B0" w14:textId="77777777" w:rsidR="00850943" w:rsidRDefault="00850943" w:rsidP="00686269">
            <w:pPr>
              <w:pStyle w:val="ListParagraph"/>
              <w:numPr>
                <w:ilvl w:val="0"/>
                <w:numId w:val="53"/>
              </w:numPr>
              <w:spacing w:before="60" w:after="0"/>
              <w:ind w:left="357" w:hanging="357"/>
              <w:contextualSpacing w:val="0"/>
              <w:rPr>
                <w:sz w:val="21"/>
                <w:szCs w:val="21"/>
              </w:rPr>
            </w:pPr>
            <w:r>
              <w:rPr>
                <w:sz w:val="21"/>
                <w:szCs w:val="21"/>
              </w:rPr>
              <w:t>Develop and support policy analysis and internal DFAT policy positions in selected sectors and themes</w:t>
            </w:r>
          </w:p>
          <w:p w14:paraId="51740892" w14:textId="77777777" w:rsidR="00850943" w:rsidRDefault="00850943" w:rsidP="00686269">
            <w:pPr>
              <w:pStyle w:val="ListParagraph"/>
              <w:numPr>
                <w:ilvl w:val="0"/>
                <w:numId w:val="53"/>
              </w:numPr>
              <w:spacing w:before="60" w:after="0"/>
              <w:ind w:left="357" w:hanging="357"/>
              <w:contextualSpacing w:val="0"/>
              <w:rPr>
                <w:sz w:val="21"/>
                <w:szCs w:val="21"/>
              </w:rPr>
            </w:pPr>
            <w:r>
              <w:rPr>
                <w:sz w:val="21"/>
                <w:szCs w:val="21"/>
              </w:rPr>
              <w:t>Facilitate and broker policy discussions amongst internal DFAT stakeholders (but not external stakeholders or Delivery Partners)</w:t>
            </w:r>
          </w:p>
          <w:p w14:paraId="6B79B2B0" w14:textId="77777777" w:rsidR="00850943" w:rsidRDefault="00850943" w:rsidP="00686269">
            <w:pPr>
              <w:pStyle w:val="ListParagraph"/>
              <w:numPr>
                <w:ilvl w:val="0"/>
                <w:numId w:val="53"/>
              </w:numPr>
              <w:spacing w:before="60" w:after="0"/>
              <w:ind w:left="357" w:hanging="357"/>
              <w:contextualSpacing w:val="0"/>
              <w:rPr>
                <w:sz w:val="21"/>
                <w:szCs w:val="21"/>
              </w:rPr>
            </w:pPr>
            <w:r>
              <w:rPr>
                <w:sz w:val="21"/>
                <w:szCs w:val="21"/>
              </w:rPr>
              <w:t>Provide Quality Assurance for DFAT on key technical and program documentation provided by Primary Contractor and Delivery Partners</w:t>
            </w:r>
          </w:p>
          <w:p w14:paraId="36C8E820" w14:textId="77777777" w:rsidR="00850943" w:rsidRDefault="00850943" w:rsidP="00686269">
            <w:pPr>
              <w:pStyle w:val="ListParagraph"/>
              <w:numPr>
                <w:ilvl w:val="0"/>
                <w:numId w:val="53"/>
              </w:numPr>
              <w:spacing w:before="60" w:after="0"/>
              <w:ind w:left="357" w:hanging="357"/>
              <w:contextualSpacing w:val="0"/>
              <w:rPr>
                <w:sz w:val="21"/>
                <w:szCs w:val="21"/>
              </w:rPr>
            </w:pPr>
            <w:r>
              <w:rPr>
                <w:sz w:val="21"/>
                <w:szCs w:val="21"/>
              </w:rPr>
              <w:t>Undertake analysis of MERL reporting and data, including AIMR, MTRs and evaluations</w:t>
            </w:r>
          </w:p>
          <w:p w14:paraId="547DD38A" w14:textId="77777777" w:rsidR="00850943" w:rsidRDefault="00850943" w:rsidP="00686269">
            <w:pPr>
              <w:pStyle w:val="ListParagraph"/>
              <w:numPr>
                <w:ilvl w:val="0"/>
                <w:numId w:val="53"/>
              </w:numPr>
              <w:spacing w:before="60" w:after="0"/>
              <w:ind w:left="357" w:hanging="357"/>
              <w:contextualSpacing w:val="0"/>
              <w:rPr>
                <w:sz w:val="21"/>
                <w:szCs w:val="21"/>
              </w:rPr>
            </w:pPr>
            <w:r>
              <w:rPr>
                <w:sz w:val="21"/>
                <w:szCs w:val="21"/>
              </w:rPr>
              <w:t>Undertake analysis of GOI policy documentation</w:t>
            </w:r>
          </w:p>
          <w:p w14:paraId="7A292CA5" w14:textId="77777777" w:rsidR="00850943" w:rsidRDefault="00850943" w:rsidP="00686269">
            <w:pPr>
              <w:pStyle w:val="ListParagraph"/>
              <w:numPr>
                <w:ilvl w:val="0"/>
                <w:numId w:val="53"/>
              </w:numPr>
              <w:spacing w:before="60" w:after="0"/>
              <w:ind w:left="357" w:hanging="357"/>
              <w:contextualSpacing w:val="0"/>
              <w:rPr>
                <w:sz w:val="21"/>
                <w:szCs w:val="21"/>
              </w:rPr>
            </w:pPr>
            <w:r>
              <w:rPr>
                <w:sz w:val="21"/>
                <w:szCs w:val="21"/>
              </w:rPr>
              <w:t>Participate in internal DFAT consultations with other bilateral and regional programs</w:t>
            </w:r>
          </w:p>
          <w:p w14:paraId="18A2BC24" w14:textId="77777777" w:rsidR="00850943" w:rsidRPr="008C4949" w:rsidRDefault="00850943" w:rsidP="00686269">
            <w:pPr>
              <w:pStyle w:val="ListParagraph"/>
              <w:numPr>
                <w:ilvl w:val="0"/>
                <w:numId w:val="53"/>
              </w:numPr>
              <w:spacing w:before="60"/>
              <w:ind w:left="357" w:hanging="357"/>
              <w:contextualSpacing w:val="0"/>
              <w:rPr>
                <w:sz w:val="21"/>
                <w:szCs w:val="21"/>
              </w:rPr>
            </w:pPr>
            <w:r>
              <w:rPr>
                <w:sz w:val="21"/>
                <w:szCs w:val="21"/>
              </w:rPr>
              <w:t>Support DFAT representation in external forums and with the GOI, by preparing Talking Points and analysis</w:t>
            </w:r>
          </w:p>
        </w:tc>
        <w:tc>
          <w:tcPr>
            <w:tcW w:w="2126" w:type="dxa"/>
          </w:tcPr>
          <w:p w14:paraId="361870D8" w14:textId="417F0218" w:rsidR="00850943" w:rsidRPr="00F8651C" w:rsidRDefault="00F051FC" w:rsidP="008524C4">
            <w:pPr>
              <w:rPr>
                <w:noProof/>
                <w:sz w:val="14"/>
                <w:szCs w:val="14"/>
              </w:rPr>
            </w:pPr>
            <w:r w:rsidRPr="00367EEF">
              <w:rPr>
                <w:rFonts w:cstheme="minorHAnsi"/>
                <w:i/>
                <w:iCs/>
              </w:rPr>
              <w:t>P</w:t>
            </w:r>
            <w:r>
              <w:rPr>
                <w:rFonts w:cstheme="minorHAnsi"/>
                <w:i/>
                <w:iCs/>
              </w:rPr>
              <w:t>rimary responsibility</w:t>
            </w:r>
          </w:p>
        </w:tc>
      </w:tr>
    </w:tbl>
    <w:p w14:paraId="42462C6F" w14:textId="77777777" w:rsidR="00850943" w:rsidRDefault="00850943" w:rsidP="00850943">
      <w:pPr>
        <w:tabs>
          <w:tab w:val="left" w:pos="284"/>
        </w:tabs>
        <w:suppressAutoHyphens w:val="0"/>
        <w:spacing w:before="0" w:line="280" w:lineRule="exact"/>
        <w:ind w:left="284"/>
        <w:rPr>
          <w:rFonts w:eastAsia="Times New Roman" w:cs="Times New Roman"/>
          <w:b/>
          <w:bCs/>
          <w:sz w:val="21"/>
          <w:szCs w:val="21"/>
        </w:rPr>
      </w:pPr>
    </w:p>
    <w:p w14:paraId="12113210" w14:textId="05CECE4B" w:rsidR="004C435E" w:rsidRPr="004F78C2" w:rsidRDefault="00C43F1B" w:rsidP="00BA0B42">
      <w:pPr>
        <w:pStyle w:val="Heading2"/>
        <w:spacing w:before="0" w:line="360" w:lineRule="exact"/>
        <w:contextualSpacing w:val="0"/>
      </w:pPr>
      <w:bookmarkStart w:id="486" w:name="_Toc216270713"/>
      <w:bookmarkEnd w:id="484"/>
      <w:r w:rsidRPr="004F78C2">
        <w:lastRenderedPageBreak/>
        <w:t xml:space="preserve">Annex </w:t>
      </w:r>
      <w:r w:rsidR="001307B5">
        <w:t>3</w:t>
      </w:r>
      <w:r w:rsidRPr="004F78C2">
        <w:t xml:space="preserve"> – Monitoring and Evaluation </w:t>
      </w:r>
      <w:r w:rsidR="004F78C2" w:rsidRPr="004F78C2">
        <w:t>(MEL) Framework</w:t>
      </w:r>
      <w:bookmarkEnd w:id="486"/>
    </w:p>
    <w:p w14:paraId="4ABE21D4" w14:textId="53CAE93C" w:rsidR="004C435E" w:rsidRDefault="001467BB" w:rsidP="00B75ACC">
      <w:pPr>
        <w:tabs>
          <w:tab w:val="left" w:pos="284"/>
        </w:tabs>
        <w:suppressAutoHyphens w:val="0"/>
        <w:spacing w:before="0" w:after="120" w:line="276" w:lineRule="auto"/>
        <w:rPr>
          <w:rFonts w:eastAsia="Times New Roman" w:cs="Times New Roman"/>
          <w:b/>
          <w:bCs/>
          <w:sz w:val="21"/>
          <w:szCs w:val="21"/>
        </w:rPr>
      </w:pPr>
      <w:r>
        <w:rPr>
          <w:rFonts w:eastAsia="Times New Roman" w:cs="Times New Roman"/>
          <w:b/>
          <w:bCs/>
        </w:rPr>
        <w:t xml:space="preserve">Table 1. </w:t>
      </w:r>
      <w:r w:rsidR="007F0F29">
        <w:rPr>
          <w:rFonts w:eastAsia="Times New Roman" w:cs="Times New Roman"/>
          <w:b/>
          <w:bCs/>
        </w:rPr>
        <w:t>ACTIVITY AND PROJECT REPORTING</w:t>
      </w:r>
    </w:p>
    <w:tbl>
      <w:tblPr>
        <w:tblStyle w:val="TableGrid"/>
        <w:tblW w:w="15168" w:type="dxa"/>
        <w:tblInd w:w="-714" w:type="dxa"/>
        <w:tblLook w:val="04A0" w:firstRow="1" w:lastRow="0" w:firstColumn="1" w:lastColumn="0" w:noHBand="0" w:noVBand="1"/>
        <w:tblCaption w:val="Activity and Project Reporting"/>
        <w:tblDescription w:val="This table presents key evaluative questions used to assess the performance and impact of activities and projects within the KINETIK Partnership program. It outlines the methods for data collection, such as activity completion reports and partner financial reporting, and specifies program-specific indicators, including the number of women entrepreneurs provided with financial or business development services and the percentage of activities meeting quality standards. The table also details the reporting responsibilities, indicating which roles—such as activity/project managers, delivery partners, or the primary contractor—are accountable for each aspect of monitoring and evaluation.&#10;"/>
      </w:tblPr>
      <w:tblGrid>
        <w:gridCol w:w="3261"/>
        <w:gridCol w:w="3118"/>
        <w:gridCol w:w="3402"/>
        <w:gridCol w:w="2694"/>
        <w:gridCol w:w="2693"/>
      </w:tblGrid>
      <w:tr w:rsidR="00EB75AB" w14:paraId="2C802E2A" w14:textId="77777777" w:rsidTr="00686CCD">
        <w:tc>
          <w:tcPr>
            <w:tcW w:w="3261" w:type="dxa"/>
            <w:shd w:val="clear" w:color="auto" w:fill="CCECFF"/>
            <w:vAlign w:val="center"/>
          </w:tcPr>
          <w:p w14:paraId="1042878D" w14:textId="673AA1CA" w:rsidR="004F78C2" w:rsidRPr="00A204FC" w:rsidRDefault="00A204FC" w:rsidP="007F507F">
            <w:pPr>
              <w:tabs>
                <w:tab w:val="left" w:pos="284"/>
              </w:tabs>
              <w:suppressAutoHyphens w:val="0"/>
              <w:spacing w:before="60" w:line="240" w:lineRule="auto"/>
              <w:rPr>
                <w:rFonts w:eastAsia="Times New Roman" w:cs="Times New Roman"/>
                <w:b/>
                <w:bCs/>
                <w:i/>
                <w:iCs/>
              </w:rPr>
            </w:pPr>
            <w:r w:rsidRPr="00A204FC">
              <w:rPr>
                <w:rFonts w:eastAsia="Times New Roman" w:cs="Times New Roman"/>
                <w:b/>
                <w:bCs/>
                <w:i/>
                <w:iCs/>
              </w:rPr>
              <w:t>Key Evaluative Questions</w:t>
            </w:r>
          </w:p>
        </w:tc>
        <w:tc>
          <w:tcPr>
            <w:tcW w:w="3118" w:type="dxa"/>
            <w:shd w:val="clear" w:color="auto" w:fill="CCECFF"/>
            <w:vAlign w:val="center"/>
          </w:tcPr>
          <w:p w14:paraId="6356E817" w14:textId="247B68A4" w:rsidR="004F78C2" w:rsidRPr="00A204FC" w:rsidRDefault="00A204FC" w:rsidP="007F507F">
            <w:pPr>
              <w:tabs>
                <w:tab w:val="left" w:pos="284"/>
              </w:tabs>
              <w:suppressAutoHyphens w:val="0"/>
              <w:spacing w:before="60" w:line="240" w:lineRule="auto"/>
              <w:rPr>
                <w:rFonts w:eastAsia="Times New Roman" w:cs="Times New Roman"/>
                <w:b/>
                <w:bCs/>
                <w:i/>
                <w:iCs/>
              </w:rPr>
            </w:pPr>
            <w:r w:rsidRPr="00A204FC">
              <w:rPr>
                <w:rFonts w:eastAsia="Times New Roman" w:cs="Times New Roman"/>
                <w:b/>
                <w:bCs/>
                <w:i/>
                <w:iCs/>
              </w:rPr>
              <w:t>Data collection method</w:t>
            </w:r>
          </w:p>
        </w:tc>
        <w:tc>
          <w:tcPr>
            <w:tcW w:w="3402" w:type="dxa"/>
            <w:shd w:val="clear" w:color="auto" w:fill="CCECFF"/>
            <w:vAlign w:val="center"/>
          </w:tcPr>
          <w:p w14:paraId="18129938" w14:textId="57F4E5D6" w:rsidR="001307B5" w:rsidRPr="001307B5" w:rsidRDefault="00A204FC" w:rsidP="007F507F">
            <w:pPr>
              <w:tabs>
                <w:tab w:val="left" w:pos="284"/>
              </w:tabs>
              <w:suppressAutoHyphens w:val="0"/>
              <w:spacing w:before="60" w:line="240" w:lineRule="auto"/>
              <w:rPr>
                <w:rFonts w:eastAsia="Times New Roman" w:cs="Times New Roman"/>
                <w:b/>
                <w:bCs/>
                <w:i/>
                <w:iCs/>
              </w:rPr>
            </w:pPr>
            <w:r w:rsidRPr="001307B5">
              <w:rPr>
                <w:rFonts w:eastAsia="Times New Roman" w:cs="Times New Roman"/>
                <w:b/>
                <w:bCs/>
                <w:i/>
                <w:iCs/>
              </w:rPr>
              <w:t xml:space="preserve">Program-specific indicators </w:t>
            </w:r>
            <w:r w:rsidR="001307B5">
              <w:rPr>
                <w:rFonts w:eastAsia="Times New Roman" w:cs="Times New Roman"/>
                <w:b/>
                <w:bCs/>
                <w:i/>
                <w:iCs/>
              </w:rPr>
              <w:t>with r</w:t>
            </w:r>
            <w:r w:rsidR="001307B5" w:rsidRPr="001307B5">
              <w:rPr>
                <w:rFonts w:eastAsia="Times New Roman" w:cs="Times New Roman"/>
                <w:b/>
                <w:bCs/>
                <w:i/>
                <w:iCs/>
              </w:rPr>
              <w:t xml:space="preserve">elevant Tier 2 indicators marked with an </w:t>
            </w:r>
            <w:r w:rsidR="001307B5">
              <w:rPr>
                <w:rFonts w:eastAsia="Times New Roman" w:cs="Times New Roman"/>
                <w:b/>
                <w:bCs/>
                <w:i/>
                <w:iCs/>
              </w:rPr>
              <w:t>*</w:t>
            </w:r>
            <w:r w:rsidR="001307B5" w:rsidRPr="001307B5">
              <w:rPr>
                <w:rFonts w:eastAsia="Times New Roman" w:cs="Times New Roman"/>
                <w:b/>
                <w:bCs/>
                <w:i/>
                <w:iCs/>
              </w:rPr>
              <w:t>Asterix and in BOLD</w:t>
            </w:r>
          </w:p>
        </w:tc>
        <w:tc>
          <w:tcPr>
            <w:tcW w:w="2694" w:type="dxa"/>
            <w:shd w:val="clear" w:color="auto" w:fill="CCECFF"/>
            <w:vAlign w:val="center"/>
          </w:tcPr>
          <w:p w14:paraId="1C8CAB2C" w14:textId="181E795F" w:rsidR="004F78C2" w:rsidRPr="00A204FC" w:rsidRDefault="00A204FC" w:rsidP="007F507F">
            <w:pPr>
              <w:tabs>
                <w:tab w:val="left" w:pos="284"/>
              </w:tabs>
              <w:suppressAutoHyphens w:val="0"/>
              <w:spacing w:before="60" w:line="240" w:lineRule="auto"/>
              <w:rPr>
                <w:rFonts w:eastAsia="Times New Roman" w:cs="Times New Roman"/>
                <w:b/>
                <w:bCs/>
                <w:i/>
                <w:iCs/>
              </w:rPr>
            </w:pPr>
            <w:r w:rsidRPr="00A204FC">
              <w:rPr>
                <w:rFonts w:eastAsia="Times New Roman" w:cs="Times New Roman"/>
                <w:b/>
                <w:bCs/>
                <w:i/>
                <w:iCs/>
              </w:rPr>
              <w:t>Reporting</w:t>
            </w:r>
          </w:p>
        </w:tc>
        <w:tc>
          <w:tcPr>
            <w:tcW w:w="2693" w:type="dxa"/>
            <w:shd w:val="clear" w:color="auto" w:fill="CCECFF"/>
            <w:vAlign w:val="center"/>
          </w:tcPr>
          <w:p w14:paraId="5B8F88CE" w14:textId="6F81D231" w:rsidR="004F78C2" w:rsidRPr="00A204FC" w:rsidRDefault="00A204FC" w:rsidP="007F507F">
            <w:pPr>
              <w:tabs>
                <w:tab w:val="left" w:pos="284"/>
              </w:tabs>
              <w:suppressAutoHyphens w:val="0"/>
              <w:spacing w:before="60" w:line="240" w:lineRule="auto"/>
              <w:rPr>
                <w:rFonts w:eastAsia="Times New Roman" w:cs="Times New Roman"/>
                <w:b/>
                <w:bCs/>
                <w:i/>
                <w:iCs/>
              </w:rPr>
            </w:pPr>
            <w:r w:rsidRPr="00A204FC">
              <w:rPr>
                <w:rFonts w:eastAsia="Times New Roman" w:cs="Times New Roman"/>
                <w:b/>
                <w:bCs/>
                <w:i/>
                <w:iCs/>
              </w:rPr>
              <w:t>Responsibility</w:t>
            </w:r>
          </w:p>
        </w:tc>
      </w:tr>
      <w:tr w:rsidR="001307B5" w:rsidRPr="001307B5" w14:paraId="7F5AE4F0" w14:textId="77777777" w:rsidTr="00686CCD">
        <w:tc>
          <w:tcPr>
            <w:tcW w:w="3261" w:type="dxa"/>
          </w:tcPr>
          <w:p w14:paraId="4C77C73E" w14:textId="1600480F" w:rsidR="004F78C2" w:rsidRPr="00E03423" w:rsidRDefault="007A621A" w:rsidP="00A822EA">
            <w:pPr>
              <w:tabs>
                <w:tab w:val="left" w:pos="284"/>
              </w:tabs>
              <w:suppressAutoHyphens w:val="0"/>
              <w:spacing w:before="60"/>
              <w:rPr>
                <w:rFonts w:eastAsia="Times New Roman" w:cs="Times New Roman"/>
                <w:color w:val="595959" w:themeColor="text1" w:themeTint="A6"/>
              </w:rPr>
            </w:pPr>
            <w:r w:rsidRPr="00E03423">
              <w:rPr>
                <w:rFonts w:eastAsia="Times New Roman" w:cs="Times New Roman"/>
                <w:color w:val="595959" w:themeColor="text1" w:themeTint="A6"/>
              </w:rPr>
              <w:t>What Outputs (and Objectives) were delivered (the deliverables)?</w:t>
            </w:r>
          </w:p>
        </w:tc>
        <w:tc>
          <w:tcPr>
            <w:tcW w:w="3118" w:type="dxa"/>
          </w:tcPr>
          <w:p w14:paraId="2A236207" w14:textId="1A9165D8" w:rsidR="004F78C2" w:rsidRPr="00E03423" w:rsidRDefault="007A621A"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Activity Completion Reports</w:t>
            </w:r>
          </w:p>
        </w:tc>
        <w:tc>
          <w:tcPr>
            <w:tcW w:w="3402" w:type="dxa"/>
          </w:tcPr>
          <w:p w14:paraId="2A746B7B" w14:textId="0ABDE51A" w:rsidR="004F78C2" w:rsidRPr="00E03423" w:rsidRDefault="00A86594" w:rsidP="00A822EA">
            <w:pPr>
              <w:tabs>
                <w:tab w:val="left" w:pos="284"/>
              </w:tabs>
              <w:suppressAutoHyphens w:val="0"/>
              <w:spacing w:before="60"/>
              <w:rPr>
                <w:rFonts w:eastAsia="Times New Roman" w:cs="Times New Roman"/>
                <w:color w:val="595959" w:themeColor="text1" w:themeTint="A6"/>
              </w:rPr>
            </w:pPr>
            <w:r w:rsidRPr="00E03423">
              <w:rPr>
                <w:rFonts w:eastAsia="Times New Roman" w:cs="Times New Roman"/>
                <w:color w:val="595959" w:themeColor="text1" w:themeTint="A6"/>
              </w:rPr>
              <w:t>Listing and narrative for each by sector and domain</w:t>
            </w:r>
          </w:p>
        </w:tc>
        <w:tc>
          <w:tcPr>
            <w:tcW w:w="2694" w:type="dxa"/>
          </w:tcPr>
          <w:p w14:paraId="4F4C055B" w14:textId="77B6F6CE" w:rsidR="004F78C2" w:rsidRPr="00E03423" w:rsidRDefault="00A86594"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Activity/Project managers/</w:t>
            </w:r>
            <w:r w:rsidR="00F03E6C" w:rsidRPr="00E03423">
              <w:rPr>
                <w:rFonts w:eastAsia="Times New Roman" w:cs="Times New Roman"/>
                <w:color w:val="595959" w:themeColor="text1" w:themeTint="A6"/>
              </w:rPr>
              <w:t xml:space="preserve"> </w:t>
            </w:r>
            <w:r w:rsidRPr="00E03423">
              <w:rPr>
                <w:rFonts w:eastAsia="Times New Roman" w:cs="Times New Roman"/>
                <w:color w:val="595959" w:themeColor="text1" w:themeTint="A6"/>
              </w:rPr>
              <w:t>implementers</w:t>
            </w:r>
          </w:p>
        </w:tc>
        <w:tc>
          <w:tcPr>
            <w:tcW w:w="2693" w:type="dxa"/>
          </w:tcPr>
          <w:p w14:paraId="32764C53" w14:textId="7CEF23C6" w:rsidR="004F78C2" w:rsidRPr="00E03423" w:rsidRDefault="00A86594"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Activity/Project Managers</w:t>
            </w:r>
          </w:p>
        </w:tc>
      </w:tr>
      <w:tr w:rsidR="001307B5" w:rsidRPr="001307B5" w14:paraId="7CF22FAA" w14:textId="77777777" w:rsidTr="00686CCD">
        <w:tc>
          <w:tcPr>
            <w:tcW w:w="3261" w:type="dxa"/>
          </w:tcPr>
          <w:p w14:paraId="5D0DD4C1" w14:textId="1FEBEA0F" w:rsidR="009621A2" w:rsidRPr="00E03423" w:rsidRDefault="00FA6EBA"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What was the quality of the deliverables?</w:t>
            </w:r>
          </w:p>
        </w:tc>
        <w:tc>
          <w:tcPr>
            <w:tcW w:w="3118" w:type="dxa"/>
          </w:tcPr>
          <w:p w14:paraId="76A7DCD5" w14:textId="649C1117" w:rsidR="009621A2" w:rsidRPr="00E03423" w:rsidRDefault="009621A2"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Activity Completion Reports</w:t>
            </w:r>
          </w:p>
        </w:tc>
        <w:tc>
          <w:tcPr>
            <w:tcW w:w="3402" w:type="dxa"/>
          </w:tcPr>
          <w:p w14:paraId="20CFC6B9" w14:textId="2C245E81" w:rsidR="009621A2" w:rsidRPr="00E03423" w:rsidRDefault="00CC26DA" w:rsidP="00A822EA">
            <w:pPr>
              <w:tabs>
                <w:tab w:val="left" w:pos="284"/>
              </w:tabs>
              <w:suppressAutoHyphens w:val="0"/>
              <w:spacing w:before="60"/>
              <w:rPr>
                <w:rFonts w:eastAsia="Times New Roman" w:cs="Times New Roman"/>
                <w:color w:val="595959" w:themeColor="text1" w:themeTint="A6"/>
              </w:rPr>
            </w:pPr>
            <w:r w:rsidRPr="00E03423">
              <w:rPr>
                <w:rFonts w:eastAsia="Times New Roman" w:cs="Times New Roman"/>
                <w:color w:val="595959" w:themeColor="text1" w:themeTint="A6"/>
              </w:rPr>
              <w:t>% Activities and Projects meet 80% quality score (adapting DFAT QaE rating system) at completion</w:t>
            </w:r>
          </w:p>
        </w:tc>
        <w:tc>
          <w:tcPr>
            <w:tcW w:w="2694" w:type="dxa"/>
          </w:tcPr>
          <w:p w14:paraId="5E077E0C" w14:textId="41272A62" w:rsidR="009621A2" w:rsidRPr="00E03423" w:rsidRDefault="009621A2"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Activity/Project managers/</w:t>
            </w:r>
            <w:r w:rsidR="00F03E6C" w:rsidRPr="00E03423">
              <w:rPr>
                <w:rFonts w:eastAsia="Times New Roman" w:cs="Times New Roman"/>
                <w:color w:val="595959" w:themeColor="text1" w:themeTint="A6"/>
              </w:rPr>
              <w:t xml:space="preserve"> </w:t>
            </w:r>
            <w:r w:rsidRPr="00E03423">
              <w:rPr>
                <w:rFonts w:eastAsia="Times New Roman" w:cs="Times New Roman"/>
                <w:color w:val="595959" w:themeColor="text1" w:themeTint="A6"/>
              </w:rPr>
              <w:t>implementers</w:t>
            </w:r>
          </w:p>
        </w:tc>
        <w:tc>
          <w:tcPr>
            <w:tcW w:w="2693" w:type="dxa"/>
          </w:tcPr>
          <w:p w14:paraId="607B8034" w14:textId="189B63AB" w:rsidR="009621A2" w:rsidRPr="00E03423" w:rsidRDefault="009621A2"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Activity/Project Managers</w:t>
            </w:r>
          </w:p>
        </w:tc>
      </w:tr>
      <w:tr w:rsidR="001307B5" w:rsidRPr="001307B5" w14:paraId="6B997542" w14:textId="77777777" w:rsidTr="00686CCD">
        <w:tc>
          <w:tcPr>
            <w:tcW w:w="3261" w:type="dxa"/>
          </w:tcPr>
          <w:p w14:paraId="721B98B9" w14:textId="0C487B6A" w:rsidR="009621A2" w:rsidRPr="00E03423" w:rsidRDefault="00FA6EBA"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Were the inputs delivered on time and on budget?</w:t>
            </w:r>
          </w:p>
        </w:tc>
        <w:tc>
          <w:tcPr>
            <w:tcW w:w="3118" w:type="dxa"/>
          </w:tcPr>
          <w:p w14:paraId="27BED6BD" w14:textId="63597164" w:rsidR="009621A2" w:rsidRPr="00E03423" w:rsidRDefault="00F94DF4"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Partner financial reporting and progress reports</w:t>
            </w:r>
          </w:p>
        </w:tc>
        <w:tc>
          <w:tcPr>
            <w:tcW w:w="3402" w:type="dxa"/>
          </w:tcPr>
          <w:p w14:paraId="2470D485" w14:textId="77777777" w:rsidR="00CF7595" w:rsidRPr="00E03423" w:rsidRDefault="00CC26DA" w:rsidP="00A822EA">
            <w:pPr>
              <w:tabs>
                <w:tab w:val="left" w:pos="284"/>
              </w:tabs>
              <w:suppressAutoHyphens w:val="0"/>
              <w:spacing w:before="60" w:after="0"/>
              <w:rPr>
                <w:rFonts w:eastAsia="Times New Roman" w:cs="Times New Roman"/>
                <w:color w:val="595959" w:themeColor="text1" w:themeTint="A6"/>
              </w:rPr>
            </w:pPr>
            <w:r w:rsidRPr="00E03423">
              <w:rPr>
                <w:rFonts w:eastAsia="Times New Roman" w:cs="Times New Roman"/>
                <w:color w:val="595959" w:themeColor="text1" w:themeTint="A6"/>
              </w:rPr>
              <w:t xml:space="preserve">% budget against </w:t>
            </w:r>
            <w:proofErr w:type="gramStart"/>
            <w:r w:rsidRPr="00E03423">
              <w:rPr>
                <w:rFonts w:eastAsia="Times New Roman" w:cs="Times New Roman"/>
                <w:color w:val="595959" w:themeColor="text1" w:themeTint="A6"/>
              </w:rPr>
              <w:t>actual;</w:t>
            </w:r>
            <w:proofErr w:type="gramEnd"/>
            <w:r w:rsidRPr="00E03423">
              <w:rPr>
                <w:rFonts w:eastAsia="Times New Roman" w:cs="Times New Roman"/>
                <w:color w:val="595959" w:themeColor="text1" w:themeTint="A6"/>
              </w:rPr>
              <w:t xml:space="preserve"> </w:t>
            </w:r>
          </w:p>
          <w:p w14:paraId="5F40C8EE" w14:textId="63252E5F" w:rsidR="009621A2" w:rsidRPr="00E03423" w:rsidRDefault="00CC26DA" w:rsidP="00A822EA">
            <w:pPr>
              <w:tabs>
                <w:tab w:val="left" w:pos="284"/>
              </w:tabs>
              <w:suppressAutoHyphens w:val="0"/>
              <w:spacing w:before="0"/>
              <w:rPr>
                <w:rFonts w:eastAsia="Times New Roman" w:cs="Times New Roman"/>
                <w:color w:val="595959" w:themeColor="text1" w:themeTint="A6"/>
              </w:rPr>
            </w:pPr>
            <w:r w:rsidRPr="00E03423">
              <w:rPr>
                <w:rFonts w:eastAsia="Times New Roman" w:cs="Times New Roman"/>
                <w:color w:val="595959" w:themeColor="text1" w:themeTint="A6"/>
              </w:rPr>
              <w:t>% Milestones completed (Financial and Milestone reports)</w:t>
            </w:r>
          </w:p>
        </w:tc>
        <w:tc>
          <w:tcPr>
            <w:tcW w:w="2694" w:type="dxa"/>
          </w:tcPr>
          <w:p w14:paraId="53693C1C" w14:textId="12A3DFAB" w:rsidR="009621A2" w:rsidRPr="00E03423" w:rsidRDefault="009621A2"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Delivery Partner 6-monthly reporting</w:t>
            </w:r>
          </w:p>
        </w:tc>
        <w:tc>
          <w:tcPr>
            <w:tcW w:w="2693" w:type="dxa"/>
          </w:tcPr>
          <w:p w14:paraId="0733DC5C" w14:textId="7F4E4302" w:rsidR="009621A2" w:rsidRPr="00E03423" w:rsidRDefault="009621A2"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Delivery Partner</w:t>
            </w:r>
          </w:p>
        </w:tc>
      </w:tr>
      <w:tr w:rsidR="001307B5" w:rsidRPr="001307B5" w14:paraId="78D427C3" w14:textId="77777777" w:rsidTr="00686CCD">
        <w:tc>
          <w:tcPr>
            <w:tcW w:w="3261" w:type="dxa"/>
          </w:tcPr>
          <w:p w14:paraId="79345BE2" w14:textId="0C7B34C5" w:rsidR="009621A2" w:rsidRPr="00E03423" w:rsidRDefault="00FA6EBA"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What was the participation of men and women, people with disabilities?</w:t>
            </w:r>
          </w:p>
        </w:tc>
        <w:tc>
          <w:tcPr>
            <w:tcW w:w="3118" w:type="dxa"/>
          </w:tcPr>
          <w:p w14:paraId="68B5F77E" w14:textId="7BEA3469" w:rsidR="009621A2" w:rsidRPr="00E03423" w:rsidRDefault="00F94DF4"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Partner financial reporting and progress reports</w:t>
            </w:r>
          </w:p>
        </w:tc>
        <w:tc>
          <w:tcPr>
            <w:tcW w:w="3402" w:type="dxa"/>
          </w:tcPr>
          <w:p w14:paraId="011850EB" w14:textId="6ED002B2" w:rsidR="001307B5" w:rsidRPr="00E03423" w:rsidRDefault="00CC26DA" w:rsidP="00A822EA">
            <w:pPr>
              <w:tabs>
                <w:tab w:val="left" w:pos="284"/>
              </w:tabs>
              <w:suppressAutoHyphens w:val="0"/>
              <w:spacing w:before="60"/>
              <w:rPr>
                <w:rFonts w:eastAsia="Times New Roman" w:cs="Times New Roman"/>
                <w:color w:val="595959" w:themeColor="text1" w:themeTint="A6"/>
              </w:rPr>
            </w:pPr>
            <w:r w:rsidRPr="00E03423">
              <w:rPr>
                <w:rFonts w:eastAsia="Times New Roman" w:cs="Times New Roman"/>
                <w:color w:val="595959" w:themeColor="text1" w:themeTint="A6"/>
              </w:rPr>
              <w:t xml:space="preserve"># men and women </w:t>
            </w:r>
            <w:proofErr w:type="gramStart"/>
            <w:r w:rsidRPr="00E03423">
              <w:rPr>
                <w:rFonts w:eastAsia="Times New Roman" w:cs="Times New Roman"/>
                <w:color w:val="595959" w:themeColor="text1" w:themeTint="A6"/>
              </w:rPr>
              <w:t xml:space="preserve">participants; </w:t>
            </w:r>
            <w:r w:rsidR="00147E55">
              <w:rPr>
                <w:rFonts w:eastAsia="Times New Roman" w:cs="Times New Roman"/>
                <w:color w:val="595959" w:themeColor="text1" w:themeTint="A6"/>
              </w:rPr>
              <w:t xml:space="preserve">  </w:t>
            </w:r>
            <w:proofErr w:type="gramEnd"/>
            <w:r w:rsidR="00147E55">
              <w:rPr>
                <w:rFonts w:eastAsia="Times New Roman" w:cs="Times New Roman"/>
                <w:color w:val="595959" w:themeColor="text1" w:themeTint="A6"/>
              </w:rPr>
              <w:t xml:space="preserve">   </w:t>
            </w:r>
            <w:r w:rsidRPr="00E03423">
              <w:rPr>
                <w:rFonts w:eastAsia="Times New Roman" w:cs="Times New Roman"/>
                <w:color w:val="595959" w:themeColor="text1" w:themeTint="A6"/>
              </w:rPr>
              <w:t xml:space="preserve"># PLWDs; by Activity/Project and by </w:t>
            </w:r>
            <w:proofErr w:type="gramStart"/>
            <w:r w:rsidRPr="00E03423">
              <w:rPr>
                <w:rFonts w:eastAsia="Times New Roman" w:cs="Times New Roman"/>
                <w:color w:val="595959" w:themeColor="text1" w:themeTint="A6"/>
              </w:rPr>
              <w:t>Sector;</w:t>
            </w:r>
            <w:proofErr w:type="gramEnd"/>
            <w:r w:rsidRPr="00E03423">
              <w:rPr>
                <w:rFonts w:eastAsia="Times New Roman" w:cs="Times New Roman"/>
                <w:color w:val="595959" w:themeColor="text1" w:themeTint="A6"/>
              </w:rPr>
              <w:t xml:space="preserve"> </w:t>
            </w:r>
          </w:p>
          <w:p w14:paraId="27E4897F" w14:textId="1CE4F0F5" w:rsidR="009621A2" w:rsidRPr="00E03423" w:rsidRDefault="001307B5" w:rsidP="00A822EA">
            <w:pPr>
              <w:tabs>
                <w:tab w:val="left" w:pos="284"/>
              </w:tabs>
              <w:suppressAutoHyphens w:val="0"/>
              <w:rPr>
                <w:rFonts w:eastAsia="Times New Roman" w:cs="Times New Roman"/>
                <w:b/>
                <w:bCs/>
                <w:color w:val="595959" w:themeColor="text1" w:themeTint="A6"/>
              </w:rPr>
            </w:pPr>
            <w:r w:rsidRPr="00E03423">
              <w:rPr>
                <w:rFonts w:eastAsia="Times New Roman" w:cs="Times New Roman"/>
                <w:b/>
                <w:bCs/>
                <w:color w:val="595959" w:themeColor="text1" w:themeTint="A6"/>
              </w:rPr>
              <w:t>*</w:t>
            </w:r>
            <w:r w:rsidR="00CC26DA" w:rsidRPr="00E03423">
              <w:rPr>
                <w:rFonts w:eastAsia="Times New Roman" w:cs="Times New Roman"/>
                <w:b/>
                <w:bCs/>
                <w:color w:val="595959" w:themeColor="text1" w:themeTint="A6"/>
              </w:rPr>
              <w:t>Number of women entrepreneurs provided with financial and/or business development services</w:t>
            </w:r>
          </w:p>
        </w:tc>
        <w:tc>
          <w:tcPr>
            <w:tcW w:w="2694" w:type="dxa"/>
          </w:tcPr>
          <w:p w14:paraId="057B961F" w14:textId="4ED332C3" w:rsidR="009621A2" w:rsidRPr="00E03423" w:rsidRDefault="009621A2"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Delivery Partner 6-monthly reporting</w:t>
            </w:r>
          </w:p>
        </w:tc>
        <w:tc>
          <w:tcPr>
            <w:tcW w:w="2693" w:type="dxa"/>
          </w:tcPr>
          <w:p w14:paraId="713AD396" w14:textId="07A2D96A" w:rsidR="009621A2" w:rsidRPr="00E03423" w:rsidRDefault="009621A2"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Delivery Partner</w:t>
            </w:r>
          </w:p>
        </w:tc>
      </w:tr>
      <w:tr w:rsidR="001307B5" w:rsidRPr="001307B5" w14:paraId="7872EA7E" w14:textId="77777777" w:rsidTr="00686CCD">
        <w:tc>
          <w:tcPr>
            <w:tcW w:w="3261" w:type="dxa"/>
          </w:tcPr>
          <w:p w14:paraId="2F9DD5BF" w14:textId="67215639" w:rsidR="009621A2" w:rsidRPr="00E03423" w:rsidRDefault="00FA6EBA"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What was the cost?</w:t>
            </w:r>
          </w:p>
        </w:tc>
        <w:tc>
          <w:tcPr>
            <w:tcW w:w="3118" w:type="dxa"/>
          </w:tcPr>
          <w:p w14:paraId="551DD308" w14:textId="3D0B363D" w:rsidR="009621A2" w:rsidRPr="00E03423" w:rsidRDefault="00F94DF4" w:rsidP="00A822EA">
            <w:pPr>
              <w:tabs>
                <w:tab w:val="left" w:pos="284"/>
              </w:tabs>
              <w:suppressAutoHyphens w:val="0"/>
              <w:spacing w:before="60"/>
              <w:rPr>
                <w:rFonts w:eastAsia="Times New Roman" w:cs="Times New Roman"/>
                <w:color w:val="595959" w:themeColor="text1" w:themeTint="A6"/>
              </w:rPr>
            </w:pPr>
            <w:r w:rsidRPr="00E03423">
              <w:rPr>
                <w:rFonts w:eastAsia="Times New Roman" w:cs="Times New Roman"/>
                <w:color w:val="595959" w:themeColor="text1" w:themeTint="A6"/>
              </w:rPr>
              <w:t>Partner financial reporting and progress reports</w:t>
            </w:r>
          </w:p>
        </w:tc>
        <w:tc>
          <w:tcPr>
            <w:tcW w:w="3402" w:type="dxa"/>
          </w:tcPr>
          <w:p w14:paraId="7435C128" w14:textId="25102D3C" w:rsidR="009621A2" w:rsidRPr="00E03423" w:rsidRDefault="00CC26DA"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Actual vs Budget; by year</w:t>
            </w:r>
          </w:p>
        </w:tc>
        <w:tc>
          <w:tcPr>
            <w:tcW w:w="2694" w:type="dxa"/>
          </w:tcPr>
          <w:p w14:paraId="4D4000E9" w14:textId="174F3736" w:rsidR="009621A2" w:rsidRPr="00E03423" w:rsidRDefault="009621A2"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Delivery Partner 6-monthly reporting</w:t>
            </w:r>
          </w:p>
        </w:tc>
        <w:tc>
          <w:tcPr>
            <w:tcW w:w="2693" w:type="dxa"/>
          </w:tcPr>
          <w:p w14:paraId="2B6FBB58" w14:textId="0D7B776D" w:rsidR="009621A2" w:rsidRPr="00E03423" w:rsidRDefault="009621A2"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Delivery Partner</w:t>
            </w:r>
          </w:p>
        </w:tc>
      </w:tr>
      <w:tr w:rsidR="001307B5" w:rsidRPr="001307B5" w14:paraId="2DDA7CF2" w14:textId="77777777" w:rsidTr="00686CCD">
        <w:tc>
          <w:tcPr>
            <w:tcW w:w="3261" w:type="dxa"/>
          </w:tcPr>
          <w:p w14:paraId="46324E88" w14:textId="1E2563A7" w:rsidR="009621A2" w:rsidRPr="00E03423" w:rsidRDefault="00C861DA" w:rsidP="00A822EA">
            <w:pPr>
              <w:tabs>
                <w:tab w:val="left" w:pos="284"/>
              </w:tabs>
              <w:suppressAutoHyphens w:val="0"/>
              <w:spacing w:before="60"/>
              <w:rPr>
                <w:rFonts w:eastAsia="Times New Roman" w:cs="Times New Roman"/>
                <w:color w:val="595959" w:themeColor="text1" w:themeTint="A6"/>
              </w:rPr>
            </w:pPr>
            <w:r w:rsidRPr="00E03423">
              <w:rPr>
                <w:rFonts w:eastAsia="Times New Roman" w:cs="Times New Roman"/>
                <w:color w:val="595959" w:themeColor="text1" w:themeTint="A6"/>
              </w:rPr>
              <w:t>To which program-wide Activities and Outputs did the deliverable contribute?</w:t>
            </w:r>
          </w:p>
        </w:tc>
        <w:tc>
          <w:tcPr>
            <w:tcW w:w="3118" w:type="dxa"/>
          </w:tcPr>
          <w:p w14:paraId="12FB8D5A" w14:textId="6EB403A4" w:rsidR="009621A2" w:rsidRPr="00E03423" w:rsidRDefault="00F94DF4"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MERL MIS data coding</w:t>
            </w:r>
          </w:p>
        </w:tc>
        <w:tc>
          <w:tcPr>
            <w:tcW w:w="3402" w:type="dxa"/>
          </w:tcPr>
          <w:p w14:paraId="576A7648" w14:textId="0897464E" w:rsidR="009621A2" w:rsidRPr="00E03423" w:rsidRDefault="008E7A37"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MIS data report of Activity and Project against O, IOs and EOPOs</w:t>
            </w:r>
          </w:p>
        </w:tc>
        <w:tc>
          <w:tcPr>
            <w:tcW w:w="2694" w:type="dxa"/>
          </w:tcPr>
          <w:p w14:paraId="2A489807" w14:textId="5D3DF5B7" w:rsidR="009621A2" w:rsidRPr="00E03423" w:rsidRDefault="009621A2"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Primary Contractor 6-monthly reporting</w:t>
            </w:r>
          </w:p>
        </w:tc>
        <w:tc>
          <w:tcPr>
            <w:tcW w:w="2693" w:type="dxa"/>
          </w:tcPr>
          <w:p w14:paraId="3DFCFF4A" w14:textId="1E49A1BE" w:rsidR="009621A2" w:rsidRPr="00E03423" w:rsidRDefault="009621A2"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Primary Contractor</w:t>
            </w:r>
          </w:p>
        </w:tc>
      </w:tr>
      <w:tr w:rsidR="001307B5" w:rsidRPr="001307B5" w14:paraId="0481D7B4" w14:textId="77777777" w:rsidTr="00686CCD">
        <w:tc>
          <w:tcPr>
            <w:tcW w:w="3261" w:type="dxa"/>
          </w:tcPr>
          <w:p w14:paraId="40AAAD5C" w14:textId="10BF8386" w:rsidR="009621A2" w:rsidRPr="00E03423" w:rsidRDefault="00C861DA"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What was the utilisation and impact of the Activity/Project?</w:t>
            </w:r>
          </w:p>
        </w:tc>
        <w:tc>
          <w:tcPr>
            <w:tcW w:w="3118" w:type="dxa"/>
          </w:tcPr>
          <w:p w14:paraId="6EC98241" w14:textId="2634AD5A" w:rsidR="009621A2" w:rsidRPr="00E03423" w:rsidRDefault="00F94DF4"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Selected case studies (by DP) and thematic evaluations (commissioned by PC)</w:t>
            </w:r>
          </w:p>
        </w:tc>
        <w:tc>
          <w:tcPr>
            <w:tcW w:w="3402" w:type="dxa"/>
          </w:tcPr>
          <w:p w14:paraId="4396DDAA" w14:textId="2E435426" w:rsidR="009621A2" w:rsidRPr="00E03423" w:rsidRDefault="008E7A37" w:rsidP="00A822EA">
            <w:pPr>
              <w:tabs>
                <w:tab w:val="left" w:pos="284"/>
              </w:tabs>
              <w:suppressAutoHyphens w:val="0"/>
              <w:spacing w:before="60"/>
              <w:rPr>
                <w:rFonts w:eastAsia="Times New Roman" w:cs="Times New Roman"/>
                <w:color w:val="595959" w:themeColor="text1" w:themeTint="A6"/>
              </w:rPr>
            </w:pPr>
            <w:r w:rsidRPr="00E03423">
              <w:rPr>
                <w:rFonts w:eastAsia="Times New Roman" w:cs="Times New Roman"/>
                <w:color w:val="595959" w:themeColor="text1" w:themeTint="A6"/>
              </w:rPr>
              <w:t>% Activities and Projects that have significant benefit (outcome harvesting reports); examples and case studies</w:t>
            </w:r>
          </w:p>
        </w:tc>
        <w:tc>
          <w:tcPr>
            <w:tcW w:w="2694" w:type="dxa"/>
          </w:tcPr>
          <w:p w14:paraId="0DC2ABE3" w14:textId="5C957579" w:rsidR="009621A2" w:rsidRPr="00E03423" w:rsidRDefault="009621A2"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Delivery Partner 6-monthly reporting</w:t>
            </w:r>
          </w:p>
        </w:tc>
        <w:tc>
          <w:tcPr>
            <w:tcW w:w="2693" w:type="dxa"/>
          </w:tcPr>
          <w:p w14:paraId="0048D0E0" w14:textId="15C24330" w:rsidR="009621A2" w:rsidRPr="00E03423" w:rsidRDefault="009621A2" w:rsidP="00A822EA">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Delivery Partners/Primary Contractor</w:t>
            </w:r>
          </w:p>
        </w:tc>
      </w:tr>
    </w:tbl>
    <w:p w14:paraId="050CBF2E" w14:textId="5B4D6AF8" w:rsidR="007F0F29" w:rsidRPr="00E03423" w:rsidRDefault="000B5AD0" w:rsidP="00B75ACC">
      <w:pPr>
        <w:tabs>
          <w:tab w:val="left" w:pos="284"/>
        </w:tabs>
        <w:suppressAutoHyphens w:val="0"/>
        <w:spacing w:before="0" w:after="120" w:line="276" w:lineRule="auto"/>
        <w:rPr>
          <w:color w:val="595959" w:themeColor="text1" w:themeTint="A6"/>
        </w:rPr>
      </w:pPr>
      <w:r w:rsidRPr="00E03423">
        <w:rPr>
          <w:color w:val="595959" w:themeColor="text1" w:themeTint="A6"/>
        </w:rPr>
        <w:br w:type="page"/>
      </w:r>
      <w:r w:rsidR="001467BB" w:rsidRPr="00E03423">
        <w:rPr>
          <w:rFonts w:eastAsia="Times New Roman" w:cs="Times New Roman"/>
          <w:b/>
          <w:bCs/>
          <w:color w:val="595959" w:themeColor="text1" w:themeTint="A6"/>
        </w:rPr>
        <w:lastRenderedPageBreak/>
        <w:t xml:space="preserve">Table 2. </w:t>
      </w:r>
      <w:r w:rsidR="007F0F29" w:rsidRPr="00E03423">
        <w:rPr>
          <w:rFonts w:eastAsia="Times New Roman" w:cs="Times New Roman"/>
          <w:b/>
          <w:bCs/>
          <w:color w:val="595959" w:themeColor="text1" w:themeTint="A6"/>
        </w:rPr>
        <w:t>PARTNER-</w:t>
      </w:r>
      <w:r w:rsidR="007F0F29" w:rsidRPr="00B75ACC">
        <w:rPr>
          <w:rFonts w:eastAsia="Times New Roman" w:cs="Times New Roman"/>
          <w:b/>
          <w:bCs/>
        </w:rPr>
        <w:t>BASED</w:t>
      </w:r>
      <w:r w:rsidR="007F0F29" w:rsidRPr="00E03423">
        <w:rPr>
          <w:rFonts w:eastAsia="Times New Roman" w:cs="Times New Roman"/>
          <w:b/>
          <w:bCs/>
          <w:color w:val="595959" w:themeColor="text1" w:themeTint="A6"/>
        </w:rPr>
        <w:t xml:space="preserve"> OUTCOMES AND PERFORMANCE</w:t>
      </w:r>
    </w:p>
    <w:tbl>
      <w:tblPr>
        <w:tblStyle w:val="TableGrid"/>
        <w:tblW w:w="15168" w:type="dxa"/>
        <w:tblInd w:w="-714" w:type="dxa"/>
        <w:tblLook w:val="04A0" w:firstRow="1" w:lastRow="0" w:firstColumn="1" w:lastColumn="0" w:noHBand="0" w:noVBand="1"/>
        <w:tblCaption w:val="Partnership-based outcomes and performance"/>
        <w:tblDescription w:val="This table outlines the partner-based outcomes and performance indicators for the KINETIK Partnership program. It lists key evaluative questions such as the extent to which Government of Indonesia (GOI) agencies have introduced and learned from innovation, changes in private sector participation and confidence, the involvement of communities (especially women and people with disabilities) across the infrastructure lifecycle, the attraction of high-quality finance from multiple sources with support from multilateral development banks (MDBs), and the stimulation of policy and regulatory reform by stakeholder coalitions. For each question, the table specifies the data collection method (e.g., rapid assessments, surveys, longitudinal studies, and reporting of loan data), relevant indicators (such as the number of market actors supported, ODA funding to women’s organizations, and examples of improved policies), and the reporting frequency and responsible parties.&#10;"/>
      </w:tblPr>
      <w:tblGrid>
        <w:gridCol w:w="3403"/>
        <w:gridCol w:w="2976"/>
        <w:gridCol w:w="3261"/>
        <w:gridCol w:w="2693"/>
        <w:gridCol w:w="2835"/>
      </w:tblGrid>
      <w:tr w:rsidR="001307B5" w:rsidRPr="001307B5" w14:paraId="11978939" w14:textId="77777777" w:rsidTr="00686CCD">
        <w:tc>
          <w:tcPr>
            <w:tcW w:w="3403" w:type="dxa"/>
            <w:shd w:val="clear" w:color="auto" w:fill="CCECFF"/>
            <w:vAlign w:val="center"/>
          </w:tcPr>
          <w:p w14:paraId="420F836F" w14:textId="4B896231" w:rsidR="00B20852" w:rsidRPr="00E03423" w:rsidRDefault="00B20852" w:rsidP="00B20852">
            <w:pPr>
              <w:tabs>
                <w:tab w:val="left" w:pos="284"/>
              </w:tabs>
              <w:suppressAutoHyphens w:val="0"/>
              <w:spacing w:before="0" w:line="280" w:lineRule="exact"/>
              <w:rPr>
                <w:rFonts w:eastAsia="Times New Roman" w:cs="Times New Roman"/>
                <w:color w:val="595959" w:themeColor="text1" w:themeTint="A6"/>
              </w:rPr>
            </w:pPr>
            <w:r w:rsidRPr="00E03423">
              <w:rPr>
                <w:rFonts w:eastAsia="Times New Roman" w:cs="Times New Roman"/>
                <w:b/>
                <w:bCs/>
                <w:i/>
                <w:iCs/>
                <w:color w:val="595959" w:themeColor="text1" w:themeTint="A6"/>
              </w:rPr>
              <w:t>Key Evaluative Questions</w:t>
            </w:r>
          </w:p>
        </w:tc>
        <w:tc>
          <w:tcPr>
            <w:tcW w:w="2976" w:type="dxa"/>
            <w:shd w:val="clear" w:color="auto" w:fill="CCECFF"/>
            <w:vAlign w:val="center"/>
          </w:tcPr>
          <w:p w14:paraId="68321CC0" w14:textId="7088D3BB" w:rsidR="00B20852" w:rsidRPr="00E03423" w:rsidRDefault="00B20852" w:rsidP="00B20852">
            <w:pPr>
              <w:tabs>
                <w:tab w:val="left" w:pos="284"/>
              </w:tabs>
              <w:suppressAutoHyphens w:val="0"/>
              <w:spacing w:before="0" w:line="280" w:lineRule="exact"/>
              <w:rPr>
                <w:rFonts w:eastAsia="Times New Roman" w:cs="Times New Roman"/>
                <w:color w:val="595959" w:themeColor="text1" w:themeTint="A6"/>
              </w:rPr>
            </w:pPr>
            <w:r w:rsidRPr="00E03423">
              <w:rPr>
                <w:rFonts w:eastAsia="Times New Roman" w:cs="Times New Roman"/>
                <w:b/>
                <w:bCs/>
                <w:i/>
                <w:iCs/>
                <w:color w:val="595959" w:themeColor="text1" w:themeTint="A6"/>
              </w:rPr>
              <w:t>Data collection method</w:t>
            </w:r>
          </w:p>
        </w:tc>
        <w:tc>
          <w:tcPr>
            <w:tcW w:w="3261" w:type="dxa"/>
            <w:shd w:val="clear" w:color="auto" w:fill="CCECFF"/>
            <w:vAlign w:val="center"/>
          </w:tcPr>
          <w:p w14:paraId="6585F360" w14:textId="4C2F9648" w:rsidR="00B20852" w:rsidRPr="00E03423" w:rsidRDefault="00B20852" w:rsidP="00FF0062">
            <w:pPr>
              <w:tabs>
                <w:tab w:val="left" w:pos="284"/>
              </w:tabs>
              <w:suppressAutoHyphens w:val="0"/>
              <w:spacing w:before="60" w:line="240" w:lineRule="auto"/>
              <w:rPr>
                <w:rFonts w:eastAsia="Times New Roman" w:cs="Times New Roman"/>
                <w:color w:val="595959" w:themeColor="text1" w:themeTint="A6"/>
              </w:rPr>
            </w:pPr>
            <w:r w:rsidRPr="00E03423">
              <w:rPr>
                <w:rFonts w:eastAsia="Times New Roman" w:cs="Times New Roman"/>
                <w:b/>
                <w:bCs/>
                <w:i/>
                <w:iCs/>
                <w:color w:val="595959" w:themeColor="text1" w:themeTint="A6"/>
              </w:rPr>
              <w:t>Relevant Tier 2 indicators in Blue; Program-specific indicators in Red</w:t>
            </w:r>
          </w:p>
        </w:tc>
        <w:tc>
          <w:tcPr>
            <w:tcW w:w="2693" w:type="dxa"/>
            <w:shd w:val="clear" w:color="auto" w:fill="CCECFF"/>
            <w:vAlign w:val="center"/>
          </w:tcPr>
          <w:p w14:paraId="5ED68CDB" w14:textId="58A530FB" w:rsidR="00B20852" w:rsidRPr="00E03423" w:rsidRDefault="00B20852" w:rsidP="00B20852">
            <w:pPr>
              <w:tabs>
                <w:tab w:val="left" w:pos="284"/>
              </w:tabs>
              <w:suppressAutoHyphens w:val="0"/>
              <w:spacing w:before="0" w:line="280" w:lineRule="exact"/>
              <w:rPr>
                <w:rFonts w:eastAsia="Times New Roman" w:cs="Times New Roman"/>
                <w:color w:val="595959" w:themeColor="text1" w:themeTint="A6"/>
              </w:rPr>
            </w:pPr>
            <w:r w:rsidRPr="00E03423">
              <w:rPr>
                <w:rFonts w:eastAsia="Times New Roman" w:cs="Times New Roman"/>
                <w:b/>
                <w:bCs/>
                <w:i/>
                <w:iCs/>
                <w:color w:val="595959" w:themeColor="text1" w:themeTint="A6"/>
              </w:rPr>
              <w:t>Reporting</w:t>
            </w:r>
          </w:p>
        </w:tc>
        <w:tc>
          <w:tcPr>
            <w:tcW w:w="2835" w:type="dxa"/>
            <w:shd w:val="clear" w:color="auto" w:fill="CCECFF"/>
            <w:vAlign w:val="center"/>
          </w:tcPr>
          <w:p w14:paraId="67E6855F" w14:textId="5454EB71" w:rsidR="00B20852" w:rsidRPr="00E03423" w:rsidRDefault="00B20852" w:rsidP="00B20852">
            <w:pPr>
              <w:tabs>
                <w:tab w:val="left" w:pos="284"/>
              </w:tabs>
              <w:suppressAutoHyphens w:val="0"/>
              <w:spacing w:before="0" w:line="280" w:lineRule="exact"/>
              <w:rPr>
                <w:rFonts w:eastAsia="Times New Roman" w:cs="Times New Roman"/>
                <w:color w:val="595959" w:themeColor="text1" w:themeTint="A6"/>
              </w:rPr>
            </w:pPr>
            <w:r w:rsidRPr="00E03423">
              <w:rPr>
                <w:rFonts w:eastAsia="Times New Roman" w:cs="Times New Roman"/>
                <w:b/>
                <w:bCs/>
                <w:i/>
                <w:iCs/>
                <w:color w:val="595959" w:themeColor="text1" w:themeTint="A6"/>
              </w:rPr>
              <w:t>Responsibility</w:t>
            </w:r>
          </w:p>
        </w:tc>
      </w:tr>
      <w:tr w:rsidR="001307B5" w:rsidRPr="001307B5" w14:paraId="63C7F77C" w14:textId="77777777" w:rsidTr="00686CCD">
        <w:tc>
          <w:tcPr>
            <w:tcW w:w="3403" w:type="dxa"/>
          </w:tcPr>
          <w:p w14:paraId="138D3FF2" w14:textId="788B4991" w:rsidR="00B20852" w:rsidRPr="00E03423" w:rsidRDefault="00A00034" w:rsidP="0084512B">
            <w:pPr>
              <w:tabs>
                <w:tab w:val="left" w:pos="284"/>
              </w:tabs>
              <w:suppressAutoHyphens w:val="0"/>
              <w:spacing w:before="60"/>
              <w:rPr>
                <w:rFonts w:eastAsia="Times New Roman" w:cs="Times New Roman"/>
                <w:color w:val="595959" w:themeColor="text1" w:themeTint="A6"/>
              </w:rPr>
            </w:pPr>
            <w:r w:rsidRPr="00E03423">
              <w:rPr>
                <w:rFonts w:eastAsia="Times New Roman" w:cs="Times New Roman"/>
                <w:color w:val="595959" w:themeColor="text1" w:themeTint="A6"/>
              </w:rPr>
              <w:t>1.  To what extent have GOI Agencies introduced and learnt from innovation in Activity and Project implementation?</w:t>
            </w:r>
          </w:p>
        </w:tc>
        <w:tc>
          <w:tcPr>
            <w:tcW w:w="2976" w:type="dxa"/>
          </w:tcPr>
          <w:p w14:paraId="2CDAE69B" w14:textId="03BD7C71" w:rsidR="00B20852" w:rsidRPr="00E03423" w:rsidRDefault="00245926" w:rsidP="0084512B">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Rapid PEA assessment update compare</w:t>
            </w:r>
            <w:r w:rsidR="00BE0318" w:rsidRPr="00E03423">
              <w:rPr>
                <w:rFonts w:eastAsia="Times New Roman" w:cs="Times New Roman"/>
                <w:color w:val="595959" w:themeColor="text1" w:themeTint="A6"/>
              </w:rPr>
              <w:t>d</w:t>
            </w:r>
            <w:r w:rsidRPr="00E03423">
              <w:rPr>
                <w:rFonts w:eastAsia="Times New Roman" w:cs="Times New Roman"/>
                <w:color w:val="595959" w:themeColor="text1" w:themeTint="A6"/>
              </w:rPr>
              <w:t xml:space="preserve"> to baseline</w:t>
            </w:r>
          </w:p>
        </w:tc>
        <w:tc>
          <w:tcPr>
            <w:tcW w:w="3261" w:type="dxa"/>
          </w:tcPr>
          <w:p w14:paraId="64CD8AEB" w14:textId="40DBDF51" w:rsidR="00B20852" w:rsidRPr="00E03423" w:rsidRDefault="00736017" w:rsidP="0084512B">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 GOI Agencies engaged in innovation; narrative and case studies on impact by sector</w:t>
            </w:r>
          </w:p>
        </w:tc>
        <w:tc>
          <w:tcPr>
            <w:tcW w:w="2693" w:type="dxa"/>
          </w:tcPr>
          <w:p w14:paraId="3C574591" w14:textId="4C1CA204" w:rsidR="00B20852" w:rsidRPr="00E03423" w:rsidRDefault="001A291C" w:rsidP="0084512B">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6-monthly report</w:t>
            </w:r>
          </w:p>
        </w:tc>
        <w:tc>
          <w:tcPr>
            <w:tcW w:w="2835" w:type="dxa"/>
          </w:tcPr>
          <w:p w14:paraId="7B14B09A" w14:textId="48F7008C" w:rsidR="00B20852" w:rsidRPr="00E03423" w:rsidRDefault="001A291C" w:rsidP="0084512B">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Primary Contractor, with input from GOI agencies</w:t>
            </w:r>
          </w:p>
        </w:tc>
      </w:tr>
      <w:tr w:rsidR="001307B5" w:rsidRPr="001307B5" w14:paraId="4A00822F" w14:textId="77777777" w:rsidTr="00686CCD">
        <w:tc>
          <w:tcPr>
            <w:tcW w:w="3403" w:type="dxa"/>
          </w:tcPr>
          <w:p w14:paraId="2D91FBAB" w14:textId="0DE88DB7" w:rsidR="00B20852" w:rsidRPr="00E03423" w:rsidRDefault="00A00034" w:rsidP="0084512B">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2.   What has changed in the level of private sector participation and confidence in investment opportunities in Indonesia?</w:t>
            </w:r>
          </w:p>
        </w:tc>
        <w:tc>
          <w:tcPr>
            <w:tcW w:w="2976" w:type="dxa"/>
          </w:tcPr>
          <w:p w14:paraId="547096D4" w14:textId="63432352" w:rsidR="00B20852" w:rsidRPr="00E03423" w:rsidRDefault="00245926" w:rsidP="0084512B">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Regular private sector confidence and feedback surveys</w:t>
            </w:r>
          </w:p>
        </w:tc>
        <w:tc>
          <w:tcPr>
            <w:tcW w:w="3261" w:type="dxa"/>
          </w:tcPr>
          <w:p w14:paraId="328B5B92" w14:textId="146095A8" w:rsidR="001307B5" w:rsidRPr="00E03423" w:rsidRDefault="001307B5" w:rsidP="0084512B">
            <w:pPr>
              <w:tabs>
                <w:tab w:val="left" w:pos="284"/>
              </w:tabs>
              <w:suppressAutoHyphens w:val="0"/>
              <w:spacing w:before="60"/>
              <w:rPr>
                <w:rFonts w:eastAsia="Times New Roman" w:cs="Times New Roman"/>
                <w:b/>
                <w:bCs/>
                <w:color w:val="595959" w:themeColor="text1" w:themeTint="A6"/>
              </w:rPr>
            </w:pPr>
            <w:r w:rsidRPr="00E03423">
              <w:rPr>
                <w:rFonts w:eastAsia="Times New Roman" w:cs="Times New Roman"/>
                <w:b/>
                <w:bCs/>
                <w:color w:val="595959" w:themeColor="text1" w:themeTint="A6"/>
              </w:rPr>
              <w:t xml:space="preserve">* </w:t>
            </w:r>
            <w:r w:rsidR="00736017" w:rsidRPr="00E03423">
              <w:rPr>
                <w:rFonts w:eastAsia="Times New Roman" w:cs="Times New Roman"/>
                <w:b/>
                <w:bCs/>
                <w:color w:val="595959" w:themeColor="text1" w:themeTint="A6"/>
              </w:rPr>
              <w:t xml:space="preserve">Number of market actors in key economic sectors supported to expand market access and/or improve supply chain </w:t>
            </w:r>
            <w:proofErr w:type="gramStart"/>
            <w:r w:rsidR="00736017" w:rsidRPr="00E03423">
              <w:rPr>
                <w:rFonts w:eastAsia="Times New Roman" w:cs="Times New Roman"/>
                <w:b/>
                <w:bCs/>
                <w:color w:val="595959" w:themeColor="text1" w:themeTint="A6"/>
              </w:rPr>
              <w:t>resilience;</w:t>
            </w:r>
            <w:proofErr w:type="gramEnd"/>
            <w:r w:rsidR="00736017" w:rsidRPr="00E03423">
              <w:rPr>
                <w:rFonts w:eastAsia="Times New Roman" w:cs="Times New Roman"/>
                <w:b/>
                <w:bCs/>
                <w:color w:val="595959" w:themeColor="text1" w:themeTint="A6"/>
              </w:rPr>
              <w:t xml:space="preserve"> </w:t>
            </w:r>
          </w:p>
          <w:p w14:paraId="7E571655" w14:textId="7DCAC105" w:rsidR="00B20852" w:rsidRPr="00E03423" w:rsidRDefault="00736017" w:rsidP="0084512B">
            <w:pPr>
              <w:tabs>
                <w:tab w:val="left" w:pos="284"/>
              </w:tabs>
              <w:suppressAutoHyphens w:val="0"/>
              <w:rPr>
                <w:rFonts w:eastAsia="Times New Roman" w:cs="Times New Roman"/>
                <w:color w:val="595959" w:themeColor="text1" w:themeTint="A6"/>
              </w:rPr>
            </w:pPr>
            <w:r w:rsidRPr="00E03423">
              <w:rPr>
                <w:rFonts w:eastAsia="Times New Roman" w:cs="Times New Roman"/>
                <w:color w:val="595959" w:themeColor="text1" w:themeTint="A6"/>
              </w:rPr>
              <w:t>External metric on business investor confidence in Indonesia (Economist Intelligence Unit/IMF); narrative analysis and case study of changes</w:t>
            </w:r>
          </w:p>
        </w:tc>
        <w:tc>
          <w:tcPr>
            <w:tcW w:w="2693" w:type="dxa"/>
          </w:tcPr>
          <w:p w14:paraId="2154BFE1" w14:textId="77777777" w:rsidR="00DD2589" w:rsidRPr="00E03423" w:rsidRDefault="001A291C" w:rsidP="0084512B">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 xml:space="preserve">Annual survey, with </w:t>
            </w:r>
            <w:r w:rsidR="00DD2589" w:rsidRPr="00E03423">
              <w:rPr>
                <w:rFonts w:eastAsia="Times New Roman" w:cs="Times New Roman"/>
                <w:color w:val="595959" w:themeColor="text1" w:themeTint="A6"/>
              </w:rPr>
              <w:t xml:space="preserve">  </w:t>
            </w:r>
          </w:p>
          <w:p w14:paraId="6E00BA7B" w14:textId="74CE16FC" w:rsidR="00B20852" w:rsidRPr="00E03423" w:rsidRDefault="001A291C" w:rsidP="0084512B">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6-monthly qualitative update</w:t>
            </w:r>
          </w:p>
        </w:tc>
        <w:tc>
          <w:tcPr>
            <w:tcW w:w="2835" w:type="dxa"/>
          </w:tcPr>
          <w:p w14:paraId="2CFEE769" w14:textId="67A6F097" w:rsidR="00B20852" w:rsidRPr="00E03423" w:rsidRDefault="001A291C" w:rsidP="0084512B">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Investment and Advisory Lead Partner</w:t>
            </w:r>
          </w:p>
        </w:tc>
      </w:tr>
      <w:tr w:rsidR="001307B5" w:rsidRPr="001307B5" w14:paraId="6A812C45" w14:textId="77777777" w:rsidTr="00686CCD">
        <w:tc>
          <w:tcPr>
            <w:tcW w:w="3403" w:type="dxa"/>
          </w:tcPr>
          <w:p w14:paraId="52E46ECA" w14:textId="2B393180" w:rsidR="00B20852" w:rsidRPr="00E03423" w:rsidRDefault="00A00034" w:rsidP="0084512B">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3. To what extent and what ways are communities (particularly women and people with disabilities) more genuinely involved across the infrastructure lifecycle?</w:t>
            </w:r>
          </w:p>
        </w:tc>
        <w:tc>
          <w:tcPr>
            <w:tcW w:w="2976" w:type="dxa"/>
          </w:tcPr>
          <w:p w14:paraId="207B2136" w14:textId="16912DA0" w:rsidR="00B20852" w:rsidRPr="00E03423" w:rsidRDefault="00245926" w:rsidP="0084512B">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Ongoing longitudinal study, with 6 monthly case study and data collection points</w:t>
            </w:r>
          </w:p>
        </w:tc>
        <w:tc>
          <w:tcPr>
            <w:tcW w:w="3261" w:type="dxa"/>
          </w:tcPr>
          <w:p w14:paraId="685F60DB" w14:textId="77777777" w:rsidR="001307B5" w:rsidRPr="00E03423" w:rsidRDefault="001307B5" w:rsidP="0084512B">
            <w:pPr>
              <w:tabs>
                <w:tab w:val="left" w:pos="284"/>
              </w:tabs>
              <w:suppressAutoHyphens w:val="0"/>
              <w:spacing w:before="60"/>
              <w:rPr>
                <w:rFonts w:eastAsia="Times New Roman" w:cs="Times New Roman"/>
                <w:color w:val="595959" w:themeColor="text1" w:themeTint="A6"/>
              </w:rPr>
            </w:pPr>
            <w:r w:rsidRPr="00E03423">
              <w:rPr>
                <w:rFonts w:eastAsia="Times New Roman" w:cs="Times New Roman"/>
                <w:b/>
                <w:bCs/>
                <w:color w:val="595959" w:themeColor="text1" w:themeTint="A6"/>
              </w:rPr>
              <w:t>*</w:t>
            </w:r>
            <w:r w:rsidR="00546D4E" w:rsidRPr="00E03423">
              <w:rPr>
                <w:rFonts w:eastAsia="Times New Roman" w:cs="Times New Roman"/>
                <w:b/>
                <w:bCs/>
                <w:color w:val="595959" w:themeColor="text1" w:themeTint="A6"/>
              </w:rPr>
              <w:t xml:space="preserve">ODA funding channelled to Women’s Equality Organisations and Institutions; Number of organisations of persons with disabilities (regional/national/state/local) receiving capacity building </w:t>
            </w:r>
            <w:proofErr w:type="gramStart"/>
            <w:r w:rsidR="00546D4E" w:rsidRPr="00E03423">
              <w:rPr>
                <w:rFonts w:eastAsia="Times New Roman" w:cs="Times New Roman"/>
                <w:b/>
                <w:bCs/>
                <w:color w:val="595959" w:themeColor="text1" w:themeTint="A6"/>
              </w:rPr>
              <w:t>support;</w:t>
            </w:r>
            <w:proofErr w:type="gramEnd"/>
            <w:r w:rsidR="00546D4E" w:rsidRPr="00E03423">
              <w:rPr>
                <w:rFonts w:eastAsia="Times New Roman" w:cs="Times New Roman"/>
                <w:color w:val="595959" w:themeColor="text1" w:themeTint="A6"/>
              </w:rPr>
              <w:t xml:space="preserve"> </w:t>
            </w:r>
          </w:p>
          <w:p w14:paraId="2EB5E8B0" w14:textId="2E139AAF" w:rsidR="00B20852" w:rsidRPr="00E03423" w:rsidRDefault="00546D4E" w:rsidP="0084512B">
            <w:pPr>
              <w:tabs>
                <w:tab w:val="left" w:pos="284"/>
              </w:tabs>
              <w:suppressAutoHyphens w:val="0"/>
              <w:rPr>
                <w:rFonts w:eastAsia="Times New Roman" w:cs="Times New Roman"/>
                <w:color w:val="595959" w:themeColor="text1" w:themeTint="A6"/>
              </w:rPr>
            </w:pPr>
            <w:r w:rsidRPr="00E03423">
              <w:rPr>
                <w:rFonts w:eastAsia="Times New Roman" w:cs="Times New Roman"/>
                <w:color w:val="595959" w:themeColor="text1" w:themeTint="A6"/>
              </w:rPr>
              <w:t>Extent, nature and analysis of changes (longitudinal action-research study on CSO and community (and PLWD) participation in infrastructure planning)</w:t>
            </w:r>
          </w:p>
        </w:tc>
        <w:tc>
          <w:tcPr>
            <w:tcW w:w="2693" w:type="dxa"/>
          </w:tcPr>
          <w:p w14:paraId="13AC7A23" w14:textId="3A89A328" w:rsidR="00B20852" w:rsidRPr="00E03423" w:rsidRDefault="001A291C" w:rsidP="0084512B">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6-monthly report</w:t>
            </w:r>
          </w:p>
        </w:tc>
        <w:tc>
          <w:tcPr>
            <w:tcW w:w="2835" w:type="dxa"/>
          </w:tcPr>
          <w:p w14:paraId="5AD64E28" w14:textId="52AE0C7F" w:rsidR="00B20852" w:rsidRPr="00E03423" w:rsidRDefault="001A291C" w:rsidP="0084512B">
            <w:pPr>
              <w:tabs>
                <w:tab w:val="left" w:pos="284"/>
              </w:tabs>
              <w:suppressAutoHyphens w:val="0"/>
              <w:spacing w:before="0" w:after="0"/>
              <w:rPr>
                <w:rFonts w:eastAsia="Times New Roman" w:cs="Times New Roman"/>
                <w:color w:val="595959" w:themeColor="text1" w:themeTint="A6"/>
              </w:rPr>
            </w:pPr>
            <w:r w:rsidRPr="00E03423">
              <w:rPr>
                <w:rFonts w:eastAsia="Times New Roman" w:cs="Times New Roman"/>
                <w:color w:val="595959" w:themeColor="text1" w:themeTint="A6"/>
              </w:rPr>
              <w:t>Lead NGO Partner, commissioned to local research institution</w:t>
            </w:r>
          </w:p>
        </w:tc>
      </w:tr>
      <w:tr w:rsidR="001307B5" w:rsidRPr="001307B5" w14:paraId="7D2253BB" w14:textId="77777777" w:rsidTr="00686CCD">
        <w:tc>
          <w:tcPr>
            <w:tcW w:w="3403" w:type="dxa"/>
          </w:tcPr>
          <w:p w14:paraId="60800B66" w14:textId="4C2CBC63" w:rsidR="00B20852" w:rsidRPr="00E03423" w:rsidRDefault="00D55B69" w:rsidP="00F94D13">
            <w:pPr>
              <w:tabs>
                <w:tab w:val="left" w:pos="284"/>
              </w:tabs>
              <w:suppressAutoHyphens w:val="0"/>
              <w:spacing w:before="60" w:line="240" w:lineRule="auto"/>
              <w:rPr>
                <w:rFonts w:eastAsia="Times New Roman" w:cs="Times New Roman"/>
                <w:color w:val="595959" w:themeColor="text1" w:themeTint="A6"/>
              </w:rPr>
            </w:pPr>
            <w:r w:rsidRPr="00E03423">
              <w:rPr>
                <w:rFonts w:eastAsia="Times New Roman" w:cs="Times New Roman"/>
                <w:color w:val="595959" w:themeColor="text1" w:themeTint="A6"/>
              </w:rPr>
              <w:lastRenderedPageBreak/>
              <w:t>4. To what extent has the GOI attracted high quality finance from multiple sources with support from the MDBs in this period?</w:t>
            </w:r>
          </w:p>
        </w:tc>
        <w:tc>
          <w:tcPr>
            <w:tcW w:w="2976" w:type="dxa"/>
          </w:tcPr>
          <w:p w14:paraId="2B4239DF" w14:textId="6F30E0D5" w:rsidR="00B20852" w:rsidRPr="00E03423" w:rsidRDefault="00245926" w:rsidP="00D55B69">
            <w:pPr>
              <w:tabs>
                <w:tab w:val="left" w:pos="284"/>
              </w:tabs>
              <w:suppressAutoHyphens w:val="0"/>
              <w:spacing w:before="0" w:after="0" w:line="240" w:lineRule="auto"/>
              <w:rPr>
                <w:rFonts w:eastAsia="Times New Roman" w:cs="Times New Roman"/>
                <w:color w:val="595959" w:themeColor="text1" w:themeTint="A6"/>
              </w:rPr>
            </w:pPr>
            <w:r w:rsidRPr="00E03423">
              <w:rPr>
                <w:rFonts w:eastAsia="Times New Roman" w:cs="Times New Roman"/>
                <w:color w:val="595959" w:themeColor="text1" w:themeTint="A6"/>
              </w:rPr>
              <w:t>Reporting of GOI and MDB loan data (comprehen</w:t>
            </w:r>
            <w:r w:rsidR="00BE0318" w:rsidRPr="00E03423">
              <w:rPr>
                <w:rFonts w:eastAsia="Times New Roman" w:cs="Times New Roman"/>
                <w:color w:val="595959" w:themeColor="text1" w:themeTint="A6"/>
              </w:rPr>
              <w:t>s</w:t>
            </w:r>
            <w:r w:rsidRPr="00E03423">
              <w:rPr>
                <w:rFonts w:eastAsia="Times New Roman" w:cs="Times New Roman"/>
                <w:color w:val="595959" w:themeColor="text1" w:themeTint="A6"/>
              </w:rPr>
              <w:t>ive, not just directly linked to program inputs)</w:t>
            </w:r>
          </w:p>
        </w:tc>
        <w:tc>
          <w:tcPr>
            <w:tcW w:w="3261" w:type="dxa"/>
          </w:tcPr>
          <w:p w14:paraId="26B2F67B" w14:textId="0C534BA3" w:rsidR="00B20852" w:rsidRPr="00E03423" w:rsidRDefault="00546D4E" w:rsidP="00D55B69">
            <w:pPr>
              <w:tabs>
                <w:tab w:val="left" w:pos="284"/>
              </w:tabs>
              <w:suppressAutoHyphens w:val="0"/>
              <w:spacing w:before="0" w:after="0" w:line="240" w:lineRule="auto"/>
              <w:rPr>
                <w:rFonts w:eastAsia="Times New Roman" w:cs="Times New Roman"/>
                <w:color w:val="595959" w:themeColor="text1" w:themeTint="A6"/>
              </w:rPr>
            </w:pPr>
            <w:r w:rsidRPr="00E03423">
              <w:rPr>
                <w:rFonts w:eastAsia="Times New Roman" w:cs="Times New Roman"/>
                <w:color w:val="595959" w:themeColor="text1" w:themeTint="A6"/>
              </w:rPr>
              <w:t>$ funding leveraged from MDBs, in preparation and completed agreements</w:t>
            </w:r>
          </w:p>
        </w:tc>
        <w:tc>
          <w:tcPr>
            <w:tcW w:w="2693" w:type="dxa"/>
          </w:tcPr>
          <w:p w14:paraId="2210D7A9" w14:textId="77777777" w:rsidR="007A19DA" w:rsidRPr="00E03423" w:rsidRDefault="00177952" w:rsidP="00D55B69">
            <w:pPr>
              <w:tabs>
                <w:tab w:val="left" w:pos="284"/>
              </w:tabs>
              <w:suppressAutoHyphens w:val="0"/>
              <w:spacing w:before="0" w:after="0" w:line="240" w:lineRule="auto"/>
              <w:rPr>
                <w:rFonts w:eastAsia="Times New Roman" w:cs="Times New Roman"/>
                <w:color w:val="595959" w:themeColor="text1" w:themeTint="A6"/>
              </w:rPr>
            </w:pPr>
            <w:r w:rsidRPr="00E03423">
              <w:rPr>
                <w:rFonts w:eastAsia="Times New Roman" w:cs="Times New Roman"/>
                <w:color w:val="595959" w:themeColor="text1" w:themeTint="A6"/>
              </w:rPr>
              <w:t>6</w:t>
            </w:r>
            <w:r w:rsidR="002C36D4" w:rsidRPr="00E03423">
              <w:rPr>
                <w:rFonts w:eastAsia="Times New Roman" w:cs="Times New Roman"/>
                <w:color w:val="595959" w:themeColor="text1" w:themeTint="A6"/>
              </w:rPr>
              <w:t>-</w:t>
            </w:r>
            <w:r w:rsidRPr="00E03423">
              <w:rPr>
                <w:rFonts w:eastAsia="Times New Roman" w:cs="Times New Roman"/>
                <w:color w:val="595959" w:themeColor="text1" w:themeTint="A6"/>
              </w:rPr>
              <w:t xml:space="preserve">monthly update, in </w:t>
            </w:r>
          </w:p>
          <w:p w14:paraId="3AA697B0" w14:textId="6DD1BB71" w:rsidR="00B20852" w:rsidRPr="00E03423" w:rsidRDefault="00177952" w:rsidP="00D55B69">
            <w:pPr>
              <w:tabs>
                <w:tab w:val="left" w:pos="284"/>
              </w:tabs>
              <w:suppressAutoHyphens w:val="0"/>
              <w:spacing w:before="0" w:after="0" w:line="240" w:lineRule="auto"/>
              <w:rPr>
                <w:rFonts w:eastAsia="Times New Roman" w:cs="Times New Roman"/>
                <w:color w:val="595959" w:themeColor="text1" w:themeTint="A6"/>
              </w:rPr>
            </w:pPr>
            <w:r w:rsidRPr="00E03423">
              <w:rPr>
                <w:rFonts w:eastAsia="Times New Roman" w:cs="Times New Roman"/>
                <w:color w:val="595959" w:themeColor="text1" w:themeTint="A6"/>
              </w:rPr>
              <w:t>6</w:t>
            </w:r>
            <w:r w:rsidR="002C36D4" w:rsidRPr="00E03423">
              <w:rPr>
                <w:rFonts w:eastAsia="Times New Roman" w:cs="Times New Roman"/>
                <w:color w:val="595959" w:themeColor="text1" w:themeTint="A6"/>
              </w:rPr>
              <w:t>-</w:t>
            </w:r>
            <w:r w:rsidRPr="00E03423">
              <w:rPr>
                <w:rFonts w:eastAsia="Times New Roman" w:cs="Times New Roman"/>
                <w:color w:val="595959" w:themeColor="text1" w:themeTint="A6"/>
              </w:rPr>
              <w:t>monthly Partner Progress report</w:t>
            </w:r>
          </w:p>
        </w:tc>
        <w:tc>
          <w:tcPr>
            <w:tcW w:w="2835" w:type="dxa"/>
          </w:tcPr>
          <w:p w14:paraId="24160DF6" w14:textId="598EE873" w:rsidR="00B20852" w:rsidRPr="00E03423" w:rsidRDefault="001A291C" w:rsidP="00D55B69">
            <w:pPr>
              <w:tabs>
                <w:tab w:val="left" w:pos="284"/>
              </w:tabs>
              <w:suppressAutoHyphens w:val="0"/>
              <w:spacing w:before="0" w:after="0" w:line="240" w:lineRule="auto"/>
              <w:rPr>
                <w:rFonts w:eastAsia="Times New Roman" w:cs="Times New Roman"/>
                <w:color w:val="595959" w:themeColor="text1" w:themeTint="A6"/>
              </w:rPr>
            </w:pPr>
            <w:r w:rsidRPr="00E03423">
              <w:rPr>
                <w:rFonts w:eastAsia="Times New Roman" w:cs="Times New Roman"/>
                <w:color w:val="595959" w:themeColor="text1" w:themeTint="A6"/>
              </w:rPr>
              <w:t>ADB and WB 6-monthly reporting</w:t>
            </w:r>
          </w:p>
        </w:tc>
      </w:tr>
      <w:tr w:rsidR="001307B5" w:rsidRPr="001307B5" w14:paraId="7CB9F849" w14:textId="77777777" w:rsidTr="00686CCD">
        <w:tc>
          <w:tcPr>
            <w:tcW w:w="3403" w:type="dxa"/>
          </w:tcPr>
          <w:p w14:paraId="41588177" w14:textId="3EE650E1" w:rsidR="00B20852" w:rsidRPr="00E03423" w:rsidRDefault="00F50FF4" w:rsidP="00D55B69">
            <w:pPr>
              <w:tabs>
                <w:tab w:val="left" w:pos="284"/>
              </w:tabs>
              <w:suppressAutoHyphens w:val="0"/>
              <w:spacing w:before="0" w:after="0" w:line="240" w:lineRule="auto"/>
              <w:rPr>
                <w:rFonts w:eastAsia="Times New Roman" w:cs="Times New Roman"/>
                <w:color w:val="595959" w:themeColor="text1" w:themeTint="A6"/>
              </w:rPr>
            </w:pPr>
            <w:r w:rsidRPr="00E03423">
              <w:rPr>
                <w:color w:val="595959" w:themeColor="text1" w:themeTint="A6"/>
              </w:rPr>
              <w:br w:type="page"/>
            </w:r>
            <w:r w:rsidR="00D55B69" w:rsidRPr="00E03423">
              <w:rPr>
                <w:rFonts w:eastAsia="Times New Roman" w:cs="Times New Roman"/>
                <w:color w:val="595959" w:themeColor="text1" w:themeTint="A6"/>
              </w:rPr>
              <w:t xml:space="preserve">5.  What policy and regulatory reform </w:t>
            </w:r>
            <w:proofErr w:type="gramStart"/>
            <w:r w:rsidR="00D55B69" w:rsidRPr="00E03423">
              <w:rPr>
                <w:rFonts w:eastAsia="Times New Roman" w:cs="Times New Roman"/>
                <w:color w:val="595959" w:themeColor="text1" w:themeTint="A6"/>
              </w:rPr>
              <w:t>has</w:t>
            </w:r>
            <w:proofErr w:type="gramEnd"/>
            <w:r w:rsidR="00D55B69" w:rsidRPr="00E03423">
              <w:rPr>
                <w:rFonts w:eastAsia="Times New Roman" w:cs="Times New Roman"/>
                <w:color w:val="595959" w:themeColor="text1" w:themeTint="A6"/>
              </w:rPr>
              <w:t xml:space="preserve"> been stimulated by stakeholder coalitions, responding to market interests and government priorities?</w:t>
            </w:r>
          </w:p>
        </w:tc>
        <w:tc>
          <w:tcPr>
            <w:tcW w:w="2976" w:type="dxa"/>
          </w:tcPr>
          <w:p w14:paraId="7B6B93C9" w14:textId="270847F6" w:rsidR="00B20852" w:rsidRPr="00E03423" w:rsidRDefault="00736017" w:rsidP="00D55B69">
            <w:pPr>
              <w:tabs>
                <w:tab w:val="left" w:pos="284"/>
              </w:tabs>
              <w:suppressAutoHyphens w:val="0"/>
              <w:spacing w:before="0" w:after="0" w:line="240" w:lineRule="auto"/>
              <w:rPr>
                <w:rFonts w:eastAsia="Times New Roman" w:cs="Times New Roman"/>
                <w:color w:val="595959" w:themeColor="text1" w:themeTint="A6"/>
              </w:rPr>
            </w:pPr>
            <w:r w:rsidRPr="00E03423">
              <w:rPr>
                <w:rFonts w:eastAsia="Times New Roman" w:cs="Times New Roman"/>
                <w:color w:val="595959" w:themeColor="text1" w:themeTint="A6"/>
              </w:rPr>
              <w:t>Ongoing qualitative and policy analy</w:t>
            </w:r>
            <w:r w:rsidR="00BE0318" w:rsidRPr="00E03423">
              <w:rPr>
                <w:rFonts w:eastAsia="Times New Roman" w:cs="Times New Roman"/>
                <w:color w:val="595959" w:themeColor="text1" w:themeTint="A6"/>
              </w:rPr>
              <w:t>s</w:t>
            </w:r>
            <w:r w:rsidRPr="00E03423">
              <w:rPr>
                <w:rFonts w:eastAsia="Times New Roman" w:cs="Times New Roman"/>
                <w:color w:val="595959" w:themeColor="text1" w:themeTint="A6"/>
              </w:rPr>
              <w:t>is of changes in the eco-system and political economy maintained by PC/M&amp;E specialists</w:t>
            </w:r>
          </w:p>
        </w:tc>
        <w:tc>
          <w:tcPr>
            <w:tcW w:w="3261" w:type="dxa"/>
          </w:tcPr>
          <w:p w14:paraId="0FFE69A5" w14:textId="26EC8692" w:rsidR="001307B5" w:rsidRPr="00E03423" w:rsidRDefault="001307B5" w:rsidP="00D55B69">
            <w:pPr>
              <w:tabs>
                <w:tab w:val="left" w:pos="284"/>
              </w:tabs>
              <w:suppressAutoHyphens w:val="0"/>
              <w:spacing w:before="0" w:after="0" w:line="240" w:lineRule="auto"/>
              <w:rPr>
                <w:rFonts w:eastAsia="Times New Roman" w:cs="Times New Roman"/>
                <w:b/>
                <w:bCs/>
                <w:color w:val="595959" w:themeColor="text1" w:themeTint="A6"/>
              </w:rPr>
            </w:pPr>
            <w:r w:rsidRPr="00E03423">
              <w:rPr>
                <w:rFonts w:eastAsia="Times New Roman" w:cs="Times New Roman"/>
                <w:b/>
                <w:bCs/>
                <w:color w:val="595959" w:themeColor="text1" w:themeTint="A6"/>
              </w:rPr>
              <w:t>*</w:t>
            </w:r>
            <w:r w:rsidR="00546D4E" w:rsidRPr="00E03423">
              <w:rPr>
                <w:rFonts w:eastAsia="Times New Roman" w:cs="Times New Roman"/>
                <w:b/>
                <w:bCs/>
                <w:color w:val="595959" w:themeColor="text1" w:themeTint="A6"/>
              </w:rPr>
              <w:t xml:space="preserve">Examples of improved policies and regulations in the infrastructure sector. </w:t>
            </w:r>
          </w:p>
          <w:p w14:paraId="691172E3" w14:textId="2E2789BA" w:rsidR="00B20852" w:rsidRPr="00E03423" w:rsidRDefault="00546D4E" w:rsidP="00BA0B42">
            <w:pPr>
              <w:tabs>
                <w:tab w:val="left" w:pos="284"/>
              </w:tabs>
              <w:suppressAutoHyphens w:val="0"/>
              <w:spacing w:line="240" w:lineRule="auto"/>
              <w:rPr>
                <w:rFonts w:eastAsia="Times New Roman" w:cs="Times New Roman"/>
                <w:color w:val="595959" w:themeColor="text1" w:themeTint="A6"/>
              </w:rPr>
            </w:pPr>
            <w:r w:rsidRPr="00E03423">
              <w:rPr>
                <w:rFonts w:eastAsia="Times New Roman" w:cs="Times New Roman"/>
                <w:color w:val="595959" w:themeColor="text1" w:themeTint="A6"/>
              </w:rPr>
              <w:t># and o</w:t>
            </w:r>
            <w:r w:rsidR="00791F16" w:rsidRPr="00E03423">
              <w:rPr>
                <w:rFonts w:eastAsia="Times New Roman" w:cs="Times New Roman"/>
                <w:color w:val="595959" w:themeColor="text1" w:themeTint="A6"/>
              </w:rPr>
              <w:t>r</w:t>
            </w:r>
            <w:r w:rsidRPr="00E03423">
              <w:rPr>
                <w:rFonts w:eastAsia="Times New Roman" w:cs="Times New Roman"/>
                <w:color w:val="595959" w:themeColor="text1" w:themeTint="A6"/>
              </w:rPr>
              <w:t>ganisation type of participants in stakeholder coalitions by sector and issue</w:t>
            </w:r>
            <w:r w:rsidR="006B6A01" w:rsidRPr="00E03423">
              <w:rPr>
                <w:rFonts w:eastAsia="Times New Roman" w:cs="Times New Roman"/>
                <w:color w:val="595959" w:themeColor="text1" w:themeTint="A6"/>
              </w:rPr>
              <w:t>.</w:t>
            </w:r>
          </w:p>
        </w:tc>
        <w:tc>
          <w:tcPr>
            <w:tcW w:w="2693" w:type="dxa"/>
          </w:tcPr>
          <w:p w14:paraId="5D716BD2" w14:textId="305225FD" w:rsidR="00B20852" w:rsidRPr="00E03423" w:rsidRDefault="00791F16" w:rsidP="00D55B69">
            <w:pPr>
              <w:tabs>
                <w:tab w:val="left" w:pos="284"/>
              </w:tabs>
              <w:suppressAutoHyphens w:val="0"/>
              <w:spacing w:before="0" w:after="0" w:line="240" w:lineRule="auto"/>
              <w:rPr>
                <w:rFonts w:eastAsia="Times New Roman" w:cs="Times New Roman"/>
                <w:color w:val="595959" w:themeColor="text1" w:themeTint="A6"/>
              </w:rPr>
            </w:pPr>
            <w:r w:rsidRPr="00E03423">
              <w:rPr>
                <w:rFonts w:eastAsia="Times New Roman" w:cs="Times New Roman"/>
                <w:color w:val="595959" w:themeColor="text1" w:themeTint="A6"/>
              </w:rPr>
              <w:t>Narrative included in PC</w:t>
            </w:r>
            <w:r w:rsidR="002C36D4" w:rsidRPr="00E03423">
              <w:rPr>
                <w:rFonts w:eastAsia="Times New Roman" w:cs="Times New Roman"/>
                <w:color w:val="595959" w:themeColor="text1" w:themeTint="A6"/>
              </w:rPr>
              <w:t>’s</w:t>
            </w:r>
            <w:r w:rsidRPr="00E03423">
              <w:rPr>
                <w:rFonts w:eastAsia="Times New Roman" w:cs="Times New Roman"/>
                <w:color w:val="595959" w:themeColor="text1" w:themeTint="A6"/>
              </w:rPr>
              <w:t xml:space="preserve"> 6</w:t>
            </w:r>
            <w:r w:rsidR="002C36D4" w:rsidRPr="00E03423">
              <w:rPr>
                <w:rFonts w:eastAsia="Times New Roman" w:cs="Times New Roman"/>
                <w:color w:val="595959" w:themeColor="text1" w:themeTint="A6"/>
              </w:rPr>
              <w:t>-</w:t>
            </w:r>
            <w:r w:rsidRPr="00E03423">
              <w:rPr>
                <w:rFonts w:eastAsia="Times New Roman" w:cs="Times New Roman"/>
                <w:color w:val="595959" w:themeColor="text1" w:themeTint="A6"/>
              </w:rPr>
              <w:t>monthly reporting</w:t>
            </w:r>
          </w:p>
        </w:tc>
        <w:tc>
          <w:tcPr>
            <w:tcW w:w="2835" w:type="dxa"/>
          </w:tcPr>
          <w:p w14:paraId="63422CB5" w14:textId="6E5573D1" w:rsidR="00B20852" w:rsidRPr="00E03423" w:rsidRDefault="00177952" w:rsidP="00F94D13">
            <w:pPr>
              <w:tabs>
                <w:tab w:val="left" w:pos="284"/>
              </w:tabs>
              <w:suppressAutoHyphens w:val="0"/>
              <w:spacing w:before="60" w:line="240" w:lineRule="auto"/>
              <w:rPr>
                <w:rFonts w:eastAsia="Times New Roman" w:cs="Times New Roman"/>
                <w:color w:val="595959" w:themeColor="text1" w:themeTint="A6"/>
              </w:rPr>
            </w:pPr>
            <w:r w:rsidRPr="00E03423">
              <w:rPr>
                <w:rFonts w:eastAsia="Times New Roman" w:cs="Times New Roman"/>
                <w:color w:val="595959" w:themeColor="text1" w:themeTint="A6"/>
              </w:rPr>
              <w:t>Primary Contractor, with input from Delivery Partners and stakeholders in 6 monthly Partnership Group meetings</w:t>
            </w:r>
          </w:p>
        </w:tc>
      </w:tr>
    </w:tbl>
    <w:p w14:paraId="5B8FF117" w14:textId="4DD858A4" w:rsidR="007F0F29" w:rsidRPr="00E03423" w:rsidRDefault="001467BB">
      <w:pPr>
        <w:rPr>
          <w:color w:val="595959" w:themeColor="text1" w:themeTint="A6"/>
        </w:rPr>
      </w:pPr>
      <w:r w:rsidRPr="00E03423">
        <w:rPr>
          <w:rFonts w:eastAsia="Times New Roman" w:cs="Times New Roman"/>
          <w:b/>
          <w:bCs/>
          <w:color w:val="595959" w:themeColor="text1" w:themeTint="A6"/>
        </w:rPr>
        <w:t xml:space="preserve">TABLE 3. </w:t>
      </w:r>
      <w:r w:rsidR="007F0F29" w:rsidRPr="00E03423">
        <w:rPr>
          <w:rFonts w:eastAsia="Times New Roman" w:cs="Times New Roman"/>
          <w:b/>
          <w:bCs/>
          <w:color w:val="595959" w:themeColor="text1" w:themeTint="A6"/>
        </w:rPr>
        <w:t>PROGRAM-WIDE ACTIVITIES AND OUTPUTS</w:t>
      </w:r>
    </w:p>
    <w:tbl>
      <w:tblPr>
        <w:tblStyle w:val="TableGrid"/>
        <w:tblW w:w="15168" w:type="dxa"/>
        <w:tblInd w:w="-714" w:type="dxa"/>
        <w:tblLook w:val="04A0" w:firstRow="1" w:lastRow="0" w:firstColumn="1" w:lastColumn="0" w:noHBand="0" w:noVBand="1"/>
        <w:tblCaption w:val="Program-wide activities and outputs"/>
        <w:tblDescription w:val="This table describes the program-wide activities and outputs for the KINETIK Partnership, focusing on how the balance of the portfolio is managed across climate, finance, and infrastructure domains and sub-sectors. It lists key evaluative questions such as the number of activities and projects in development, implementation, or completion, and the extent to which the program addresses climate adaptation and mitigation. The table also highlights indicators like the number and value of investments contributing to low-emissions development, the number of people benefiting from improved climate adaptation, and the number of infrastructure projects meeting international standards. Data analysis summaries, progress reports, and narrative case studies are used to monitor integration, collective action, and end-to-end engagement in focus sectors such as water, sanitation, waste management, transport, and energy transition.&#10;"/>
      </w:tblPr>
      <w:tblGrid>
        <w:gridCol w:w="3403"/>
        <w:gridCol w:w="2976"/>
        <w:gridCol w:w="3261"/>
        <w:gridCol w:w="2835"/>
        <w:gridCol w:w="2693"/>
      </w:tblGrid>
      <w:tr w:rsidR="001307B5" w:rsidRPr="001307B5" w14:paraId="2372A22F" w14:textId="77777777" w:rsidTr="0084490E">
        <w:tc>
          <w:tcPr>
            <w:tcW w:w="3403" w:type="dxa"/>
            <w:shd w:val="clear" w:color="auto" w:fill="CCECFF"/>
            <w:vAlign w:val="center"/>
          </w:tcPr>
          <w:p w14:paraId="3C20F61E" w14:textId="77777777" w:rsidR="007F0F29" w:rsidRPr="00E03423" w:rsidRDefault="007F0F29" w:rsidP="00245199">
            <w:pPr>
              <w:tabs>
                <w:tab w:val="left" w:pos="284"/>
              </w:tabs>
              <w:suppressAutoHyphens w:val="0"/>
              <w:spacing w:before="0" w:line="280" w:lineRule="exact"/>
              <w:rPr>
                <w:rFonts w:eastAsia="Times New Roman" w:cs="Times New Roman"/>
                <w:color w:val="595959" w:themeColor="text1" w:themeTint="A6"/>
              </w:rPr>
            </w:pPr>
            <w:r w:rsidRPr="00E03423">
              <w:rPr>
                <w:rFonts w:eastAsia="Times New Roman" w:cs="Times New Roman"/>
                <w:b/>
                <w:bCs/>
                <w:i/>
                <w:iCs/>
                <w:color w:val="595959" w:themeColor="text1" w:themeTint="A6"/>
              </w:rPr>
              <w:t>Key Evaluative Questions</w:t>
            </w:r>
          </w:p>
        </w:tc>
        <w:tc>
          <w:tcPr>
            <w:tcW w:w="2976" w:type="dxa"/>
            <w:shd w:val="clear" w:color="auto" w:fill="CCECFF"/>
            <w:vAlign w:val="center"/>
          </w:tcPr>
          <w:p w14:paraId="578EB2EA" w14:textId="77777777" w:rsidR="007F0F29" w:rsidRPr="00E03423" w:rsidRDefault="007F0F29" w:rsidP="00245199">
            <w:pPr>
              <w:tabs>
                <w:tab w:val="left" w:pos="284"/>
              </w:tabs>
              <w:suppressAutoHyphens w:val="0"/>
              <w:spacing w:before="0" w:line="280" w:lineRule="exact"/>
              <w:rPr>
                <w:rFonts w:eastAsia="Times New Roman" w:cs="Times New Roman"/>
                <w:color w:val="595959" w:themeColor="text1" w:themeTint="A6"/>
              </w:rPr>
            </w:pPr>
            <w:r w:rsidRPr="00E03423">
              <w:rPr>
                <w:rFonts w:eastAsia="Times New Roman" w:cs="Times New Roman"/>
                <w:b/>
                <w:bCs/>
                <w:i/>
                <w:iCs/>
                <w:color w:val="595959" w:themeColor="text1" w:themeTint="A6"/>
              </w:rPr>
              <w:t>Data collection method</w:t>
            </w:r>
          </w:p>
        </w:tc>
        <w:tc>
          <w:tcPr>
            <w:tcW w:w="3261" w:type="dxa"/>
            <w:shd w:val="clear" w:color="auto" w:fill="CCECFF"/>
            <w:vAlign w:val="center"/>
          </w:tcPr>
          <w:p w14:paraId="1872A8EE" w14:textId="77777777" w:rsidR="007F0F29" w:rsidRPr="00E03423" w:rsidRDefault="007F0F29" w:rsidP="00245199">
            <w:pPr>
              <w:tabs>
                <w:tab w:val="left" w:pos="284"/>
              </w:tabs>
              <w:suppressAutoHyphens w:val="0"/>
              <w:spacing w:before="0" w:line="280" w:lineRule="exact"/>
              <w:rPr>
                <w:rFonts w:eastAsia="Times New Roman" w:cs="Times New Roman"/>
                <w:color w:val="595959" w:themeColor="text1" w:themeTint="A6"/>
              </w:rPr>
            </w:pPr>
            <w:r w:rsidRPr="00E03423">
              <w:rPr>
                <w:rFonts w:eastAsia="Times New Roman" w:cs="Times New Roman"/>
                <w:b/>
                <w:bCs/>
                <w:i/>
                <w:iCs/>
                <w:color w:val="595959" w:themeColor="text1" w:themeTint="A6"/>
              </w:rPr>
              <w:t>Relevant Tier 2 indicators in Blue; Program-specific indicators in Red</w:t>
            </w:r>
          </w:p>
        </w:tc>
        <w:tc>
          <w:tcPr>
            <w:tcW w:w="2835" w:type="dxa"/>
            <w:shd w:val="clear" w:color="auto" w:fill="CCECFF"/>
            <w:vAlign w:val="center"/>
          </w:tcPr>
          <w:p w14:paraId="01C777D9" w14:textId="77777777" w:rsidR="007F0F29" w:rsidRPr="00E03423" w:rsidRDefault="007F0F29" w:rsidP="00245199">
            <w:pPr>
              <w:tabs>
                <w:tab w:val="left" w:pos="284"/>
              </w:tabs>
              <w:suppressAutoHyphens w:val="0"/>
              <w:spacing w:before="0" w:line="280" w:lineRule="exact"/>
              <w:rPr>
                <w:rFonts w:eastAsia="Times New Roman" w:cs="Times New Roman"/>
                <w:color w:val="595959" w:themeColor="text1" w:themeTint="A6"/>
              </w:rPr>
            </w:pPr>
            <w:r w:rsidRPr="00E03423">
              <w:rPr>
                <w:rFonts w:eastAsia="Times New Roman" w:cs="Times New Roman"/>
                <w:b/>
                <w:bCs/>
                <w:i/>
                <w:iCs/>
                <w:color w:val="595959" w:themeColor="text1" w:themeTint="A6"/>
              </w:rPr>
              <w:t>Reporting</w:t>
            </w:r>
          </w:p>
        </w:tc>
        <w:tc>
          <w:tcPr>
            <w:tcW w:w="2693" w:type="dxa"/>
            <w:shd w:val="clear" w:color="auto" w:fill="CCECFF"/>
            <w:vAlign w:val="center"/>
          </w:tcPr>
          <w:p w14:paraId="5C4D7AF3" w14:textId="77777777" w:rsidR="007F0F29" w:rsidRPr="00E03423" w:rsidRDefault="007F0F29" w:rsidP="00245199">
            <w:pPr>
              <w:tabs>
                <w:tab w:val="left" w:pos="284"/>
              </w:tabs>
              <w:suppressAutoHyphens w:val="0"/>
              <w:spacing w:before="0" w:line="280" w:lineRule="exact"/>
              <w:rPr>
                <w:rFonts w:eastAsia="Times New Roman" w:cs="Times New Roman"/>
                <w:color w:val="595959" w:themeColor="text1" w:themeTint="A6"/>
              </w:rPr>
            </w:pPr>
            <w:r w:rsidRPr="00E03423">
              <w:rPr>
                <w:rFonts w:eastAsia="Times New Roman" w:cs="Times New Roman"/>
                <w:b/>
                <w:bCs/>
                <w:i/>
                <w:iCs/>
                <w:color w:val="595959" w:themeColor="text1" w:themeTint="A6"/>
              </w:rPr>
              <w:t>Responsibility</w:t>
            </w:r>
          </w:p>
        </w:tc>
      </w:tr>
      <w:tr w:rsidR="001307B5" w:rsidRPr="001307B5" w14:paraId="5F8D8223" w14:textId="77777777" w:rsidTr="0084490E">
        <w:tc>
          <w:tcPr>
            <w:tcW w:w="3403" w:type="dxa"/>
          </w:tcPr>
          <w:p w14:paraId="7FC4B0C0" w14:textId="77777777" w:rsidR="007F0F29" w:rsidRPr="00E03423" w:rsidRDefault="007F0F29" w:rsidP="00245199">
            <w:pPr>
              <w:tabs>
                <w:tab w:val="left" w:pos="284"/>
              </w:tabs>
              <w:suppressAutoHyphens w:val="0"/>
              <w:spacing w:before="0" w:line="240" w:lineRule="auto"/>
              <w:rPr>
                <w:rFonts w:eastAsia="Times New Roman" w:cs="Times New Roman"/>
                <w:color w:val="595959" w:themeColor="text1" w:themeTint="A6"/>
              </w:rPr>
            </w:pPr>
            <w:r w:rsidRPr="00E03423">
              <w:rPr>
                <w:rFonts w:eastAsia="Times New Roman" w:cs="Times New Roman"/>
                <w:color w:val="595959" w:themeColor="text1" w:themeTint="A6"/>
              </w:rPr>
              <w:t>1.  What is the balance of the portfolio, across domains (climate, finance and infrastructure) and sub-sectors?</w:t>
            </w:r>
          </w:p>
        </w:tc>
        <w:tc>
          <w:tcPr>
            <w:tcW w:w="2976" w:type="dxa"/>
          </w:tcPr>
          <w:p w14:paraId="37BDA120" w14:textId="77777777" w:rsidR="007F0F29" w:rsidRPr="00E03423" w:rsidRDefault="007F0F29" w:rsidP="00245199">
            <w:pPr>
              <w:tabs>
                <w:tab w:val="left" w:pos="284"/>
              </w:tabs>
              <w:suppressAutoHyphens w:val="0"/>
              <w:spacing w:before="0" w:line="240" w:lineRule="auto"/>
              <w:rPr>
                <w:rFonts w:eastAsia="Times New Roman" w:cs="Times New Roman"/>
                <w:color w:val="595959" w:themeColor="text1" w:themeTint="A6"/>
              </w:rPr>
            </w:pPr>
            <w:r w:rsidRPr="00E03423">
              <w:rPr>
                <w:rFonts w:eastAsia="Times New Roman" w:cs="Times New Roman"/>
                <w:color w:val="595959" w:themeColor="text1" w:themeTint="A6"/>
              </w:rPr>
              <w:t>Data analysis summary of Activity and Project data from summary data sheets</w:t>
            </w:r>
          </w:p>
        </w:tc>
        <w:tc>
          <w:tcPr>
            <w:tcW w:w="3261" w:type="dxa"/>
          </w:tcPr>
          <w:p w14:paraId="64D732C7" w14:textId="77777777" w:rsidR="001307B5" w:rsidRPr="00E03423" w:rsidRDefault="007F0F29" w:rsidP="00245199">
            <w:pPr>
              <w:tabs>
                <w:tab w:val="left" w:pos="284"/>
              </w:tabs>
              <w:suppressAutoHyphens w:val="0"/>
              <w:spacing w:before="60" w:line="240" w:lineRule="auto"/>
              <w:rPr>
                <w:rFonts w:eastAsia="Times New Roman" w:cs="Times New Roman"/>
                <w:color w:val="595959" w:themeColor="text1" w:themeTint="A6"/>
              </w:rPr>
            </w:pPr>
            <w:r w:rsidRPr="00E03423">
              <w:rPr>
                <w:rFonts w:eastAsia="Times New Roman" w:cs="Times New Roman"/>
                <w:color w:val="595959" w:themeColor="text1" w:themeTint="A6"/>
              </w:rPr>
              <w:t xml:space="preserve"># Activities and # Projects: in development - in implementation - completed.  Outputs and Objectives coded by sector and type. </w:t>
            </w:r>
          </w:p>
          <w:p w14:paraId="00DB0758" w14:textId="2EC3DA1B" w:rsidR="007F0F29" w:rsidRPr="00E03423" w:rsidRDefault="001307B5" w:rsidP="00BA0B42">
            <w:pPr>
              <w:tabs>
                <w:tab w:val="left" w:pos="284"/>
              </w:tabs>
              <w:suppressAutoHyphens w:val="0"/>
              <w:spacing w:line="240" w:lineRule="auto"/>
              <w:rPr>
                <w:rFonts w:eastAsia="Times New Roman" w:cs="Times New Roman"/>
                <w:b/>
                <w:bCs/>
                <w:color w:val="595959" w:themeColor="text1" w:themeTint="A6"/>
              </w:rPr>
            </w:pPr>
            <w:r w:rsidRPr="00E03423">
              <w:rPr>
                <w:rFonts w:eastAsia="Times New Roman" w:cs="Times New Roman"/>
                <w:b/>
                <w:bCs/>
                <w:color w:val="595959" w:themeColor="text1" w:themeTint="A6"/>
              </w:rPr>
              <w:t>*</w:t>
            </w:r>
            <w:r w:rsidR="007F0F29" w:rsidRPr="00E03423">
              <w:rPr>
                <w:rFonts w:eastAsia="Times New Roman" w:cs="Times New Roman"/>
                <w:b/>
                <w:bCs/>
                <w:color w:val="595959" w:themeColor="text1" w:themeTint="A6"/>
              </w:rPr>
              <w:t>Number of infrastructure projects supported that meet G20 Principles for Quality Infrastructure Investments, or similar internationally agreed standards.</w:t>
            </w:r>
          </w:p>
        </w:tc>
        <w:tc>
          <w:tcPr>
            <w:tcW w:w="2835" w:type="dxa"/>
          </w:tcPr>
          <w:p w14:paraId="6DB56FB7"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6-monthly Progress Report</w:t>
            </w:r>
          </w:p>
        </w:tc>
        <w:tc>
          <w:tcPr>
            <w:tcW w:w="2693" w:type="dxa"/>
          </w:tcPr>
          <w:p w14:paraId="648BBAE3"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Primary Contractor</w:t>
            </w:r>
          </w:p>
        </w:tc>
      </w:tr>
      <w:tr w:rsidR="001307B5" w:rsidRPr="001307B5" w14:paraId="59B5E47E" w14:textId="77777777" w:rsidTr="0084490E">
        <w:tc>
          <w:tcPr>
            <w:tcW w:w="3403" w:type="dxa"/>
          </w:tcPr>
          <w:p w14:paraId="52C6533A"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1.b To what extent does the program address climate adaptation and mitigation?</w:t>
            </w:r>
          </w:p>
        </w:tc>
        <w:tc>
          <w:tcPr>
            <w:tcW w:w="2976" w:type="dxa"/>
          </w:tcPr>
          <w:p w14:paraId="1D73C219"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Data analysis summary by Activity and Project data, by deliverable, cost, and DFAT Climate codes</w:t>
            </w:r>
          </w:p>
        </w:tc>
        <w:tc>
          <w:tcPr>
            <w:tcW w:w="3261" w:type="dxa"/>
          </w:tcPr>
          <w:p w14:paraId="36A43B59" w14:textId="77777777" w:rsidR="001307B5" w:rsidRPr="004A072C" w:rsidRDefault="001307B5" w:rsidP="00245199">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b/>
                <w:bCs/>
                <w:color w:val="595959" w:themeColor="text1" w:themeTint="A6"/>
              </w:rPr>
              <w:t>*</w:t>
            </w:r>
            <w:r w:rsidR="007F0F29" w:rsidRPr="004A072C">
              <w:rPr>
                <w:rFonts w:eastAsia="Times New Roman" w:cs="Times New Roman"/>
                <w:b/>
                <w:bCs/>
                <w:color w:val="595959" w:themeColor="text1" w:themeTint="A6"/>
              </w:rPr>
              <w:t xml:space="preserve">Number and value of investments that are contributing to low-emissions development pathways or are supporting mitigation activities and improving climate change adaptation and disaster resilience; Number and value of investments </w:t>
            </w:r>
            <w:r w:rsidR="007F0F29" w:rsidRPr="004A072C">
              <w:rPr>
                <w:rFonts w:eastAsia="Times New Roman" w:cs="Times New Roman"/>
                <w:b/>
                <w:bCs/>
                <w:color w:val="595959" w:themeColor="text1" w:themeTint="A6"/>
              </w:rPr>
              <w:lastRenderedPageBreak/>
              <w:t>which are promoting/delivering nature-positive outcomes.</w:t>
            </w:r>
            <w:r w:rsidR="007F0F29" w:rsidRPr="004A072C">
              <w:rPr>
                <w:rFonts w:eastAsia="Times New Roman" w:cs="Times New Roman"/>
                <w:color w:val="595959" w:themeColor="text1" w:themeTint="A6"/>
              </w:rPr>
              <w:t xml:space="preserve"> </w:t>
            </w:r>
          </w:p>
          <w:p w14:paraId="7CE9ED61" w14:textId="134AC640" w:rsidR="007F0F29" w:rsidRPr="004A072C" w:rsidRDefault="007F0F29" w:rsidP="00245199">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Number of people for whom Australia’s investments have improved adaptation to climate change and resilience to disasters.</w:t>
            </w:r>
          </w:p>
        </w:tc>
        <w:tc>
          <w:tcPr>
            <w:tcW w:w="2835" w:type="dxa"/>
          </w:tcPr>
          <w:p w14:paraId="35449A33"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lastRenderedPageBreak/>
              <w:t>6-monthly Progress Report</w:t>
            </w:r>
          </w:p>
        </w:tc>
        <w:tc>
          <w:tcPr>
            <w:tcW w:w="2693" w:type="dxa"/>
          </w:tcPr>
          <w:p w14:paraId="23DC6907"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Primary Contractor</w:t>
            </w:r>
          </w:p>
        </w:tc>
      </w:tr>
      <w:tr w:rsidR="001307B5" w:rsidRPr="001307B5" w14:paraId="52B234BA" w14:textId="77777777" w:rsidTr="0084490E">
        <w:tc>
          <w:tcPr>
            <w:tcW w:w="3403" w:type="dxa"/>
          </w:tcPr>
          <w:p w14:paraId="320BA365"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2.  To what extent is the program working in an integrated and collective manner?</w:t>
            </w:r>
          </w:p>
        </w:tc>
        <w:tc>
          <w:tcPr>
            <w:tcW w:w="2976" w:type="dxa"/>
          </w:tcPr>
          <w:p w14:paraId="03882992"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Data analysis summary by Activity and Project data, against Program-wide Activities and Outputs</w:t>
            </w:r>
          </w:p>
        </w:tc>
        <w:tc>
          <w:tcPr>
            <w:tcW w:w="3261" w:type="dxa"/>
          </w:tcPr>
          <w:p w14:paraId="19AF6B48" w14:textId="77777777" w:rsidR="007F0F29" w:rsidRPr="004A072C" w:rsidRDefault="007F0F29" w:rsidP="00245199">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Number and % of Activities and Projects that are linked or have interdependences across the portfolio</w:t>
            </w:r>
          </w:p>
        </w:tc>
        <w:tc>
          <w:tcPr>
            <w:tcW w:w="2835" w:type="dxa"/>
          </w:tcPr>
          <w:p w14:paraId="79B36732"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6-monthly Progress Report</w:t>
            </w:r>
          </w:p>
        </w:tc>
        <w:tc>
          <w:tcPr>
            <w:tcW w:w="2693" w:type="dxa"/>
          </w:tcPr>
          <w:p w14:paraId="728AD249"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Primary Contractor</w:t>
            </w:r>
          </w:p>
        </w:tc>
      </w:tr>
      <w:tr w:rsidR="001307B5" w:rsidRPr="001307B5" w14:paraId="4EF84ADC" w14:textId="77777777" w:rsidTr="0084490E">
        <w:tc>
          <w:tcPr>
            <w:tcW w:w="3403" w:type="dxa"/>
          </w:tcPr>
          <w:p w14:paraId="199DA74D"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 xml:space="preserve">3.  To what extent is the program working on End-to-end engagement in focus sectors (water, sanitation and waste management; transport and urban mobility; energy transition and renewables)  </w:t>
            </w:r>
          </w:p>
        </w:tc>
        <w:tc>
          <w:tcPr>
            <w:tcW w:w="2976" w:type="dxa"/>
          </w:tcPr>
          <w:p w14:paraId="502805BF"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Data analysis summary by Activity and Project data, against key focus sectors</w:t>
            </w:r>
          </w:p>
        </w:tc>
        <w:tc>
          <w:tcPr>
            <w:tcW w:w="3261" w:type="dxa"/>
          </w:tcPr>
          <w:p w14:paraId="041D9504" w14:textId="77777777" w:rsidR="001307B5" w:rsidRPr="004A072C" w:rsidRDefault="007F0F29" w:rsidP="00245199">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 xml:space="preserve">Number and % of Activities and Projects that are linked or have interdependences in focus sectors. </w:t>
            </w:r>
          </w:p>
          <w:p w14:paraId="2A7142E2" w14:textId="7DEA6502" w:rsidR="007F0F29" w:rsidRPr="004A072C" w:rsidRDefault="001307B5" w:rsidP="00B67D7D">
            <w:pPr>
              <w:tabs>
                <w:tab w:val="left" w:pos="284"/>
              </w:tabs>
              <w:suppressAutoHyphens w:val="0"/>
              <w:spacing w:before="60" w:after="120" w:line="240" w:lineRule="auto"/>
              <w:rPr>
                <w:rFonts w:eastAsia="Times New Roman" w:cs="Times New Roman"/>
                <w:b/>
                <w:bCs/>
                <w:color w:val="595959" w:themeColor="text1" w:themeTint="A6"/>
              </w:rPr>
            </w:pPr>
            <w:r w:rsidRPr="004A072C">
              <w:rPr>
                <w:rFonts w:eastAsia="Times New Roman" w:cs="Times New Roman"/>
                <w:b/>
                <w:bCs/>
                <w:color w:val="595959" w:themeColor="text1" w:themeTint="A6"/>
              </w:rPr>
              <w:t>*</w:t>
            </w:r>
            <w:r w:rsidR="007F0F29" w:rsidRPr="004A072C">
              <w:rPr>
                <w:rFonts w:eastAsia="Times New Roman" w:cs="Times New Roman"/>
                <w:b/>
                <w:bCs/>
                <w:color w:val="595959" w:themeColor="text1" w:themeTint="A6"/>
              </w:rPr>
              <w:t xml:space="preserve">Number of people </w:t>
            </w:r>
            <w:proofErr w:type="gramStart"/>
            <w:r w:rsidR="007F0F29" w:rsidRPr="004A072C">
              <w:rPr>
                <w:rFonts w:eastAsia="Times New Roman" w:cs="Times New Roman"/>
                <w:b/>
                <w:bCs/>
                <w:color w:val="595959" w:themeColor="text1" w:themeTint="A6"/>
              </w:rPr>
              <w:t>using:</w:t>
            </w:r>
            <w:proofErr w:type="gramEnd"/>
            <w:r w:rsidR="007F0F29" w:rsidRPr="004A072C">
              <w:rPr>
                <w:rFonts w:eastAsia="Times New Roman" w:cs="Times New Roman"/>
                <w:b/>
                <w:bCs/>
                <w:color w:val="595959" w:themeColor="text1" w:themeTint="A6"/>
              </w:rPr>
              <w:t xml:space="preserve"> basic or safely managed drinking water services or basic or safely managed sanitation services and/or a handwashing facility with soap and water</w:t>
            </w:r>
          </w:p>
        </w:tc>
        <w:tc>
          <w:tcPr>
            <w:tcW w:w="2835" w:type="dxa"/>
          </w:tcPr>
          <w:p w14:paraId="561FB16A"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6-monthly Progress Report</w:t>
            </w:r>
          </w:p>
        </w:tc>
        <w:tc>
          <w:tcPr>
            <w:tcW w:w="2693" w:type="dxa"/>
          </w:tcPr>
          <w:p w14:paraId="18E61D21"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Primary Contractor</w:t>
            </w:r>
          </w:p>
        </w:tc>
      </w:tr>
      <w:tr w:rsidR="001307B5" w:rsidRPr="001307B5" w14:paraId="375BBC7B" w14:textId="77777777" w:rsidTr="0084490E">
        <w:tc>
          <w:tcPr>
            <w:tcW w:w="3403" w:type="dxa"/>
          </w:tcPr>
          <w:p w14:paraId="265CCBE4"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3b. To what extent is policy, reform, financing and performance changing in each sub-sector (water, energy, transport)</w:t>
            </w:r>
          </w:p>
        </w:tc>
        <w:tc>
          <w:tcPr>
            <w:tcW w:w="2976" w:type="dxa"/>
          </w:tcPr>
          <w:p w14:paraId="5106A7DE"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Narrative, case study-based reporting of progress against 'Engagement Strategies' and expected pathway for each selected sector-sub-sector</w:t>
            </w:r>
          </w:p>
        </w:tc>
        <w:tc>
          <w:tcPr>
            <w:tcW w:w="3261" w:type="dxa"/>
          </w:tcPr>
          <w:p w14:paraId="0762D8C7" w14:textId="77777777" w:rsidR="007F0F29" w:rsidRPr="004A072C" w:rsidRDefault="007F0F29" w:rsidP="00245199">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Number and % of Activities and Projects in each sector on track to have 'significant' impact (metric on progress - poor, average, good, very good - by significance - low, moderate, high, very high)</w:t>
            </w:r>
          </w:p>
        </w:tc>
        <w:tc>
          <w:tcPr>
            <w:tcW w:w="2835" w:type="dxa"/>
          </w:tcPr>
          <w:p w14:paraId="7622F7B2"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6-monthly Progress Report</w:t>
            </w:r>
          </w:p>
        </w:tc>
        <w:tc>
          <w:tcPr>
            <w:tcW w:w="2693" w:type="dxa"/>
          </w:tcPr>
          <w:p w14:paraId="36856AB7"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Technical and Advisory lead specialists of the PC</w:t>
            </w:r>
          </w:p>
        </w:tc>
      </w:tr>
      <w:tr w:rsidR="001307B5" w:rsidRPr="001307B5" w14:paraId="38F51BF0" w14:textId="77777777" w:rsidTr="0084490E">
        <w:tc>
          <w:tcPr>
            <w:tcW w:w="3403" w:type="dxa"/>
          </w:tcPr>
          <w:p w14:paraId="555A97E5" w14:textId="77777777" w:rsidR="007F0F29" w:rsidRPr="004A072C" w:rsidRDefault="007F0F29" w:rsidP="00245199">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3c. To what extent and in what ways is GOI progressing its ambition in renewable energy and meeting stated targets?</w:t>
            </w:r>
          </w:p>
          <w:p w14:paraId="0F820489" w14:textId="77777777" w:rsidR="007F0F29" w:rsidRPr="004A072C" w:rsidRDefault="007F0F29" w:rsidP="00245199">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 xml:space="preserve">To what extent and in what ways is the GOI addressing constraints and </w:t>
            </w:r>
            <w:r w:rsidRPr="004A072C">
              <w:rPr>
                <w:rFonts w:eastAsia="Times New Roman" w:cs="Times New Roman"/>
                <w:color w:val="595959" w:themeColor="text1" w:themeTint="A6"/>
              </w:rPr>
              <w:lastRenderedPageBreak/>
              <w:t>opportunities in waste management (and services provided by water utilities of clean safe water and sanitation)</w:t>
            </w:r>
          </w:p>
          <w:p w14:paraId="09F4B52B" w14:textId="77777777" w:rsidR="007F0F29" w:rsidRPr="004A072C" w:rsidRDefault="007F0F29" w:rsidP="00245199">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To what extent and in what ways is the GOI addressing low carbon development in transport systems and urban connectivity)</w:t>
            </w:r>
          </w:p>
        </w:tc>
        <w:tc>
          <w:tcPr>
            <w:tcW w:w="2976" w:type="dxa"/>
          </w:tcPr>
          <w:p w14:paraId="0BD6EB58"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lastRenderedPageBreak/>
              <w:t>Narrative, case study-based reporting of progress against 'Engagement Strategies' and expected pathway for each selected sector-sub-sector</w:t>
            </w:r>
          </w:p>
        </w:tc>
        <w:tc>
          <w:tcPr>
            <w:tcW w:w="3261" w:type="dxa"/>
          </w:tcPr>
          <w:p w14:paraId="4F0F55B3"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Sector specific indicators identified in Engagement Frameworks and Project Feasibility Studies for renewable energy. transport and connectivity, waste management</w:t>
            </w:r>
          </w:p>
        </w:tc>
        <w:tc>
          <w:tcPr>
            <w:tcW w:w="2835" w:type="dxa"/>
          </w:tcPr>
          <w:p w14:paraId="1A579FDA"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6-monthly Progress Report</w:t>
            </w:r>
          </w:p>
        </w:tc>
        <w:tc>
          <w:tcPr>
            <w:tcW w:w="2693" w:type="dxa"/>
          </w:tcPr>
          <w:p w14:paraId="2E9C3049"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Technical and Advisory lead specialists of the PC</w:t>
            </w:r>
          </w:p>
        </w:tc>
      </w:tr>
      <w:tr w:rsidR="001307B5" w:rsidRPr="001307B5" w14:paraId="6A13BC85" w14:textId="77777777" w:rsidTr="0084490E">
        <w:tc>
          <w:tcPr>
            <w:tcW w:w="3403" w:type="dxa"/>
          </w:tcPr>
          <w:p w14:paraId="2E3DA19A"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4.   In what ways are engagement strategies (particularly adopting gender and disability perspectives) considered in all Activities </w:t>
            </w:r>
          </w:p>
        </w:tc>
        <w:tc>
          <w:tcPr>
            <w:tcW w:w="2976" w:type="dxa"/>
          </w:tcPr>
          <w:p w14:paraId="0D6D5B81"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 xml:space="preserve">Narrative, case study-based reporting against the GEDSI Strategy, complemented with MIS data from Activity and Project data </w:t>
            </w:r>
          </w:p>
        </w:tc>
        <w:tc>
          <w:tcPr>
            <w:tcW w:w="3261" w:type="dxa"/>
          </w:tcPr>
          <w:p w14:paraId="375C0D13" w14:textId="77777777" w:rsidR="007F0F29" w:rsidRPr="004A072C" w:rsidRDefault="007F0F29" w:rsidP="00245199">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Number and % Activities and Projects making significant progress on GEDSI integration (metric: progress by significance of effort); extent and nature of change (longitudinal action-research study)</w:t>
            </w:r>
          </w:p>
        </w:tc>
        <w:tc>
          <w:tcPr>
            <w:tcW w:w="2835" w:type="dxa"/>
          </w:tcPr>
          <w:p w14:paraId="616E67FE"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6-monthly Progress Report</w:t>
            </w:r>
          </w:p>
        </w:tc>
        <w:tc>
          <w:tcPr>
            <w:tcW w:w="2693" w:type="dxa"/>
          </w:tcPr>
          <w:p w14:paraId="63987029"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Technical and Advisory GEDSI specialists of the PC</w:t>
            </w:r>
          </w:p>
        </w:tc>
      </w:tr>
      <w:tr w:rsidR="001307B5" w:rsidRPr="001307B5" w14:paraId="1450D4E6" w14:textId="77777777" w:rsidTr="0084490E">
        <w:tc>
          <w:tcPr>
            <w:tcW w:w="3403" w:type="dxa"/>
          </w:tcPr>
          <w:p w14:paraId="12341C2D"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5.  What range of existing and innovative financing modalities are being utilised by the GOI and the program? (grants, loans, equity, investment, climate financing).</w:t>
            </w:r>
          </w:p>
        </w:tc>
        <w:tc>
          <w:tcPr>
            <w:tcW w:w="2976" w:type="dxa"/>
          </w:tcPr>
          <w:p w14:paraId="7429A65D" w14:textId="77777777" w:rsidR="007F0F29" w:rsidRPr="004A072C" w:rsidRDefault="007F0F29" w:rsidP="00245199">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Narrative, case study-based reporting against the innovative financing engagement strategy, complemented with data from Activity and Project Data</w:t>
            </w:r>
          </w:p>
        </w:tc>
        <w:tc>
          <w:tcPr>
            <w:tcW w:w="3261" w:type="dxa"/>
          </w:tcPr>
          <w:p w14:paraId="7CE02A94"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Number and type of financing instruments being deployed by GOI through Activities and Projects</w:t>
            </w:r>
          </w:p>
        </w:tc>
        <w:tc>
          <w:tcPr>
            <w:tcW w:w="2835" w:type="dxa"/>
          </w:tcPr>
          <w:p w14:paraId="3ECE6614"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6-monthly Progress Report</w:t>
            </w:r>
          </w:p>
        </w:tc>
        <w:tc>
          <w:tcPr>
            <w:tcW w:w="2693" w:type="dxa"/>
          </w:tcPr>
          <w:p w14:paraId="0F2EDFEA"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Technical and Advisory lead specialists of the PC</w:t>
            </w:r>
          </w:p>
        </w:tc>
      </w:tr>
      <w:tr w:rsidR="001307B5" w:rsidRPr="001307B5" w14:paraId="4CB99F01" w14:textId="77777777" w:rsidTr="0084490E">
        <w:tc>
          <w:tcPr>
            <w:tcW w:w="3403" w:type="dxa"/>
          </w:tcPr>
          <w:p w14:paraId="7C043A91"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6. What is being learnt from collaboration and innovation in MERL and feedback cycles? (including use of digital technologies)</w:t>
            </w:r>
          </w:p>
        </w:tc>
        <w:tc>
          <w:tcPr>
            <w:tcW w:w="2976" w:type="dxa"/>
          </w:tcPr>
          <w:p w14:paraId="4947C3A9" w14:textId="77777777" w:rsidR="007F0F29" w:rsidRPr="004A072C" w:rsidRDefault="007F0F29" w:rsidP="00245199">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Ongoing research and reporting updates on innovation and learning, led by the MERL Community of Practice, plus the ongoing reporting against the automation/digitalisation engagement thematic strategy</w:t>
            </w:r>
          </w:p>
        </w:tc>
        <w:tc>
          <w:tcPr>
            <w:tcW w:w="3261" w:type="dxa"/>
          </w:tcPr>
          <w:p w14:paraId="612A1551"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Extent and nature of learning, adaptation and adoption reported by stakeholders</w:t>
            </w:r>
          </w:p>
        </w:tc>
        <w:tc>
          <w:tcPr>
            <w:tcW w:w="2835" w:type="dxa"/>
          </w:tcPr>
          <w:p w14:paraId="2680A5FC"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6-monthly Progress Report</w:t>
            </w:r>
          </w:p>
        </w:tc>
        <w:tc>
          <w:tcPr>
            <w:tcW w:w="2693" w:type="dxa"/>
          </w:tcPr>
          <w:p w14:paraId="306C7B0E"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Technical and Advisory lead M&amp;E specialists of the PC</w:t>
            </w:r>
          </w:p>
        </w:tc>
      </w:tr>
      <w:tr w:rsidR="001307B5" w:rsidRPr="001307B5" w14:paraId="397C225E" w14:textId="77777777" w:rsidTr="0084490E">
        <w:tc>
          <w:tcPr>
            <w:tcW w:w="3403" w:type="dxa"/>
          </w:tcPr>
          <w:p w14:paraId="0815B7D1"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 xml:space="preserve">7. To what extent is policy engagement and public diplomacy being undertaken across the </w:t>
            </w:r>
            <w:r w:rsidRPr="004A072C">
              <w:rPr>
                <w:rFonts w:eastAsia="Times New Roman" w:cs="Times New Roman"/>
                <w:color w:val="595959" w:themeColor="text1" w:themeTint="A6"/>
              </w:rPr>
              <w:lastRenderedPageBreak/>
              <w:t xml:space="preserve">program, and what change is being </w:t>
            </w:r>
            <w:proofErr w:type="gramStart"/>
            <w:r w:rsidRPr="004A072C">
              <w:rPr>
                <w:rFonts w:eastAsia="Times New Roman" w:cs="Times New Roman"/>
                <w:color w:val="595959" w:themeColor="text1" w:themeTint="A6"/>
              </w:rPr>
              <w:t>effected</w:t>
            </w:r>
            <w:proofErr w:type="gramEnd"/>
            <w:r w:rsidRPr="004A072C">
              <w:rPr>
                <w:rFonts w:eastAsia="Times New Roman" w:cs="Times New Roman"/>
                <w:color w:val="595959" w:themeColor="text1" w:themeTint="A6"/>
              </w:rPr>
              <w:t>?</w:t>
            </w:r>
          </w:p>
        </w:tc>
        <w:tc>
          <w:tcPr>
            <w:tcW w:w="2976" w:type="dxa"/>
          </w:tcPr>
          <w:p w14:paraId="44398738"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lastRenderedPageBreak/>
              <w:t>Narrative report of policy engagement and PD undertaken by DFAT and across the program</w:t>
            </w:r>
          </w:p>
        </w:tc>
        <w:tc>
          <w:tcPr>
            <w:tcW w:w="3261" w:type="dxa"/>
          </w:tcPr>
          <w:p w14:paraId="6E055552"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Number and type of events and publications (including social media metrics)</w:t>
            </w:r>
          </w:p>
        </w:tc>
        <w:tc>
          <w:tcPr>
            <w:tcW w:w="2835" w:type="dxa"/>
          </w:tcPr>
          <w:p w14:paraId="5DA70CCB" w14:textId="77777777" w:rsidR="007F0F29" w:rsidRPr="004A072C" w:rsidRDefault="007F0F29"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 xml:space="preserve">6-montly updated Policy Matrix, annual INMR; narrative reporting from PC </w:t>
            </w:r>
            <w:r w:rsidRPr="004A072C">
              <w:rPr>
                <w:rFonts w:eastAsia="Times New Roman" w:cs="Times New Roman"/>
                <w:color w:val="595959" w:themeColor="text1" w:themeTint="A6"/>
              </w:rPr>
              <w:lastRenderedPageBreak/>
              <w:t>across the program, including from Delivery Partners</w:t>
            </w:r>
          </w:p>
        </w:tc>
        <w:tc>
          <w:tcPr>
            <w:tcW w:w="2693" w:type="dxa"/>
          </w:tcPr>
          <w:p w14:paraId="6CA2B810" w14:textId="77777777" w:rsidR="007F0F29" w:rsidRPr="004A072C" w:rsidRDefault="007F0F29" w:rsidP="00245199">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lastRenderedPageBreak/>
              <w:t xml:space="preserve">Technical Support Group support to DFAT internal data collection, analysis and reporting process (with </w:t>
            </w:r>
            <w:r w:rsidRPr="004A072C">
              <w:rPr>
                <w:rFonts w:eastAsia="Times New Roman" w:cs="Times New Roman"/>
                <w:color w:val="595959" w:themeColor="text1" w:themeTint="A6"/>
              </w:rPr>
              <w:lastRenderedPageBreak/>
              <w:t>information supplied by the PC)</w:t>
            </w:r>
          </w:p>
        </w:tc>
      </w:tr>
    </w:tbl>
    <w:p w14:paraId="33DAABF2" w14:textId="5DCEC619" w:rsidR="00F65F5C" w:rsidRPr="004A072C" w:rsidRDefault="007F0F29">
      <w:pPr>
        <w:rPr>
          <w:color w:val="595959" w:themeColor="text1" w:themeTint="A6"/>
        </w:rPr>
      </w:pPr>
      <w:r w:rsidRPr="004A072C">
        <w:rPr>
          <w:color w:val="595959" w:themeColor="text1" w:themeTint="A6"/>
        </w:rPr>
        <w:lastRenderedPageBreak/>
        <w:t xml:space="preserve"> </w:t>
      </w:r>
      <w:r w:rsidR="001467BB" w:rsidRPr="004A072C">
        <w:rPr>
          <w:rFonts w:eastAsia="Times New Roman" w:cs="Times New Roman"/>
          <w:b/>
          <w:bCs/>
          <w:color w:val="595959" w:themeColor="text1" w:themeTint="A6"/>
        </w:rPr>
        <w:t>Table 4. F</w:t>
      </w:r>
      <w:r w:rsidRPr="004A072C">
        <w:rPr>
          <w:rFonts w:eastAsia="Times New Roman" w:cs="Times New Roman"/>
          <w:b/>
          <w:bCs/>
          <w:color w:val="595959" w:themeColor="text1" w:themeTint="A6"/>
        </w:rPr>
        <w:t>OCAL SECTORS AND CONTRIBUTION TO RPJMN OUTCOMES</w:t>
      </w:r>
    </w:p>
    <w:tbl>
      <w:tblPr>
        <w:tblStyle w:val="TableGrid"/>
        <w:tblW w:w="15168" w:type="dxa"/>
        <w:tblInd w:w="-714" w:type="dxa"/>
        <w:tblLook w:val="04A0" w:firstRow="1" w:lastRow="0" w:firstColumn="1" w:lastColumn="0" w:noHBand="0" w:noVBand="1"/>
        <w:tblCaption w:val="Focal Sectors and Contribution to RPJMN Outcomes"/>
        <w:tblDescription w:val="This table focuses on the assessment of outcomes and impact for the KINETIK Partnership program, detailing both intermediate and end-of-program outcomes. It lists key evaluative questions such as whether the Government of Indonesia’s (GOI) Public-Private Project Pipeline is attractive to investors, the adoption of gender transformative practices by Indonesian agencies, the increased use of digital technology and automation, changes in the policy and regulatory environment affecting financial capital markets, and the transition from ODA grants-based mechanisms to alternative development financing. For each question, the table specifies the data collection method (such as ongoing reviews, longitudinal research, internal assessments, and policy analysis), the relevant indicators (like changes in investor confidence, number of agencies adopting gender practices, and uptake of automation), and the reporting responsibilities assigned to technical and advisory specialists, the Primary Contractor, and lead partners.&#10;"/>
      </w:tblPr>
      <w:tblGrid>
        <w:gridCol w:w="3403"/>
        <w:gridCol w:w="2976"/>
        <w:gridCol w:w="3261"/>
        <w:gridCol w:w="2835"/>
        <w:gridCol w:w="2693"/>
      </w:tblGrid>
      <w:tr w:rsidR="001307B5" w:rsidRPr="001307B5" w14:paraId="5B4296A8" w14:textId="77777777" w:rsidTr="0084490E">
        <w:tc>
          <w:tcPr>
            <w:tcW w:w="3403" w:type="dxa"/>
            <w:shd w:val="clear" w:color="auto" w:fill="CCECFF"/>
            <w:vAlign w:val="center"/>
          </w:tcPr>
          <w:p w14:paraId="224E10F1" w14:textId="649B37C9" w:rsidR="00662905" w:rsidRPr="004A072C" w:rsidRDefault="00662905" w:rsidP="00662905">
            <w:pPr>
              <w:tabs>
                <w:tab w:val="left" w:pos="284"/>
              </w:tabs>
              <w:suppressAutoHyphens w:val="0"/>
              <w:spacing w:before="0" w:line="280" w:lineRule="exact"/>
              <w:rPr>
                <w:rFonts w:eastAsia="Times New Roman" w:cs="Times New Roman"/>
                <w:color w:val="595959" w:themeColor="text1" w:themeTint="A6"/>
              </w:rPr>
            </w:pPr>
            <w:r w:rsidRPr="004A072C">
              <w:rPr>
                <w:rFonts w:eastAsia="Times New Roman" w:cs="Times New Roman"/>
                <w:b/>
                <w:bCs/>
                <w:i/>
                <w:iCs/>
                <w:color w:val="595959" w:themeColor="text1" w:themeTint="A6"/>
              </w:rPr>
              <w:t>Key Evaluative Questions</w:t>
            </w:r>
          </w:p>
        </w:tc>
        <w:tc>
          <w:tcPr>
            <w:tcW w:w="2976" w:type="dxa"/>
            <w:shd w:val="clear" w:color="auto" w:fill="CCECFF"/>
            <w:vAlign w:val="center"/>
          </w:tcPr>
          <w:p w14:paraId="27ECA5C0" w14:textId="31B8120E" w:rsidR="00662905" w:rsidRPr="004A072C" w:rsidRDefault="00662905" w:rsidP="004B2295">
            <w:pPr>
              <w:tabs>
                <w:tab w:val="left" w:pos="284"/>
              </w:tabs>
              <w:suppressAutoHyphens w:val="0"/>
              <w:spacing w:before="0" w:line="260" w:lineRule="exact"/>
              <w:rPr>
                <w:rFonts w:eastAsia="Times New Roman" w:cs="Times New Roman"/>
                <w:color w:val="595959" w:themeColor="text1" w:themeTint="A6"/>
              </w:rPr>
            </w:pPr>
            <w:r w:rsidRPr="004A072C">
              <w:rPr>
                <w:rFonts w:eastAsia="Times New Roman" w:cs="Times New Roman"/>
                <w:b/>
                <w:bCs/>
                <w:i/>
                <w:iCs/>
                <w:color w:val="595959" w:themeColor="text1" w:themeTint="A6"/>
              </w:rPr>
              <w:t>Data collection method</w:t>
            </w:r>
          </w:p>
        </w:tc>
        <w:tc>
          <w:tcPr>
            <w:tcW w:w="3261" w:type="dxa"/>
            <w:shd w:val="clear" w:color="auto" w:fill="CCECFF"/>
            <w:vAlign w:val="center"/>
          </w:tcPr>
          <w:p w14:paraId="3C9F7311" w14:textId="0CB96C55" w:rsidR="00662905" w:rsidRPr="001307B5" w:rsidRDefault="00662905" w:rsidP="00662905">
            <w:pPr>
              <w:tabs>
                <w:tab w:val="left" w:pos="284"/>
              </w:tabs>
              <w:suppressAutoHyphens w:val="0"/>
              <w:spacing w:before="0" w:line="280" w:lineRule="exact"/>
              <w:rPr>
                <w:rFonts w:eastAsia="Times New Roman" w:cs="Times New Roman"/>
                <w:color w:val="7F7F7F" w:themeColor="text1" w:themeTint="80"/>
              </w:rPr>
            </w:pPr>
          </w:p>
        </w:tc>
        <w:tc>
          <w:tcPr>
            <w:tcW w:w="2835" w:type="dxa"/>
            <w:shd w:val="clear" w:color="auto" w:fill="CCECFF"/>
            <w:vAlign w:val="center"/>
          </w:tcPr>
          <w:p w14:paraId="4C0E357B" w14:textId="0449228D" w:rsidR="00662905" w:rsidRPr="004A072C" w:rsidRDefault="00662905" w:rsidP="00662905">
            <w:pPr>
              <w:tabs>
                <w:tab w:val="left" w:pos="284"/>
              </w:tabs>
              <w:suppressAutoHyphens w:val="0"/>
              <w:spacing w:before="0" w:line="280" w:lineRule="exact"/>
              <w:rPr>
                <w:rFonts w:eastAsia="Times New Roman" w:cs="Times New Roman"/>
                <w:color w:val="595959" w:themeColor="text1" w:themeTint="A6"/>
              </w:rPr>
            </w:pPr>
            <w:r w:rsidRPr="004A072C">
              <w:rPr>
                <w:rFonts w:eastAsia="Times New Roman" w:cs="Times New Roman"/>
                <w:b/>
                <w:bCs/>
                <w:i/>
                <w:iCs/>
                <w:color w:val="595959" w:themeColor="text1" w:themeTint="A6"/>
              </w:rPr>
              <w:t>Reporting</w:t>
            </w:r>
          </w:p>
        </w:tc>
        <w:tc>
          <w:tcPr>
            <w:tcW w:w="2693" w:type="dxa"/>
            <w:shd w:val="clear" w:color="auto" w:fill="CCECFF"/>
            <w:vAlign w:val="center"/>
          </w:tcPr>
          <w:p w14:paraId="58269583" w14:textId="04BF209E" w:rsidR="00662905" w:rsidRPr="004A072C" w:rsidRDefault="00662905" w:rsidP="00662905">
            <w:pPr>
              <w:tabs>
                <w:tab w:val="left" w:pos="284"/>
              </w:tabs>
              <w:suppressAutoHyphens w:val="0"/>
              <w:spacing w:before="0" w:line="280" w:lineRule="exact"/>
              <w:rPr>
                <w:rFonts w:eastAsia="Times New Roman" w:cs="Times New Roman"/>
                <w:color w:val="595959" w:themeColor="text1" w:themeTint="A6"/>
              </w:rPr>
            </w:pPr>
            <w:r w:rsidRPr="004A072C">
              <w:rPr>
                <w:rFonts w:eastAsia="Times New Roman" w:cs="Times New Roman"/>
                <w:b/>
                <w:bCs/>
                <w:i/>
                <w:iCs/>
                <w:color w:val="595959" w:themeColor="text1" w:themeTint="A6"/>
              </w:rPr>
              <w:t>Responsibility</w:t>
            </w:r>
          </w:p>
        </w:tc>
      </w:tr>
      <w:tr w:rsidR="001307B5" w:rsidRPr="001307B5" w14:paraId="5EEBDC91" w14:textId="77777777" w:rsidTr="0084490E">
        <w:tc>
          <w:tcPr>
            <w:tcW w:w="3403" w:type="dxa"/>
          </w:tcPr>
          <w:p w14:paraId="2DF6FC21" w14:textId="547C1940" w:rsidR="00662905" w:rsidRPr="004A072C" w:rsidRDefault="00202483" w:rsidP="00CC36A7">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To what extent did BAPPENAS, MOF and relevant line Ministries access customised policy, technical and financing assistance to address strategic priorities?</w:t>
            </w:r>
          </w:p>
        </w:tc>
        <w:tc>
          <w:tcPr>
            <w:tcW w:w="2976" w:type="dxa"/>
          </w:tcPr>
          <w:p w14:paraId="77334B03" w14:textId="77777777" w:rsidR="00662905" w:rsidRPr="001307B5" w:rsidRDefault="00662905" w:rsidP="00CC36A7">
            <w:pPr>
              <w:tabs>
                <w:tab w:val="left" w:pos="284"/>
              </w:tabs>
              <w:suppressAutoHyphens w:val="0"/>
              <w:spacing w:before="0" w:line="240" w:lineRule="auto"/>
              <w:rPr>
                <w:rFonts w:eastAsia="Times New Roman" w:cs="Times New Roman"/>
                <w:color w:val="7F7F7F" w:themeColor="text1" w:themeTint="80"/>
              </w:rPr>
            </w:pPr>
          </w:p>
        </w:tc>
        <w:tc>
          <w:tcPr>
            <w:tcW w:w="3261" w:type="dxa"/>
          </w:tcPr>
          <w:p w14:paraId="05D1A7CE" w14:textId="77777777" w:rsidR="00662905" w:rsidRPr="001307B5" w:rsidRDefault="00662905" w:rsidP="00CC36A7">
            <w:pPr>
              <w:tabs>
                <w:tab w:val="left" w:pos="284"/>
              </w:tabs>
              <w:suppressAutoHyphens w:val="0"/>
              <w:spacing w:before="0" w:line="240" w:lineRule="auto"/>
              <w:rPr>
                <w:rFonts w:eastAsia="Times New Roman" w:cs="Times New Roman"/>
                <w:color w:val="7F7F7F" w:themeColor="text1" w:themeTint="80"/>
              </w:rPr>
            </w:pPr>
          </w:p>
        </w:tc>
        <w:tc>
          <w:tcPr>
            <w:tcW w:w="2835" w:type="dxa"/>
          </w:tcPr>
          <w:p w14:paraId="571F4B19" w14:textId="77777777" w:rsidR="00662905" w:rsidRPr="001307B5" w:rsidRDefault="00662905" w:rsidP="00CC36A7">
            <w:pPr>
              <w:tabs>
                <w:tab w:val="left" w:pos="284"/>
              </w:tabs>
              <w:suppressAutoHyphens w:val="0"/>
              <w:spacing w:before="0" w:line="240" w:lineRule="auto"/>
              <w:rPr>
                <w:rFonts w:eastAsia="Times New Roman" w:cs="Times New Roman"/>
                <w:color w:val="7F7F7F" w:themeColor="text1" w:themeTint="80"/>
              </w:rPr>
            </w:pPr>
          </w:p>
        </w:tc>
        <w:tc>
          <w:tcPr>
            <w:tcW w:w="2693" w:type="dxa"/>
          </w:tcPr>
          <w:p w14:paraId="6690DFF0" w14:textId="77777777" w:rsidR="00662905" w:rsidRPr="001307B5" w:rsidRDefault="00662905" w:rsidP="00CC36A7">
            <w:pPr>
              <w:tabs>
                <w:tab w:val="left" w:pos="284"/>
              </w:tabs>
              <w:suppressAutoHyphens w:val="0"/>
              <w:spacing w:before="0" w:line="240" w:lineRule="auto"/>
              <w:rPr>
                <w:rFonts w:eastAsia="Times New Roman" w:cs="Times New Roman"/>
                <w:color w:val="7F7F7F" w:themeColor="text1" w:themeTint="80"/>
              </w:rPr>
            </w:pPr>
          </w:p>
        </w:tc>
      </w:tr>
      <w:tr w:rsidR="001307B5" w:rsidRPr="001307B5" w14:paraId="07AA03B0" w14:textId="77777777" w:rsidTr="0084490E">
        <w:tc>
          <w:tcPr>
            <w:tcW w:w="3403" w:type="dxa"/>
          </w:tcPr>
          <w:p w14:paraId="1803DE69" w14:textId="0A6A8319" w:rsidR="00C974BD" w:rsidRPr="004A072C" w:rsidRDefault="00C974BD" w:rsidP="00CC36A7">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How many activities, of what value, were identified, planned and delivered?</w:t>
            </w:r>
          </w:p>
        </w:tc>
        <w:tc>
          <w:tcPr>
            <w:tcW w:w="2976" w:type="dxa"/>
          </w:tcPr>
          <w:p w14:paraId="6778261A" w14:textId="44162B66" w:rsidR="00C974BD" w:rsidRPr="004A072C" w:rsidRDefault="00C974BD" w:rsidP="00CC36A7">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Data analysis summary of Activity and Project data from summary data sheets</w:t>
            </w:r>
          </w:p>
        </w:tc>
        <w:tc>
          <w:tcPr>
            <w:tcW w:w="3261" w:type="dxa"/>
          </w:tcPr>
          <w:p w14:paraId="075AA9FC" w14:textId="5F486B98" w:rsidR="00C974BD" w:rsidRPr="004A072C" w:rsidRDefault="00C974BD" w:rsidP="00CC36A7">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 Activities and # Projects: in development - in implementation - completed.  Outputs and Objectives coded by sector and type.</w:t>
            </w:r>
          </w:p>
        </w:tc>
        <w:tc>
          <w:tcPr>
            <w:tcW w:w="2835" w:type="dxa"/>
          </w:tcPr>
          <w:p w14:paraId="3C37E9A9" w14:textId="798AA948" w:rsidR="00C974BD" w:rsidRPr="004A072C" w:rsidRDefault="00C974BD" w:rsidP="00CC36A7">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6-monthly Progress Report</w:t>
            </w:r>
          </w:p>
        </w:tc>
        <w:tc>
          <w:tcPr>
            <w:tcW w:w="2693" w:type="dxa"/>
          </w:tcPr>
          <w:p w14:paraId="480BCC50" w14:textId="75C3C8D3" w:rsidR="00C974BD" w:rsidRPr="004A072C" w:rsidRDefault="00C974BD" w:rsidP="00CC36A7">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Primary Contractor</w:t>
            </w:r>
          </w:p>
        </w:tc>
      </w:tr>
      <w:tr w:rsidR="001307B5" w:rsidRPr="001307B5" w14:paraId="4960CACE" w14:textId="77777777" w:rsidTr="0084490E">
        <w:tc>
          <w:tcPr>
            <w:tcW w:w="3403" w:type="dxa"/>
          </w:tcPr>
          <w:p w14:paraId="78F29366" w14:textId="3FC43BE4" w:rsidR="00C974BD" w:rsidRPr="004A072C" w:rsidRDefault="00C974BD" w:rsidP="00CC36A7">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How engaged was the Ministry/Agency, and how satisfied are they with the responsiveness, timeliness and quality of inputs provided?</w:t>
            </w:r>
          </w:p>
        </w:tc>
        <w:tc>
          <w:tcPr>
            <w:tcW w:w="2976" w:type="dxa"/>
          </w:tcPr>
          <w:p w14:paraId="0D0DB222" w14:textId="7C074DEE" w:rsidR="00C974BD" w:rsidRPr="004A072C" w:rsidRDefault="00C974BD" w:rsidP="00CC36A7">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Annual consultation with each participating Ministry/Agency to seek feedback</w:t>
            </w:r>
          </w:p>
        </w:tc>
        <w:tc>
          <w:tcPr>
            <w:tcW w:w="3261" w:type="dxa"/>
          </w:tcPr>
          <w:p w14:paraId="6177826A" w14:textId="32EBB825" w:rsidR="00C974BD" w:rsidRPr="004A072C" w:rsidRDefault="00C974BD" w:rsidP="00CC36A7">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Partner rating of Not, Somewhat, Completely, Extremely Satisfied agreed with the partner in consultation</w:t>
            </w:r>
          </w:p>
        </w:tc>
        <w:tc>
          <w:tcPr>
            <w:tcW w:w="2835" w:type="dxa"/>
          </w:tcPr>
          <w:p w14:paraId="40D301F6" w14:textId="38768467" w:rsidR="00C974BD" w:rsidRPr="004A072C" w:rsidRDefault="00DE477B" w:rsidP="00CC36A7">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Minute record of consultation, provided in 6</w:t>
            </w:r>
            <w:r w:rsidR="007A19DA" w:rsidRPr="004A072C">
              <w:rPr>
                <w:rFonts w:eastAsia="Times New Roman" w:cs="Times New Roman"/>
                <w:color w:val="595959" w:themeColor="text1" w:themeTint="A6"/>
              </w:rPr>
              <w:t>-</w:t>
            </w:r>
            <w:r w:rsidRPr="004A072C">
              <w:rPr>
                <w:rFonts w:eastAsia="Times New Roman" w:cs="Times New Roman"/>
                <w:color w:val="595959" w:themeColor="text1" w:themeTint="A6"/>
              </w:rPr>
              <w:t>monthly and annual Primary Contractor reporting</w:t>
            </w:r>
          </w:p>
        </w:tc>
        <w:tc>
          <w:tcPr>
            <w:tcW w:w="2693" w:type="dxa"/>
          </w:tcPr>
          <w:p w14:paraId="79FF11F5" w14:textId="1D4BC3DD" w:rsidR="00C974BD" w:rsidRPr="004A072C" w:rsidRDefault="00C974BD" w:rsidP="00CC36A7">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Primary Contractor</w:t>
            </w:r>
          </w:p>
        </w:tc>
      </w:tr>
      <w:tr w:rsidR="001307B5" w:rsidRPr="001307B5" w14:paraId="0E9AFF76" w14:textId="77777777" w:rsidTr="0084490E">
        <w:tc>
          <w:tcPr>
            <w:tcW w:w="3403" w:type="dxa"/>
          </w:tcPr>
          <w:p w14:paraId="5EC2ED0F" w14:textId="1EAFEDAA" w:rsidR="00C974BD" w:rsidRPr="004A072C" w:rsidRDefault="007134B7" w:rsidP="00C974BD">
            <w:pPr>
              <w:tabs>
                <w:tab w:val="left" w:pos="284"/>
              </w:tabs>
              <w:suppressAutoHyphens w:val="0"/>
              <w:spacing w:before="0" w:line="280" w:lineRule="exact"/>
              <w:rPr>
                <w:rFonts w:eastAsia="Times New Roman" w:cs="Times New Roman"/>
                <w:b/>
                <w:bCs/>
                <w:color w:val="595959" w:themeColor="text1" w:themeTint="A6"/>
              </w:rPr>
            </w:pPr>
            <w:r w:rsidRPr="004A072C">
              <w:rPr>
                <w:color w:val="595959" w:themeColor="text1" w:themeTint="A6"/>
              </w:rPr>
              <w:br w:type="page"/>
            </w:r>
            <w:r w:rsidR="00C974BD" w:rsidRPr="004A072C">
              <w:rPr>
                <w:rFonts w:eastAsia="Times New Roman" w:cs="Times New Roman"/>
                <w:b/>
                <w:bCs/>
                <w:color w:val="595959" w:themeColor="text1" w:themeTint="A6"/>
              </w:rPr>
              <w:t>Contribution to RPJMN Outcomes</w:t>
            </w:r>
          </w:p>
        </w:tc>
        <w:tc>
          <w:tcPr>
            <w:tcW w:w="2976" w:type="dxa"/>
          </w:tcPr>
          <w:p w14:paraId="770D43D2" w14:textId="77777777" w:rsidR="00C974BD" w:rsidRPr="001307B5" w:rsidRDefault="00C974BD" w:rsidP="00C974BD">
            <w:pPr>
              <w:tabs>
                <w:tab w:val="left" w:pos="284"/>
              </w:tabs>
              <w:suppressAutoHyphens w:val="0"/>
              <w:spacing w:before="0" w:line="280" w:lineRule="exact"/>
              <w:rPr>
                <w:rFonts w:eastAsia="Times New Roman" w:cs="Times New Roman"/>
                <w:color w:val="7F7F7F" w:themeColor="text1" w:themeTint="80"/>
              </w:rPr>
            </w:pPr>
          </w:p>
        </w:tc>
        <w:tc>
          <w:tcPr>
            <w:tcW w:w="3261" w:type="dxa"/>
          </w:tcPr>
          <w:p w14:paraId="52EFB44B" w14:textId="77777777" w:rsidR="00C974BD" w:rsidRPr="001307B5" w:rsidRDefault="00C974BD" w:rsidP="00C974BD">
            <w:pPr>
              <w:tabs>
                <w:tab w:val="left" w:pos="284"/>
              </w:tabs>
              <w:suppressAutoHyphens w:val="0"/>
              <w:spacing w:before="0" w:line="280" w:lineRule="exact"/>
              <w:rPr>
                <w:rFonts w:eastAsia="Times New Roman" w:cs="Times New Roman"/>
                <w:color w:val="7F7F7F" w:themeColor="text1" w:themeTint="80"/>
              </w:rPr>
            </w:pPr>
          </w:p>
        </w:tc>
        <w:tc>
          <w:tcPr>
            <w:tcW w:w="2835" w:type="dxa"/>
          </w:tcPr>
          <w:p w14:paraId="50E47564" w14:textId="77777777" w:rsidR="00C974BD" w:rsidRPr="001307B5" w:rsidRDefault="00C974BD" w:rsidP="00C974BD">
            <w:pPr>
              <w:tabs>
                <w:tab w:val="left" w:pos="284"/>
              </w:tabs>
              <w:suppressAutoHyphens w:val="0"/>
              <w:spacing w:before="0" w:line="280" w:lineRule="exact"/>
              <w:rPr>
                <w:rFonts w:eastAsia="Times New Roman" w:cs="Times New Roman"/>
                <w:color w:val="7F7F7F" w:themeColor="text1" w:themeTint="80"/>
              </w:rPr>
            </w:pPr>
          </w:p>
        </w:tc>
        <w:tc>
          <w:tcPr>
            <w:tcW w:w="2693" w:type="dxa"/>
          </w:tcPr>
          <w:p w14:paraId="6778567E" w14:textId="77777777" w:rsidR="00C974BD" w:rsidRPr="001307B5" w:rsidRDefault="00C974BD" w:rsidP="00C974BD">
            <w:pPr>
              <w:tabs>
                <w:tab w:val="left" w:pos="284"/>
              </w:tabs>
              <w:suppressAutoHyphens w:val="0"/>
              <w:spacing w:before="0" w:line="280" w:lineRule="exact"/>
              <w:rPr>
                <w:rFonts w:eastAsia="Times New Roman" w:cs="Times New Roman"/>
                <w:color w:val="7F7F7F" w:themeColor="text1" w:themeTint="80"/>
              </w:rPr>
            </w:pPr>
          </w:p>
        </w:tc>
      </w:tr>
      <w:tr w:rsidR="001307B5" w:rsidRPr="001307B5" w14:paraId="694A7CBD" w14:textId="77777777" w:rsidTr="0084490E">
        <w:tc>
          <w:tcPr>
            <w:tcW w:w="3403" w:type="dxa"/>
          </w:tcPr>
          <w:p w14:paraId="7AECE488" w14:textId="7B71D036" w:rsidR="00C974BD" w:rsidRPr="004A072C" w:rsidRDefault="00C974BD" w:rsidP="00C974BD">
            <w:pPr>
              <w:tabs>
                <w:tab w:val="left" w:pos="284"/>
              </w:tabs>
              <w:suppressAutoHyphens w:val="0"/>
              <w:spacing w:before="0" w:line="280" w:lineRule="exact"/>
              <w:rPr>
                <w:rFonts w:eastAsia="Times New Roman" w:cs="Times New Roman"/>
                <w:color w:val="595959" w:themeColor="text1" w:themeTint="A6"/>
              </w:rPr>
            </w:pPr>
            <w:r w:rsidRPr="004A072C">
              <w:rPr>
                <w:rFonts w:eastAsia="Times New Roman" w:cs="Times New Roman"/>
                <w:color w:val="595959" w:themeColor="text1" w:themeTint="A6"/>
              </w:rPr>
              <w:t>To what extent did the GOI meets its RPJMN objectives of:</w:t>
            </w:r>
          </w:p>
        </w:tc>
        <w:tc>
          <w:tcPr>
            <w:tcW w:w="2976" w:type="dxa"/>
          </w:tcPr>
          <w:p w14:paraId="6D082C9D" w14:textId="77777777" w:rsidR="00C974BD" w:rsidRPr="001307B5" w:rsidRDefault="00C974BD" w:rsidP="00C974BD">
            <w:pPr>
              <w:tabs>
                <w:tab w:val="left" w:pos="284"/>
              </w:tabs>
              <w:suppressAutoHyphens w:val="0"/>
              <w:spacing w:before="0" w:line="280" w:lineRule="exact"/>
              <w:rPr>
                <w:rFonts w:eastAsia="Times New Roman" w:cs="Times New Roman"/>
                <w:color w:val="7F7F7F" w:themeColor="text1" w:themeTint="80"/>
              </w:rPr>
            </w:pPr>
          </w:p>
        </w:tc>
        <w:tc>
          <w:tcPr>
            <w:tcW w:w="3261" w:type="dxa"/>
          </w:tcPr>
          <w:p w14:paraId="6DA482EF" w14:textId="77777777" w:rsidR="00C974BD" w:rsidRPr="001307B5" w:rsidRDefault="00C974BD" w:rsidP="00C974BD">
            <w:pPr>
              <w:tabs>
                <w:tab w:val="left" w:pos="284"/>
              </w:tabs>
              <w:suppressAutoHyphens w:val="0"/>
              <w:spacing w:before="0" w:line="280" w:lineRule="exact"/>
              <w:rPr>
                <w:rFonts w:eastAsia="Times New Roman" w:cs="Times New Roman"/>
                <w:color w:val="7F7F7F" w:themeColor="text1" w:themeTint="80"/>
              </w:rPr>
            </w:pPr>
          </w:p>
        </w:tc>
        <w:tc>
          <w:tcPr>
            <w:tcW w:w="2835" w:type="dxa"/>
          </w:tcPr>
          <w:p w14:paraId="5B400D6C" w14:textId="77777777" w:rsidR="00C974BD" w:rsidRPr="001307B5" w:rsidRDefault="00C974BD" w:rsidP="00C974BD">
            <w:pPr>
              <w:tabs>
                <w:tab w:val="left" w:pos="284"/>
              </w:tabs>
              <w:suppressAutoHyphens w:val="0"/>
              <w:spacing w:before="0" w:line="280" w:lineRule="exact"/>
              <w:rPr>
                <w:rFonts w:eastAsia="Times New Roman" w:cs="Times New Roman"/>
                <w:color w:val="7F7F7F" w:themeColor="text1" w:themeTint="80"/>
              </w:rPr>
            </w:pPr>
          </w:p>
        </w:tc>
        <w:tc>
          <w:tcPr>
            <w:tcW w:w="2693" w:type="dxa"/>
          </w:tcPr>
          <w:p w14:paraId="434FD927" w14:textId="77777777" w:rsidR="00C974BD" w:rsidRPr="001307B5" w:rsidRDefault="00C974BD" w:rsidP="00C974BD">
            <w:pPr>
              <w:tabs>
                <w:tab w:val="left" w:pos="284"/>
              </w:tabs>
              <w:suppressAutoHyphens w:val="0"/>
              <w:spacing w:before="0" w:line="280" w:lineRule="exact"/>
              <w:rPr>
                <w:rFonts w:eastAsia="Times New Roman" w:cs="Times New Roman"/>
                <w:color w:val="7F7F7F" w:themeColor="text1" w:themeTint="80"/>
              </w:rPr>
            </w:pPr>
          </w:p>
        </w:tc>
      </w:tr>
      <w:tr w:rsidR="001307B5" w:rsidRPr="001307B5" w14:paraId="0FA6982D" w14:textId="77777777" w:rsidTr="0084490E">
        <w:tc>
          <w:tcPr>
            <w:tcW w:w="3403" w:type="dxa"/>
          </w:tcPr>
          <w:p w14:paraId="5FBB0247" w14:textId="16C738BD" w:rsidR="00C974BD" w:rsidRPr="004A072C" w:rsidRDefault="00C974BD" w:rsidP="00C974BD">
            <w:pPr>
              <w:tabs>
                <w:tab w:val="left" w:pos="284"/>
              </w:tabs>
              <w:suppressAutoHyphens w:val="0"/>
              <w:spacing w:before="0" w:line="280" w:lineRule="exact"/>
              <w:rPr>
                <w:rFonts w:eastAsia="Times New Roman" w:cs="Times New Roman"/>
                <w:b/>
                <w:bCs/>
                <w:i/>
                <w:iCs/>
                <w:color w:val="595959" w:themeColor="text1" w:themeTint="A6"/>
              </w:rPr>
            </w:pPr>
            <w:r w:rsidRPr="004A072C">
              <w:rPr>
                <w:rFonts w:eastAsia="Times New Roman" w:cs="Times New Roman"/>
                <w:b/>
                <w:bCs/>
                <w:i/>
                <w:iCs/>
                <w:color w:val="595959" w:themeColor="text1" w:themeTint="A6"/>
              </w:rPr>
              <w:t>Clean energy transition</w:t>
            </w:r>
          </w:p>
        </w:tc>
        <w:tc>
          <w:tcPr>
            <w:tcW w:w="2976" w:type="dxa"/>
          </w:tcPr>
          <w:p w14:paraId="2453541B" w14:textId="77777777" w:rsidR="00C974BD" w:rsidRPr="001307B5" w:rsidRDefault="00C974BD" w:rsidP="00C974BD">
            <w:pPr>
              <w:tabs>
                <w:tab w:val="left" w:pos="284"/>
              </w:tabs>
              <w:suppressAutoHyphens w:val="0"/>
              <w:spacing w:before="0" w:line="280" w:lineRule="exact"/>
              <w:rPr>
                <w:rFonts w:eastAsia="Times New Roman" w:cs="Times New Roman"/>
                <w:color w:val="7F7F7F" w:themeColor="text1" w:themeTint="80"/>
              </w:rPr>
            </w:pPr>
          </w:p>
        </w:tc>
        <w:tc>
          <w:tcPr>
            <w:tcW w:w="3261" w:type="dxa"/>
          </w:tcPr>
          <w:p w14:paraId="2BCE6262" w14:textId="77777777" w:rsidR="00C974BD" w:rsidRPr="001307B5" w:rsidRDefault="00C974BD" w:rsidP="00C974BD">
            <w:pPr>
              <w:tabs>
                <w:tab w:val="left" w:pos="284"/>
              </w:tabs>
              <w:suppressAutoHyphens w:val="0"/>
              <w:spacing w:before="0" w:line="280" w:lineRule="exact"/>
              <w:rPr>
                <w:rFonts w:eastAsia="Times New Roman" w:cs="Times New Roman"/>
                <w:color w:val="7F7F7F" w:themeColor="text1" w:themeTint="80"/>
              </w:rPr>
            </w:pPr>
          </w:p>
        </w:tc>
        <w:tc>
          <w:tcPr>
            <w:tcW w:w="2835" w:type="dxa"/>
          </w:tcPr>
          <w:p w14:paraId="27A10386" w14:textId="77777777" w:rsidR="00C974BD" w:rsidRPr="001307B5" w:rsidRDefault="00C974BD" w:rsidP="00C974BD">
            <w:pPr>
              <w:tabs>
                <w:tab w:val="left" w:pos="284"/>
              </w:tabs>
              <w:suppressAutoHyphens w:val="0"/>
              <w:spacing w:before="0" w:line="280" w:lineRule="exact"/>
              <w:rPr>
                <w:rFonts w:eastAsia="Times New Roman" w:cs="Times New Roman"/>
                <w:color w:val="7F7F7F" w:themeColor="text1" w:themeTint="80"/>
              </w:rPr>
            </w:pPr>
          </w:p>
        </w:tc>
        <w:tc>
          <w:tcPr>
            <w:tcW w:w="2693" w:type="dxa"/>
          </w:tcPr>
          <w:p w14:paraId="6710EED0" w14:textId="77777777" w:rsidR="00C974BD" w:rsidRPr="001307B5" w:rsidRDefault="00C974BD" w:rsidP="00C974BD">
            <w:pPr>
              <w:tabs>
                <w:tab w:val="left" w:pos="284"/>
              </w:tabs>
              <w:suppressAutoHyphens w:val="0"/>
              <w:spacing w:before="0" w:line="280" w:lineRule="exact"/>
              <w:rPr>
                <w:rFonts w:eastAsia="Times New Roman" w:cs="Times New Roman"/>
                <w:color w:val="7F7F7F" w:themeColor="text1" w:themeTint="80"/>
              </w:rPr>
            </w:pPr>
          </w:p>
        </w:tc>
      </w:tr>
      <w:tr w:rsidR="001307B5" w:rsidRPr="001307B5" w14:paraId="59F4D811" w14:textId="77777777" w:rsidTr="0084490E">
        <w:tc>
          <w:tcPr>
            <w:tcW w:w="3403" w:type="dxa"/>
          </w:tcPr>
          <w:p w14:paraId="46FC009E" w14:textId="209840F3" w:rsidR="00530A4C" w:rsidRPr="004A072C" w:rsidRDefault="00530A4C" w:rsidP="00CC36A7">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 xml:space="preserve">Increased </w:t>
            </w:r>
            <w:r w:rsidR="00CC36A7" w:rsidRPr="004A072C">
              <w:rPr>
                <w:rFonts w:eastAsia="Times New Roman" w:cs="Times New Roman"/>
                <w:color w:val="595959" w:themeColor="text1" w:themeTint="A6"/>
              </w:rPr>
              <w:t>self-sufficiency</w:t>
            </w:r>
            <w:r w:rsidRPr="004A072C">
              <w:rPr>
                <w:rFonts w:eastAsia="Times New Roman" w:cs="Times New Roman"/>
                <w:color w:val="595959" w:themeColor="text1" w:themeTint="A6"/>
              </w:rPr>
              <w:t xml:space="preserve"> on food, energy, and water as pillars of sustainability to strengthen global competitiveness, including low carbon development, circular economy and green economy transformation</w:t>
            </w:r>
          </w:p>
        </w:tc>
        <w:tc>
          <w:tcPr>
            <w:tcW w:w="2976" w:type="dxa"/>
          </w:tcPr>
          <w:p w14:paraId="4CB07854" w14:textId="47F5FB65" w:rsidR="00530A4C" w:rsidRPr="004A072C" w:rsidRDefault="00530A4C" w:rsidP="00530A4C">
            <w:pPr>
              <w:tabs>
                <w:tab w:val="left" w:pos="284"/>
              </w:tabs>
              <w:suppressAutoHyphens w:val="0"/>
              <w:spacing w:before="0" w:line="280" w:lineRule="exact"/>
              <w:rPr>
                <w:rFonts w:eastAsia="Times New Roman" w:cs="Times New Roman"/>
                <w:color w:val="595959" w:themeColor="text1" w:themeTint="A6"/>
              </w:rPr>
            </w:pPr>
            <w:r w:rsidRPr="004A072C">
              <w:rPr>
                <w:rFonts w:eastAsia="Times New Roman" w:cs="Times New Roman"/>
                <w:color w:val="595959" w:themeColor="text1" w:themeTint="A6"/>
              </w:rPr>
              <w:t>Secondary analysis of GOI reporting on RPJMN progress</w:t>
            </w:r>
          </w:p>
        </w:tc>
        <w:tc>
          <w:tcPr>
            <w:tcW w:w="3261" w:type="dxa"/>
          </w:tcPr>
          <w:p w14:paraId="2904FA92" w14:textId="24320486" w:rsidR="00530A4C" w:rsidRPr="004A072C" w:rsidRDefault="001307B5" w:rsidP="00530A4C">
            <w:pPr>
              <w:tabs>
                <w:tab w:val="left" w:pos="284"/>
              </w:tabs>
              <w:suppressAutoHyphens w:val="0"/>
              <w:spacing w:before="0" w:line="280" w:lineRule="exact"/>
              <w:rPr>
                <w:rFonts w:eastAsia="Times New Roman" w:cs="Times New Roman"/>
                <w:b/>
                <w:bCs/>
                <w:color w:val="595959" w:themeColor="text1" w:themeTint="A6"/>
              </w:rPr>
            </w:pPr>
            <w:r w:rsidRPr="004A072C">
              <w:rPr>
                <w:rFonts w:eastAsia="Times New Roman" w:cs="Times New Roman"/>
                <w:b/>
                <w:bCs/>
                <w:color w:val="595959" w:themeColor="text1" w:themeTint="A6"/>
              </w:rPr>
              <w:t>*</w:t>
            </w:r>
            <w:proofErr w:type="gramStart"/>
            <w:r w:rsidR="00530A4C" w:rsidRPr="004A072C">
              <w:rPr>
                <w:rFonts w:eastAsia="Times New Roman" w:cs="Times New Roman"/>
                <w:b/>
                <w:bCs/>
                <w:color w:val="595959" w:themeColor="text1" w:themeTint="A6"/>
              </w:rPr>
              <w:t>taken</w:t>
            </w:r>
            <w:proofErr w:type="gramEnd"/>
            <w:r w:rsidR="00530A4C" w:rsidRPr="004A072C">
              <w:rPr>
                <w:rFonts w:eastAsia="Times New Roman" w:cs="Times New Roman"/>
                <w:b/>
                <w:bCs/>
                <w:color w:val="595959" w:themeColor="text1" w:themeTint="A6"/>
              </w:rPr>
              <w:t xml:space="preserve"> from relevant GOI RJPMN indicator set - </w:t>
            </w:r>
            <w:r w:rsidR="00530A4C" w:rsidRPr="004A072C">
              <w:rPr>
                <w:rFonts w:eastAsia="Times New Roman" w:cs="Times New Roman"/>
                <w:b/>
                <w:bCs/>
                <w:i/>
                <w:iCs/>
                <w:color w:val="595959" w:themeColor="text1" w:themeTint="A6"/>
              </w:rPr>
              <w:t>Energy security index; Percentage of new &amp; renewable energy in Primary Energy Mix</w:t>
            </w:r>
          </w:p>
        </w:tc>
        <w:tc>
          <w:tcPr>
            <w:tcW w:w="2835" w:type="dxa"/>
          </w:tcPr>
          <w:p w14:paraId="3F0D7487" w14:textId="316C0C64" w:rsidR="00530A4C" w:rsidRPr="004A072C" w:rsidRDefault="00530A4C" w:rsidP="00530A4C">
            <w:pPr>
              <w:tabs>
                <w:tab w:val="left" w:pos="284"/>
              </w:tabs>
              <w:suppressAutoHyphens w:val="0"/>
              <w:spacing w:before="0" w:line="280" w:lineRule="exact"/>
              <w:rPr>
                <w:rFonts w:eastAsia="Times New Roman" w:cs="Times New Roman"/>
                <w:color w:val="595959" w:themeColor="text1" w:themeTint="A6"/>
              </w:rPr>
            </w:pPr>
            <w:r w:rsidRPr="004A072C">
              <w:rPr>
                <w:rFonts w:eastAsia="Times New Roman" w:cs="Times New Roman"/>
                <w:color w:val="595959" w:themeColor="text1" w:themeTint="A6"/>
              </w:rPr>
              <w:t>Annual synthesis of available GOI reporting; Mid-term and EOP evaluation synthesis of GOI data</w:t>
            </w:r>
          </w:p>
        </w:tc>
        <w:tc>
          <w:tcPr>
            <w:tcW w:w="2693" w:type="dxa"/>
          </w:tcPr>
          <w:p w14:paraId="023C2F72" w14:textId="47DB7B6D" w:rsidR="00530A4C" w:rsidRPr="004A072C" w:rsidRDefault="00530A4C" w:rsidP="00530A4C">
            <w:pPr>
              <w:tabs>
                <w:tab w:val="left" w:pos="284"/>
              </w:tabs>
              <w:suppressAutoHyphens w:val="0"/>
              <w:spacing w:before="0" w:line="280" w:lineRule="exact"/>
              <w:rPr>
                <w:rFonts w:eastAsia="Times New Roman" w:cs="Times New Roman"/>
                <w:color w:val="595959" w:themeColor="text1" w:themeTint="A6"/>
              </w:rPr>
            </w:pPr>
            <w:r w:rsidRPr="004A072C">
              <w:rPr>
                <w:rFonts w:eastAsia="Times New Roman" w:cs="Times New Roman"/>
                <w:color w:val="595959" w:themeColor="text1" w:themeTint="A6"/>
              </w:rPr>
              <w:t>GOI/Primary Contractor</w:t>
            </w:r>
          </w:p>
        </w:tc>
      </w:tr>
      <w:tr w:rsidR="001307B5" w:rsidRPr="001307B5" w14:paraId="1B6C8A27" w14:textId="77777777" w:rsidTr="0084490E">
        <w:tc>
          <w:tcPr>
            <w:tcW w:w="3403" w:type="dxa"/>
          </w:tcPr>
          <w:p w14:paraId="4299BFEA" w14:textId="6092A63D" w:rsidR="00530A4C" w:rsidRPr="004A072C" w:rsidRDefault="00F65F5C" w:rsidP="00DD523A">
            <w:pPr>
              <w:tabs>
                <w:tab w:val="left" w:pos="284"/>
              </w:tabs>
              <w:suppressAutoHyphens w:val="0"/>
              <w:spacing w:before="60" w:line="240" w:lineRule="auto"/>
              <w:rPr>
                <w:rFonts w:eastAsia="Times New Roman" w:cs="Times New Roman"/>
                <w:b/>
                <w:bCs/>
                <w:i/>
                <w:iCs/>
                <w:color w:val="595959" w:themeColor="text1" w:themeTint="A6"/>
              </w:rPr>
            </w:pPr>
            <w:r w:rsidRPr="004A072C">
              <w:rPr>
                <w:color w:val="595959" w:themeColor="text1" w:themeTint="A6"/>
              </w:rPr>
              <w:lastRenderedPageBreak/>
              <w:br w:type="page"/>
            </w:r>
            <w:r w:rsidR="00530A4C" w:rsidRPr="004A072C">
              <w:rPr>
                <w:rFonts w:eastAsia="Times New Roman" w:cs="Times New Roman"/>
                <w:b/>
                <w:bCs/>
                <w:i/>
                <w:iCs/>
                <w:color w:val="595959" w:themeColor="text1" w:themeTint="A6"/>
              </w:rPr>
              <w:t>Water, sanitation and waste management</w:t>
            </w:r>
          </w:p>
        </w:tc>
        <w:tc>
          <w:tcPr>
            <w:tcW w:w="2976" w:type="dxa"/>
          </w:tcPr>
          <w:p w14:paraId="1F645C4F" w14:textId="77777777" w:rsidR="00530A4C" w:rsidRPr="001307B5" w:rsidRDefault="00530A4C" w:rsidP="00530A4C">
            <w:pPr>
              <w:tabs>
                <w:tab w:val="left" w:pos="284"/>
              </w:tabs>
              <w:suppressAutoHyphens w:val="0"/>
              <w:spacing w:before="0" w:line="280" w:lineRule="exact"/>
              <w:rPr>
                <w:rFonts w:eastAsia="Times New Roman" w:cs="Times New Roman"/>
                <w:color w:val="7F7F7F" w:themeColor="text1" w:themeTint="80"/>
              </w:rPr>
            </w:pPr>
          </w:p>
        </w:tc>
        <w:tc>
          <w:tcPr>
            <w:tcW w:w="3261" w:type="dxa"/>
          </w:tcPr>
          <w:p w14:paraId="6836168B" w14:textId="77777777" w:rsidR="00530A4C" w:rsidRPr="001307B5" w:rsidRDefault="00530A4C" w:rsidP="00530A4C">
            <w:pPr>
              <w:tabs>
                <w:tab w:val="left" w:pos="284"/>
              </w:tabs>
              <w:suppressAutoHyphens w:val="0"/>
              <w:spacing w:before="0" w:line="280" w:lineRule="exact"/>
              <w:rPr>
                <w:rFonts w:eastAsia="Times New Roman" w:cs="Times New Roman"/>
                <w:color w:val="7F7F7F" w:themeColor="text1" w:themeTint="80"/>
              </w:rPr>
            </w:pPr>
          </w:p>
        </w:tc>
        <w:tc>
          <w:tcPr>
            <w:tcW w:w="2835" w:type="dxa"/>
          </w:tcPr>
          <w:p w14:paraId="7E0BB626" w14:textId="77777777" w:rsidR="00530A4C" w:rsidRPr="001307B5" w:rsidRDefault="00530A4C" w:rsidP="00530A4C">
            <w:pPr>
              <w:tabs>
                <w:tab w:val="left" w:pos="284"/>
              </w:tabs>
              <w:suppressAutoHyphens w:val="0"/>
              <w:spacing w:before="0" w:line="280" w:lineRule="exact"/>
              <w:rPr>
                <w:rFonts w:eastAsia="Times New Roman" w:cs="Times New Roman"/>
                <w:color w:val="7F7F7F" w:themeColor="text1" w:themeTint="80"/>
              </w:rPr>
            </w:pPr>
          </w:p>
        </w:tc>
        <w:tc>
          <w:tcPr>
            <w:tcW w:w="2693" w:type="dxa"/>
          </w:tcPr>
          <w:p w14:paraId="2257BFF9" w14:textId="77777777" w:rsidR="00530A4C" w:rsidRPr="001307B5" w:rsidRDefault="00530A4C" w:rsidP="00530A4C">
            <w:pPr>
              <w:tabs>
                <w:tab w:val="left" w:pos="284"/>
              </w:tabs>
              <w:suppressAutoHyphens w:val="0"/>
              <w:spacing w:before="0" w:line="280" w:lineRule="exact"/>
              <w:rPr>
                <w:rFonts w:eastAsia="Times New Roman" w:cs="Times New Roman"/>
                <w:color w:val="7F7F7F" w:themeColor="text1" w:themeTint="80"/>
              </w:rPr>
            </w:pPr>
          </w:p>
        </w:tc>
      </w:tr>
      <w:tr w:rsidR="001307B5" w:rsidRPr="001307B5" w14:paraId="0CF22362" w14:textId="77777777" w:rsidTr="0084490E">
        <w:tc>
          <w:tcPr>
            <w:tcW w:w="3403" w:type="dxa"/>
          </w:tcPr>
          <w:p w14:paraId="534F0E2E" w14:textId="52B253B5" w:rsidR="00DE477B" w:rsidRPr="004A072C" w:rsidRDefault="00DE477B" w:rsidP="00CC36A7">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Improved quality, just, resilient, and sustainable infrastructure development supporting delivery of basic services, including integrated upstream to downstream waste management reform</w:t>
            </w:r>
          </w:p>
        </w:tc>
        <w:tc>
          <w:tcPr>
            <w:tcW w:w="2976" w:type="dxa"/>
          </w:tcPr>
          <w:p w14:paraId="1ADFD9F3" w14:textId="42BA31E6" w:rsidR="00DE477B" w:rsidRPr="004A072C" w:rsidRDefault="00DE477B" w:rsidP="00CC36A7">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Secondary analysis of GOI reporting on RPJMN progress</w:t>
            </w:r>
          </w:p>
        </w:tc>
        <w:tc>
          <w:tcPr>
            <w:tcW w:w="3261" w:type="dxa"/>
          </w:tcPr>
          <w:p w14:paraId="18B8ED96" w14:textId="2DE459D4" w:rsidR="00DE477B" w:rsidRPr="004A072C" w:rsidRDefault="001307B5" w:rsidP="00CC36A7">
            <w:pPr>
              <w:tabs>
                <w:tab w:val="left" w:pos="284"/>
              </w:tabs>
              <w:suppressAutoHyphens w:val="0"/>
              <w:spacing w:before="0" w:line="240" w:lineRule="auto"/>
              <w:rPr>
                <w:rFonts w:eastAsia="Times New Roman" w:cs="Times New Roman"/>
                <w:b/>
                <w:bCs/>
                <w:color w:val="595959" w:themeColor="text1" w:themeTint="A6"/>
              </w:rPr>
            </w:pPr>
            <w:r w:rsidRPr="004A072C">
              <w:rPr>
                <w:rFonts w:eastAsia="Times New Roman" w:cs="Times New Roman"/>
                <w:b/>
                <w:bCs/>
                <w:color w:val="595959" w:themeColor="text1" w:themeTint="A6"/>
              </w:rPr>
              <w:t>*</w:t>
            </w:r>
            <w:proofErr w:type="gramStart"/>
            <w:r w:rsidR="00DE477B" w:rsidRPr="004A072C">
              <w:rPr>
                <w:rFonts w:eastAsia="Times New Roman" w:cs="Times New Roman"/>
                <w:b/>
                <w:bCs/>
                <w:color w:val="595959" w:themeColor="text1" w:themeTint="A6"/>
              </w:rPr>
              <w:t>taken</w:t>
            </w:r>
            <w:proofErr w:type="gramEnd"/>
            <w:r w:rsidR="00DE477B" w:rsidRPr="004A072C">
              <w:rPr>
                <w:rFonts w:eastAsia="Times New Roman" w:cs="Times New Roman"/>
                <w:b/>
                <w:bCs/>
                <w:color w:val="595959" w:themeColor="text1" w:themeTint="A6"/>
              </w:rPr>
              <w:t xml:space="preserve"> from relevant GOI RJPMN indicator set - </w:t>
            </w:r>
            <w:r w:rsidR="00DE477B" w:rsidRPr="004A072C">
              <w:rPr>
                <w:rFonts w:eastAsia="Times New Roman" w:cs="Times New Roman"/>
                <w:b/>
                <w:bCs/>
                <w:i/>
                <w:iCs/>
                <w:color w:val="595959" w:themeColor="text1" w:themeTint="A6"/>
              </w:rPr>
              <w:t>National water security index; Water storage capacity; Urban household access to piped water; Household with access to safe sanitation</w:t>
            </w:r>
          </w:p>
        </w:tc>
        <w:tc>
          <w:tcPr>
            <w:tcW w:w="2835" w:type="dxa"/>
          </w:tcPr>
          <w:p w14:paraId="097F50B6" w14:textId="4FCE771B" w:rsidR="00DE477B" w:rsidRPr="004A072C" w:rsidRDefault="00DE477B" w:rsidP="00CC36A7">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Annual synthesis of available GOI reporting; Mid-term and EOP evaluation synthesis of GOI data</w:t>
            </w:r>
          </w:p>
        </w:tc>
        <w:tc>
          <w:tcPr>
            <w:tcW w:w="2693" w:type="dxa"/>
          </w:tcPr>
          <w:p w14:paraId="744818F3" w14:textId="2E007B75" w:rsidR="00DE477B" w:rsidRPr="004A072C" w:rsidRDefault="00DE477B" w:rsidP="00DE477B">
            <w:pPr>
              <w:tabs>
                <w:tab w:val="left" w:pos="284"/>
              </w:tabs>
              <w:suppressAutoHyphens w:val="0"/>
              <w:spacing w:before="0" w:line="280" w:lineRule="exact"/>
              <w:rPr>
                <w:rFonts w:eastAsia="Times New Roman" w:cs="Times New Roman"/>
                <w:color w:val="595959" w:themeColor="text1" w:themeTint="A6"/>
              </w:rPr>
            </w:pPr>
            <w:r w:rsidRPr="004A072C">
              <w:rPr>
                <w:rFonts w:eastAsia="Times New Roman" w:cs="Times New Roman"/>
                <w:color w:val="595959" w:themeColor="text1" w:themeTint="A6"/>
              </w:rPr>
              <w:t>GOI/Primary Contractor</w:t>
            </w:r>
          </w:p>
        </w:tc>
      </w:tr>
      <w:tr w:rsidR="001307B5" w:rsidRPr="001307B5" w14:paraId="31FD68F1" w14:textId="77777777" w:rsidTr="0084490E">
        <w:tc>
          <w:tcPr>
            <w:tcW w:w="3403" w:type="dxa"/>
          </w:tcPr>
          <w:p w14:paraId="26C29B05" w14:textId="3A7662E5" w:rsidR="00530A4C" w:rsidRPr="004A072C" w:rsidRDefault="00530A4C" w:rsidP="00530A4C">
            <w:pPr>
              <w:tabs>
                <w:tab w:val="left" w:pos="284"/>
              </w:tabs>
              <w:suppressAutoHyphens w:val="0"/>
              <w:spacing w:before="0" w:line="280" w:lineRule="exact"/>
              <w:rPr>
                <w:rFonts w:eastAsia="Times New Roman" w:cs="Times New Roman"/>
                <w:b/>
                <w:bCs/>
                <w:i/>
                <w:iCs/>
                <w:color w:val="595959" w:themeColor="text1" w:themeTint="A6"/>
              </w:rPr>
            </w:pPr>
            <w:r w:rsidRPr="004A072C">
              <w:rPr>
                <w:rFonts w:eastAsia="Times New Roman" w:cs="Times New Roman"/>
                <w:b/>
                <w:bCs/>
                <w:i/>
                <w:iCs/>
                <w:color w:val="595959" w:themeColor="text1" w:themeTint="A6"/>
              </w:rPr>
              <w:t>Sustainable transport</w:t>
            </w:r>
          </w:p>
        </w:tc>
        <w:tc>
          <w:tcPr>
            <w:tcW w:w="2976" w:type="dxa"/>
          </w:tcPr>
          <w:p w14:paraId="12C1D1BB" w14:textId="77777777" w:rsidR="00530A4C" w:rsidRPr="001307B5" w:rsidRDefault="00530A4C" w:rsidP="00530A4C">
            <w:pPr>
              <w:tabs>
                <w:tab w:val="left" w:pos="284"/>
              </w:tabs>
              <w:suppressAutoHyphens w:val="0"/>
              <w:spacing w:before="0" w:line="280" w:lineRule="exact"/>
              <w:rPr>
                <w:rFonts w:eastAsia="Times New Roman" w:cs="Times New Roman"/>
                <w:color w:val="7F7F7F" w:themeColor="text1" w:themeTint="80"/>
              </w:rPr>
            </w:pPr>
          </w:p>
        </w:tc>
        <w:tc>
          <w:tcPr>
            <w:tcW w:w="3261" w:type="dxa"/>
          </w:tcPr>
          <w:p w14:paraId="3097AE47" w14:textId="77777777" w:rsidR="00530A4C" w:rsidRPr="001307B5" w:rsidRDefault="00530A4C" w:rsidP="00530A4C">
            <w:pPr>
              <w:tabs>
                <w:tab w:val="left" w:pos="284"/>
              </w:tabs>
              <w:suppressAutoHyphens w:val="0"/>
              <w:spacing w:before="0" w:line="280" w:lineRule="exact"/>
              <w:rPr>
                <w:rFonts w:eastAsia="Times New Roman" w:cs="Times New Roman"/>
                <w:b/>
                <w:bCs/>
                <w:color w:val="7F7F7F" w:themeColor="text1" w:themeTint="80"/>
              </w:rPr>
            </w:pPr>
          </w:p>
        </w:tc>
        <w:tc>
          <w:tcPr>
            <w:tcW w:w="2835" w:type="dxa"/>
          </w:tcPr>
          <w:p w14:paraId="4605AE3D" w14:textId="77777777" w:rsidR="00530A4C" w:rsidRPr="001307B5" w:rsidRDefault="00530A4C" w:rsidP="00530A4C">
            <w:pPr>
              <w:tabs>
                <w:tab w:val="left" w:pos="284"/>
              </w:tabs>
              <w:suppressAutoHyphens w:val="0"/>
              <w:spacing w:before="0" w:line="280" w:lineRule="exact"/>
              <w:rPr>
                <w:rFonts w:eastAsia="Times New Roman" w:cs="Times New Roman"/>
                <w:color w:val="7F7F7F" w:themeColor="text1" w:themeTint="80"/>
              </w:rPr>
            </w:pPr>
          </w:p>
        </w:tc>
        <w:tc>
          <w:tcPr>
            <w:tcW w:w="2693" w:type="dxa"/>
          </w:tcPr>
          <w:p w14:paraId="62FA28D5" w14:textId="77777777" w:rsidR="00530A4C" w:rsidRPr="001307B5" w:rsidRDefault="00530A4C" w:rsidP="00530A4C">
            <w:pPr>
              <w:tabs>
                <w:tab w:val="left" w:pos="284"/>
              </w:tabs>
              <w:suppressAutoHyphens w:val="0"/>
              <w:spacing w:before="0" w:line="280" w:lineRule="exact"/>
              <w:rPr>
                <w:rFonts w:eastAsia="Times New Roman" w:cs="Times New Roman"/>
                <w:color w:val="7F7F7F" w:themeColor="text1" w:themeTint="80"/>
              </w:rPr>
            </w:pPr>
          </w:p>
        </w:tc>
      </w:tr>
      <w:tr w:rsidR="001307B5" w:rsidRPr="001307B5" w14:paraId="6618AACD" w14:textId="77777777" w:rsidTr="0084490E">
        <w:tc>
          <w:tcPr>
            <w:tcW w:w="3403" w:type="dxa"/>
          </w:tcPr>
          <w:p w14:paraId="7E62CBDC" w14:textId="693A2F28" w:rsidR="00DE477B" w:rsidRPr="004A072C" w:rsidRDefault="00DE477B" w:rsidP="00CC36A7">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Better integrated infrastructure to increase access, reduce logistics cost, &amp; strengthen connectivity, including developing connectivity and multi-mode transportation service, increasing digital connectivity and electricity transition &amp; reducing disaster and climate risk</w:t>
            </w:r>
          </w:p>
        </w:tc>
        <w:tc>
          <w:tcPr>
            <w:tcW w:w="2976" w:type="dxa"/>
          </w:tcPr>
          <w:p w14:paraId="2F33B88D" w14:textId="6F40F6A4" w:rsidR="00DE477B" w:rsidRPr="004A072C" w:rsidRDefault="00DE477B" w:rsidP="00CC36A7">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Secondary analysis of GOI reporting on RPJMN progress</w:t>
            </w:r>
          </w:p>
        </w:tc>
        <w:tc>
          <w:tcPr>
            <w:tcW w:w="3261" w:type="dxa"/>
          </w:tcPr>
          <w:p w14:paraId="6E3BC160" w14:textId="2C56E8FE" w:rsidR="00DE477B" w:rsidRPr="004A072C" w:rsidRDefault="001307B5" w:rsidP="00CC36A7">
            <w:pPr>
              <w:tabs>
                <w:tab w:val="left" w:pos="284"/>
              </w:tabs>
              <w:suppressAutoHyphens w:val="0"/>
              <w:spacing w:before="0" w:line="240" w:lineRule="auto"/>
              <w:rPr>
                <w:rFonts w:eastAsia="Times New Roman" w:cs="Times New Roman"/>
                <w:b/>
                <w:bCs/>
                <w:color w:val="595959" w:themeColor="text1" w:themeTint="A6"/>
              </w:rPr>
            </w:pPr>
            <w:r w:rsidRPr="004A072C">
              <w:rPr>
                <w:rFonts w:eastAsia="Times New Roman" w:cs="Times New Roman"/>
                <w:b/>
                <w:bCs/>
                <w:color w:val="595959" w:themeColor="text1" w:themeTint="A6"/>
              </w:rPr>
              <w:t>*</w:t>
            </w:r>
            <w:proofErr w:type="gramStart"/>
            <w:r w:rsidR="00DE477B" w:rsidRPr="004A072C">
              <w:rPr>
                <w:rFonts w:eastAsia="Times New Roman" w:cs="Times New Roman"/>
                <w:b/>
                <w:bCs/>
                <w:color w:val="595959" w:themeColor="text1" w:themeTint="A6"/>
              </w:rPr>
              <w:t>taken</w:t>
            </w:r>
            <w:proofErr w:type="gramEnd"/>
            <w:r w:rsidR="00DE477B" w:rsidRPr="004A072C">
              <w:rPr>
                <w:rFonts w:eastAsia="Times New Roman" w:cs="Times New Roman"/>
                <w:b/>
                <w:bCs/>
                <w:color w:val="595959" w:themeColor="text1" w:themeTint="A6"/>
              </w:rPr>
              <w:t xml:space="preserve"> from relevant GOI RJPMN indicator set - Infrastructure stock against GDP, </w:t>
            </w:r>
            <w:r w:rsidR="00DE477B" w:rsidRPr="004A072C">
              <w:rPr>
                <w:rFonts w:eastAsia="Times New Roman" w:cs="Times New Roman"/>
                <w:b/>
                <w:bCs/>
                <w:i/>
                <w:iCs/>
                <w:color w:val="595959" w:themeColor="text1" w:themeTint="A6"/>
              </w:rPr>
              <w:t>Proportion of direct economic loss due to disasters relative to GDP</w:t>
            </w:r>
          </w:p>
        </w:tc>
        <w:tc>
          <w:tcPr>
            <w:tcW w:w="2835" w:type="dxa"/>
          </w:tcPr>
          <w:p w14:paraId="05767D02" w14:textId="31F75B2F" w:rsidR="00DE477B" w:rsidRPr="004A072C" w:rsidRDefault="00DE477B" w:rsidP="00CC36A7">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Annual synthesis of available GOI reporting; Mid-term and EOP evaluation synthesis of GOI data</w:t>
            </w:r>
          </w:p>
        </w:tc>
        <w:tc>
          <w:tcPr>
            <w:tcW w:w="2693" w:type="dxa"/>
          </w:tcPr>
          <w:p w14:paraId="2DA67664" w14:textId="209EC475" w:rsidR="00DE477B" w:rsidRPr="004A072C" w:rsidRDefault="00DE477B" w:rsidP="00DE477B">
            <w:pPr>
              <w:tabs>
                <w:tab w:val="left" w:pos="284"/>
              </w:tabs>
              <w:suppressAutoHyphens w:val="0"/>
              <w:spacing w:before="0" w:line="280" w:lineRule="exact"/>
              <w:rPr>
                <w:rFonts w:eastAsia="Times New Roman" w:cs="Times New Roman"/>
                <w:color w:val="595959" w:themeColor="text1" w:themeTint="A6"/>
              </w:rPr>
            </w:pPr>
            <w:r w:rsidRPr="004A072C">
              <w:rPr>
                <w:rFonts w:eastAsia="Times New Roman" w:cs="Times New Roman"/>
                <w:color w:val="595959" w:themeColor="text1" w:themeTint="A6"/>
              </w:rPr>
              <w:t>GOI/Primary Contractor</w:t>
            </w:r>
          </w:p>
        </w:tc>
      </w:tr>
    </w:tbl>
    <w:p w14:paraId="058691D3" w14:textId="3792CCDC" w:rsidR="000037BC" w:rsidRPr="004A072C" w:rsidRDefault="000037BC">
      <w:pPr>
        <w:rPr>
          <w:rFonts w:eastAsia="Times New Roman" w:cs="Times New Roman"/>
          <w:b/>
          <w:bCs/>
          <w:color w:val="595959" w:themeColor="text1" w:themeTint="A6"/>
        </w:rPr>
      </w:pPr>
      <w:r w:rsidRPr="004A072C">
        <w:rPr>
          <w:rFonts w:eastAsia="Times New Roman" w:cs="Times New Roman"/>
          <w:b/>
          <w:bCs/>
          <w:color w:val="595959" w:themeColor="text1" w:themeTint="A6"/>
        </w:rPr>
        <w:t>ASSUMPTIONS</w:t>
      </w:r>
    </w:p>
    <w:tbl>
      <w:tblPr>
        <w:tblStyle w:val="TableGrid"/>
        <w:tblW w:w="15168" w:type="dxa"/>
        <w:tblInd w:w="-714" w:type="dxa"/>
        <w:tblLook w:val="04A0" w:firstRow="1" w:lastRow="0" w:firstColumn="1" w:lastColumn="0" w:noHBand="0" w:noVBand="1"/>
        <w:tblCaption w:val="Assumptions"/>
        <w:tblDescription w:val="This table summarizes the focal sectors and their contribution to Indonesia’s National Medium Term Development Plan (RPJMN) outcomes within the KINETIK Partnership program. It presents evaluative questions regarding the extent to which ministries such as BAPPENAS and the Ministry of Finance accessed customized policy, technical, and financing assistance, the number and value of activities delivered, and the satisfaction of ministries with the support received. The table also tracks progress toward RPJMN objectives in clean energy transition, water, sanitation and waste management, and sustainable transport, using sector-specific indicators like energy security, access to piped water, and infrastructure stock relative to GDP. Data collection methods include analysis of activity and project data, annual consultations, and secondary analysis of government reporting, with responsibilities assigned to the Primary Contractor and relevant government agencies for regular synthesis and evaluation.&#10;"/>
      </w:tblPr>
      <w:tblGrid>
        <w:gridCol w:w="3403"/>
        <w:gridCol w:w="2976"/>
        <w:gridCol w:w="3261"/>
        <w:gridCol w:w="2835"/>
        <w:gridCol w:w="2693"/>
      </w:tblGrid>
      <w:tr w:rsidR="001307B5" w:rsidRPr="001307B5" w14:paraId="17F9EF15" w14:textId="77777777" w:rsidTr="0084490E">
        <w:tc>
          <w:tcPr>
            <w:tcW w:w="3403" w:type="dxa"/>
          </w:tcPr>
          <w:p w14:paraId="6A67D4DB" w14:textId="77777777" w:rsidR="000037BC" w:rsidRPr="004A072C" w:rsidRDefault="000037BC" w:rsidP="00245199">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What changes are taking place in the political economy, related to the global and domestic economy, domestic political context, bilateral relationships, and international system that affect the delivery and performance of the program?</w:t>
            </w:r>
          </w:p>
        </w:tc>
        <w:tc>
          <w:tcPr>
            <w:tcW w:w="2976" w:type="dxa"/>
          </w:tcPr>
          <w:p w14:paraId="2C5DD0BE" w14:textId="77777777" w:rsidR="000037BC" w:rsidRPr="004A072C" w:rsidRDefault="000037BC"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Rapid review of political economy and context each reporting period</w:t>
            </w:r>
          </w:p>
        </w:tc>
        <w:tc>
          <w:tcPr>
            <w:tcW w:w="3261" w:type="dxa"/>
          </w:tcPr>
          <w:p w14:paraId="261DE1D1" w14:textId="77777777" w:rsidR="000037BC" w:rsidRPr="004A072C" w:rsidRDefault="000037BC"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 issues with significant impact on program delivery and outcomes</w:t>
            </w:r>
          </w:p>
        </w:tc>
        <w:tc>
          <w:tcPr>
            <w:tcW w:w="2835" w:type="dxa"/>
          </w:tcPr>
          <w:p w14:paraId="636CCBC4" w14:textId="77777777" w:rsidR="000037BC" w:rsidRPr="004A072C" w:rsidRDefault="000037BC"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6-monthly Progress Report</w:t>
            </w:r>
          </w:p>
        </w:tc>
        <w:tc>
          <w:tcPr>
            <w:tcW w:w="2693" w:type="dxa"/>
          </w:tcPr>
          <w:p w14:paraId="5FD20AEC" w14:textId="77777777" w:rsidR="000037BC" w:rsidRPr="004A072C" w:rsidRDefault="000037BC"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Primary Contractor</w:t>
            </w:r>
          </w:p>
        </w:tc>
      </w:tr>
      <w:tr w:rsidR="001307B5" w:rsidRPr="001307B5" w14:paraId="1BE98DF9" w14:textId="77777777" w:rsidTr="0084490E">
        <w:tc>
          <w:tcPr>
            <w:tcW w:w="3403" w:type="dxa"/>
          </w:tcPr>
          <w:p w14:paraId="6A55A8F5" w14:textId="77777777" w:rsidR="000037BC" w:rsidRPr="004A072C" w:rsidRDefault="000037BC" w:rsidP="00245199">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 xml:space="preserve">What changes are taking place in the political economy, related to the global and domestic economy, domestic political context, bilateral relationships, and international system that affect the policy </w:t>
            </w:r>
            <w:r w:rsidRPr="004A072C">
              <w:rPr>
                <w:rFonts w:eastAsia="Times New Roman" w:cs="Times New Roman"/>
                <w:color w:val="595959" w:themeColor="text1" w:themeTint="A6"/>
              </w:rPr>
              <w:lastRenderedPageBreak/>
              <w:t>priorities and focus for the program?</w:t>
            </w:r>
          </w:p>
        </w:tc>
        <w:tc>
          <w:tcPr>
            <w:tcW w:w="2976" w:type="dxa"/>
          </w:tcPr>
          <w:p w14:paraId="733F9EE9" w14:textId="77777777" w:rsidR="000037BC" w:rsidRPr="004A072C" w:rsidRDefault="000037BC" w:rsidP="00245199">
            <w:pPr>
              <w:tabs>
                <w:tab w:val="left" w:pos="1703"/>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lastRenderedPageBreak/>
              <w:t>Ongoing monitoring and review of political economy and context</w:t>
            </w:r>
          </w:p>
        </w:tc>
        <w:tc>
          <w:tcPr>
            <w:tcW w:w="3261" w:type="dxa"/>
          </w:tcPr>
          <w:p w14:paraId="6AC03DAA" w14:textId="77777777" w:rsidR="000037BC" w:rsidRPr="004A072C" w:rsidRDefault="000037BC"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 cables/reports to Canberra with significant recommendations</w:t>
            </w:r>
          </w:p>
        </w:tc>
        <w:tc>
          <w:tcPr>
            <w:tcW w:w="2835" w:type="dxa"/>
          </w:tcPr>
          <w:p w14:paraId="6C0A87AF" w14:textId="77777777" w:rsidR="000037BC" w:rsidRPr="004A072C" w:rsidRDefault="000037BC"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As needed cables and reporting</w:t>
            </w:r>
          </w:p>
        </w:tc>
        <w:tc>
          <w:tcPr>
            <w:tcW w:w="2693" w:type="dxa"/>
          </w:tcPr>
          <w:p w14:paraId="6B04381D" w14:textId="77777777" w:rsidR="000037BC" w:rsidRPr="004A072C" w:rsidRDefault="000037BC" w:rsidP="00245199">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DFAT, supported by TAG</w:t>
            </w:r>
          </w:p>
        </w:tc>
      </w:tr>
    </w:tbl>
    <w:p w14:paraId="133CF314" w14:textId="2A42F956" w:rsidR="00F34C3C" w:rsidRDefault="000037BC">
      <w:pPr>
        <w:rPr>
          <w:rFonts w:eastAsia="Times New Roman" w:cs="Times New Roman"/>
          <w:b/>
          <w:bCs/>
          <w:color w:val="595959" w:themeColor="text1" w:themeTint="A6"/>
        </w:rPr>
      </w:pPr>
      <w:r w:rsidRPr="004A072C">
        <w:rPr>
          <w:rFonts w:eastAsia="Times New Roman" w:cs="Times New Roman"/>
          <w:b/>
          <w:bCs/>
          <w:color w:val="595959" w:themeColor="text1" w:themeTint="A6"/>
        </w:rPr>
        <w:t>Table 5. ASSESSMENT OF OUTCOMES AND IMPACT</w:t>
      </w:r>
    </w:p>
    <w:tbl>
      <w:tblPr>
        <w:tblStyle w:val="TableGrid"/>
        <w:tblW w:w="15168" w:type="dxa"/>
        <w:tblInd w:w="-714" w:type="dxa"/>
        <w:tblLook w:val="04A0" w:firstRow="1" w:lastRow="0" w:firstColumn="1" w:lastColumn="0" w:noHBand="0" w:noVBand="1"/>
      </w:tblPr>
      <w:tblGrid>
        <w:gridCol w:w="3403"/>
        <w:gridCol w:w="2976"/>
        <w:gridCol w:w="3261"/>
        <w:gridCol w:w="2835"/>
        <w:gridCol w:w="2693"/>
      </w:tblGrid>
      <w:tr w:rsidR="004E3AE6" w14:paraId="601923F1" w14:textId="77777777" w:rsidTr="0084490E">
        <w:tc>
          <w:tcPr>
            <w:tcW w:w="3403" w:type="dxa"/>
            <w:shd w:val="clear" w:color="auto" w:fill="CCECFF"/>
            <w:vAlign w:val="center"/>
          </w:tcPr>
          <w:p w14:paraId="715CA9A9" w14:textId="115F8E14" w:rsidR="004E3AE6" w:rsidRDefault="004E3AE6" w:rsidP="00184B30">
            <w:pPr>
              <w:spacing w:before="0" w:line="280" w:lineRule="atLeast"/>
              <w:rPr>
                <w:rFonts w:eastAsia="Times New Roman" w:cs="Times New Roman"/>
                <w:b/>
                <w:bCs/>
                <w:color w:val="595959" w:themeColor="text1" w:themeTint="A6"/>
              </w:rPr>
            </w:pPr>
            <w:r w:rsidRPr="004A072C">
              <w:rPr>
                <w:rFonts w:eastAsia="Times New Roman" w:cs="Times New Roman"/>
                <w:b/>
                <w:bCs/>
                <w:i/>
                <w:iCs/>
                <w:color w:val="595959" w:themeColor="text1" w:themeTint="A6"/>
              </w:rPr>
              <w:t>Key Evaluative Questions</w:t>
            </w:r>
          </w:p>
        </w:tc>
        <w:tc>
          <w:tcPr>
            <w:tcW w:w="2976" w:type="dxa"/>
            <w:shd w:val="clear" w:color="auto" w:fill="CCECFF"/>
            <w:vAlign w:val="center"/>
          </w:tcPr>
          <w:p w14:paraId="0AE5A665" w14:textId="19DA48D2" w:rsidR="004E3AE6" w:rsidRDefault="004E3AE6" w:rsidP="00184B30">
            <w:pPr>
              <w:spacing w:before="0" w:line="280" w:lineRule="atLeast"/>
              <w:rPr>
                <w:rFonts w:eastAsia="Times New Roman" w:cs="Times New Roman"/>
                <w:b/>
                <w:bCs/>
                <w:color w:val="595959" w:themeColor="text1" w:themeTint="A6"/>
              </w:rPr>
            </w:pPr>
            <w:r w:rsidRPr="004A072C">
              <w:rPr>
                <w:rFonts w:eastAsia="Times New Roman" w:cs="Times New Roman"/>
                <w:b/>
                <w:bCs/>
                <w:i/>
                <w:iCs/>
                <w:color w:val="595959" w:themeColor="text1" w:themeTint="A6"/>
              </w:rPr>
              <w:t>Data collection method</w:t>
            </w:r>
          </w:p>
        </w:tc>
        <w:tc>
          <w:tcPr>
            <w:tcW w:w="3261" w:type="dxa"/>
            <w:shd w:val="clear" w:color="auto" w:fill="CCECFF"/>
            <w:vAlign w:val="center"/>
          </w:tcPr>
          <w:p w14:paraId="272D16AF" w14:textId="77777777" w:rsidR="004E3AE6" w:rsidRDefault="004E3AE6" w:rsidP="00184B30">
            <w:pPr>
              <w:spacing w:before="0" w:line="280" w:lineRule="atLeast"/>
              <w:rPr>
                <w:rFonts w:eastAsia="Times New Roman" w:cs="Times New Roman"/>
                <w:b/>
                <w:bCs/>
                <w:color w:val="595959" w:themeColor="text1" w:themeTint="A6"/>
              </w:rPr>
            </w:pPr>
          </w:p>
        </w:tc>
        <w:tc>
          <w:tcPr>
            <w:tcW w:w="2835" w:type="dxa"/>
            <w:shd w:val="clear" w:color="auto" w:fill="CCECFF"/>
            <w:vAlign w:val="center"/>
          </w:tcPr>
          <w:p w14:paraId="07CBEE93" w14:textId="66285290" w:rsidR="004E3AE6" w:rsidRDefault="004E3AE6" w:rsidP="00184B30">
            <w:pPr>
              <w:spacing w:before="0" w:line="280" w:lineRule="atLeast"/>
              <w:rPr>
                <w:rFonts w:eastAsia="Times New Roman" w:cs="Times New Roman"/>
                <w:b/>
                <w:bCs/>
                <w:color w:val="595959" w:themeColor="text1" w:themeTint="A6"/>
              </w:rPr>
            </w:pPr>
            <w:r w:rsidRPr="004A072C">
              <w:rPr>
                <w:rFonts w:eastAsia="Times New Roman" w:cs="Times New Roman"/>
                <w:b/>
                <w:bCs/>
                <w:i/>
                <w:iCs/>
                <w:color w:val="595959" w:themeColor="text1" w:themeTint="A6"/>
              </w:rPr>
              <w:t>Reporting</w:t>
            </w:r>
          </w:p>
        </w:tc>
        <w:tc>
          <w:tcPr>
            <w:tcW w:w="2693" w:type="dxa"/>
            <w:shd w:val="clear" w:color="auto" w:fill="CCECFF"/>
            <w:vAlign w:val="center"/>
          </w:tcPr>
          <w:p w14:paraId="358C3D51" w14:textId="33F459F2" w:rsidR="004E3AE6" w:rsidRDefault="004E3AE6" w:rsidP="00184B30">
            <w:pPr>
              <w:spacing w:before="0" w:line="280" w:lineRule="atLeast"/>
              <w:rPr>
                <w:rFonts w:eastAsia="Times New Roman" w:cs="Times New Roman"/>
                <w:b/>
                <w:bCs/>
                <w:color w:val="595959" w:themeColor="text1" w:themeTint="A6"/>
              </w:rPr>
            </w:pPr>
            <w:r w:rsidRPr="004A072C">
              <w:rPr>
                <w:rFonts w:eastAsia="Times New Roman" w:cs="Times New Roman"/>
                <w:b/>
                <w:bCs/>
                <w:i/>
                <w:iCs/>
                <w:color w:val="595959" w:themeColor="text1" w:themeTint="A6"/>
              </w:rPr>
              <w:t>Responsibility</w:t>
            </w:r>
          </w:p>
        </w:tc>
      </w:tr>
      <w:tr w:rsidR="004E3AE6" w14:paraId="272FC01A" w14:textId="77777777" w:rsidTr="0084490E">
        <w:tc>
          <w:tcPr>
            <w:tcW w:w="3403" w:type="dxa"/>
            <w:shd w:val="clear" w:color="auto" w:fill="CCECFF"/>
          </w:tcPr>
          <w:p w14:paraId="3F84B462" w14:textId="402B6784" w:rsidR="004E3AE6" w:rsidRDefault="004E3AE6" w:rsidP="00184B30">
            <w:pPr>
              <w:spacing w:before="0" w:line="280" w:lineRule="atLeast"/>
              <w:rPr>
                <w:rFonts w:eastAsia="Times New Roman" w:cs="Times New Roman"/>
                <w:b/>
                <w:bCs/>
                <w:color w:val="595959" w:themeColor="text1" w:themeTint="A6"/>
              </w:rPr>
            </w:pPr>
            <w:r w:rsidRPr="004A072C">
              <w:rPr>
                <w:rFonts w:eastAsia="Times New Roman" w:cs="Times New Roman"/>
                <w:b/>
                <w:bCs/>
                <w:i/>
                <w:iCs/>
                <w:color w:val="595959" w:themeColor="text1" w:themeTint="A6"/>
              </w:rPr>
              <w:t>Intermediate Outcomes</w:t>
            </w:r>
          </w:p>
        </w:tc>
        <w:tc>
          <w:tcPr>
            <w:tcW w:w="2976" w:type="dxa"/>
            <w:shd w:val="clear" w:color="auto" w:fill="CCECFF"/>
          </w:tcPr>
          <w:p w14:paraId="6108F9A7" w14:textId="77777777" w:rsidR="004E3AE6" w:rsidRDefault="004E3AE6" w:rsidP="00184B30">
            <w:pPr>
              <w:spacing w:before="0" w:line="280" w:lineRule="atLeast"/>
              <w:rPr>
                <w:rFonts w:eastAsia="Times New Roman" w:cs="Times New Roman"/>
                <w:b/>
                <w:bCs/>
                <w:color w:val="595959" w:themeColor="text1" w:themeTint="A6"/>
              </w:rPr>
            </w:pPr>
          </w:p>
        </w:tc>
        <w:tc>
          <w:tcPr>
            <w:tcW w:w="3261" w:type="dxa"/>
            <w:shd w:val="clear" w:color="auto" w:fill="CCECFF"/>
          </w:tcPr>
          <w:p w14:paraId="305E64A5" w14:textId="77777777" w:rsidR="004E3AE6" w:rsidRDefault="004E3AE6" w:rsidP="00184B30">
            <w:pPr>
              <w:spacing w:before="0" w:line="280" w:lineRule="atLeast"/>
              <w:rPr>
                <w:rFonts w:eastAsia="Times New Roman" w:cs="Times New Roman"/>
                <w:b/>
                <w:bCs/>
                <w:color w:val="595959" w:themeColor="text1" w:themeTint="A6"/>
              </w:rPr>
            </w:pPr>
          </w:p>
        </w:tc>
        <w:tc>
          <w:tcPr>
            <w:tcW w:w="2835" w:type="dxa"/>
            <w:shd w:val="clear" w:color="auto" w:fill="CCECFF"/>
          </w:tcPr>
          <w:p w14:paraId="3047D3C7" w14:textId="77777777" w:rsidR="004E3AE6" w:rsidRDefault="004E3AE6" w:rsidP="00184B30">
            <w:pPr>
              <w:spacing w:before="0" w:line="280" w:lineRule="atLeast"/>
              <w:rPr>
                <w:rFonts w:eastAsia="Times New Roman" w:cs="Times New Roman"/>
                <w:b/>
                <w:bCs/>
                <w:color w:val="595959" w:themeColor="text1" w:themeTint="A6"/>
              </w:rPr>
            </w:pPr>
          </w:p>
        </w:tc>
        <w:tc>
          <w:tcPr>
            <w:tcW w:w="2693" w:type="dxa"/>
            <w:shd w:val="clear" w:color="auto" w:fill="CCECFF"/>
          </w:tcPr>
          <w:p w14:paraId="4E9437DC" w14:textId="77777777" w:rsidR="004E3AE6" w:rsidRDefault="004E3AE6" w:rsidP="00184B30">
            <w:pPr>
              <w:spacing w:before="0" w:line="280" w:lineRule="atLeast"/>
              <w:rPr>
                <w:rFonts w:eastAsia="Times New Roman" w:cs="Times New Roman"/>
                <w:b/>
                <w:bCs/>
                <w:color w:val="595959" w:themeColor="text1" w:themeTint="A6"/>
              </w:rPr>
            </w:pPr>
          </w:p>
        </w:tc>
      </w:tr>
      <w:tr w:rsidR="006C6A9A" w14:paraId="5A789D2F" w14:textId="77777777" w:rsidTr="0084490E">
        <w:tc>
          <w:tcPr>
            <w:tcW w:w="3403" w:type="dxa"/>
          </w:tcPr>
          <w:p w14:paraId="6DE95C5E" w14:textId="56E6BA13"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1. Is the GOI Public-Private Project Pipeline available and attractive to investors?</w:t>
            </w:r>
          </w:p>
        </w:tc>
        <w:tc>
          <w:tcPr>
            <w:tcW w:w="2976" w:type="dxa"/>
          </w:tcPr>
          <w:p w14:paraId="2C896175" w14:textId="6C7D560C"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Ongoing review of GOI pipeline against baseline assessment</w:t>
            </w:r>
          </w:p>
        </w:tc>
        <w:tc>
          <w:tcPr>
            <w:tcW w:w="3261" w:type="dxa"/>
          </w:tcPr>
          <w:p w14:paraId="2D6CA125" w14:textId="1F5B00D3"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Changes in investor confidence (supplemented by ongoing PEA narrative analysis from FMA Lead)</w:t>
            </w:r>
          </w:p>
        </w:tc>
        <w:tc>
          <w:tcPr>
            <w:tcW w:w="2835" w:type="dxa"/>
          </w:tcPr>
          <w:p w14:paraId="3B6EC18A" w14:textId="013B58E0"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Primary Contractor Annual Report</w:t>
            </w:r>
          </w:p>
        </w:tc>
        <w:tc>
          <w:tcPr>
            <w:tcW w:w="2693" w:type="dxa"/>
          </w:tcPr>
          <w:p w14:paraId="23038E58" w14:textId="5CCD4205"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Technical and Advisory Lead specialist of PC</w:t>
            </w:r>
          </w:p>
        </w:tc>
      </w:tr>
      <w:tr w:rsidR="006C6A9A" w14:paraId="2A278E0E" w14:textId="77777777" w:rsidTr="0084490E">
        <w:tc>
          <w:tcPr>
            <w:tcW w:w="3403" w:type="dxa"/>
          </w:tcPr>
          <w:p w14:paraId="6032FE65" w14:textId="496A9FF2"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 xml:space="preserve">2. To what extent are Indonesian agencies and other actors increasingly </w:t>
            </w:r>
            <w:proofErr w:type="gramStart"/>
            <w:r w:rsidRPr="004A072C">
              <w:rPr>
                <w:rFonts w:eastAsia="Times New Roman" w:cs="Times New Roman"/>
                <w:color w:val="595959" w:themeColor="text1" w:themeTint="A6"/>
              </w:rPr>
              <w:t>adopt</w:t>
            </w:r>
            <w:proofErr w:type="gramEnd"/>
            <w:r w:rsidRPr="004A072C">
              <w:rPr>
                <w:rFonts w:eastAsia="Times New Roman" w:cs="Times New Roman"/>
                <w:color w:val="595959" w:themeColor="text1" w:themeTint="A6"/>
              </w:rPr>
              <w:t xml:space="preserve"> gender transformative practices across the infrastructure </w:t>
            </w:r>
            <w:proofErr w:type="gramStart"/>
            <w:r w:rsidRPr="004A072C">
              <w:rPr>
                <w:rFonts w:eastAsia="Times New Roman" w:cs="Times New Roman"/>
                <w:color w:val="595959" w:themeColor="text1" w:themeTint="A6"/>
              </w:rPr>
              <w:t>life-cycle</w:t>
            </w:r>
            <w:proofErr w:type="gramEnd"/>
            <w:r w:rsidRPr="004A072C">
              <w:rPr>
                <w:rFonts w:eastAsia="Times New Roman" w:cs="Times New Roman"/>
                <w:color w:val="595959" w:themeColor="text1" w:themeTint="A6"/>
              </w:rPr>
              <w:t>?</w:t>
            </w:r>
          </w:p>
        </w:tc>
        <w:tc>
          <w:tcPr>
            <w:tcW w:w="2976" w:type="dxa"/>
          </w:tcPr>
          <w:p w14:paraId="1F565F3B" w14:textId="1A86DBF6"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Ongoing longitudinal research, using case studies and program data, and independent research with CSO/CBOs</w:t>
            </w:r>
          </w:p>
        </w:tc>
        <w:tc>
          <w:tcPr>
            <w:tcW w:w="3261" w:type="dxa"/>
          </w:tcPr>
          <w:p w14:paraId="4F901B8C" w14:textId="42B12610"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 GOI agencies adopting gender practices with significant benefit (metric: progress vs significance)</w:t>
            </w:r>
          </w:p>
        </w:tc>
        <w:tc>
          <w:tcPr>
            <w:tcW w:w="2835" w:type="dxa"/>
          </w:tcPr>
          <w:p w14:paraId="667D9DC7" w14:textId="210E0869"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Primary Contractor Annual Report</w:t>
            </w:r>
          </w:p>
        </w:tc>
        <w:tc>
          <w:tcPr>
            <w:tcW w:w="2693" w:type="dxa"/>
          </w:tcPr>
          <w:p w14:paraId="7C1AC5EA" w14:textId="32655A65"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Lead NGO Partner, using commissioned research team</w:t>
            </w:r>
          </w:p>
        </w:tc>
      </w:tr>
      <w:tr w:rsidR="006C6A9A" w14:paraId="1AE550C4" w14:textId="77777777" w:rsidTr="0084490E">
        <w:tc>
          <w:tcPr>
            <w:tcW w:w="3403" w:type="dxa"/>
          </w:tcPr>
          <w:p w14:paraId="5D8DDFEB" w14:textId="75499BA5"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3. In what ways are Indonesian agencies and the private sector increasing the use of digital technology and automation (including artificial intelligence)?</w:t>
            </w:r>
          </w:p>
        </w:tc>
        <w:tc>
          <w:tcPr>
            <w:tcW w:w="2976" w:type="dxa"/>
          </w:tcPr>
          <w:p w14:paraId="26D4236C" w14:textId="23E509AC"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Ongoing internal review, against the Thematic Engagement Strategy</w:t>
            </w:r>
          </w:p>
        </w:tc>
        <w:tc>
          <w:tcPr>
            <w:tcW w:w="3261" w:type="dxa"/>
          </w:tcPr>
          <w:p w14:paraId="335FB309" w14:textId="24B0C15C"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 of GOI agencies and significance of automation and AI uptake</w:t>
            </w:r>
          </w:p>
        </w:tc>
        <w:tc>
          <w:tcPr>
            <w:tcW w:w="2835" w:type="dxa"/>
          </w:tcPr>
          <w:p w14:paraId="79644113" w14:textId="2BF6B0E7"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Primary Contractor Annual Report</w:t>
            </w:r>
          </w:p>
        </w:tc>
        <w:tc>
          <w:tcPr>
            <w:tcW w:w="2693" w:type="dxa"/>
          </w:tcPr>
          <w:p w14:paraId="162169D2" w14:textId="31ED5686"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Technical and Advisory Lead specialist of PC</w:t>
            </w:r>
          </w:p>
        </w:tc>
      </w:tr>
      <w:tr w:rsidR="006C6A9A" w14:paraId="52D9CBAE" w14:textId="77777777" w:rsidTr="0084490E">
        <w:tc>
          <w:tcPr>
            <w:tcW w:w="3403" w:type="dxa"/>
          </w:tcPr>
          <w:p w14:paraId="43AB2B63" w14:textId="791D2CE4" w:rsidR="006C6A9A" w:rsidRDefault="006C6A9A" w:rsidP="006C6A9A">
            <w:pPr>
              <w:rPr>
                <w:rFonts w:eastAsia="Times New Roman" w:cs="Times New Roman"/>
                <w:b/>
                <w:bCs/>
                <w:color w:val="595959" w:themeColor="text1" w:themeTint="A6"/>
              </w:rPr>
            </w:pPr>
            <w:r w:rsidRPr="004A072C">
              <w:rPr>
                <w:color w:val="595959" w:themeColor="text1" w:themeTint="A6"/>
              </w:rPr>
              <w:br w:type="page"/>
            </w:r>
            <w:r w:rsidRPr="004A072C">
              <w:rPr>
                <w:rFonts w:eastAsia="Times New Roman" w:cs="Times New Roman"/>
                <w:color w:val="595959" w:themeColor="text1" w:themeTint="A6"/>
              </w:rPr>
              <w:t>4. How have changes in Indonesia's policy and regulatory environment affected financial capital markets to enable them to take advantage of innovative, green and climate finance opportunities in infrastructure development?</w:t>
            </w:r>
          </w:p>
        </w:tc>
        <w:tc>
          <w:tcPr>
            <w:tcW w:w="2976" w:type="dxa"/>
          </w:tcPr>
          <w:p w14:paraId="18AC497D" w14:textId="6F501B57"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Longitudinal PEA analysis against baseline study using key data and metrics which can be replicated</w:t>
            </w:r>
          </w:p>
        </w:tc>
        <w:tc>
          <w:tcPr>
            <w:tcW w:w="3261" w:type="dxa"/>
          </w:tcPr>
          <w:p w14:paraId="248BEFB1" w14:textId="6F35C3D3"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Extent and nature of changes in enabling environment</w:t>
            </w:r>
          </w:p>
        </w:tc>
        <w:tc>
          <w:tcPr>
            <w:tcW w:w="2835" w:type="dxa"/>
          </w:tcPr>
          <w:p w14:paraId="27772461" w14:textId="7CA67327"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Primary Contractor Annual Report</w:t>
            </w:r>
          </w:p>
        </w:tc>
        <w:tc>
          <w:tcPr>
            <w:tcW w:w="2693" w:type="dxa"/>
          </w:tcPr>
          <w:p w14:paraId="20BB773B" w14:textId="189CA8F7"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Technical and Advisory Lead specialist of PC, using local research institution</w:t>
            </w:r>
          </w:p>
        </w:tc>
      </w:tr>
      <w:tr w:rsidR="006C6A9A" w14:paraId="742E8D31" w14:textId="77777777" w:rsidTr="0084490E">
        <w:tc>
          <w:tcPr>
            <w:tcW w:w="3403" w:type="dxa"/>
          </w:tcPr>
          <w:p w14:paraId="372F77E5" w14:textId="4D0AC0B4"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5. How has Australia and Indonesia’s bilateral partnership supported a transition from ODA grants-based mechanisms to alternative development financing?</w:t>
            </w:r>
          </w:p>
        </w:tc>
        <w:tc>
          <w:tcPr>
            <w:tcW w:w="2976" w:type="dxa"/>
          </w:tcPr>
          <w:p w14:paraId="331753C0" w14:textId="308FA357"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Policy analysis and review of program performance, drawing on all reporting and information</w:t>
            </w:r>
          </w:p>
        </w:tc>
        <w:tc>
          <w:tcPr>
            <w:tcW w:w="3261" w:type="dxa"/>
          </w:tcPr>
          <w:p w14:paraId="20F4B223" w14:textId="117A144E"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Scale, nature and type of changes of ODA/non-ODA instruments being utilised</w:t>
            </w:r>
          </w:p>
        </w:tc>
        <w:tc>
          <w:tcPr>
            <w:tcW w:w="2835" w:type="dxa"/>
          </w:tcPr>
          <w:p w14:paraId="6662A3D5" w14:textId="1369A3B2"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Including in cable reporting and in INMRs</w:t>
            </w:r>
          </w:p>
        </w:tc>
        <w:tc>
          <w:tcPr>
            <w:tcW w:w="2693" w:type="dxa"/>
          </w:tcPr>
          <w:p w14:paraId="71340847" w14:textId="56B98F59"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Undertaken by DFAT with TWG support</w:t>
            </w:r>
          </w:p>
        </w:tc>
      </w:tr>
      <w:tr w:rsidR="006C6A9A" w14:paraId="11D0B3B8" w14:textId="77777777" w:rsidTr="0084490E">
        <w:tc>
          <w:tcPr>
            <w:tcW w:w="3403" w:type="dxa"/>
          </w:tcPr>
          <w:p w14:paraId="45EEE0D7" w14:textId="0917C206" w:rsidR="006C6A9A" w:rsidRDefault="006C6A9A" w:rsidP="00184B30">
            <w:pPr>
              <w:spacing w:before="0" w:line="280" w:lineRule="atLeast"/>
              <w:rPr>
                <w:rFonts w:eastAsia="Times New Roman" w:cs="Times New Roman"/>
                <w:b/>
                <w:bCs/>
                <w:color w:val="595959" w:themeColor="text1" w:themeTint="A6"/>
              </w:rPr>
            </w:pPr>
            <w:r w:rsidRPr="004A072C">
              <w:rPr>
                <w:color w:val="595959" w:themeColor="text1" w:themeTint="A6"/>
              </w:rPr>
              <w:lastRenderedPageBreak/>
              <w:br w:type="page"/>
            </w:r>
            <w:r w:rsidRPr="004A072C">
              <w:rPr>
                <w:rFonts w:eastAsia="Times New Roman" w:cs="Times New Roman"/>
                <w:b/>
                <w:bCs/>
                <w:color w:val="595959" w:themeColor="text1" w:themeTint="A6"/>
              </w:rPr>
              <w:t>End-of-Program Outcomes</w:t>
            </w:r>
          </w:p>
        </w:tc>
        <w:tc>
          <w:tcPr>
            <w:tcW w:w="2976" w:type="dxa"/>
          </w:tcPr>
          <w:p w14:paraId="783475EA" w14:textId="77777777" w:rsidR="006C6A9A" w:rsidRDefault="006C6A9A" w:rsidP="006C6A9A">
            <w:pPr>
              <w:rPr>
                <w:rFonts w:eastAsia="Times New Roman" w:cs="Times New Roman"/>
                <w:b/>
                <w:bCs/>
                <w:color w:val="595959" w:themeColor="text1" w:themeTint="A6"/>
              </w:rPr>
            </w:pPr>
          </w:p>
        </w:tc>
        <w:tc>
          <w:tcPr>
            <w:tcW w:w="3261" w:type="dxa"/>
          </w:tcPr>
          <w:p w14:paraId="0F9C7BBC" w14:textId="77777777" w:rsidR="006C6A9A" w:rsidRDefault="006C6A9A" w:rsidP="006C6A9A">
            <w:pPr>
              <w:rPr>
                <w:rFonts w:eastAsia="Times New Roman" w:cs="Times New Roman"/>
                <w:b/>
                <w:bCs/>
                <w:color w:val="595959" w:themeColor="text1" w:themeTint="A6"/>
              </w:rPr>
            </w:pPr>
          </w:p>
        </w:tc>
        <w:tc>
          <w:tcPr>
            <w:tcW w:w="2835" w:type="dxa"/>
          </w:tcPr>
          <w:p w14:paraId="01439A2A" w14:textId="77777777" w:rsidR="006C6A9A" w:rsidRDefault="006C6A9A" w:rsidP="006C6A9A">
            <w:pPr>
              <w:rPr>
                <w:rFonts w:eastAsia="Times New Roman" w:cs="Times New Roman"/>
                <w:b/>
                <w:bCs/>
                <w:color w:val="595959" w:themeColor="text1" w:themeTint="A6"/>
              </w:rPr>
            </w:pPr>
          </w:p>
        </w:tc>
        <w:tc>
          <w:tcPr>
            <w:tcW w:w="2693" w:type="dxa"/>
          </w:tcPr>
          <w:p w14:paraId="197DFFF2" w14:textId="77777777" w:rsidR="006C6A9A" w:rsidRDefault="006C6A9A" w:rsidP="006C6A9A">
            <w:pPr>
              <w:rPr>
                <w:rFonts w:eastAsia="Times New Roman" w:cs="Times New Roman"/>
                <w:b/>
                <w:bCs/>
                <w:color w:val="595959" w:themeColor="text1" w:themeTint="A6"/>
              </w:rPr>
            </w:pPr>
          </w:p>
        </w:tc>
      </w:tr>
      <w:tr w:rsidR="006C6A9A" w14:paraId="7EA0044D" w14:textId="77777777" w:rsidTr="0084490E">
        <w:tc>
          <w:tcPr>
            <w:tcW w:w="3403" w:type="dxa"/>
          </w:tcPr>
          <w:p w14:paraId="374E2E65" w14:textId="6F7B06D7"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 xml:space="preserve">1.  To what extent are economic investments from government, private and community actors increasingly contribute to </w:t>
            </w:r>
            <w:r w:rsidRPr="004A072C">
              <w:rPr>
                <w:rFonts w:eastAsia="Times New Roman" w:cs="Times New Roman"/>
                <w:b/>
                <w:bCs/>
                <w:color w:val="595959" w:themeColor="text1" w:themeTint="A6"/>
              </w:rPr>
              <w:t>reducing</w:t>
            </w:r>
            <w:r w:rsidRPr="004A072C">
              <w:rPr>
                <w:rFonts w:eastAsia="Times New Roman" w:cs="Times New Roman"/>
                <w:color w:val="595959" w:themeColor="text1" w:themeTint="A6"/>
              </w:rPr>
              <w:t xml:space="preserve"> </w:t>
            </w:r>
            <w:r w:rsidRPr="004A072C">
              <w:rPr>
                <w:rFonts w:eastAsia="Times New Roman" w:cs="Times New Roman"/>
                <w:b/>
                <w:bCs/>
                <w:color w:val="595959" w:themeColor="text1" w:themeTint="A6"/>
              </w:rPr>
              <w:t>emissions</w:t>
            </w:r>
            <w:r w:rsidRPr="004A072C">
              <w:rPr>
                <w:rFonts w:eastAsia="Times New Roman" w:cs="Times New Roman"/>
                <w:color w:val="595959" w:themeColor="text1" w:themeTint="A6"/>
              </w:rPr>
              <w:t xml:space="preserve"> and </w:t>
            </w:r>
            <w:r w:rsidRPr="004A072C">
              <w:rPr>
                <w:rFonts w:eastAsia="Times New Roman" w:cs="Times New Roman"/>
                <w:b/>
                <w:bCs/>
                <w:color w:val="595959" w:themeColor="text1" w:themeTint="A6"/>
              </w:rPr>
              <w:t>adapting</w:t>
            </w:r>
            <w:r w:rsidRPr="004A072C">
              <w:rPr>
                <w:rFonts w:eastAsia="Times New Roman" w:cs="Times New Roman"/>
                <w:color w:val="595959" w:themeColor="text1" w:themeTint="A6"/>
              </w:rPr>
              <w:t xml:space="preserve"> to, and </w:t>
            </w:r>
            <w:r w:rsidRPr="004A072C">
              <w:rPr>
                <w:rFonts w:eastAsia="Times New Roman" w:cs="Times New Roman"/>
                <w:b/>
                <w:bCs/>
                <w:color w:val="595959" w:themeColor="text1" w:themeTint="A6"/>
              </w:rPr>
              <w:t>minimising the risks from, climate change</w:t>
            </w:r>
            <w:r w:rsidRPr="004A072C">
              <w:rPr>
                <w:rFonts w:eastAsia="Times New Roman" w:cs="Times New Roman"/>
                <w:color w:val="595959" w:themeColor="text1" w:themeTint="A6"/>
              </w:rPr>
              <w:t>?</w:t>
            </w:r>
          </w:p>
        </w:tc>
        <w:tc>
          <w:tcPr>
            <w:tcW w:w="2976" w:type="dxa"/>
          </w:tcPr>
          <w:p w14:paraId="4D56AB56" w14:textId="5DC25BD1"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Annual review of investment in Indonesia from all sources against the RJPMN, drawing on external sources including the GOI NDC reporting</w:t>
            </w:r>
          </w:p>
        </w:tc>
        <w:tc>
          <w:tcPr>
            <w:tcW w:w="3261" w:type="dxa"/>
          </w:tcPr>
          <w:p w14:paraId="10F7E97F" w14:textId="0449488E"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 increases in Total domestic and international Investment in Indonesia; Extent and nature of GOI National Determined Contributions reporting</w:t>
            </w:r>
          </w:p>
        </w:tc>
        <w:tc>
          <w:tcPr>
            <w:tcW w:w="2835" w:type="dxa"/>
          </w:tcPr>
          <w:p w14:paraId="11C56C28" w14:textId="0A712B15"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Annual analysis, PC Annual Report; supplemented by Outcomes Harvesting study</w:t>
            </w:r>
          </w:p>
        </w:tc>
        <w:tc>
          <w:tcPr>
            <w:tcW w:w="2693" w:type="dxa"/>
          </w:tcPr>
          <w:p w14:paraId="5DD2E4CA" w14:textId="328E80A6"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Technical and Advisory Lead specialist of PC, with M&amp;E specialist advice and support; Annual Outcome Harvesting study commissioned long term to local institution</w:t>
            </w:r>
          </w:p>
        </w:tc>
      </w:tr>
      <w:tr w:rsidR="006C6A9A" w14:paraId="03BA4B49" w14:textId="77777777" w:rsidTr="0084490E">
        <w:tc>
          <w:tcPr>
            <w:tcW w:w="3403" w:type="dxa"/>
          </w:tcPr>
          <w:p w14:paraId="7369EAC3" w14:textId="1FEA26BD"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 xml:space="preserve">2. In what ways have the Governments of Indonesia and Australia </w:t>
            </w:r>
            <w:r w:rsidRPr="004A072C">
              <w:rPr>
                <w:rFonts w:eastAsia="Times New Roman" w:cs="Times New Roman"/>
                <w:b/>
                <w:bCs/>
                <w:color w:val="595959" w:themeColor="text1" w:themeTint="A6"/>
              </w:rPr>
              <w:t>increased utilisation of diverse, innovative and high-quality financing</w:t>
            </w:r>
            <w:r w:rsidRPr="004A072C">
              <w:rPr>
                <w:rFonts w:eastAsia="Times New Roman" w:cs="Times New Roman"/>
                <w:color w:val="595959" w:themeColor="text1" w:themeTint="A6"/>
              </w:rPr>
              <w:t xml:space="preserve"> for investment that support Indonesia's development?</w:t>
            </w:r>
          </w:p>
        </w:tc>
        <w:tc>
          <w:tcPr>
            <w:tcW w:w="2976" w:type="dxa"/>
          </w:tcPr>
          <w:p w14:paraId="4160405D" w14:textId="74DCF09B"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Annual review of GOI infrastructure program, including domestic budget and financing, and external financing sources</w:t>
            </w:r>
          </w:p>
        </w:tc>
        <w:tc>
          <w:tcPr>
            <w:tcW w:w="3261" w:type="dxa"/>
          </w:tcPr>
          <w:p w14:paraId="5B07633E" w14:textId="77777777" w:rsidR="006C6A9A" w:rsidRPr="004A072C" w:rsidRDefault="006C6A9A" w:rsidP="006C6A9A">
            <w:pPr>
              <w:tabs>
                <w:tab w:val="left" w:pos="284"/>
              </w:tabs>
              <w:suppressAutoHyphens w:val="0"/>
              <w:spacing w:before="0" w:line="240" w:lineRule="auto"/>
              <w:rPr>
                <w:rFonts w:eastAsia="Times New Roman" w:cs="Times New Roman"/>
                <w:color w:val="595959" w:themeColor="text1" w:themeTint="A6"/>
              </w:rPr>
            </w:pPr>
            <w:r w:rsidRPr="004A072C">
              <w:rPr>
                <w:rFonts w:eastAsia="Times New Roman" w:cs="Times New Roman"/>
                <w:color w:val="595959" w:themeColor="text1" w:themeTint="A6"/>
              </w:rPr>
              <w:t xml:space="preserve">Number, value and type of financial instruments utilised by GOI and </w:t>
            </w:r>
            <w:proofErr w:type="gramStart"/>
            <w:r w:rsidRPr="004A072C">
              <w:rPr>
                <w:rFonts w:eastAsia="Times New Roman" w:cs="Times New Roman"/>
                <w:color w:val="595959" w:themeColor="text1" w:themeTint="A6"/>
              </w:rPr>
              <w:t>GOA;</w:t>
            </w:r>
            <w:proofErr w:type="gramEnd"/>
            <w:r w:rsidRPr="004A072C">
              <w:rPr>
                <w:rFonts w:eastAsia="Times New Roman" w:cs="Times New Roman"/>
                <w:color w:val="595959" w:themeColor="text1" w:themeTint="A6"/>
              </w:rPr>
              <w:t xml:space="preserve"> </w:t>
            </w:r>
          </w:p>
          <w:p w14:paraId="457721F5" w14:textId="77777777" w:rsidR="006C6A9A" w:rsidRPr="004A072C" w:rsidRDefault="006C6A9A" w:rsidP="006C6A9A">
            <w:pPr>
              <w:tabs>
                <w:tab w:val="left" w:pos="284"/>
              </w:tabs>
              <w:suppressAutoHyphens w:val="0"/>
              <w:spacing w:before="0" w:line="240" w:lineRule="auto"/>
              <w:rPr>
                <w:rFonts w:eastAsia="Times New Roman" w:cs="Times New Roman"/>
                <w:color w:val="595959" w:themeColor="text1" w:themeTint="A6"/>
              </w:rPr>
            </w:pPr>
          </w:p>
          <w:p w14:paraId="2491FDA3" w14:textId="065E8515" w:rsidR="006C6A9A" w:rsidRDefault="006C6A9A" w:rsidP="006C6A9A">
            <w:pPr>
              <w:rPr>
                <w:rFonts w:eastAsia="Times New Roman" w:cs="Times New Roman"/>
                <w:b/>
                <w:bCs/>
                <w:color w:val="595959" w:themeColor="text1" w:themeTint="A6"/>
              </w:rPr>
            </w:pPr>
            <w:r w:rsidRPr="004A072C">
              <w:rPr>
                <w:rFonts w:eastAsia="Times New Roman" w:cs="Times New Roman"/>
                <w:b/>
                <w:bCs/>
                <w:color w:val="595959" w:themeColor="text1" w:themeTint="A6"/>
              </w:rPr>
              <w:t>*Additional private funds leveraged to support sustainable development.</w:t>
            </w:r>
          </w:p>
        </w:tc>
        <w:tc>
          <w:tcPr>
            <w:tcW w:w="2835" w:type="dxa"/>
          </w:tcPr>
          <w:p w14:paraId="0FBC257E" w14:textId="73241845"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Annual analysis, PC Annual Report; supplemented by Outcomes Harvesting study</w:t>
            </w:r>
          </w:p>
        </w:tc>
        <w:tc>
          <w:tcPr>
            <w:tcW w:w="2693" w:type="dxa"/>
          </w:tcPr>
          <w:p w14:paraId="3FF70CFE" w14:textId="4AC3FE42"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Technical and Advisory Lead specialist of PC, with M&amp;E specialist advice and support; Annual Outcome Harvesting study commissioned long term to local institution</w:t>
            </w:r>
          </w:p>
        </w:tc>
      </w:tr>
      <w:tr w:rsidR="006C6A9A" w14:paraId="73B01B90" w14:textId="77777777" w:rsidTr="0084490E">
        <w:tc>
          <w:tcPr>
            <w:tcW w:w="3403" w:type="dxa"/>
          </w:tcPr>
          <w:p w14:paraId="7883ECAC" w14:textId="5BFE1918"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 xml:space="preserve">3. To what extent does the GOI deliver </w:t>
            </w:r>
            <w:r w:rsidRPr="004A072C">
              <w:rPr>
                <w:rFonts w:eastAsia="Times New Roman" w:cs="Times New Roman"/>
                <w:b/>
                <w:bCs/>
                <w:color w:val="595959" w:themeColor="text1" w:themeTint="A6"/>
              </w:rPr>
              <w:t>sustainable economic infrastructure</w:t>
            </w:r>
            <w:r w:rsidRPr="004A072C">
              <w:rPr>
                <w:rFonts w:eastAsia="Times New Roman" w:cs="Times New Roman"/>
                <w:color w:val="595959" w:themeColor="text1" w:themeTint="A6"/>
              </w:rPr>
              <w:t xml:space="preserve"> (particularly in water, transport and energy) that meets the needs and expectations of the community (women and men, boys and girls, people with disabilities and marginalized communities)?</w:t>
            </w:r>
          </w:p>
        </w:tc>
        <w:tc>
          <w:tcPr>
            <w:tcW w:w="2976" w:type="dxa"/>
          </w:tcPr>
          <w:p w14:paraId="781B6BC1" w14:textId="3E1595DF"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Annual review of Indonesia's NDC reporting</w:t>
            </w:r>
          </w:p>
        </w:tc>
        <w:tc>
          <w:tcPr>
            <w:tcW w:w="3261" w:type="dxa"/>
          </w:tcPr>
          <w:p w14:paraId="5D2351EB" w14:textId="77777777" w:rsidR="006C6A9A" w:rsidRPr="004A072C" w:rsidRDefault="006C6A9A" w:rsidP="006C6A9A">
            <w:pPr>
              <w:tabs>
                <w:tab w:val="left" w:pos="284"/>
              </w:tabs>
              <w:suppressAutoHyphens w:val="0"/>
              <w:spacing w:before="60" w:line="240" w:lineRule="auto"/>
              <w:rPr>
                <w:rFonts w:eastAsia="Times New Roman" w:cs="Times New Roman"/>
                <w:color w:val="595959" w:themeColor="text1" w:themeTint="A6"/>
              </w:rPr>
            </w:pPr>
            <w:r w:rsidRPr="004A072C">
              <w:rPr>
                <w:rFonts w:eastAsia="Times New Roman" w:cs="Times New Roman"/>
                <w:color w:val="595959" w:themeColor="text1" w:themeTint="A6"/>
              </w:rPr>
              <w:t xml:space="preserve"># and value of major Projects delivered, and # men, women and PLWDs accessing </w:t>
            </w:r>
            <w:proofErr w:type="gramStart"/>
            <w:r w:rsidRPr="004A072C">
              <w:rPr>
                <w:rFonts w:eastAsia="Times New Roman" w:cs="Times New Roman"/>
                <w:color w:val="595959" w:themeColor="text1" w:themeTint="A6"/>
              </w:rPr>
              <w:t>services;</w:t>
            </w:r>
            <w:proofErr w:type="gramEnd"/>
            <w:r w:rsidRPr="004A072C">
              <w:rPr>
                <w:rFonts w:eastAsia="Times New Roman" w:cs="Times New Roman"/>
                <w:color w:val="595959" w:themeColor="text1" w:themeTint="A6"/>
              </w:rPr>
              <w:t xml:space="preserve"> </w:t>
            </w:r>
          </w:p>
          <w:p w14:paraId="4F01D342" w14:textId="2F0A9045" w:rsidR="006C6A9A" w:rsidRDefault="006C6A9A" w:rsidP="006C6A9A">
            <w:pPr>
              <w:rPr>
                <w:rFonts w:eastAsia="Times New Roman" w:cs="Times New Roman"/>
                <w:b/>
                <w:bCs/>
                <w:color w:val="595959" w:themeColor="text1" w:themeTint="A6"/>
              </w:rPr>
            </w:pPr>
            <w:r w:rsidRPr="004A072C">
              <w:rPr>
                <w:rFonts w:eastAsia="Times New Roman" w:cs="Times New Roman"/>
                <w:b/>
                <w:bCs/>
                <w:color w:val="595959" w:themeColor="text1" w:themeTint="A6"/>
              </w:rPr>
              <w:t>*Countries supported with policy and technical advice on economic reform and management (including examples and results achieved); Number of local people accessing jobs created by new infrastructure projects, disaggregated by gender where possible</w:t>
            </w:r>
          </w:p>
        </w:tc>
        <w:tc>
          <w:tcPr>
            <w:tcW w:w="2835" w:type="dxa"/>
          </w:tcPr>
          <w:p w14:paraId="14126678" w14:textId="434D701F"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Annual analysis, PC Annual Report; supplemented by Outcomes Harvesting study</w:t>
            </w:r>
          </w:p>
        </w:tc>
        <w:tc>
          <w:tcPr>
            <w:tcW w:w="2693" w:type="dxa"/>
          </w:tcPr>
          <w:p w14:paraId="20F1B4C1" w14:textId="0CD332ED" w:rsidR="006C6A9A" w:rsidRDefault="006C6A9A" w:rsidP="006C6A9A">
            <w:pPr>
              <w:rPr>
                <w:rFonts w:eastAsia="Times New Roman" w:cs="Times New Roman"/>
                <w:b/>
                <w:bCs/>
                <w:color w:val="595959" w:themeColor="text1" w:themeTint="A6"/>
              </w:rPr>
            </w:pPr>
            <w:r w:rsidRPr="004A072C">
              <w:rPr>
                <w:rFonts w:eastAsia="Times New Roman" w:cs="Times New Roman"/>
                <w:color w:val="595959" w:themeColor="text1" w:themeTint="A6"/>
              </w:rPr>
              <w:t>Technical and Advisory Lead specialist of PC, with M&amp;E specialist advice and support; Annual Outcome Harvesting study commissioned long term to local institution</w:t>
            </w:r>
          </w:p>
        </w:tc>
      </w:tr>
    </w:tbl>
    <w:p w14:paraId="2D193853" w14:textId="77777777" w:rsidR="00F34C3C" w:rsidRDefault="00F34C3C">
      <w:pPr>
        <w:rPr>
          <w:rFonts w:eastAsia="Times New Roman" w:cs="Times New Roman"/>
          <w:b/>
          <w:bCs/>
          <w:color w:val="595959" w:themeColor="text1" w:themeTint="A6"/>
        </w:rPr>
      </w:pPr>
    </w:p>
    <w:p w14:paraId="7EE5600D" w14:textId="77777777" w:rsidR="00F34C3C" w:rsidRDefault="00F34C3C">
      <w:pPr>
        <w:rPr>
          <w:rFonts w:eastAsia="Times New Roman" w:cs="Times New Roman"/>
          <w:b/>
          <w:bCs/>
          <w:color w:val="595959" w:themeColor="text1" w:themeTint="A6"/>
        </w:rPr>
      </w:pPr>
    </w:p>
    <w:p w14:paraId="003E2EE6" w14:textId="77777777" w:rsidR="004C435E" w:rsidRDefault="004C435E" w:rsidP="00A452F1">
      <w:pPr>
        <w:tabs>
          <w:tab w:val="left" w:pos="284"/>
        </w:tabs>
        <w:suppressAutoHyphens w:val="0"/>
        <w:spacing w:before="0" w:line="280" w:lineRule="exact"/>
        <w:rPr>
          <w:rFonts w:eastAsia="Times New Roman" w:cs="Times New Roman"/>
          <w:b/>
          <w:bCs/>
          <w:sz w:val="21"/>
          <w:szCs w:val="21"/>
        </w:rPr>
      </w:pPr>
    </w:p>
    <w:sectPr w:rsidR="004C435E" w:rsidSect="00B92CF2">
      <w:pgSz w:w="16838" w:h="11906" w:orient="landscape" w:code="9"/>
      <w:pgMar w:top="1134" w:right="1418" w:bottom="1134" w:left="1361" w:header="425" w:footer="493"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BA57" w14:textId="77777777" w:rsidR="00B30879" w:rsidRPr="003E18AD" w:rsidRDefault="00B30879" w:rsidP="00D37B04">
      <w:r w:rsidRPr="003E18AD">
        <w:separator/>
      </w:r>
    </w:p>
  </w:endnote>
  <w:endnote w:type="continuationSeparator" w:id="0">
    <w:p w14:paraId="133ECC81" w14:textId="77777777" w:rsidR="00B30879" w:rsidRPr="003E18AD" w:rsidRDefault="00B30879" w:rsidP="00D37B04">
      <w:r w:rsidRPr="003E18AD">
        <w:continuationSeparator/>
      </w:r>
    </w:p>
  </w:endnote>
  <w:endnote w:type="continuationNotice" w:id="1">
    <w:p w14:paraId="62C5DB90" w14:textId="77777777" w:rsidR="00B30879" w:rsidRPr="003E18AD" w:rsidRDefault="00B308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368916890"/>
      <w:docPartObj>
        <w:docPartGallery w:val="Page Numbers (Bottom of Page)"/>
        <w:docPartUnique/>
      </w:docPartObj>
    </w:sdtPr>
    <w:sdtEndPr>
      <w:rPr>
        <w:sz w:val="18"/>
        <w:szCs w:val="18"/>
      </w:rPr>
    </w:sdtEndPr>
    <w:sdtContent>
      <w:p w14:paraId="65081A38" w14:textId="3BA3F588" w:rsidR="00453888" w:rsidRPr="00E03423" w:rsidRDefault="00453888">
        <w:pPr>
          <w:pStyle w:val="Footer"/>
          <w:jc w:val="right"/>
          <w:rPr>
            <w:color w:val="auto"/>
            <w:sz w:val="18"/>
            <w:szCs w:val="18"/>
          </w:rPr>
        </w:pPr>
        <w:r w:rsidRPr="00E03423">
          <w:rPr>
            <w:color w:val="auto"/>
            <w:sz w:val="18"/>
            <w:szCs w:val="18"/>
          </w:rPr>
          <w:fldChar w:fldCharType="begin"/>
        </w:r>
        <w:r w:rsidRPr="00E03423">
          <w:rPr>
            <w:color w:val="auto"/>
            <w:sz w:val="18"/>
            <w:szCs w:val="18"/>
          </w:rPr>
          <w:instrText xml:space="preserve"> PAGE   \* MERGEFORMAT </w:instrText>
        </w:r>
        <w:r w:rsidRPr="00E03423">
          <w:rPr>
            <w:color w:val="auto"/>
            <w:sz w:val="18"/>
            <w:szCs w:val="18"/>
          </w:rPr>
          <w:fldChar w:fldCharType="separate"/>
        </w:r>
        <w:r w:rsidR="003A0448" w:rsidRPr="00E03423">
          <w:rPr>
            <w:color w:val="auto"/>
            <w:sz w:val="18"/>
            <w:szCs w:val="18"/>
          </w:rPr>
          <w:t>5</w:t>
        </w:r>
        <w:r w:rsidRPr="00E03423">
          <w:rPr>
            <w:color w:val="auto"/>
            <w:sz w:val="18"/>
            <w:szCs w:val="18"/>
          </w:rPr>
          <w:fldChar w:fldCharType="end"/>
        </w:r>
      </w:p>
    </w:sdtContent>
  </w:sdt>
  <w:p w14:paraId="02E2C8FD" w14:textId="77777777" w:rsidR="00FC322F" w:rsidRPr="00E03423" w:rsidRDefault="00FC322F" w:rsidP="00FC322F">
    <w:pPr>
      <w:pStyle w:val="Footer"/>
      <w:rPr>
        <w:b/>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355144472"/>
      <w:docPartObj>
        <w:docPartGallery w:val="Page Numbers (Bottom of Page)"/>
        <w:docPartUnique/>
      </w:docPartObj>
    </w:sdtPr>
    <w:sdtEndPr>
      <w:rPr>
        <w:noProof/>
        <w:sz w:val="18"/>
        <w:szCs w:val="18"/>
      </w:rPr>
    </w:sdtEndPr>
    <w:sdtContent>
      <w:p w14:paraId="590C3EF5" w14:textId="2B243DC7" w:rsidR="002E7AC4" w:rsidRPr="00E03423" w:rsidRDefault="002E7AC4">
        <w:pPr>
          <w:pStyle w:val="Footer"/>
          <w:jc w:val="right"/>
          <w:rPr>
            <w:color w:val="auto"/>
            <w:sz w:val="18"/>
            <w:szCs w:val="18"/>
          </w:rPr>
        </w:pPr>
        <w:r w:rsidRPr="00E03423">
          <w:rPr>
            <w:color w:val="auto"/>
            <w:sz w:val="18"/>
            <w:szCs w:val="18"/>
          </w:rPr>
          <w:fldChar w:fldCharType="begin"/>
        </w:r>
        <w:r w:rsidRPr="00E03423">
          <w:rPr>
            <w:color w:val="auto"/>
            <w:sz w:val="18"/>
            <w:szCs w:val="18"/>
          </w:rPr>
          <w:instrText xml:space="preserve"> PAGE   \* MERGEFORMAT </w:instrText>
        </w:r>
        <w:r w:rsidRPr="00E03423">
          <w:rPr>
            <w:color w:val="auto"/>
            <w:sz w:val="18"/>
            <w:szCs w:val="18"/>
          </w:rPr>
          <w:fldChar w:fldCharType="separate"/>
        </w:r>
        <w:r w:rsidRPr="00E03423">
          <w:rPr>
            <w:noProof/>
            <w:color w:val="auto"/>
            <w:sz w:val="18"/>
            <w:szCs w:val="18"/>
          </w:rPr>
          <w:t>2</w:t>
        </w:r>
        <w:r w:rsidRPr="00E03423">
          <w:rPr>
            <w:noProof/>
            <w:color w:val="auto"/>
            <w:sz w:val="18"/>
            <w:szCs w:val="18"/>
          </w:rPr>
          <w:fldChar w:fldCharType="end"/>
        </w:r>
      </w:p>
    </w:sdtContent>
  </w:sdt>
  <w:p w14:paraId="0C3712FC" w14:textId="4B28031D" w:rsidR="00FC322F" w:rsidRPr="00E03423" w:rsidRDefault="00FC322F" w:rsidP="00544B9B">
    <w:pPr>
      <w:pStyle w:val="Footer"/>
      <w:tabs>
        <w:tab w:val="left" w:pos="1198"/>
        <w:tab w:val="left" w:pos="2857"/>
      </w:tabs>
      <w:rPr>
        <w:b/>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2019220821"/>
      <w:docPartObj>
        <w:docPartGallery w:val="Page Numbers (Bottom of Page)"/>
        <w:docPartUnique/>
      </w:docPartObj>
    </w:sdtPr>
    <w:sdtEndPr/>
    <w:sdtContent>
      <w:p w14:paraId="1B93D56F" w14:textId="77777777" w:rsidR="0041473E" w:rsidRPr="008F054F" w:rsidRDefault="0041473E">
        <w:pPr>
          <w:pStyle w:val="Footer"/>
          <w:jc w:val="right"/>
          <w:rPr>
            <w:color w:val="auto"/>
          </w:rPr>
        </w:pPr>
        <w:r w:rsidRPr="008F054F">
          <w:rPr>
            <w:color w:val="auto"/>
            <w:sz w:val="18"/>
            <w:szCs w:val="18"/>
          </w:rPr>
          <w:fldChar w:fldCharType="begin"/>
        </w:r>
        <w:r w:rsidRPr="008F054F">
          <w:rPr>
            <w:color w:val="auto"/>
            <w:sz w:val="18"/>
            <w:szCs w:val="18"/>
          </w:rPr>
          <w:instrText xml:space="preserve"> PAGE   \* MERGEFORMAT </w:instrText>
        </w:r>
        <w:r w:rsidRPr="008F054F">
          <w:rPr>
            <w:color w:val="auto"/>
            <w:sz w:val="18"/>
            <w:szCs w:val="18"/>
          </w:rPr>
          <w:fldChar w:fldCharType="separate"/>
        </w:r>
        <w:r w:rsidRPr="008F054F">
          <w:rPr>
            <w:color w:val="auto"/>
            <w:sz w:val="18"/>
            <w:szCs w:val="18"/>
          </w:rPr>
          <w:t>5</w:t>
        </w:r>
        <w:r w:rsidRPr="008F054F">
          <w:rPr>
            <w:color w:val="auto"/>
            <w:sz w:val="18"/>
            <w:szCs w:val="18"/>
          </w:rPr>
          <w:fldChar w:fldCharType="end"/>
        </w:r>
      </w:p>
    </w:sdtContent>
  </w:sdt>
  <w:p w14:paraId="116FD440" w14:textId="77777777" w:rsidR="0041473E" w:rsidRPr="003E18AD" w:rsidRDefault="0041473E" w:rsidP="00FC322F">
    <w:pPr>
      <w:pStyle w:val="Footer"/>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3096" w14:textId="77777777" w:rsidR="0041473E" w:rsidRPr="008F054F" w:rsidRDefault="0041473E">
    <w:pPr>
      <w:pStyle w:val="Footer"/>
      <w:jc w:val="right"/>
      <w:rPr>
        <w:color w:val="auto"/>
        <w:sz w:val="18"/>
        <w:szCs w:val="18"/>
      </w:rPr>
    </w:pPr>
    <w:r w:rsidRPr="008F054F">
      <w:rPr>
        <w:color w:val="auto"/>
        <w:sz w:val="18"/>
        <w:szCs w:val="18"/>
      </w:rPr>
      <w:fldChar w:fldCharType="begin"/>
    </w:r>
    <w:r w:rsidRPr="008F054F">
      <w:rPr>
        <w:color w:val="auto"/>
        <w:sz w:val="18"/>
        <w:szCs w:val="18"/>
      </w:rPr>
      <w:instrText xml:space="preserve"> PAGE   \* MERGEFORMAT </w:instrText>
    </w:r>
    <w:r w:rsidRPr="008F054F">
      <w:rPr>
        <w:color w:val="auto"/>
        <w:sz w:val="18"/>
        <w:szCs w:val="18"/>
      </w:rPr>
      <w:fldChar w:fldCharType="separate"/>
    </w:r>
    <w:r w:rsidRPr="008F054F">
      <w:rPr>
        <w:color w:val="auto"/>
        <w:sz w:val="18"/>
        <w:szCs w:val="18"/>
      </w:rPr>
      <w:t>8</w:t>
    </w:r>
    <w:r w:rsidRPr="008F054F">
      <w:rPr>
        <w:color w:val="auto"/>
        <w:sz w:val="18"/>
        <w:szCs w:val="18"/>
      </w:rPr>
      <w:fldChar w:fldCharType="end"/>
    </w:r>
  </w:p>
  <w:p w14:paraId="58FEA78F" w14:textId="77777777" w:rsidR="0041473E" w:rsidRPr="003E18AD" w:rsidRDefault="0041473E" w:rsidP="00FC322F">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EC46" w14:textId="77777777" w:rsidR="00B30879" w:rsidRPr="003E18AD" w:rsidRDefault="00B30879" w:rsidP="00D37B04">
      <w:pPr>
        <w:pStyle w:val="Footer"/>
      </w:pPr>
    </w:p>
  </w:footnote>
  <w:footnote w:type="continuationSeparator" w:id="0">
    <w:p w14:paraId="72465413" w14:textId="77777777" w:rsidR="00B30879" w:rsidRPr="003E18AD" w:rsidRDefault="00B30879" w:rsidP="00D37B04">
      <w:r w:rsidRPr="003E18AD">
        <w:continuationSeparator/>
      </w:r>
    </w:p>
  </w:footnote>
  <w:footnote w:type="continuationNotice" w:id="1">
    <w:p w14:paraId="1C448683" w14:textId="77777777" w:rsidR="00B30879" w:rsidRPr="003E18AD" w:rsidRDefault="00B30879">
      <w:pPr>
        <w:spacing w:before="0" w:after="0" w:line="240" w:lineRule="auto"/>
      </w:pPr>
    </w:p>
  </w:footnote>
  <w:footnote w:id="2">
    <w:p w14:paraId="7CFAF47D" w14:textId="687C8C7E" w:rsidR="00B22DE3" w:rsidRDefault="00B22DE3">
      <w:pPr>
        <w:pStyle w:val="FootnoteText"/>
      </w:pPr>
      <w:r>
        <w:rPr>
          <w:rStyle w:val="FootnoteReference"/>
        </w:rPr>
        <w:footnoteRef/>
      </w:r>
      <w:r>
        <w:t xml:space="preserve"> G20 Global Infrastructure Hub</w:t>
      </w:r>
    </w:p>
  </w:footnote>
  <w:footnote w:id="3">
    <w:p w14:paraId="7FC01AF3" w14:textId="69ECD1A0" w:rsidR="004E4A86" w:rsidRDefault="004E4A86">
      <w:pPr>
        <w:pStyle w:val="FootnoteText"/>
      </w:pPr>
      <w:r>
        <w:rPr>
          <w:rStyle w:val="FootnoteReference"/>
        </w:rPr>
        <w:footnoteRef/>
      </w:r>
      <w:r>
        <w:t xml:space="preserve"> </w:t>
      </w:r>
      <w:proofErr w:type="spellStart"/>
      <w:r>
        <w:t>Emmissions</w:t>
      </w:r>
      <w:proofErr w:type="spellEnd"/>
      <w:r>
        <w:t xml:space="preserve"> index, based on climate watch (WRI) data</w:t>
      </w:r>
    </w:p>
  </w:footnote>
  <w:footnote w:id="4">
    <w:p w14:paraId="05C4B1DD" w14:textId="3051E0DD" w:rsidR="00940FDB" w:rsidRDefault="00940FDB">
      <w:pPr>
        <w:pStyle w:val="FootnoteText"/>
      </w:pPr>
      <w:r>
        <w:rPr>
          <w:rStyle w:val="FootnoteReference"/>
        </w:rPr>
        <w:footnoteRef/>
      </w:r>
      <w:r>
        <w:t xml:space="preserve"> </w:t>
      </w:r>
      <w:r w:rsidR="00974C93">
        <w:t>Outcomes</w:t>
      </w:r>
      <w:r w:rsidR="00A07DBD">
        <w:t xml:space="preserve"> Document, </w:t>
      </w:r>
      <w:hyperlink r:id="rId1" w:history="1">
        <w:r w:rsidR="00B23707" w:rsidRPr="00B23707">
          <w:rPr>
            <w:rStyle w:val="Hyperlink"/>
            <w:rFonts w:cstheme="minorBidi"/>
          </w:rPr>
          <w:t>4th International Conference on Financing for Development</w:t>
        </w:r>
      </w:hyperlink>
    </w:p>
  </w:footnote>
  <w:footnote w:id="5">
    <w:p w14:paraId="7DA4F4B8" w14:textId="77777777" w:rsidR="00662FA0" w:rsidRPr="003E18AD" w:rsidRDefault="00662FA0" w:rsidP="00662FA0">
      <w:pPr>
        <w:pStyle w:val="FootnoteText"/>
        <w:spacing w:before="0"/>
        <w:contextualSpacing/>
        <w:rPr>
          <w:sz w:val="16"/>
          <w:szCs w:val="16"/>
        </w:rPr>
      </w:pPr>
      <w:r w:rsidRPr="003E18AD">
        <w:rPr>
          <w:rStyle w:val="FootnoteReference"/>
        </w:rPr>
        <w:footnoteRef/>
      </w:r>
      <w:r w:rsidRPr="003E18AD">
        <w:t xml:space="preserve"> </w:t>
      </w:r>
      <w:r w:rsidRPr="00E167F7">
        <w:t xml:space="preserve">Indonesia economic data projections (2023). </w:t>
      </w:r>
      <w:hyperlink r:id="rId2" w:history="1">
        <w:r w:rsidRPr="00E167F7">
          <w:rPr>
            <w:rStyle w:val="Hyperlink"/>
          </w:rPr>
          <w:t>www.focus-economics.com</w:t>
        </w:r>
      </w:hyperlink>
    </w:p>
  </w:footnote>
  <w:footnote w:id="6">
    <w:p w14:paraId="3C4D2810" w14:textId="77777777" w:rsidR="00662FA0" w:rsidRPr="003E18AD" w:rsidRDefault="00662FA0" w:rsidP="00662FA0">
      <w:pPr>
        <w:pStyle w:val="FootnoteText"/>
        <w:spacing w:before="0"/>
        <w:contextualSpacing/>
        <w:rPr>
          <w:sz w:val="16"/>
          <w:szCs w:val="16"/>
        </w:rPr>
      </w:pPr>
      <w:r w:rsidRPr="003E18AD">
        <w:rPr>
          <w:rStyle w:val="FootnoteReference"/>
          <w:sz w:val="16"/>
          <w:szCs w:val="16"/>
        </w:rPr>
        <w:footnoteRef/>
      </w:r>
      <w:r w:rsidRPr="003E18AD">
        <w:rPr>
          <w:sz w:val="16"/>
          <w:szCs w:val="16"/>
        </w:rPr>
        <w:t xml:space="preserve"> </w:t>
      </w:r>
      <w:r w:rsidRPr="00E167F7">
        <w:t>Ibid.</w:t>
      </w:r>
    </w:p>
  </w:footnote>
  <w:footnote w:id="7">
    <w:p w14:paraId="7706B2F8" w14:textId="77777777" w:rsidR="00662FA0" w:rsidRPr="00A21A8F" w:rsidRDefault="00662FA0" w:rsidP="00662FA0">
      <w:pPr>
        <w:pStyle w:val="FootnoteText"/>
        <w:spacing w:before="0"/>
        <w:contextualSpacing/>
        <w:rPr>
          <w:szCs w:val="12"/>
        </w:rPr>
      </w:pPr>
      <w:r w:rsidRPr="003E18AD">
        <w:rPr>
          <w:rStyle w:val="FootnoteReference"/>
          <w:sz w:val="16"/>
          <w:szCs w:val="16"/>
        </w:rPr>
        <w:footnoteRef/>
      </w:r>
      <w:r w:rsidRPr="003E18AD">
        <w:rPr>
          <w:sz w:val="16"/>
          <w:szCs w:val="16"/>
        </w:rPr>
        <w:t xml:space="preserve"> </w:t>
      </w:r>
      <w:r w:rsidRPr="00A21A8F">
        <w:rPr>
          <w:szCs w:val="12"/>
        </w:rPr>
        <w:t>Ibid.</w:t>
      </w:r>
    </w:p>
  </w:footnote>
  <w:footnote w:id="8">
    <w:p w14:paraId="489135B8" w14:textId="07CCBB5C" w:rsidR="00F65852" w:rsidRPr="00F511D1" w:rsidRDefault="00F65852">
      <w:pPr>
        <w:pStyle w:val="FootnoteText"/>
      </w:pPr>
      <w:r>
        <w:rPr>
          <w:rStyle w:val="FootnoteReference"/>
        </w:rPr>
        <w:footnoteRef/>
      </w:r>
      <w:r>
        <w:t xml:space="preserve"> </w:t>
      </w:r>
      <w:hyperlink r:id="rId3" w:tgtFrame="_blank" w:history="1">
        <w:r w:rsidRPr="00F52B0A">
          <w:rPr>
            <w:rStyle w:val="Hyperlink"/>
            <w:rFonts w:cstheme="minorBidi"/>
          </w:rPr>
          <w:t>AI and Indonesia’s Path to Golden Indonesia 2045 – OpenGov Asia</w:t>
        </w:r>
      </w:hyperlink>
    </w:p>
  </w:footnote>
  <w:footnote w:id="9">
    <w:p w14:paraId="76329E3B" w14:textId="0C0D11A8" w:rsidR="004A7988" w:rsidRDefault="004A7988">
      <w:pPr>
        <w:pStyle w:val="FootnoteText"/>
      </w:pPr>
      <w:r>
        <w:rPr>
          <w:rStyle w:val="FootnoteReference"/>
        </w:rPr>
        <w:footnoteRef/>
      </w:r>
      <w:r>
        <w:rPr>
          <w:rStyle w:val="FootnoteReference"/>
        </w:rPr>
        <w:footnoteRef/>
      </w:r>
      <w:r>
        <w:t xml:space="preserve"> An alternative may be ‘Private Sector Enterprises catalyse investment in ….’ Depending on final discussion with PROSPERA on a possible joint IO</w:t>
      </w:r>
    </w:p>
  </w:footnote>
  <w:footnote w:id="10">
    <w:p w14:paraId="033728DD" w14:textId="77777777" w:rsidR="00CC1AFE" w:rsidRPr="003E18AD" w:rsidRDefault="00CC1AFE" w:rsidP="00CC1AFE">
      <w:pPr>
        <w:pStyle w:val="FootnoteText"/>
      </w:pPr>
      <w:r w:rsidRPr="003E18AD">
        <w:rPr>
          <w:rStyle w:val="FootnoteReference"/>
        </w:rPr>
        <w:footnoteRef/>
      </w:r>
      <w:r w:rsidRPr="003E18AD">
        <w:t xml:space="preserve"> Used for industry, construction methodologies etc. For energy production the previous criteria would apply. </w:t>
      </w:r>
    </w:p>
  </w:footnote>
  <w:footnote w:id="11">
    <w:p w14:paraId="527E4537" w14:textId="77777777" w:rsidR="009210A6" w:rsidRPr="009210A6" w:rsidRDefault="009210A6" w:rsidP="009210A6">
      <w:pPr>
        <w:spacing w:before="0" w:after="0" w:line="240" w:lineRule="auto"/>
        <w:ind w:left="142" w:hanging="142"/>
        <w:rPr>
          <w:rFonts w:ascii="Calibri Light" w:eastAsia="Calibri Light" w:hAnsi="Calibri Light" w:cs="Calibri Light"/>
          <w:sz w:val="12"/>
          <w:szCs w:val="12"/>
        </w:rPr>
      </w:pPr>
      <w:r w:rsidRPr="009210A6">
        <w:rPr>
          <w:rStyle w:val="FootnoteReference"/>
          <w:sz w:val="12"/>
          <w:szCs w:val="12"/>
        </w:rPr>
        <w:footnoteRef/>
      </w:r>
      <w:r w:rsidRPr="009210A6">
        <w:rPr>
          <w:sz w:val="12"/>
          <w:szCs w:val="12"/>
        </w:rPr>
        <w:t xml:space="preserve"> </w:t>
      </w:r>
      <w:r w:rsidRPr="009210A6">
        <w:rPr>
          <w:rFonts w:ascii="Calibri Light" w:eastAsia="Calibri Light" w:hAnsi="Calibri Light" w:cs="Calibri Light"/>
          <w:sz w:val="12"/>
          <w:szCs w:val="12"/>
        </w:rPr>
        <w:t>Implementing partners (1) Have a PSEAH policy or other documented policies and procedures in place and clearly communicate expectations of this Policy; (2) Have reporting and investigation procedures in place; (3) Have risk management processes that include the risk of SEAH. These minimum standards are also applicable to downstream funding recipients.</w:t>
      </w:r>
    </w:p>
    <w:p w14:paraId="284DC226" w14:textId="51323D0D" w:rsidR="009210A6" w:rsidRDefault="009210A6">
      <w:pPr>
        <w:pStyle w:val="FootnoteText"/>
      </w:pPr>
    </w:p>
  </w:footnote>
  <w:footnote w:id="12">
    <w:p w14:paraId="4CE89CAC" w14:textId="0A4E75DF" w:rsidR="009210A6" w:rsidRDefault="009210A6">
      <w:pPr>
        <w:pStyle w:val="FootnoteText"/>
      </w:pPr>
      <w:r>
        <w:rPr>
          <w:rStyle w:val="FootnoteReference"/>
        </w:rPr>
        <w:footnoteRef/>
      </w:r>
      <w:r>
        <w:t xml:space="preserve"> </w:t>
      </w:r>
      <w:r w:rsidRPr="009210A6">
        <w:rPr>
          <w:rFonts w:ascii="Calibri Light" w:eastAsia="Calibri Light" w:hAnsi="Calibri Light" w:cs="Calibri Light"/>
          <w:szCs w:val="12"/>
        </w:rPr>
        <w:t xml:space="preserve">DFAT, </w:t>
      </w:r>
      <w:hyperlink r:id="rId4" w:history="1">
        <w:r w:rsidRPr="009210A6">
          <w:rPr>
            <w:rStyle w:val="Hyperlink"/>
            <w:rFonts w:ascii="Calibri Light" w:eastAsia="Calibri Light" w:hAnsi="Calibri Light" w:cs="Calibri Light"/>
            <w:i/>
            <w:iCs/>
            <w:color w:val="495965" w:themeColor="text2"/>
            <w:szCs w:val="12"/>
          </w:rPr>
          <w:t>Child Protection Guidance Note: Establishing Child Protection Risk Context</w:t>
        </w:r>
      </w:hyperlink>
      <w:r w:rsidRPr="009210A6">
        <w:rPr>
          <w:rFonts w:ascii="Calibri Light" w:eastAsia="Calibri Light" w:hAnsi="Calibri Light" w:cs="Calibri Light"/>
          <w:szCs w:val="12"/>
        </w:rPr>
        <w:t>, January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00D2" w14:textId="5881101B" w:rsidR="002D5B25" w:rsidRPr="003E18AD" w:rsidRDefault="002D5B25" w:rsidP="00DB058C">
    <w:pPr>
      <w:pStyle w:val="Header"/>
      <w:tabs>
        <w:tab w:val="clear" w:pos="4513"/>
        <w:tab w:val="clear" w:pos="9026"/>
        <w:tab w:val="left" w:pos="9484"/>
      </w:tabs>
    </w:pPr>
    <w:r w:rsidRPr="001244E5">
      <w:rPr>
        <w:noProof/>
        <w:lang w:eastAsia="en-AU"/>
      </w:rPr>
      <w:drawing>
        <wp:anchor distT="0" distB="0" distL="114300" distR="114300" simplePos="0" relativeHeight="251658242" behindDoc="1" locked="1" layoutInCell="1" allowOverlap="1" wp14:anchorId="47599557" wp14:editId="0DCA6CC2">
          <wp:simplePos x="0" y="0"/>
          <wp:positionH relativeFrom="margin">
            <wp:align>center</wp:align>
          </wp:positionH>
          <wp:positionV relativeFrom="margin">
            <wp:align>center</wp:align>
          </wp:positionV>
          <wp:extent cx="7960360" cy="11115675"/>
          <wp:effectExtent l="0" t="0" r="2540" b="9525"/>
          <wp:wrapNone/>
          <wp:docPr id="583679019" name="Picture 5836790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960360" cy="11115675"/>
                  </a:xfrm>
                  <a:prstGeom prst="rect">
                    <a:avLst/>
                  </a:prstGeom>
                </pic:spPr>
              </pic:pic>
            </a:graphicData>
          </a:graphic>
          <wp14:sizeRelH relativeFrom="margin">
            <wp14:pctWidth>0</wp14:pctWidth>
          </wp14:sizeRelH>
          <wp14:sizeRelV relativeFrom="margin">
            <wp14:pctHeight>0</wp14:pctHeight>
          </wp14:sizeRelV>
        </wp:anchor>
      </w:drawing>
    </w:r>
    <w:r w:rsidR="00DB058C" w:rsidRPr="003E18A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DC2E" w14:textId="2728DEF3" w:rsidR="00665D77" w:rsidRPr="003E18AD" w:rsidRDefault="00665D77" w:rsidP="00943730">
    <w:pPr>
      <w:pStyle w:val="Header"/>
    </w:pPr>
  </w:p>
  <w:p w14:paraId="030474A4" w14:textId="77777777" w:rsidR="00665D77" w:rsidRPr="003E18AD" w:rsidRDefault="00665D77" w:rsidP="00943730">
    <w:pPr>
      <w:pStyle w:val="Header"/>
    </w:pPr>
  </w:p>
  <w:p w14:paraId="68FF7E96" w14:textId="02B5BF6C" w:rsidR="00D37B04" w:rsidRPr="003E18AD" w:rsidRDefault="00252C04" w:rsidP="00943730">
    <w:pPr>
      <w:pStyle w:val="Header"/>
    </w:pPr>
    <w:r w:rsidRPr="001244E5">
      <w:rPr>
        <w:noProof/>
        <w:lang w:eastAsia="en-AU"/>
      </w:rPr>
      <w:drawing>
        <wp:anchor distT="0" distB="0" distL="114300" distR="114300" simplePos="0" relativeHeight="251658241" behindDoc="1" locked="1" layoutInCell="1" allowOverlap="1" wp14:anchorId="20F29F8B" wp14:editId="79386C4F">
          <wp:simplePos x="0" y="0"/>
          <wp:positionH relativeFrom="page">
            <wp:posOffset>11541760</wp:posOffset>
          </wp:positionH>
          <wp:positionV relativeFrom="page">
            <wp:posOffset>928370</wp:posOffset>
          </wp:positionV>
          <wp:extent cx="1115060" cy="512445"/>
          <wp:effectExtent l="0" t="0" r="8890" b="1905"/>
          <wp:wrapNone/>
          <wp:docPr id="661616014" name="Picture 661616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5060" cy="512445"/>
                  </a:xfrm>
                  <a:prstGeom prst="rect">
                    <a:avLst/>
                  </a:prstGeom>
                </pic:spPr>
              </pic:pic>
            </a:graphicData>
          </a:graphic>
          <wp14:sizeRelH relativeFrom="margin">
            <wp14:pctWidth>0</wp14:pctWidth>
          </wp14:sizeRelH>
          <wp14:sizeRelV relativeFrom="margin">
            <wp14:pctHeight>0</wp14:pctHeight>
          </wp14:sizeRelV>
        </wp:anchor>
      </w:drawing>
    </w:r>
    <w:r w:rsidR="002D5B25" w:rsidRPr="00544B9B">
      <w:rPr>
        <w:noProof/>
        <w:lang w:eastAsia="en-AU"/>
      </w:rPr>
      <w:drawing>
        <wp:anchor distT="0" distB="0" distL="114300" distR="114300" simplePos="0" relativeHeight="251658240" behindDoc="1" locked="1" layoutInCell="1" allowOverlap="1" wp14:anchorId="67BC759D" wp14:editId="7D34CCAC">
          <wp:simplePos x="0" y="0"/>
          <wp:positionH relativeFrom="margin">
            <wp:posOffset>-999490</wp:posOffset>
          </wp:positionH>
          <wp:positionV relativeFrom="page">
            <wp:align>center</wp:align>
          </wp:positionV>
          <wp:extent cx="8187690" cy="11040745"/>
          <wp:effectExtent l="0" t="0" r="3810" b="8255"/>
          <wp:wrapNone/>
          <wp:docPr id="696497862" name="Picture 6964978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187690" cy="110407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D0FD" w14:textId="77777777" w:rsidR="0041473E" w:rsidRPr="003E18AD" w:rsidRDefault="0041473E" w:rsidP="00DB058C">
    <w:pPr>
      <w:pStyle w:val="Header"/>
      <w:tabs>
        <w:tab w:val="clear" w:pos="4513"/>
        <w:tab w:val="clear" w:pos="9026"/>
        <w:tab w:val="left" w:pos="9484"/>
      </w:tabs>
    </w:pPr>
    <w:r w:rsidRPr="001244E5">
      <w:rPr>
        <w:noProof/>
        <w:lang w:eastAsia="en-AU"/>
      </w:rPr>
      <w:drawing>
        <wp:anchor distT="0" distB="0" distL="114300" distR="114300" simplePos="0" relativeHeight="251658244" behindDoc="1" locked="1" layoutInCell="1" allowOverlap="1" wp14:anchorId="152BDA6A" wp14:editId="497C8A55">
          <wp:simplePos x="0" y="0"/>
          <wp:positionH relativeFrom="page">
            <wp:posOffset>38735</wp:posOffset>
          </wp:positionH>
          <wp:positionV relativeFrom="page">
            <wp:posOffset>-95250</wp:posOffset>
          </wp:positionV>
          <wp:extent cx="10246995" cy="10692765"/>
          <wp:effectExtent l="0" t="0" r="1905" b="0"/>
          <wp:wrapNone/>
          <wp:docPr id="6965553" name="Picture 69655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246995" cy="10692765"/>
                  </a:xfrm>
                  <a:prstGeom prst="rect">
                    <a:avLst/>
                  </a:prstGeom>
                </pic:spPr>
              </pic:pic>
            </a:graphicData>
          </a:graphic>
          <wp14:sizeRelH relativeFrom="margin">
            <wp14:pctWidth>0</wp14:pctWidth>
          </wp14:sizeRelH>
          <wp14:sizeRelV relativeFrom="margin">
            <wp14:pctHeight>0</wp14:pctHeight>
          </wp14:sizeRelV>
        </wp:anchor>
      </w:drawing>
    </w:r>
    <w:r w:rsidRPr="003E18AD">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FBDD" w14:textId="77777777" w:rsidR="0041473E" w:rsidRPr="003E18AD" w:rsidRDefault="0041473E" w:rsidP="00943730">
    <w:pPr>
      <w:pStyle w:val="Header"/>
    </w:pPr>
  </w:p>
  <w:p w14:paraId="4B4A154A" w14:textId="77777777" w:rsidR="0041473E" w:rsidRPr="003E18AD" w:rsidRDefault="0041473E" w:rsidP="00943730">
    <w:pPr>
      <w:pStyle w:val="Header"/>
    </w:pPr>
  </w:p>
  <w:p w14:paraId="741FA713" w14:textId="50CBCC9E" w:rsidR="0041473E" w:rsidRPr="003E18AD" w:rsidRDefault="0041473E" w:rsidP="00943730">
    <w:pPr>
      <w:pStyle w:val="Header"/>
    </w:pPr>
    <w:r w:rsidRPr="001244E5">
      <w:rPr>
        <w:noProof/>
        <w:lang w:eastAsia="en-AU"/>
      </w:rPr>
      <w:drawing>
        <wp:anchor distT="0" distB="0" distL="114300" distR="114300" simplePos="0" relativeHeight="251658245" behindDoc="1" locked="1" layoutInCell="1" allowOverlap="1" wp14:anchorId="6B9E6F0A" wp14:editId="3816C5F3">
          <wp:simplePos x="0" y="0"/>
          <wp:positionH relativeFrom="page">
            <wp:posOffset>11541760</wp:posOffset>
          </wp:positionH>
          <wp:positionV relativeFrom="page">
            <wp:posOffset>928370</wp:posOffset>
          </wp:positionV>
          <wp:extent cx="1115060" cy="512445"/>
          <wp:effectExtent l="0" t="0" r="8890" b="1905"/>
          <wp:wrapNone/>
          <wp:docPr id="913096884" name="Picture 9130968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5060" cy="512445"/>
                  </a:xfrm>
                  <a:prstGeom prst="rect">
                    <a:avLst/>
                  </a:prstGeom>
                </pic:spPr>
              </pic:pic>
            </a:graphicData>
          </a:graphic>
          <wp14:sizeRelH relativeFrom="margin">
            <wp14:pctWidth>0</wp14:pctWidth>
          </wp14:sizeRelH>
          <wp14:sizeRelV relativeFrom="margin">
            <wp14:pctHeight>0</wp14:pctHeight>
          </wp14:sizeRelV>
        </wp:anchor>
      </w:drawing>
    </w:r>
    <w:r w:rsidRPr="001244E5">
      <w:rPr>
        <w:noProof/>
        <w:lang w:eastAsia="en-AU"/>
      </w:rPr>
      <w:drawing>
        <wp:anchor distT="0" distB="0" distL="114300" distR="114300" simplePos="0" relativeHeight="251658243" behindDoc="1" locked="1" layoutInCell="1" allowOverlap="1" wp14:anchorId="48B910CB" wp14:editId="23E52956">
          <wp:simplePos x="0" y="0"/>
          <wp:positionH relativeFrom="page">
            <wp:posOffset>-615315</wp:posOffset>
          </wp:positionH>
          <wp:positionV relativeFrom="page">
            <wp:align>top</wp:align>
          </wp:positionV>
          <wp:extent cx="14582775" cy="10692130"/>
          <wp:effectExtent l="0" t="0" r="9525" b="0"/>
          <wp:wrapNone/>
          <wp:docPr id="929921801" name="Picture 9299218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582775"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EEA"/>
    <w:multiLevelType w:val="hybridMultilevel"/>
    <w:tmpl w:val="E33C39E4"/>
    <w:lvl w:ilvl="0" w:tplc="3D02FF94">
      <w:start w:val="1"/>
      <w:numFmt w:val="lowerRoman"/>
      <w:lvlText w:val="%1."/>
      <w:lvlJc w:val="left"/>
      <w:pPr>
        <w:ind w:left="1080" w:hanging="72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8B517B"/>
    <w:multiLevelType w:val="hybridMultilevel"/>
    <w:tmpl w:val="B97EBE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B7E85"/>
    <w:multiLevelType w:val="hybridMultilevel"/>
    <w:tmpl w:val="E00CAB7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6076CDF"/>
    <w:multiLevelType w:val="multilevel"/>
    <w:tmpl w:val="FA10DDE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o"/>
      <w:lvlJc w:val="left"/>
      <w:pPr>
        <w:ind w:left="1418" w:hanging="360"/>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797556"/>
    <w:multiLevelType w:val="hybridMultilevel"/>
    <w:tmpl w:val="7688E47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C9FD7F"/>
    <w:multiLevelType w:val="hybridMultilevel"/>
    <w:tmpl w:val="125A84E8"/>
    <w:lvl w:ilvl="0" w:tplc="0C090005">
      <w:start w:val="1"/>
      <w:numFmt w:val="bullet"/>
      <w:lvlText w:val=""/>
      <w:lvlJc w:val="left"/>
      <w:pPr>
        <w:ind w:left="720" w:hanging="360"/>
      </w:pPr>
      <w:rPr>
        <w:rFonts w:ascii="Wingdings" w:hAnsi="Wingdings" w:hint="default"/>
      </w:rPr>
    </w:lvl>
    <w:lvl w:ilvl="1" w:tplc="1A860032">
      <w:start w:val="1"/>
      <w:numFmt w:val="lowerLetter"/>
      <w:lvlText w:val="%2."/>
      <w:lvlJc w:val="left"/>
      <w:pPr>
        <w:ind w:left="1440" w:hanging="360"/>
      </w:pPr>
    </w:lvl>
    <w:lvl w:ilvl="2" w:tplc="BDE69C46">
      <w:start w:val="1"/>
      <w:numFmt w:val="lowerRoman"/>
      <w:lvlText w:val="%3."/>
      <w:lvlJc w:val="right"/>
      <w:pPr>
        <w:ind w:left="2160" w:hanging="180"/>
      </w:pPr>
    </w:lvl>
    <w:lvl w:ilvl="3" w:tplc="B754A558">
      <w:start w:val="1"/>
      <w:numFmt w:val="decimal"/>
      <w:lvlText w:val="%4."/>
      <w:lvlJc w:val="left"/>
      <w:pPr>
        <w:ind w:left="2880" w:hanging="360"/>
      </w:pPr>
    </w:lvl>
    <w:lvl w:ilvl="4" w:tplc="A53EBB88">
      <w:start w:val="1"/>
      <w:numFmt w:val="lowerLetter"/>
      <w:lvlText w:val="%5."/>
      <w:lvlJc w:val="left"/>
      <w:pPr>
        <w:ind w:left="3600" w:hanging="360"/>
      </w:pPr>
    </w:lvl>
    <w:lvl w:ilvl="5" w:tplc="04686578">
      <w:start w:val="1"/>
      <w:numFmt w:val="lowerRoman"/>
      <w:lvlText w:val="%6."/>
      <w:lvlJc w:val="right"/>
      <w:pPr>
        <w:ind w:left="4320" w:hanging="180"/>
      </w:pPr>
    </w:lvl>
    <w:lvl w:ilvl="6" w:tplc="374CAD5A">
      <w:start w:val="1"/>
      <w:numFmt w:val="decimal"/>
      <w:lvlText w:val="%7."/>
      <w:lvlJc w:val="left"/>
      <w:pPr>
        <w:ind w:left="5040" w:hanging="360"/>
      </w:pPr>
    </w:lvl>
    <w:lvl w:ilvl="7" w:tplc="CCA0A1C8">
      <w:start w:val="1"/>
      <w:numFmt w:val="lowerLetter"/>
      <w:lvlText w:val="%8."/>
      <w:lvlJc w:val="left"/>
      <w:pPr>
        <w:ind w:left="5760" w:hanging="360"/>
      </w:pPr>
    </w:lvl>
    <w:lvl w:ilvl="8" w:tplc="E59AE946">
      <w:start w:val="1"/>
      <w:numFmt w:val="lowerRoman"/>
      <w:lvlText w:val="%9."/>
      <w:lvlJc w:val="right"/>
      <w:pPr>
        <w:ind w:left="6480" w:hanging="180"/>
      </w:pPr>
    </w:lvl>
  </w:abstractNum>
  <w:abstractNum w:abstractNumId="6" w15:restartNumberingAfterBreak="0">
    <w:nsid w:val="08234FB6"/>
    <w:multiLevelType w:val="hybridMultilevel"/>
    <w:tmpl w:val="9A32E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263A77"/>
    <w:multiLevelType w:val="hybridMultilevel"/>
    <w:tmpl w:val="DBD66230"/>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2D3AC3"/>
    <w:multiLevelType w:val="hybridMultilevel"/>
    <w:tmpl w:val="8B801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0ABD1AC1"/>
    <w:multiLevelType w:val="hybridMultilevel"/>
    <w:tmpl w:val="FE3CE07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4B7B09"/>
    <w:multiLevelType w:val="hybridMultilevel"/>
    <w:tmpl w:val="61E6208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BEF0C46"/>
    <w:multiLevelType w:val="hybridMultilevel"/>
    <w:tmpl w:val="C9AA38D0"/>
    <w:lvl w:ilvl="0" w:tplc="C42EC7E8">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4908DE"/>
    <w:multiLevelType w:val="hybridMultilevel"/>
    <w:tmpl w:val="7416CB9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1E64A45"/>
    <w:multiLevelType w:val="hybridMultilevel"/>
    <w:tmpl w:val="B6C65620"/>
    <w:lvl w:ilvl="0" w:tplc="8FC628F0">
      <w:start w:val="1"/>
      <w:numFmt w:val="lowerRoman"/>
      <w:lvlText w:val="%1."/>
      <w:lvlJc w:val="left"/>
      <w:pPr>
        <w:ind w:left="1080" w:hanging="72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29337DA"/>
    <w:multiLevelType w:val="hybridMultilevel"/>
    <w:tmpl w:val="3C643388"/>
    <w:lvl w:ilvl="0" w:tplc="F918BE68">
      <w:start w:val="1"/>
      <w:numFmt w:val="lowerRoman"/>
      <w:lvlText w:val="%1."/>
      <w:lvlJc w:val="left"/>
      <w:pPr>
        <w:ind w:left="1080" w:hanging="72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4520DD"/>
    <w:multiLevelType w:val="hybridMultilevel"/>
    <w:tmpl w:val="CA943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7071EC"/>
    <w:multiLevelType w:val="hybridMultilevel"/>
    <w:tmpl w:val="3B4C5E1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696376F"/>
    <w:multiLevelType w:val="hybridMultilevel"/>
    <w:tmpl w:val="B97EBE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20" w15:restartNumberingAfterBreak="0">
    <w:nsid w:val="17635C8B"/>
    <w:multiLevelType w:val="hybridMultilevel"/>
    <w:tmpl w:val="02C82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7AD6A4D"/>
    <w:multiLevelType w:val="hybridMultilevel"/>
    <w:tmpl w:val="3DB2539E"/>
    <w:lvl w:ilvl="0" w:tplc="DA64C31A">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7B95B2F"/>
    <w:multiLevelType w:val="hybridMultilevel"/>
    <w:tmpl w:val="966E797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8930590"/>
    <w:multiLevelType w:val="hybridMultilevel"/>
    <w:tmpl w:val="1562AA60"/>
    <w:lvl w:ilvl="0" w:tplc="9176D484">
      <w:start w:val="1"/>
      <w:numFmt w:val="lowerRoman"/>
      <w:lvlText w:val="%1."/>
      <w:lvlJc w:val="left"/>
      <w:pPr>
        <w:ind w:left="1080" w:hanging="720"/>
      </w:pPr>
      <w:rPr>
        <w:rFonts w:ascii="Calibri Light" w:eastAsiaTheme="minorHAnsi" w:hAnsi="Calibri Light" w:cs="Calibri Ligh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A5C6867"/>
    <w:multiLevelType w:val="hybridMultilevel"/>
    <w:tmpl w:val="B97EBE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B042D9D"/>
    <w:multiLevelType w:val="multilevel"/>
    <w:tmpl w:val="BEECDDF4"/>
    <w:lvl w:ilvl="0">
      <w:start w:val="1"/>
      <w:numFmt w:val="bullet"/>
      <w:pStyle w:val="Heading4"/>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192F8A"/>
    <w:multiLevelType w:val="multilevel"/>
    <w:tmpl w:val="1100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C6CB2FC"/>
    <w:multiLevelType w:val="hybridMultilevel"/>
    <w:tmpl w:val="FFFFFFFF"/>
    <w:lvl w:ilvl="0" w:tplc="0B5885FC">
      <w:start w:val="1"/>
      <w:numFmt w:val="upperLetter"/>
      <w:pStyle w:val="IDD1"/>
      <w:lvlText w:val="%1."/>
      <w:lvlJc w:val="left"/>
      <w:pPr>
        <w:ind w:left="644" w:hanging="360"/>
      </w:pPr>
    </w:lvl>
    <w:lvl w:ilvl="1" w:tplc="9B8A83C6">
      <w:start w:val="1"/>
      <w:numFmt w:val="lowerLetter"/>
      <w:lvlText w:val="%2."/>
      <w:lvlJc w:val="left"/>
      <w:pPr>
        <w:ind w:left="1364" w:hanging="360"/>
      </w:pPr>
    </w:lvl>
    <w:lvl w:ilvl="2" w:tplc="B9E40878">
      <w:start w:val="1"/>
      <w:numFmt w:val="lowerRoman"/>
      <w:lvlText w:val="%3."/>
      <w:lvlJc w:val="right"/>
      <w:pPr>
        <w:ind w:left="2084" w:hanging="180"/>
      </w:pPr>
    </w:lvl>
    <w:lvl w:ilvl="3" w:tplc="45A8CEC6">
      <w:start w:val="1"/>
      <w:numFmt w:val="decimal"/>
      <w:lvlText w:val="%4."/>
      <w:lvlJc w:val="left"/>
      <w:pPr>
        <w:ind w:left="2804" w:hanging="360"/>
      </w:pPr>
    </w:lvl>
    <w:lvl w:ilvl="4" w:tplc="FCEEC7DE">
      <w:start w:val="1"/>
      <w:numFmt w:val="lowerLetter"/>
      <w:lvlText w:val="%5."/>
      <w:lvlJc w:val="left"/>
      <w:pPr>
        <w:ind w:left="3524" w:hanging="360"/>
      </w:pPr>
    </w:lvl>
    <w:lvl w:ilvl="5" w:tplc="261EB200">
      <w:start w:val="1"/>
      <w:numFmt w:val="lowerRoman"/>
      <w:lvlText w:val="%6."/>
      <w:lvlJc w:val="right"/>
      <w:pPr>
        <w:ind w:left="4244" w:hanging="180"/>
      </w:pPr>
    </w:lvl>
    <w:lvl w:ilvl="6" w:tplc="4BC09916">
      <w:start w:val="1"/>
      <w:numFmt w:val="decimal"/>
      <w:lvlText w:val="%7."/>
      <w:lvlJc w:val="left"/>
      <w:pPr>
        <w:ind w:left="4964" w:hanging="360"/>
      </w:pPr>
    </w:lvl>
    <w:lvl w:ilvl="7" w:tplc="50E6F5CE">
      <w:start w:val="1"/>
      <w:numFmt w:val="lowerLetter"/>
      <w:lvlText w:val="%8."/>
      <w:lvlJc w:val="left"/>
      <w:pPr>
        <w:ind w:left="5684" w:hanging="360"/>
      </w:pPr>
    </w:lvl>
    <w:lvl w:ilvl="8" w:tplc="72CA2C1E">
      <w:start w:val="1"/>
      <w:numFmt w:val="lowerRoman"/>
      <w:lvlText w:val="%9."/>
      <w:lvlJc w:val="right"/>
      <w:pPr>
        <w:ind w:left="6404" w:hanging="180"/>
      </w:pPr>
    </w:lvl>
  </w:abstractNum>
  <w:abstractNum w:abstractNumId="28" w15:restartNumberingAfterBreak="0">
    <w:nsid w:val="1E431CF8"/>
    <w:multiLevelType w:val="hybridMultilevel"/>
    <w:tmpl w:val="B97EBE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E893082"/>
    <w:multiLevelType w:val="multilevel"/>
    <w:tmpl w:val="3642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ECB058A"/>
    <w:multiLevelType w:val="multilevel"/>
    <w:tmpl w:val="712C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3424D24"/>
    <w:multiLevelType w:val="hybridMultilevel"/>
    <w:tmpl w:val="47D2C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45F1336"/>
    <w:multiLevelType w:val="hybridMultilevel"/>
    <w:tmpl w:val="DD244E2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B9B159F"/>
    <w:multiLevelType w:val="multilevel"/>
    <w:tmpl w:val="FF7285D8"/>
    <w:styleLink w:val="HeadingsList"/>
    <w:lvl w:ilvl="0">
      <w:start w:val="1"/>
      <w:numFmt w:val="decimal"/>
      <w:pStyle w:val="Heading1"/>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4" w15:restartNumberingAfterBreak="0">
    <w:nsid w:val="2CAA3ED0"/>
    <w:multiLevelType w:val="hybridMultilevel"/>
    <w:tmpl w:val="C58897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CC23DFE"/>
    <w:multiLevelType w:val="hybridMultilevel"/>
    <w:tmpl w:val="D40EA71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E0360E6"/>
    <w:multiLevelType w:val="hybridMultilevel"/>
    <w:tmpl w:val="B97EBE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4A4386D"/>
    <w:multiLevelType w:val="hybridMultilevel"/>
    <w:tmpl w:val="6DEC7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59D1871"/>
    <w:multiLevelType w:val="hybridMultilevel"/>
    <w:tmpl w:val="D3363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6EF2EB1"/>
    <w:multiLevelType w:val="multilevel"/>
    <w:tmpl w:val="0F0C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6FD4C95"/>
    <w:multiLevelType w:val="hybridMultilevel"/>
    <w:tmpl w:val="934EAF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371F6130"/>
    <w:multiLevelType w:val="hybridMultilevel"/>
    <w:tmpl w:val="5A9EB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8125C9E"/>
    <w:multiLevelType w:val="hybridMultilevel"/>
    <w:tmpl w:val="5E98674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AC72236"/>
    <w:multiLevelType w:val="hybridMultilevel"/>
    <w:tmpl w:val="EDB4D09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B9D2BBD"/>
    <w:multiLevelType w:val="hybridMultilevel"/>
    <w:tmpl w:val="1F52059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BBF600F"/>
    <w:multiLevelType w:val="multilevel"/>
    <w:tmpl w:val="CDC8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A11A56"/>
    <w:multiLevelType w:val="hybridMultilevel"/>
    <w:tmpl w:val="7E0880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EC53F1B"/>
    <w:multiLevelType w:val="multilevel"/>
    <w:tmpl w:val="B540D100"/>
    <w:lvl w:ilvl="0">
      <w:start w:val="1"/>
      <w:numFmt w:val="bullet"/>
      <w:lvlText w:val=""/>
      <w:lvlJc w:val="left"/>
      <w:pPr>
        <w:ind w:left="284" w:hanging="284"/>
      </w:pPr>
      <w:rPr>
        <w:rFonts w:ascii="Symbol" w:hAnsi="Symbol" w:hint="default"/>
      </w:rPr>
    </w:lvl>
    <w:lvl w:ilvl="1">
      <w:start w:val="1"/>
      <w:numFmt w:val="bullet"/>
      <w:lvlText w:val=""/>
      <w:lvlJc w:val="left"/>
      <w:pPr>
        <w:ind w:left="644" w:hanging="360"/>
      </w:pPr>
      <w:rPr>
        <w:rFonts w:ascii="Symbol" w:hAnsi="Symbo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8" w15:restartNumberingAfterBreak="0">
    <w:nsid w:val="407100AE"/>
    <w:multiLevelType w:val="hybridMultilevel"/>
    <w:tmpl w:val="A6CC4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2AE4769"/>
    <w:multiLevelType w:val="hybridMultilevel"/>
    <w:tmpl w:val="B97EBE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2C66D8D"/>
    <w:multiLevelType w:val="hybridMultilevel"/>
    <w:tmpl w:val="6D62A1B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57719C6"/>
    <w:multiLevelType w:val="hybridMultilevel"/>
    <w:tmpl w:val="0C849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90A3AFE"/>
    <w:multiLevelType w:val="hybridMultilevel"/>
    <w:tmpl w:val="B97EBE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9852684"/>
    <w:multiLevelType w:val="hybridMultilevel"/>
    <w:tmpl w:val="8B0E4002"/>
    <w:lvl w:ilvl="0" w:tplc="C42EC7E8">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9FA4E45"/>
    <w:multiLevelType w:val="hybridMultilevel"/>
    <w:tmpl w:val="088C2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A9D364E"/>
    <w:multiLevelType w:val="hybridMultilevel"/>
    <w:tmpl w:val="08680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DEE6276"/>
    <w:multiLevelType w:val="hybridMultilevel"/>
    <w:tmpl w:val="8C7E5088"/>
    <w:lvl w:ilvl="0" w:tplc="F918BE68">
      <w:start w:val="1"/>
      <w:numFmt w:val="lowerRoman"/>
      <w:lvlText w:val="%1."/>
      <w:lvlJc w:val="left"/>
      <w:pPr>
        <w:ind w:left="1080" w:hanging="72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DFA2487"/>
    <w:multiLevelType w:val="hybridMultilevel"/>
    <w:tmpl w:val="2A30D51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EDB6E0C"/>
    <w:multiLevelType w:val="hybridMultilevel"/>
    <w:tmpl w:val="3D728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F0B302A"/>
    <w:multiLevelType w:val="hybridMultilevel"/>
    <w:tmpl w:val="B97EBE14"/>
    <w:lvl w:ilvl="0" w:tplc="C42EC7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2513F71"/>
    <w:multiLevelType w:val="hybridMultilevel"/>
    <w:tmpl w:val="52A26D7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35E09D9"/>
    <w:multiLevelType w:val="hybridMultilevel"/>
    <w:tmpl w:val="0CD25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6A24D8D"/>
    <w:multiLevelType w:val="multilevel"/>
    <w:tmpl w:val="DFD4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8C423EE"/>
    <w:multiLevelType w:val="multilevel"/>
    <w:tmpl w:val="572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65" w15:restartNumberingAfterBreak="0">
    <w:nsid w:val="59AE25C6"/>
    <w:multiLevelType w:val="hybridMultilevel"/>
    <w:tmpl w:val="929E3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A326B5F"/>
    <w:multiLevelType w:val="hybridMultilevel"/>
    <w:tmpl w:val="B1DE3E80"/>
    <w:lvl w:ilvl="0" w:tplc="0C090003">
      <w:start w:val="1"/>
      <w:numFmt w:val="bullet"/>
      <w:lvlText w:val="o"/>
      <w:lvlJc w:val="left"/>
      <w:pPr>
        <w:ind w:left="1418" w:hanging="360"/>
      </w:pPr>
      <w:rPr>
        <w:rFonts w:ascii="Courier New" w:hAnsi="Courier New" w:cs="Courier New" w:hint="default"/>
      </w:rPr>
    </w:lvl>
    <w:lvl w:ilvl="1" w:tplc="0C090003" w:tentative="1">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abstractNum w:abstractNumId="67" w15:restartNumberingAfterBreak="0">
    <w:nsid w:val="5BE775B1"/>
    <w:multiLevelType w:val="multilevel"/>
    <w:tmpl w:val="B21E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D3C1EA7"/>
    <w:multiLevelType w:val="multilevel"/>
    <w:tmpl w:val="16D411F2"/>
    <w:lvl w:ilvl="0">
      <w:start w:val="1"/>
      <w:numFmt w:val="bullet"/>
      <w:pStyle w:val="Bullet1"/>
      <w:lvlText w:val=""/>
      <w:lvlJc w:val="left"/>
      <w:pPr>
        <w:ind w:left="284" w:hanging="284"/>
      </w:pPr>
      <w:rPr>
        <w:rFonts w:ascii="Symbol" w:hAnsi="Symbol" w:hint="default"/>
      </w:rPr>
    </w:lvl>
    <w:lvl w:ilvl="1">
      <w:start w:val="1"/>
      <w:numFmt w:val="decimal"/>
      <w:pStyle w:val="Bullet2"/>
      <w:lvlText w:val="%2."/>
      <w:lvlJc w:val="left"/>
      <w:pPr>
        <w:ind w:left="644" w:hanging="360"/>
      </w:pPr>
      <w:rPr>
        <w:b w:val="0"/>
        <w:bCs w:val="0"/>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9"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70" w15:restartNumberingAfterBreak="0">
    <w:nsid w:val="5E2456CB"/>
    <w:multiLevelType w:val="hybridMultilevel"/>
    <w:tmpl w:val="E052282A"/>
    <w:lvl w:ilvl="0" w:tplc="C42EC7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EFC39E5"/>
    <w:multiLevelType w:val="hybridMultilevel"/>
    <w:tmpl w:val="956CD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FD11EBF"/>
    <w:multiLevelType w:val="hybridMultilevel"/>
    <w:tmpl w:val="B97EBE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FEB0376"/>
    <w:multiLevelType w:val="hybridMultilevel"/>
    <w:tmpl w:val="B97EBE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19B4EE3"/>
    <w:multiLevelType w:val="hybridMultilevel"/>
    <w:tmpl w:val="3FBEB18E"/>
    <w:lvl w:ilvl="0" w:tplc="DA64C31A">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67270B4F"/>
    <w:multiLevelType w:val="hybridMultilevel"/>
    <w:tmpl w:val="101C8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8653D12"/>
    <w:multiLevelType w:val="multilevel"/>
    <w:tmpl w:val="29B4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98D03D7"/>
    <w:multiLevelType w:val="hybridMultilevel"/>
    <w:tmpl w:val="F354A8B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BF97F23"/>
    <w:multiLevelType w:val="hybridMultilevel"/>
    <w:tmpl w:val="B97EBE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E21440A"/>
    <w:multiLevelType w:val="hybridMultilevel"/>
    <w:tmpl w:val="B97EBE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F94531F"/>
    <w:multiLevelType w:val="hybridMultilevel"/>
    <w:tmpl w:val="31247BC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3107305"/>
    <w:multiLevelType w:val="multilevel"/>
    <w:tmpl w:val="A6FA45D0"/>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2" w15:restartNumberingAfterBreak="0">
    <w:nsid w:val="75BD18BD"/>
    <w:multiLevelType w:val="hybridMultilevel"/>
    <w:tmpl w:val="65BA3120"/>
    <w:lvl w:ilvl="0" w:tplc="17CE9AA4">
      <w:start w:val="1"/>
      <w:numFmt w:val="decimal"/>
      <w:lvlText w:val="%1."/>
      <w:lvlJc w:val="left"/>
      <w:pPr>
        <w:ind w:left="360" w:hanging="360"/>
      </w:pPr>
      <w:rPr>
        <w:rFonts w:hint="default"/>
        <w:b/>
        <w:bCs w:val="0"/>
        <w:i w:val="0"/>
        <w:sz w:val="2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77E43DAA"/>
    <w:multiLevelType w:val="hybridMultilevel"/>
    <w:tmpl w:val="B97EBE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5" w15:restartNumberingAfterBreak="0">
    <w:nsid w:val="795E515D"/>
    <w:multiLevelType w:val="hybridMultilevel"/>
    <w:tmpl w:val="6E74C6D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C0B046F"/>
    <w:multiLevelType w:val="multilevel"/>
    <w:tmpl w:val="69A8C4D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Light" w:eastAsiaTheme="minorHAnsi" w:hAnsi="Calibri Light" w:cs="Calibri Light"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C994CE8"/>
    <w:multiLevelType w:val="hybridMultilevel"/>
    <w:tmpl w:val="9068532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E5F5739"/>
    <w:multiLevelType w:val="hybridMultilevel"/>
    <w:tmpl w:val="C7246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F7A528B"/>
    <w:multiLevelType w:val="hybridMultilevel"/>
    <w:tmpl w:val="A39658C0"/>
    <w:lvl w:ilvl="0" w:tplc="7B640FF6">
      <w:start w:val="1"/>
      <w:numFmt w:val="bullet"/>
      <w:pStyle w:val="ListBullet"/>
      <w:lvlText w:val="›"/>
      <w:lvlJc w:val="left"/>
      <w:pPr>
        <w:ind w:left="0" w:hanging="360"/>
      </w:pPr>
      <w:rPr>
        <w:rFonts w:ascii="Times New Roman" w:hAnsi="Times New Roman" w:cs="Times New Roman" w:hint="default"/>
        <w:color w:val="auto"/>
        <w:position w:val="3"/>
      </w:rPr>
    </w:lvl>
    <w:lvl w:ilvl="1" w:tplc="FFFFFFFF">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90" w15:restartNumberingAfterBreak="0">
    <w:nsid w:val="7FA07DC7"/>
    <w:multiLevelType w:val="hybridMultilevel"/>
    <w:tmpl w:val="6424408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4168849">
    <w:abstractNumId w:val="27"/>
  </w:num>
  <w:num w:numId="2" w16cid:durableId="1200359390">
    <w:abstractNumId w:val="5"/>
  </w:num>
  <w:num w:numId="3" w16cid:durableId="463933323">
    <w:abstractNumId w:val="81"/>
  </w:num>
  <w:num w:numId="4" w16cid:durableId="380373926">
    <w:abstractNumId w:val="9"/>
  </w:num>
  <w:num w:numId="5" w16cid:durableId="372120983">
    <w:abstractNumId w:val="33"/>
  </w:num>
  <w:num w:numId="6" w16cid:durableId="390615848">
    <w:abstractNumId w:val="64"/>
  </w:num>
  <w:num w:numId="7" w16cid:durableId="930310843">
    <w:abstractNumId w:val="69"/>
  </w:num>
  <w:num w:numId="8" w16cid:durableId="1652710219">
    <w:abstractNumId w:val="68"/>
  </w:num>
  <w:num w:numId="9" w16cid:durableId="490633657">
    <w:abstractNumId w:val="33"/>
  </w:num>
  <w:num w:numId="10" w16cid:durableId="1669677604">
    <w:abstractNumId w:val="9"/>
  </w:num>
  <w:num w:numId="11" w16cid:durableId="1132865891">
    <w:abstractNumId w:val="19"/>
  </w:num>
  <w:num w:numId="12" w16cid:durableId="1975869933">
    <w:abstractNumId w:val="84"/>
  </w:num>
  <w:num w:numId="13" w16cid:durableId="748500793">
    <w:abstractNumId w:val="89"/>
  </w:num>
  <w:num w:numId="14" w16cid:durableId="786394528">
    <w:abstractNumId w:val="7"/>
  </w:num>
  <w:num w:numId="15" w16cid:durableId="1004355931">
    <w:abstractNumId w:val="80"/>
  </w:num>
  <w:num w:numId="16" w16cid:durableId="1015185187">
    <w:abstractNumId w:val="31"/>
  </w:num>
  <w:num w:numId="17" w16cid:durableId="1418135237">
    <w:abstractNumId w:val="75"/>
  </w:num>
  <w:num w:numId="18" w16cid:durableId="672532975">
    <w:abstractNumId w:val="25"/>
  </w:num>
  <w:num w:numId="19" w16cid:durableId="116997986">
    <w:abstractNumId w:val="55"/>
  </w:num>
  <w:num w:numId="20" w16cid:durableId="1735422936">
    <w:abstractNumId w:val="8"/>
  </w:num>
  <w:num w:numId="21" w16cid:durableId="232744557">
    <w:abstractNumId w:val="48"/>
  </w:num>
  <w:num w:numId="22" w16cid:durableId="1591039743">
    <w:abstractNumId w:val="54"/>
  </w:num>
  <w:num w:numId="23" w16cid:durableId="25495815">
    <w:abstractNumId w:val="2"/>
  </w:num>
  <w:num w:numId="24" w16cid:durableId="1781803282">
    <w:abstractNumId w:val="62"/>
  </w:num>
  <w:num w:numId="25" w16cid:durableId="1212962692">
    <w:abstractNumId w:val="67"/>
  </w:num>
  <w:num w:numId="26" w16cid:durableId="640228063">
    <w:abstractNumId w:val="29"/>
  </w:num>
  <w:num w:numId="27" w16cid:durableId="1248005362">
    <w:abstractNumId w:val="76"/>
  </w:num>
  <w:num w:numId="28" w16cid:durableId="649410768">
    <w:abstractNumId w:val="39"/>
  </w:num>
  <w:num w:numId="29" w16cid:durableId="1412315951">
    <w:abstractNumId w:val="30"/>
  </w:num>
  <w:num w:numId="30" w16cid:durableId="1658609552">
    <w:abstractNumId w:val="26"/>
  </w:num>
  <w:num w:numId="31" w16cid:durableId="1399356726">
    <w:abstractNumId w:val="63"/>
  </w:num>
  <w:num w:numId="32" w16cid:durableId="1013142248">
    <w:abstractNumId w:val="45"/>
  </w:num>
  <w:num w:numId="33" w16cid:durableId="756635184">
    <w:abstractNumId w:val="86"/>
  </w:num>
  <w:num w:numId="34" w16cid:durableId="691686868">
    <w:abstractNumId w:val="82"/>
  </w:num>
  <w:num w:numId="35" w16cid:durableId="220791259">
    <w:abstractNumId w:val="59"/>
  </w:num>
  <w:num w:numId="36" w16cid:durableId="1408913971">
    <w:abstractNumId w:val="52"/>
  </w:num>
  <w:num w:numId="37" w16cid:durableId="344016333">
    <w:abstractNumId w:val="1"/>
  </w:num>
  <w:num w:numId="38" w16cid:durableId="1720670959">
    <w:abstractNumId w:val="18"/>
  </w:num>
  <w:num w:numId="39" w16cid:durableId="1121336765">
    <w:abstractNumId w:val="72"/>
  </w:num>
  <w:num w:numId="40" w16cid:durableId="1674912117">
    <w:abstractNumId w:val="83"/>
  </w:num>
  <w:num w:numId="41" w16cid:durableId="1689794073">
    <w:abstractNumId w:val="73"/>
  </w:num>
  <w:num w:numId="42" w16cid:durableId="78337469">
    <w:abstractNumId w:val="28"/>
  </w:num>
  <w:num w:numId="43" w16cid:durableId="187641455">
    <w:abstractNumId w:val="24"/>
  </w:num>
  <w:num w:numId="44" w16cid:durableId="764232610">
    <w:abstractNumId w:val="78"/>
  </w:num>
  <w:num w:numId="45" w16cid:durableId="444928016">
    <w:abstractNumId w:val="36"/>
  </w:num>
  <w:num w:numId="46" w16cid:durableId="78840699">
    <w:abstractNumId w:val="79"/>
  </w:num>
  <w:num w:numId="47" w16cid:durableId="1217351923">
    <w:abstractNumId w:val="70"/>
  </w:num>
  <w:num w:numId="48" w16cid:durableId="1072704363">
    <w:abstractNumId w:val="23"/>
  </w:num>
  <w:num w:numId="49" w16cid:durableId="944386773">
    <w:abstractNumId w:val="56"/>
  </w:num>
  <w:num w:numId="50" w16cid:durableId="1283196080">
    <w:abstractNumId w:val="0"/>
  </w:num>
  <w:num w:numId="51" w16cid:durableId="1285841767">
    <w:abstractNumId w:val="14"/>
  </w:num>
  <w:num w:numId="52" w16cid:durableId="1539199131">
    <w:abstractNumId w:val="49"/>
  </w:num>
  <w:num w:numId="53" w16cid:durableId="1104035181">
    <w:abstractNumId w:val="40"/>
  </w:num>
  <w:num w:numId="54" w16cid:durableId="2056734476">
    <w:abstractNumId w:val="21"/>
  </w:num>
  <w:num w:numId="55" w16cid:durableId="205485980">
    <w:abstractNumId w:val="12"/>
  </w:num>
  <w:num w:numId="56" w16cid:durableId="193226447">
    <w:abstractNumId w:val="74"/>
  </w:num>
  <w:num w:numId="57" w16cid:durableId="1823740358">
    <w:abstractNumId w:val="15"/>
  </w:num>
  <w:num w:numId="58" w16cid:durableId="1167987033">
    <w:abstractNumId w:val="53"/>
  </w:num>
  <w:num w:numId="59" w16cid:durableId="446124931">
    <w:abstractNumId w:val="88"/>
  </w:num>
  <w:num w:numId="60" w16cid:durableId="89475951">
    <w:abstractNumId w:val="20"/>
  </w:num>
  <w:num w:numId="61" w16cid:durableId="297344586">
    <w:abstractNumId w:val="41"/>
  </w:num>
  <w:num w:numId="62" w16cid:durableId="2087611795">
    <w:abstractNumId w:val="35"/>
  </w:num>
  <w:num w:numId="63" w16cid:durableId="1105732397">
    <w:abstractNumId w:val="38"/>
  </w:num>
  <w:num w:numId="64" w16cid:durableId="509874368">
    <w:abstractNumId w:val="85"/>
  </w:num>
  <w:num w:numId="65" w16cid:durableId="450365111">
    <w:abstractNumId w:val="46"/>
  </w:num>
  <w:num w:numId="66" w16cid:durableId="541595306">
    <w:abstractNumId w:val="60"/>
  </w:num>
  <w:num w:numId="67" w16cid:durableId="621883907">
    <w:abstractNumId w:val="87"/>
  </w:num>
  <w:num w:numId="68" w16cid:durableId="900989086">
    <w:abstractNumId w:val="47"/>
  </w:num>
  <w:num w:numId="69" w16cid:durableId="518079655">
    <w:abstractNumId w:val="43"/>
  </w:num>
  <w:num w:numId="70" w16cid:durableId="1888368819">
    <w:abstractNumId w:val="77"/>
  </w:num>
  <w:num w:numId="71" w16cid:durableId="561867973">
    <w:abstractNumId w:val="10"/>
  </w:num>
  <w:num w:numId="72" w16cid:durableId="1862166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71959187">
    <w:abstractNumId w:val="37"/>
  </w:num>
  <w:num w:numId="74" w16cid:durableId="1358117625">
    <w:abstractNumId w:val="34"/>
  </w:num>
  <w:num w:numId="75" w16cid:durableId="1939092682">
    <w:abstractNumId w:val="66"/>
  </w:num>
  <w:num w:numId="76" w16cid:durableId="2006127146">
    <w:abstractNumId w:val="3"/>
  </w:num>
  <w:num w:numId="77" w16cid:durableId="338654202">
    <w:abstractNumId w:val="57"/>
  </w:num>
  <w:num w:numId="78" w16cid:durableId="1349675543">
    <w:abstractNumId w:val="13"/>
  </w:num>
  <w:num w:numId="79" w16cid:durableId="937250225">
    <w:abstractNumId w:val="4"/>
  </w:num>
  <w:num w:numId="80" w16cid:durableId="1292907193">
    <w:abstractNumId w:val="17"/>
  </w:num>
  <w:num w:numId="81" w16cid:durableId="1892569654">
    <w:abstractNumId w:val="42"/>
  </w:num>
  <w:num w:numId="82" w16cid:durableId="292293997">
    <w:abstractNumId w:val="61"/>
  </w:num>
  <w:num w:numId="83" w16cid:durableId="1616785969">
    <w:abstractNumId w:val="11"/>
  </w:num>
  <w:num w:numId="84" w16cid:durableId="782260583">
    <w:abstractNumId w:val="44"/>
  </w:num>
  <w:num w:numId="85" w16cid:durableId="686638784">
    <w:abstractNumId w:val="32"/>
  </w:num>
  <w:num w:numId="86" w16cid:durableId="1602685320">
    <w:abstractNumId w:val="22"/>
  </w:num>
  <w:num w:numId="87" w16cid:durableId="409885859">
    <w:abstractNumId w:val="90"/>
  </w:num>
  <w:num w:numId="88" w16cid:durableId="2138833500">
    <w:abstractNumId w:val="50"/>
  </w:num>
  <w:num w:numId="89" w16cid:durableId="2104839578">
    <w:abstractNumId w:val="51"/>
  </w:num>
  <w:num w:numId="90" w16cid:durableId="1579167647">
    <w:abstractNumId w:val="16"/>
  </w:num>
  <w:num w:numId="91" w16cid:durableId="508250242">
    <w:abstractNumId w:val="71"/>
  </w:num>
  <w:num w:numId="92" w16cid:durableId="1825586066">
    <w:abstractNumId w:val="6"/>
  </w:num>
  <w:num w:numId="93" w16cid:durableId="1256787797">
    <w:abstractNumId w:val="65"/>
  </w:num>
  <w:num w:numId="94" w16cid:durableId="1097018739">
    <w:abstractNumId w:val="5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583"/>
    <w:rsid w:val="00000286"/>
    <w:rsid w:val="000003DD"/>
    <w:rsid w:val="00000603"/>
    <w:rsid w:val="0000176B"/>
    <w:rsid w:val="00001DA8"/>
    <w:rsid w:val="000020C1"/>
    <w:rsid w:val="00003410"/>
    <w:rsid w:val="000037BC"/>
    <w:rsid w:val="00003F69"/>
    <w:rsid w:val="0000460A"/>
    <w:rsid w:val="00004BFC"/>
    <w:rsid w:val="0000542C"/>
    <w:rsid w:val="00005ABB"/>
    <w:rsid w:val="00006115"/>
    <w:rsid w:val="00006B58"/>
    <w:rsid w:val="00009E3D"/>
    <w:rsid w:val="000107E4"/>
    <w:rsid w:val="00010BE1"/>
    <w:rsid w:val="00011339"/>
    <w:rsid w:val="000126C5"/>
    <w:rsid w:val="00012895"/>
    <w:rsid w:val="000130D2"/>
    <w:rsid w:val="000141CD"/>
    <w:rsid w:val="0001462D"/>
    <w:rsid w:val="00014FD2"/>
    <w:rsid w:val="000152C6"/>
    <w:rsid w:val="0001569B"/>
    <w:rsid w:val="0001592F"/>
    <w:rsid w:val="00017AB5"/>
    <w:rsid w:val="00017B59"/>
    <w:rsid w:val="00017B77"/>
    <w:rsid w:val="0002080A"/>
    <w:rsid w:val="00020DAD"/>
    <w:rsid w:val="0002151E"/>
    <w:rsid w:val="00021A3B"/>
    <w:rsid w:val="000221E0"/>
    <w:rsid w:val="00022256"/>
    <w:rsid w:val="000228AF"/>
    <w:rsid w:val="000239B8"/>
    <w:rsid w:val="00023FBD"/>
    <w:rsid w:val="00024392"/>
    <w:rsid w:val="00024794"/>
    <w:rsid w:val="00024F88"/>
    <w:rsid w:val="00025228"/>
    <w:rsid w:val="000268C2"/>
    <w:rsid w:val="00027345"/>
    <w:rsid w:val="00027564"/>
    <w:rsid w:val="0002766C"/>
    <w:rsid w:val="0002782F"/>
    <w:rsid w:val="000302B0"/>
    <w:rsid w:val="00030E2A"/>
    <w:rsid w:val="0003225E"/>
    <w:rsid w:val="000329DB"/>
    <w:rsid w:val="00032C74"/>
    <w:rsid w:val="00032E11"/>
    <w:rsid w:val="00033859"/>
    <w:rsid w:val="00034096"/>
    <w:rsid w:val="00034277"/>
    <w:rsid w:val="000343E3"/>
    <w:rsid w:val="00034E4E"/>
    <w:rsid w:val="00035227"/>
    <w:rsid w:val="0003554B"/>
    <w:rsid w:val="00035BBF"/>
    <w:rsid w:val="000360CD"/>
    <w:rsid w:val="0003672D"/>
    <w:rsid w:val="000373CA"/>
    <w:rsid w:val="000374E6"/>
    <w:rsid w:val="000376E0"/>
    <w:rsid w:val="000376E7"/>
    <w:rsid w:val="00037AEB"/>
    <w:rsid w:val="000413B9"/>
    <w:rsid w:val="000416D4"/>
    <w:rsid w:val="00041E14"/>
    <w:rsid w:val="00042150"/>
    <w:rsid w:val="0004290F"/>
    <w:rsid w:val="000429C0"/>
    <w:rsid w:val="00042B7F"/>
    <w:rsid w:val="00042EC1"/>
    <w:rsid w:val="0004413E"/>
    <w:rsid w:val="00045CDF"/>
    <w:rsid w:val="00046455"/>
    <w:rsid w:val="000466DB"/>
    <w:rsid w:val="0004760B"/>
    <w:rsid w:val="0004761F"/>
    <w:rsid w:val="000477D2"/>
    <w:rsid w:val="00047C8C"/>
    <w:rsid w:val="00050262"/>
    <w:rsid w:val="00050806"/>
    <w:rsid w:val="00050A35"/>
    <w:rsid w:val="00050EB6"/>
    <w:rsid w:val="00051096"/>
    <w:rsid w:val="000510CF"/>
    <w:rsid w:val="00051556"/>
    <w:rsid w:val="00051C4F"/>
    <w:rsid w:val="00052A8D"/>
    <w:rsid w:val="00052D6E"/>
    <w:rsid w:val="0005336B"/>
    <w:rsid w:val="00053667"/>
    <w:rsid w:val="000546D9"/>
    <w:rsid w:val="00054E4D"/>
    <w:rsid w:val="000550A1"/>
    <w:rsid w:val="0005608D"/>
    <w:rsid w:val="00056836"/>
    <w:rsid w:val="000577DF"/>
    <w:rsid w:val="00060073"/>
    <w:rsid w:val="00060BEE"/>
    <w:rsid w:val="000616C6"/>
    <w:rsid w:val="000619CB"/>
    <w:rsid w:val="00061B18"/>
    <w:rsid w:val="00062B97"/>
    <w:rsid w:val="000634B7"/>
    <w:rsid w:val="00063841"/>
    <w:rsid w:val="00065C4C"/>
    <w:rsid w:val="000661BD"/>
    <w:rsid w:val="00066A43"/>
    <w:rsid w:val="000676DE"/>
    <w:rsid w:val="00070E1C"/>
    <w:rsid w:val="000714F4"/>
    <w:rsid w:val="00071922"/>
    <w:rsid w:val="000721C1"/>
    <w:rsid w:val="0007262C"/>
    <w:rsid w:val="00072F73"/>
    <w:rsid w:val="000732A0"/>
    <w:rsid w:val="00073349"/>
    <w:rsid w:val="00073C0C"/>
    <w:rsid w:val="00074AFC"/>
    <w:rsid w:val="00074FCC"/>
    <w:rsid w:val="00075380"/>
    <w:rsid w:val="00075763"/>
    <w:rsid w:val="00075ABE"/>
    <w:rsid w:val="00076322"/>
    <w:rsid w:val="000803EC"/>
    <w:rsid w:val="00080C3C"/>
    <w:rsid w:val="00080C6E"/>
    <w:rsid w:val="000811DD"/>
    <w:rsid w:val="00081A93"/>
    <w:rsid w:val="0008226E"/>
    <w:rsid w:val="0008286B"/>
    <w:rsid w:val="00082BA6"/>
    <w:rsid w:val="00082E00"/>
    <w:rsid w:val="0008352A"/>
    <w:rsid w:val="00083626"/>
    <w:rsid w:val="0008383E"/>
    <w:rsid w:val="00083B35"/>
    <w:rsid w:val="00084288"/>
    <w:rsid w:val="00084582"/>
    <w:rsid w:val="000854FD"/>
    <w:rsid w:val="000857AE"/>
    <w:rsid w:val="0008599C"/>
    <w:rsid w:val="00085B35"/>
    <w:rsid w:val="00085DA4"/>
    <w:rsid w:val="0008635C"/>
    <w:rsid w:val="000868E5"/>
    <w:rsid w:val="00087378"/>
    <w:rsid w:val="00087B24"/>
    <w:rsid w:val="00090287"/>
    <w:rsid w:val="0009065C"/>
    <w:rsid w:val="00090C35"/>
    <w:rsid w:val="00091ECE"/>
    <w:rsid w:val="00092041"/>
    <w:rsid w:val="00092316"/>
    <w:rsid w:val="00092931"/>
    <w:rsid w:val="00092B37"/>
    <w:rsid w:val="00093582"/>
    <w:rsid w:val="000938E0"/>
    <w:rsid w:val="00095844"/>
    <w:rsid w:val="00095A25"/>
    <w:rsid w:val="00095CEE"/>
    <w:rsid w:val="0009640E"/>
    <w:rsid w:val="00096916"/>
    <w:rsid w:val="00096E0B"/>
    <w:rsid w:val="00097E2D"/>
    <w:rsid w:val="000A0C9F"/>
    <w:rsid w:val="000A16CB"/>
    <w:rsid w:val="000A217A"/>
    <w:rsid w:val="000A22C3"/>
    <w:rsid w:val="000A2EBA"/>
    <w:rsid w:val="000A2FAE"/>
    <w:rsid w:val="000A33FB"/>
    <w:rsid w:val="000A3B78"/>
    <w:rsid w:val="000A3BB8"/>
    <w:rsid w:val="000A430B"/>
    <w:rsid w:val="000A435A"/>
    <w:rsid w:val="000A62AE"/>
    <w:rsid w:val="000A79A3"/>
    <w:rsid w:val="000B05C6"/>
    <w:rsid w:val="000B1081"/>
    <w:rsid w:val="000B13DD"/>
    <w:rsid w:val="000B2E93"/>
    <w:rsid w:val="000B32D1"/>
    <w:rsid w:val="000B37F5"/>
    <w:rsid w:val="000B4621"/>
    <w:rsid w:val="000B554B"/>
    <w:rsid w:val="000B5869"/>
    <w:rsid w:val="000B5A4B"/>
    <w:rsid w:val="000B5AD0"/>
    <w:rsid w:val="000B75FB"/>
    <w:rsid w:val="000B7B7F"/>
    <w:rsid w:val="000C0AF2"/>
    <w:rsid w:val="000C0BD1"/>
    <w:rsid w:val="000C0F63"/>
    <w:rsid w:val="000C13FD"/>
    <w:rsid w:val="000C2A68"/>
    <w:rsid w:val="000C3154"/>
    <w:rsid w:val="000C327A"/>
    <w:rsid w:val="000C35A5"/>
    <w:rsid w:val="000C6362"/>
    <w:rsid w:val="000C7609"/>
    <w:rsid w:val="000C7849"/>
    <w:rsid w:val="000D03EE"/>
    <w:rsid w:val="000D1343"/>
    <w:rsid w:val="000D13B1"/>
    <w:rsid w:val="000D1C0D"/>
    <w:rsid w:val="000D2974"/>
    <w:rsid w:val="000D2E60"/>
    <w:rsid w:val="000D3B5A"/>
    <w:rsid w:val="000D41A7"/>
    <w:rsid w:val="000D48F8"/>
    <w:rsid w:val="000D4EEE"/>
    <w:rsid w:val="000D5BE2"/>
    <w:rsid w:val="000D5D8B"/>
    <w:rsid w:val="000D66D6"/>
    <w:rsid w:val="000D67E1"/>
    <w:rsid w:val="000D6B81"/>
    <w:rsid w:val="000D719E"/>
    <w:rsid w:val="000D7400"/>
    <w:rsid w:val="000E0BA4"/>
    <w:rsid w:val="000E0C9D"/>
    <w:rsid w:val="000E1174"/>
    <w:rsid w:val="000E11C6"/>
    <w:rsid w:val="000E1A62"/>
    <w:rsid w:val="000E3461"/>
    <w:rsid w:val="000E358D"/>
    <w:rsid w:val="000E39AE"/>
    <w:rsid w:val="000E4077"/>
    <w:rsid w:val="000E4E44"/>
    <w:rsid w:val="000E50A8"/>
    <w:rsid w:val="000E6BBC"/>
    <w:rsid w:val="000E76E5"/>
    <w:rsid w:val="000E784D"/>
    <w:rsid w:val="000F1995"/>
    <w:rsid w:val="000F2663"/>
    <w:rsid w:val="000F27C0"/>
    <w:rsid w:val="000F3C86"/>
    <w:rsid w:val="000F47CD"/>
    <w:rsid w:val="000F4B3B"/>
    <w:rsid w:val="000F5140"/>
    <w:rsid w:val="000F5B43"/>
    <w:rsid w:val="000F5EE8"/>
    <w:rsid w:val="000F62C9"/>
    <w:rsid w:val="000F6728"/>
    <w:rsid w:val="000F68F6"/>
    <w:rsid w:val="000F7761"/>
    <w:rsid w:val="000F7782"/>
    <w:rsid w:val="000F7E1E"/>
    <w:rsid w:val="0010088F"/>
    <w:rsid w:val="001009AB"/>
    <w:rsid w:val="00100B07"/>
    <w:rsid w:val="001016E2"/>
    <w:rsid w:val="00101774"/>
    <w:rsid w:val="0010181F"/>
    <w:rsid w:val="00102C53"/>
    <w:rsid w:val="00103250"/>
    <w:rsid w:val="001032E7"/>
    <w:rsid w:val="00103FBE"/>
    <w:rsid w:val="00106B45"/>
    <w:rsid w:val="00110361"/>
    <w:rsid w:val="00110846"/>
    <w:rsid w:val="0011146B"/>
    <w:rsid w:val="00112828"/>
    <w:rsid w:val="0011290C"/>
    <w:rsid w:val="00113036"/>
    <w:rsid w:val="00113288"/>
    <w:rsid w:val="00113E33"/>
    <w:rsid w:val="00113FF5"/>
    <w:rsid w:val="00114031"/>
    <w:rsid w:val="00114367"/>
    <w:rsid w:val="00114ABE"/>
    <w:rsid w:val="00115414"/>
    <w:rsid w:val="001157B2"/>
    <w:rsid w:val="00115A38"/>
    <w:rsid w:val="00115A90"/>
    <w:rsid w:val="0011671A"/>
    <w:rsid w:val="001170E0"/>
    <w:rsid w:val="0012038F"/>
    <w:rsid w:val="00120644"/>
    <w:rsid w:val="00120AAB"/>
    <w:rsid w:val="001214BE"/>
    <w:rsid w:val="00121C89"/>
    <w:rsid w:val="00122711"/>
    <w:rsid w:val="00123676"/>
    <w:rsid w:val="001237D1"/>
    <w:rsid w:val="00123E4C"/>
    <w:rsid w:val="001240CE"/>
    <w:rsid w:val="0012416C"/>
    <w:rsid w:val="00124223"/>
    <w:rsid w:val="001244C0"/>
    <w:rsid w:val="001244E5"/>
    <w:rsid w:val="00124E6D"/>
    <w:rsid w:val="00125375"/>
    <w:rsid w:val="00125A71"/>
    <w:rsid w:val="00126398"/>
    <w:rsid w:val="00126856"/>
    <w:rsid w:val="00130154"/>
    <w:rsid w:val="001303E1"/>
    <w:rsid w:val="001307B5"/>
    <w:rsid w:val="00130A24"/>
    <w:rsid w:val="00130E34"/>
    <w:rsid w:val="0013101C"/>
    <w:rsid w:val="00132476"/>
    <w:rsid w:val="001326BA"/>
    <w:rsid w:val="001327A4"/>
    <w:rsid w:val="00134546"/>
    <w:rsid w:val="00134E09"/>
    <w:rsid w:val="00135932"/>
    <w:rsid w:val="0013659F"/>
    <w:rsid w:val="00136F90"/>
    <w:rsid w:val="00137F2F"/>
    <w:rsid w:val="00140342"/>
    <w:rsid w:val="00140605"/>
    <w:rsid w:val="001407F7"/>
    <w:rsid w:val="00140ABC"/>
    <w:rsid w:val="00140C2C"/>
    <w:rsid w:val="00140E25"/>
    <w:rsid w:val="00141578"/>
    <w:rsid w:val="001418AD"/>
    <w:rsid w:val="001421BD"/>
    <w:rsid w:val="0014278E"/>
    <w:rsid w:val="00143ADB"/>
    <w:rsid w:val="00143EBA"/>
    <w:rsid w:val="00144487"/>
    <w:rsid w:val="00144D02"/>
    <w:rsid w:val="00144E6C"/>
    <w:rsid w:val="001457CB"/>
    <w:rsid w:val="00145A01"/>
    <w:rsid w:val="001461D6"/>
    <w:rsid w:val="001467BB"/>
    <w:rsid w:val="00146E87"/>
    <w:rsid w:val="00147E55"/>
    <w:rsid w:val="00150FA6"/>
    <w:rsid w:val="0015168C"/>
    <w:rsid w:val="00151AFF"/>
    <w:rsid w:val="001526CE"/>
    <w:rsid w:val="00154079"/>
    <w:rsid w:val="001541EA"/>
    <w:rsid w:val="001545B8"/>
    <w:rsid w:val="00154ED3"/>
    <w:rsid w:val="001563A7"/>
    <w:rsid w:val="001563B2"/>
    <w:rsid w:val="0015680C"/>
    <w:rsid w:val="001569BC"/>
    <w:rsid w:val="00157647"/>
    <w:rsid w:val="00157671"/>
    <w:rsid w:val="00157E85"/>
    <w:rsid w:val="00160148"/>
    <w:rsid w:val="00160A67"/>
    <w:rsid w:val="00160A8B"/>
    <w:rsid w:val="001626D5"/>
    <w:rsid w:val="00163C87"/>
    <w:rsid w:val="001644C0"/>
    <w:rsid w:val="001645C4"/>
    <w:rsid w:val="001651D3"/>
    <w:rsid w:val="00165CAD"/>
    <w:rsid w:val="001669EE"/>
    <w:rsid w:val="00166F80"/>
    <w:rsid w:val="00170A3B"/>
    <w:rsid w:val="00170DF2"/>
    <w:rsid w:val="001711A0"/>
    <w:rsid w:val="001712A1"/>
    <w:rsid w:val="00171330"/>
    <w:rsid w:val="001720C4"/>
    <w:rsid w:val="001721D0"/>
    <w:rsid w:val="00172C2F"/>
    <w:rsid w:val="0017374A"/>
    <w:rsid w:val="00173C3F"/>
    <w:rsid w:val="00174352"/>
    <w:rsid w:val="00174DBF"/>
    <w:rsid w:val="001754B8"/>
    <w:rsid w:val="00175F46"/>
    <w:rsid w:val="00176207"/>
    <w:rsid w:val="0017666F"/>
    <w:rsid w:val="00176AAE"/>
    <w:rsid w:val="00176F2B"/>
    <w:rsid w:val="001778AF"/>
    <w:rsid w:val="00177952"/>
    <w:rsid w:val="001804AB"/>
    <w:rsid w:val="00180ABE"/>
    <w:rsid w:val="00180E9E"/>
    <w:rsid w:val="00182DA4"/>
    <w:rsid w:val="001831D9"/>
    <w:rsid w:val="00183ED3"/>
    <w:rsid w:val="00184B30"/>
    <w:rsid w:val="00184D0B"/>
    <w:rsid w:val="0018588E"/>
    <w:rsid w:val="00186006"/>
    <w:rsid w:val="0018668D"/>
    <w:rsid w:val="001876D2"/>
    <w:rsid w:val="00190EF6"/>
    <w:rsid w:val="0019185C"/>
    <w:rsid w:val="00192A5A"/>
    <w:rsid w:val="0019454C"/>
    <w:rsid w:val="00194F1D"/>
    <w:rsid w:val="00196DFD"/>
    <w:rsid w:val="00196E7B"/>
    <w:rsid w:val="00197104"/>
    <w:rsid w:val="001975FD"/>
    <w:rsid w:val="001A006F"/>
    <w:rsid w:val="001A0D8C"/>
    <w:rsid w:val="001A1256"/>
    <w:rsid w:val="001A1ED4"/>
    <w:rsid w:val="001A291C"/>
    <w:rsid w:val="001A2E64"/>
    <w:rsid w:val="001A316D"/>
    <w:rsid w:val="001A31B0"/>
    <w:rsid w:val="001A3747"/>
    <w:rsid w:val="001A3A32"/>
    <w:rsid w:val="001A3BC2"/>
    <w:rsid w:val="001A57E6"/>
    <w:rsid w:val="001A6053"/>
    <w:rsid w:val="001A7F14"/>
    <w:rsid w:val="001B0F81"/>
    <w:rsid w:val="001B139D"/>
    <w:rsid w:val="001B18BC"/>
    <w:rsid w:val="001B26E8"/>
    <w:rsid w:val="001B2CDC"/>
    <w:rsid w:val="001B3050"/>
    <w:rsid w:val="001B474D"/>
    <w:rsid w:val="001B51A3"/>
    <w:rsid w:val="001B58DA"/>
    <w:rsid w:val="001B61F5"/>
    <w:rsid w:val="001B66E2"/>
    <w:rsid w:val="001B681F"/>
    <w:rsid w:val="001C1298"/>
    <w:rsid w:val="001C2F17"/>
    <w:rsid w:val="001C3433"/>
    <w:rsid w:val="001C441D"/>
    <w:rsid w:val="001C531D"/>
    <w:rsid w:val="001C60F2"/>
    <w:rsid w:val="001C71E3"/>
    <w:rsid w:val="001D16F6"/>
    <w:rsid w:val="001D2696"/>
    <w:rsid w:val="001D32DA"/>
    <w:rsid w:val="001D36F9"/>
    <w:rsid w:val="001D44D0"/>
    <w:rsid w:val="001D49AA"/>
    <w:rsid w:val="001D49CE"/>
    <w:rsid w:val="001D4D92"/>
    <w:rsid w:val="001D570F"/>
    <w:rsid w:val="001D6040"/>
    <w:rsid w:val="001D6448"/>
    <w:rsid w:val="001D663E"/>
    <w:rsid w:val="001D75AA"/>
    <w:rsid w:val="001D76B9"/>
    <w:rsid w:val="001E037A"/>
    <w:rsid w:val="001E0579"/>
    <w:rsid w:val="001E13C6"/>
    <w:rsid w:val="001E1DC0"/>
    <w:rsid w:val="001E316B"/>
    <w:rsid w:val="001E4E8F"/>
    <w:rsid w:val="001E502C"/>
    <w:rsid w:val="001E589B"/>
    <w:rsid w:val="001E6065"/>
    <w:rsid w:val="001E6CBD"/>
    <w:rsid w:val="001E6EE8"/>
    <w:rsid w:val="001E7CDD"/>
    <w:rsid w:val="001F20F8"/>
    <w:rsid w:val="001F2A37"/>
    <w:rsid w:val="001F2EC3"/>
    <w:rsid w:val="001F39F8"/>
    <w:rsid w:val="001F3BA5"/>
    <w:rsid w:val="001F4139"/>
    <w:rsid w:val="001F43F8"/>
    <w:rsid w:val="001F4567"/>
    <w:rsid w:val="001F4E99"/>
    <w:rsid w:val="001F541D"/>
    <w:rsid w:val="001F5974"/>
    <w:rsid w:val="001F5F5C"/>
    <w:rsid w:val="001F60E3"/>
    <w:rsid w:val="001F6B24"/>
    <w:rsid w:val="001F6C8E"/>
    <w:rsid w:val="001F6DD4"/>
    <w:rsid w:val="001F70D6"/>
    <w:rsid w:val="001F78D3"/>
    <w:rsid w:val="001F7C31"/>
    <w:rsid w:val="002000FE"/>
    <w:rsid w:val="00200B40"/>
    <w:rsid w:val="00200E3E"/>
    <w:rsid w:val="00200FE5"/>
    <w:rsid w:val="00201BFA"/>
    <w:rsid w:val="0020216F"/>
    <w:rsid w:val="00202483"/>
    <w:rsid w:val="00202A30"/>
    <w:rsid w:val="00203277"/>
    <w:rsid w:val="0020576E"/>
    <w:rsid w:val="00205B2E"/>
    <w:rsid w:val="00205DA1"/>
    <w:rsid w:val="002060AD"/>
    <w:rsid w:val="00206DD4"/>
    <w:rsid w:val="002071A8"/>
    <w:rsid w:val="0020729F"/>
    <w:rsid w:val="00207B55"/>
    <w:rsid w:val="00210358"/>
    <w:rsid w:val="00210790"/>
    <w:rsid w:val="00210A5A"/>
    <w:rsid w:val="0021160C"/>
    <w:rsid w:val="00211B6F"/>
    <w:rsid w:val="00211C5D"/>
    <w:rsid w:val="0021240F"/>
    <w:rsid w:val="00213A8F"/>
    <w:rsid w:val="00214A91"/>
    <w:rsid w:val="00214AB9"/>
    <w:rsid w:val="0021555A"/>
    <w:rsid w:val="00215C4D"/>
    <w:rsid w:val="002163B0"/>
    <w:rsid w:val="00216518"/>
    <w:rsid w:val="00216DB6"/>
    <w:rsid w:val="0021724B"/>
    <w:rsid w:val="002200D9"/>
    <w:rsid w:val="0022037A"/>
    <w:rsid w:val="00220707"/>
    <w:rsid w:val="00220AC7"/>
    <w:rsid w:val="00221616"/>
    <w:rsid w:val="002219D4"/>
    <w:rsid w:val="002219FC"/>
    <w:rsid w:val="00221AD6"/>
    <w:rsid w:val="00221ED1"/>
    <w:rsid w:val="00221F3F"/>
    <w:rsid w:val="0022295D"/>
    <w:rsid w:val="00222E06"/>
    <w:rsid w:val="002251DC"/>
    <w:rsid w:val="00225247"/>
    <w:rsid w:val="002254E5"/>
    <w:rsid w:val="00225AED"/>
    <w:rsid w:val="00225D9C"/>
    <w:rsid w:val="00225FBD"/>
    <w:rsid w:val="00226C64"/>
    <w:rsid w:val="0022765C"/>
    <w:rsid w:val="00227B6E"/>
    <w:rsid w:val="002314E7"/>
    <w:rsid w:val="002327B3"/>
    <w:rsid w:val="00232976"/>
    <w:rsid w:val="00233087"/>
    <w:rsid w:val="00234202"/>
    <w:rsid w:val="00235118"/>
    <w:rsid w:val="00235B38"/>
    <w:rsid w:val="0023764A"/>
    <w:rsid w:val="00237BCC"/>
    <w:rsid w:val="0024035C"/>
    <w:rsid w:val="002423B1"/>
    <w:rsid w:val="0024250B"/>
    <w:rsid w:val="00242D91"/>
    <w:rsid w:val="00243976"/>
    <w:rsid w:val="00244E82"/>
    <w:rsid w:val="002451DE"/>
    <w:rsid w:val="002458F8"/>
    <w:rsid w:val="00245926"/>
    <w:rsid w:val="00245FCA"/>
    <w:rsid w:val="00246A3A"/>
    <w:rsid w:val="00246EC5"/>
    <w:rsid w:val="00247EFB"/>
    <w:rsid w:val="00247F15"/>
    <w:rsid w:val="002501F5"/>
    <w:rsid w:val="00251114"/>
    <w:rsid w:val="00251917"/>
    <w:rsid w:val="002523A0"/>
    <w:rsid w:val="002529B8"/>
    <w:rsid w:val="00252C04"/>
    <w:rsid w:val="00252D02"/>
    <w:rsid w:val="00253557"/>
    <w:rsid w:val="00253B6A"/>
    <w:rsid w:val="00253C28"/>
    <w:rsid w:val="00253F8E"/>
    <w:rsid w:val="00254D46"/>
    <w:rsid w:val="00254E78"/>
    <w:rsid w:val="002553DE"/>
    <w:rsid w:val="00256208"/>
    <w:rsid w:val="002577F5"/>
    <w:rsid w:val="0025798C"/>
    <w:rsid w:val="0026130E"/>
    <w:rsid w:val="0026148E"/>
    <w:rsid w:val="002616B5"/>
    <w:rsid w:val="00261C0D"/>
    <w:rsid w:val="002632D6"/>
    <w:rsid w:val="00263F13"/>
    <w:rsid w:val="00263F53"/>
    <w:rsid w:val="0026404E"/>
    <w:rsid w:val="00264541"/>
    <w:rsid w:val="002647E5"/>
    <w:rsid w:val="002649E4"/>
    <w:rsid w:val="00264F08"/>
    <w:rsid w:val="00265620"/>
    <w:rsid w:val="002667B4"/>
    <w:rsid w:val="0026728C"/>
    <w:rsid w:val="002674F8"/>
    <w:rsid w:val="00267F14"/>
    <w:rsid w:val="0026D247"/>
    <w:rsid w:val="00270601"/>
    <w:rsid w:val="00270AB8"/>
    <w:rsid w:val="00270B7E"/>
    <w:rsid w:val="0027114E"/>
    <w:rsid w:val="002713F4"/>
    <w:rsid w:val="002714C0"/>
    <w:rsid w:val="00272BF6"/>
    <w:rsid w:val="00272DFB"/>
    <w:rsid w:val="00274519"/>
    <w:rsid w:val="00274556"/>
    <w:rsid w:val="00275B4E"/>
    <w:rsid w:val="002762F3"/>
    <w:rsid w:val="0027630B"/>
    <w:rsid w:val="0027635B"/>
    <w:rsid w:val="00276A90"/>
    <w:rsid w:val="00276F58"/>
    <w:rsid w:val="002773BE"/>
    <w:rsid w:val="00277568"/>
    <w:rsid w:val="00277759"/>
    <w:rsid w:val="002779EE"/>
    <w:rsid w:val="00277E4F"/>
    <w:rsid w:val="00280AA5"/>
    <w:rsid w:val="0028109C"/>
    <w:rsid w:val="002818F3"/>
    <w:rsid w:val="00281F4D"/>
    <w:rsid w:val="002821CE"/>
    <w:rsid w:val="002823BA"/>
    <w:rsid w:val="002829F1"/>
    <w:rsid w:val="002832CC"/>
    <w:rsid w:val="00283BE7"/>
    <w:rsid w:val="00284002"/>
    <w:rsid w:val="0028424B"/>
    <w:rsid w:val="002844CA"/>
    <w:rsid w:val="00285B7F"/>
    <w:rsid w:val="00285F3D"/>
    <w:rsid w:val="0028602A"/>
    <w:rsid w:val="002860E3"/>
    <w:rsid w:val="002866E6"/>
    <w:rsid w:val="00286EDE"/>
    <w:rsid w:val="002875CF"/>
    <w:rsid w:val="002876AD"/>
    <w:rsid w:val="00290210"/>
    <w:rsid w:val="00290FF3"/>
    <w:rsid w:val="00291C01"/>
    <w:rsid w:val="00291C95"/>
    <w:rsid w:val="002924A4"/>
    <w:rsid w:val="00292EFE"/>
    <w:rsid w:val="00293CE7"/>
    <w:rsid w:val="002942AF"/>
    <w:rsid w:val="002942F2"/>
    <w:rsid w:val="00294621"/>
    <w:rsid w:val="00294F2C"/>
    <w:rsid w:val="00295973"/>
    <w:rsid w:val="0029599A"/>
    <w:rsid w:val="00295DD4"/>
    <w:rsid w:val="002966E4"/>
    <w:rsid w:val="00296C1F"/>
    <w:rsid w:val="00297412"/>
    <w:rsid w:val="00297EFB"/>
    <w:rsid w:val="002A01B1"/>
    <w:rsid w:val="002A08DD"/>
    <w:rsid w:val="002A1431"/>
    <w:rsid w:val="002A1763"/>
    <w:rsid w:val="002A19D1"/>
    <w:rsid w:val="002A201B"/>
    <w:rsid w:val="002A20F5"/>
    <w:rsid w:val="002A2872"/>
    <w:rsid w:val="002A29FC"/>
    <w:rsid w:val="002A2A29"/>
    <w:rsid w:val="002A33C8"/>
    <w:rsid w:val="002A3644"/>
    <w:rsid w:val="002A4444"/>
    <w:rsid w:val="002A5855"/>
    <w:rsid w:val="002A60E3"/>
    <w:rsid w:val="002A60F6"/>
    <w:rsid w:val="002A6194"/>
    <w:rsid w:val="002A65DE"/>
    <w:rsid w:val="002A69A1"/>
    <w:rsid w:val="002A6CFA"/>
    <w:rsid w:val="002A6D49"/>
    <w:rsid w:val="002A7956"/>
    <w:rsid w:val="002A7AD5"/>
    <w:rsid w:val="002A7B40"/>
    <w:rsid w:val="002A7B5D"/>
    <w:rsid w:val="002A7F2D"/>
    <w:rsid w:val="002B0F59"/>
    <w:rsid w:val="002B12AA"/>
    <w:rsid w:val="002B1703"/>
    <w:rsid w:val="002B1B5B"/>
    <w:rsid w:val="002B21F8"/>
    <w:rsid w:val="002B2D9C"/>
    <w:rsid w:val="002B4068"/>
    <w:rsid w:val="002B41E3"/>
    <w:rsid w:val="002B570B"/>
    <w:rsid w:val="002B58EB"/>
    <w:rsid w:val="002B5BAC"/>
    <w:rsid w:val="002B5E10"/>
    <w:rsid w:val="002B5F88"/>
    <w:rsid w:val="002B60C2"/>
    <w:rsid w:val="002B7993"/>
    <w:rsid w:val="002B7BFC"/>
    <w:rsid w:val="002B7D5F"/>
    <w:rsid w:val="002C0AEA"/>
    <w:rsid w:val="002C0F19"/>
    <w:rsid w:val="002C119D"/>
    <w:rsid w:val="002C13D1"/>
    <w:rsid w:val="002C2366"/>
    <w:rsid w:val="002C2BDA"/>
    <w:rsid w:val="002C2F21"/>
    <w:rsid w:val="002C345B"/>
    <w:rsid w:val="002C36D4"/>
    <w:rsid w:val="002C37EC"/>
    <w:rsid w:val="002C4C0E"/>
    <w:rsid w:val="002C4E80"/>
    <w:rsid w:val="002C4F82"/>
    <w:rsid w:val="002C5D2D"/>
    <w:rsid w:val="002C5EC7"/>
    <w:rsid w:val="002C6578"/>
    <w:rsid w:val="002C7581"/>
    <w:rsid w:val="002C793D"/>
    <w:rsid w:val="002D12E2"/>
    <w:rsid w:val="002D23D8"/>
    <w:rsid w:val="002D42A1"/>
    <w:rsid w:val="002D443B"/>
    <w:rsid w:val="002D44A8"/>
    <w:rsid w:val="002D4BD4"/>
    <w:rsid w:val="002D4D9E"/>
    <w:rsid w:val="002D4DC8"/>
    <w:rsid w:val="002D5B25"/>
    <w:rsid w:val="002D628F"/>
    <w:rsid w:val="002D6754"/>
    <w:rsid w:val="002D699D"/>
    <w:rsid w:val="002D6CB5"/>
    <w:rsid w:val="002D7287"/>
    <w:rsid w:val="002D74D3"/>
    <w:rsid w:val="002D7620"/>
    <w:rsid w:val="002E06C4"/>
    <w:rsid w:val="002E0835"/>
    <w:rsid w:val="002E11AE"/>
    <w:rsid w:val="002E1327"/>
    <w:rsid w:val="002E1650"/>
    <w:rsid w:val="002E2228"/>
    <w:rsid w:val="002E2839"/>
    <w:rsid w:val="002E294C"/>
    <w:rsid w:val="002E3731"/>
    <w:rsid w:val="002E399C"/>
    <w:rsid w:val="002E3C56"/>
    <w:rsid w:val="002E3FE5"/>
    <w:rsid w:val="002E4B7B"/>
    <w:rsid w:val="002E53A1"/>
    <w:rsid w:val="002E7AC4"/>
    <w:rsid w:val="002F204A"/>
    <w:rsid w:val="002F214A"/>
    <w:rsid w:val="002F4F2B"/>
    <w:rsid w:val="002F4F2F"/>
    <w:rsid w:val="002F5D94"/>
    <w:rsid w:val="002F795D"/>
    <w:rsid w:val="002F79D1"/>
    <w:rsid w:val="002F7D44"/>
    <w:rsid w:val="003002C0"/>
    <w:rsid w:val="003007AC"/>
    <w:rsid w:val="00300AA1"/>
    <w:rsid w:val="00300B94"/>
    <w:rsid w:val="00301144"/>
    <w:rsid w:val="003012D1"/>
    <w:rsid w:val="00301EA2"/>
    <w:rsid w:val="00302093"/>
    <w:rsid w:val="003027C0"/>
    <w:rsid w:val="00302AA0"/>
    <w:rsid w:val="00302F2A"/>
    <w:rsid w:val="0030313F"/>
    <w:rsid w:val="003031C6"/>
    <w:rsid w:val="00303555"/>
    <w:rsid w:val="00303DF4"/>
    <w:rsid w:val="0030420D"/>
    <w:rsid w:val="0030448A"/>
    <w:rsid w:val="00304984"/>
    <w:rsid w:val="00304B12"/>
    <w:rsid w:val="00305DF2"/>
    <w:rsid w:val="00305F1C"/>
    <w:rsid w:val="00306AE7"/>
    <w:rsid w:val="003070BC"/>
    <w:rsid w:val="0031011B"/>
    <w:rsid w:val="00312BF8"/>
    <w:rsid w:val="00312C2A"/>
    <w:rsid w:val="00312C6E"/>
    <w:rsid w:val="00313040"/>
    <w:rsid w:val="0031326E"/>
    <w:rsid w:val="003148B7"/>
    <w:rsid w:val="00314D9F"/>
    <w:rsid w:val="003158C3"/>
    <w:rsid w:val="00316262"/>
    <w:rsid w:val="003166C4"/>
    <w:rsid w:val="0031705E"/>
    <w:rsid w:val="003203D3"/>
    <w:rsid w:val="0032092B"/>
    <w:rsid w:val="00321875"/>
    <w:rsid w:val="00324506"/>
    <w:rsid w:val="0032523A"/>
    <w:rsid w:val="00325256"/>
    <w:rsid w:val="00325DF5"/>
    <w:rsid w:val="003264AA"/>
    <w:rsid w:val="00326C15"/>
    <w:rsid w:val="003274CD"/>
    <w:rsid w:val="00327F16"/>
    <w:rsid w:val="00331118"/>
    <w:rsid w:val="00331180"/>
    <w:rsid w:val="0033150D"/>
    <w:rsid w:val="00331B52"/>
    <w:rsid w:val="00331D40"/>
    <w:rsid w:val="003321AB"/>
    <w:rsid w:val="00332711"/>
    <w:rsid w:val="00333398"/>
    <w:rsid w:val="003334A5"/>
    <w:rsid w:val="00333501"/>
    <w:rsid w:val="003337FB"/>
    <w:rsid w:val="00334B8D"/>
    <w:rsid w:val="0033604E"/>
    <w:rsid w:val="00336110"/>
    <w:rsid w:val="00336701"/>
    <w:rsid w:val="00337243"/>
    <w:rsid w:val="0033724F"/>
    <w:rsid w:val="0033729A"/>
    <w:rsid w:val="00341318"/>
    <w:rsid w:val="0034159B"/>
    <w:rsid w:val="00341764"/>
    <w:rsid w:val="0034184A"/>
    <w:rsid w:val="00341F93"/>
    <w:rsid w:val="00342D76"/>
    <w:rsid w:val="0034319C"/>
    <w:rsid w:val="0034353B"/>
    <w:rsid w:val="00344B46"/>
    <w:rsid w:val="003457C4"/>
    <w:rsid w:val="003461A3"/>
    <w:rsid w:val="003463CC"/>
    <w:rsid w:val="00346639"/>
    <w:rsid w:val="00350E6A"/>
    <w:rsid w:val="00350F13"/>
    <w:rsid w:val="0035119D"/>
    <w:rsid w:val="00352FD1"/>
    <w:rsid w:val="003534F9"/>
    <w:rsid w:val="003564B4"/>
    <w:rsid w:val="0035674D"/>
    <w:rsid w:val="00356DA3"/>
    <w:rsid w:val="003571A3"/>
    <w:rsid w:val="003575FE"/>
    <w:rsid w:val="00360801"/>
    <w:rsid w:val="003609BE"/>
    <w:rsid w:val="003613E7"/>
    <w:rsid w:val="00361758"/>
    <w:rsid w:val="0036178A"/>
    <w:rsid w:val="00361853"/>
    <w:rsid w:val="00361D8A"/>
    <w:rsid w:val="00361E8A"/>
    <w:rsid w:val="003636B4"/>
    <w:rsid w:val="003637FE"/>
    <w:rsid w:val="0036382A"/>
    <w:rsid w:val="0036387A"/>
    <w:rsid w:val="00363D1C"/>
    <w:rsid w:val="00363D20"/>
    <w:rsid w:val="00364752"/>
    <w:rsid w:val="003662B1"/>
    <w:rsid w:val="003667A9"/>
    <w:rsid w:val="0036787E"/>
    <w:rsid w:val="00367EEF"/>
    <w:rsid w:val="00370616"/>
    <w:rsid w:val="00370D3E"/>
    <w:rsid w:val="00371095"/>
    <w:rsid w:val="003712DA"/>
    <w:rsid w:val="003714BA"/>
    <w:rsid w:val="0037173F"/>
    <w:rsid w:val="003734E6"/>
    <w:rsid w:val="00373A9E"/>
    <w:rsid w:val="0037429C"/>
    <w:rsid w:val="003748C2"/>
    <w:rsid w:val="00374D09"/>
    <w:rsid w:val="003751E1"/>
    <w:rsid w:val="003756AB"/>
    <w:rsid w:val="00376B00"/>
    <w:rsid w:val="00376BAA"/>
    <w:rsid w:val="00377689"/>
    <w:rsid w:val="00380E88"/>
    <w:rsid w:val="00381305"/>
    <w:rsid w:val="00381313"/>
    <w:rsid w:val="00382825"/>
    <w:rsid w:val="003829A2"/>
    <w:rsid w:val="00382FBD"/>
    <w:rsid w:val="00384287"/>
    <w:rsid w:val="00384BF8"/>
    <w:rsid w:val="00384D40"/>
    <w:rsid w:val="0038568A"/>
    <w:rsid w:val="00385B8D"/>
    <w:rsid w:val="0038622C"/>
    <w:rsid w:val="00386F6D"/>
    <w:rsid w:val="003872D9"/>
    <w:rsid w:val="003872DE"/>
    <w:rsid w:val="0038739F"/>
    <w:rsid w:val="003875AF"/>
    <w:rsid w:val="003912AA"/>
    <w:rsid w:val="00391887"/>
    <w:rsid w:val="00392163"/>
    <w:rsid w:val="0039221E"/>
    <w:rsid w:val="00392FA9"/>
    <w:rsid w:val="00393160"/>
    <w:rsid w:val="0039344A"/>
    <w:rsid w:val="0039377D"/>
    <w:rsid w:val="003938BA"/>
    <w:rsid w:val="0039494F"/>
    <w:rsid w:val="00394B92"/>
    <w:rsid w:val="00395163"/>
    <w:rsid w:val="00395CEC"/>
    <w:rsid w:val="00396731"/>
    <w:rsid w:val="00396910"/>
    <w:rsid w:val="00396919"/>
    <w:rsid w:val="00396BFE"/>
    <w:rsid w:val="00396FFD"/>
    <w:rsid w:val="00397538"/>
    <w:rsid w:val="00397B14"/>
    <w:rsid w:val="003A0448"/>
    <w:rsid w:val="003A0ABD"/>
    <w:rsid w:val="003A0D28"/>
    <w:rsid w:val="003A1064"/>
    <w:rsid w:val="003A17F9"/>
    <w:rsid w:val="003A19B3"/>
    <w:rsid w:val="003A25E5"/>
    <w:rsid w:val="003A2824"/>
    <w:rsid w:val="003A2D8F"/>
    <w:rsid w:val="003A36B0"/>
    <w:rsid w:val="003A3991"/>
    <w:rsid w:val="003A39C4"/>
    <w:rsid w:val="003A4B0B"/>
    <w:rsid w:val="003A4BA0"/>
    <w:rsid w:val="003A4C1D"/>
    <w:rsid w:val="003A4C99"/>
    <w:rsid w:val="003A6AB0"/>
    <w:rsid w:val="003A6B9C"/>
    <w:rsid w:val="003A77F6"/>
    <w:rsid w:val="003B0098"/>
    <w:rsid w:val="003B1341"/>
    <w:rsid w:val="003B28FE"/>
    <w:rsid w:val="003B2954"/>
    <w:rsid w:val="003B2CD7"/>
    <w:rsid w:val="003B2E97"/>
    <w:rsid w:val="003B3544"/>
    <w:rsid w:val="003B496B"/>
    <w:rsid w:val="003B4A22"/>
    <w:rsid w:val="003B4F12"/>
    <w:rsid w:val="003B514B"/>
    <w:rsid w:val="003B59BF"/>
    <w:rsid w:val="003B5CB7"/>
    <w:rsid w:val="003B5FDC"/>
    <w:rsid w:val="003B7FC2"/>
    <w:rsid w:val="003C054D"/>
    <w:rsid w:val="003C0629"/>
    <w:rsid w:val="003C0D10"/>
    <w:rsid w:val="003C2BE4"/>
    <w:rsid w:val="003C2DE5"/>
    <w:rsid w:val="003C2F46"/>
    <w:rsid w:val="003C43E4"/>
    <w:rsid w:val="003C4CC9"/>
    <w:rsid w:val="003C6A28"/>
    <w:rsid w:val="003C7D47"/>
    <w:rsid w:val="003D0695"/>
    <w:rsid w:val="003D0B0D"/>
    <w:rsid w:val="003D0CEF"/>
    <w:rsid w:val="003D106F"/>
    <w:rsid w:val="003D1C06"/>
    <w:rsid w:val="003D1CDC"/>
    <w:rsid w:val="003D1EF6"/>
    <w:rsid w:val="003D25C7"/>
    <w:rsid w:val="003D33FB"/>
    <w:rsid w:val="003D455A"/>
    <w:rsid w:val="003D5491"/>
    <w:rsid w:val="003D5A81"/>
    <w:rsid w:val="003D64C6"/>
    <w:rsid w:val="003D6ACE"/>
    <w:rsid w:val="003D6BB3"/>
    <w:rsid w:val="003D70CA"/>
    <w:rsid w:val="003D7DC2"/>
    <w:rsid w:val="003E07F4"/>
    <w:rsid w:val="003E0C77"/>
    <w:rsid w:val="003E0FDB"/>
    <w:rsid w:val="003E127F"/>
    <w:rsid w:val="003E18AD"/>
    <w:rsid w:val="003E23F7"/>
    <w:rsid w:val="003E2613"/>
    <w:rsid w:val="003E2DD1"/>
    <w:rsid w:val="003E2E6E"/>
    <w:rsid w:val="003E3234"/>
    <w:rsid w:val="003E35F6"/>
    <w:rsid w:val="003E3974"/>
    <w:rsid w:val="003E449D"/>
    <w:rsid w:val="003E4ACD"/>
    <w:rsid w:val="003E55DB"/>
    <w:rsid w:val="003E5ABC"/>
    <w:rsid w:val="003E5FCA"/>
    <w:rsid w:val="003E642F"/>
    <w:rsid w:val="003E6D79"/>
    <w:rsid w:val="003E78C6"/>
    <w:rsid w:val="003F0908"/>
    <w:rsid w:val="003F2041"/>
    <w:rsid w:val="003F2688"/>
    <w:rsid w:val="003F26F0"/>
    <w:rsid w:val="003F2C8F"/>
    <w:rsid w:val="003F2E95"/>
    <w:rsid w:val="003F38AE"/>
    <w:rsid w:val="003F3F07"/>
    <w:rsid w:val="003F503C"/>
    <w:rsid w:val="003F5297"/>
    <w:rsid w:val="003F5E25"/>
    <w:rsid w:val="003F6E62"/>
    <w:rsid w:val="003F7623"/>
    <w:rsid w:val="003F7774"/>
    <w:rsid w:val="003F7829"/>
    <w:rsid w:val="003F7D03"/>
    <w:rsid w:val="00400205"/>
    <w:rsid w:val="00400407"/>
    <w:rsid w:val="00400F3A"/>
    <w:rsid w:val="004011A6"/>
    <w:rsid w:val="004013D7"/>
    <w:rsid w:val="00401B24"/>
    <w:rsid w:val="00401D9A"/>
    <w:rsid w:val="00402ABB"/>
    <w:rsid w:val="00402ACC"/>
    <w:rsid w:val="00403475"/>
    <w:rsid w:val="004039DD"/>
    <w:rsid w:val="0040484C"/>
    <w:rsid w:val="00404E0F"/>
    <w:rsid w:val="00405315"/>
    <w:rsid w:val="0040612C"/>
    <w:rsid w:val="00407537"/>
    <w:rsid w:val="00407707"/>
    <w:rsid w:val="00410B16"/>
    <w:rsid w:val="00410BCF"/>
    <w:rsid w:val="00411484"/>
    <w:rsid w:val="00411814"/>
    <w:rsid w:val="004120EC"/>
    <w:rsid w:val="00413240"/>
    <w:rsid w:val="0041328F"/>
    <w:rsid w:val="00413817"/>
    <w:rsid w:val="00413983"/>
    <w:rsid w:val="00413C4F"/>
    <w:rsid w:val="0041473E"/>
    <w:rsid w:val="00414EE8"/>
    <w:rsid w:val="00416899"/>
    <w:rsid w:val="00417EFE"/>
    <w:rsid w:val="00420DE5"/>
    <w:rsid w:val="00421A78"/>
    <w:rsid w:val="00422733"/>
    <w:rsid w:val="004227E7"/>
    <w:rsid w:val="00422885"/>
    <w:rsid w:val="00422986"/>
    <w:rsid w:val="00422B4E"/>
    <w:rsid w:val="00422DB7"/>
    <w:rsid w:val="00422FC8"/>
    <w:rsid w:val="004231FE"/>
    <w:rsid w:val="00423653"/>
    <w:rsid w:val="00423F31"/>
    <w:rsid w:val="00424444"/>
    <w:rsid w:val="00424503"/>
    <w:rsid w:val="0042468A"/>
    <w:rsid w:val="00424940"/>
    <w:rsid w:val="0042499F"/>
    <w:rsid w:val="00424D59"/>
    <w:rsid w:val="00425681"/>
    <w:rsid w:val="004257C4"/>
    <w:rsid w:val="00425BF6"/>
    <w:rsid w:val="00425F1F"/>
    <w:rsid w:val="00426ED4"/>
    <w:rsid w:val="004279FC"/>
    <w:rsid w:val="00427B98"/>
    <w:rsid w:val="004306EF"/>
    <w:rsid w:val="00430CC1"/>
    <w:rsid w:val="0043121D"/>
    <w:rsid w:val="00431899"/>
    <w:rsid w:val="0043240C"/>
    <w:rsid w:val="00432D3F"/>
    <w:rsid w:val="00434467"/>
    <w:rsid w:val="00434471"/>
    <w:rsid w:val="00435088"/>
    <w:rsid w:val="00435873"/>
    <w:rsid w:val="00436248"/>
    <w:rsid w:val="004363AA"/>
    <w:rsid w:val="00436CF1"/>
    <w:rsid w:val="0043753E"/>
    <w:rsid w:val="00440236"/>
    <w:rsid w:val="004416CC"/>
    <w:rsid w:val="00441B4F"/>
    <w:rsid w:val="00442055"/>
    <w:rsid w:val="0044266E"/>
    <w:rsid w:val="00442680"/>
    <w:rsid w:val="00442AE9"/>
    <w:rsid w:val="0044334F"/>
    <w:rsid w:val="004439E8"/>
    <w:rsid w:val="00443D1A"/>
    <w:rsid w:val="004448E8"/>
    <w:rsid w:val="00444901"/>
    <w:rsid w:val="0044563B"/>
    <w:rsid w:val="004465F5"/>
    <w:rsid w:val="004468D4"/>
    <w:rsid w:val="00446D41"/>
    <w:rsid w:val="00447E5F"/>
    <w:rsid w:val="004509CD"/>
    <w:rsid w:val="00450CB7"/>
    <w:rsid w:val="00450EDB"/>
    <w:rsid w:val="00451604"/>
    <w:rsid w:val="00451F23"/>
    <w:rsid w:val="0045229A"/>
    <w:rsid w:val="004533B2"/>
    <w:rsid w:val="00453888"/>
    <w:rsid w:val="00453A8A"/>
    <w:rsid w:val="004542B7"/>
    <w:rsid w:val="00456147"/>
    <w:rsid w:val="004563A1"/>
    <w:rsid w:val="00460A9A"/>
    <w:rsid w:val="00461904"/>
    <w:rsid w:val="0046190F"/>
    <w:rsid w:val="00461A7D"/>
    <w:rsid w:val="00461D2F"/>
    <w:rsid w:val="00461DEF"/>
    <w:rsid w:val="004624AB"/>
    <w:rsid w:val="004629FC"/>
    <w:rsid w:val="00463023"/>
    <w:rsid w:val="004634D3"/>
    <w:rsid w:val="00463D68"/>
    <w:rsid w:val="00464193"/>
    <w:rsid w:val="004642B6"/>
    <w:rsid w:val="004658B6"/>
    <w:rsid w:val="00465C9F"/>
    <w:rsid w:val="00466021"/>
    <w:rsid w:val="00466044"/>
    <w:rsid w:val="00466B8B"/>
    <w:rsid w:val="004678B5"/>
    <w:rsid w:val="00467DD9"/>
    <w:rsid w:val="00467FAC"/>
    <w:rsid w:val="004705FC"/>
    <w:rsid w:val="004706D2"/>
    <w:rsid w:val="004727CC"/>
    <w:rsid w:val="00473832"/>
    <w:rsid w:val="00473BBF"/>
    <w:rsid w:val="00473E90"/>
    <w:rsid w:val="0047431F"/>
    <w:rsid w:val="004746A2"/>
    <w:rsid w:val="00474911"/>
    <w:rsid w:val="00474D7F"/>
    <w:rsid w:val="00474F6F"/>
    <w:rsid w:val="00474FA9"/>
    <w:rsid w:val="00475AB3"/>
    <w:rsid w:val="004772A5"/>
    <w:rsid w:val="00477B5B"/>
    <w:rsid w:val="0048020E"/>
    <w:rsid w:val="0048082E"/>
    <w:rsid w:val="00480B0C"/>
    <w:rsid w:val="004818DE"/>
    <w:rsid w:val="00482514"/>
    <w:rsid w:val="00482AE8"/>
    <w:rsid w:val="00483178"/>
    <w:rsid w:val="0048361B"/>
    <w:rsid w:val="00484387"/>
    <w:rsid w:val="00484542"/>
    <w:rsid w:val="0048492D"/>
    <w:rsid w:val="00484932"/>
    <w:rsid w:val="00485EAE"/>
    <w:rsid w:val="00486804"/>
    <w:rsid w:val="00486825"/>
    <w:rsid w:val="00486D6E"/>
    <w:rsid w:val="0048725D"/>
    <w:rsid w:val="00490700"/>
    <w:rsid w:val="004907E3"/>
    <w:rsid w:val="004910F8"/>
    <w:rsid w:val="0049136B"/>
    <w:rsid w:val="004917E9"/>
    <w:rsid w:val="0049188F"/>
    <w:rsid w:val="00491C3F"/>
    <w:rsid w:val="00492092"/>
    <w:rsid w:val="004939C4"/>
    <w:rsid w:val="00494F30"/>
    <w:rsid w:val="00496183"/>
    <w:rsid w:val="00497954"/>
    <w:rsid w:val="00497ADD"/>
    <w:rsid w:val="004A00D0"/>
    <w:rsid w:val="004A072C"/>
    <w:rsid w:val="004A19A0"/>
    <w:rsid w:val="004A1A89"/>
    <w:rsid w:val="004A1AED"/>
    <w:rsid w:val="004A2C5F"/>
    <w:rsid w:val="004A342C"/>
    <w:rsid w:val="004A37DC"/>
    <w:rsid w:val="004A3910"/>
    <w:rsid w:val="004A4320"/>
    <w:rsid w:val="004A4CEA"/>
    <w:rsid w:val="004A5F67"/>
    <w:rsid w:val="004A74B9"/>
    <w:rsid w:val="004A7988"/>
    <w:rsid w:val="004A7CFC"/>
    <w:rsid w:val="004B11AC"/>
    <w:rsid w:val="004B2159"/>
    <w:rsid w:val="004B2295"/>
    <w:rsid w:val="004B292D"/>
    <w:rsid w:val="004B3775"/>
    <w:rsid w:val="004B4213"/>
    <w:rsid w:val="004B5050"/>
    <w:rsid w:val="004B5CB0"/>
    <w:rsid w:val="004B62CB"/>
    <w:rsid w:val="004B699D"/>
    <w:rsid w:val="004B703D"/>
    <w:rsid w:val="004B78E8"/>
    <w:rsid w:val="004C008B"/>
    <w:rsid w:val="004C1171"/>
    <w:rsid w:val="004C1535"/>
    <w:rsid w:val="004C1A92"/>
    <w:rsid w:val="004C1C1A"/>
    <w:rsid w:val="004C24C6"/>
    <w:rsid w:val="004C2B77"/>
    <w:rsid w:val="004C33C7"/>
    <w:rsid w:val="004C369F"/>
    <w:rsid w:val="004C389E"/>
    <w:rsid w:val="004C3C47"/>
    <w:rsid w:val="004C435E"/>
    <w:rsid w:val="004C4D66"/>
    <w:rsid w:val="004C5F66"/>
    <w:rsid w:val="004C5FDB"/>
    <w:rsid w:val="004C6342"/>
    <w:rsid w:val="004C6A93"/>
    <w:rsid w:val="004C6D1D"/>
    <w:rsid w:val="004C7794"/>
    <w:rsid w:val="004D036F"/>
    <w:rsid w:val="004D04E9"/>
    <w:rsid w:val="004D057D"/>
    <w:rsid w:val="004D0ADD"/>
    <w:rsid w:val="004D0BA0"/>
    <w:rsid w:val="004D1793"/>
    <w:rsid w:val="004D1F4D"/>
    <w:rsid w:val="004D300B"/>
    <w:rsid w:val="004D3841"/>
    <w:rsid w:val="004D3EDB"/>
    <w:rsid w:val="004D4918"/>
    <w:rsid w:val="004D504D"/>
    <w:rsid w:val="004D50BA"/>
    <w:rsid w:val="004D54F6"/>
    <w:rsid w:val="004D5589"/>
    <w:rsid w:val="004D5A74"/>
    <w:rsid w:val="004D5E30"/>
    <w:rsid w:val="004D5F36"/>
    <w:rsid w:val="004D72FA"/>
    <w:rsid w:val="004D74B1"/>
    <w:rsid w:val="004D7BE4"/>
    <w:rsid w:val="004E00BF"/>
    <w:rsid w:val="004E058F"/>
    <w:rsid w:val="004E2C36"/>
    <w:rsid w:val="004E2DDC"/>
    <w:rsid w:val="004E3155"/>
    <w:rsid w:val="004E3AE6"/>
    <w:rsid w:val="004E3B0F"/>
    <w:rsid w:val="004E3B87"/>
    <w:rsid w:val="004E45AF"/>
    <w:rsid w:val="004E4889"/>
    <w:rsid w:val="004E4A86"/>
    <w:rsid w:val="004E4CCF"/>
    <w:rsid w:val="004E5459"/>
    <w:rsid w:val="004E6E9B"/>
    <w:rsid w:val="004E72D6"/>
    <w:rsid w:val="004E762C"/>
    <w:rsid w:val="004F0240"/>
    <w:rsid w:val="004F2AF9"/>
    <w:rsid w:val="004F3468"/>
    <w:rsid w:val="004F3618"/>
    <w:rsid w:val="004F3B94"/>
    <w:rsid w:val="004F3CFF"/>
    <w:rsid w:val="004F44DB"/>
    <w:rsid w:val="004F474E"/>
    <w:rsid w:val="004F5067"/>
    <w:rsid w:val="004F52AB"/>
    <w:rsid w:val="004F5588"/>
    <w:rsid w:val="004F569C"/>
    <w:rsid w:val="004F5912"/>
    <w:rsid w:val="004F630A"/>
    <w:rsid w:val="004F6436"/>
    <w:rsid w:val="004F65A3"/>
    <w:rsid w:val="004F70E2"/>
    <w:rsid w:val="004F78C2"/>
    <w:rsid w:val="004F7D71"/>
    <w:rsid w:val="005003D7"/>
    <w:rsid w:val="005004DA"/>
    <w:rsid w:val="0050075E"/>
    <w:rsid w:val="005008E5"/>
    <w:rsid w:val="00500E9F"/>
    <w:rsid w:val="00500FBF"/>
    <w:rsid w:val="00501AC2"/>
    <w:rsid w:val="00502B95"/>
    <w:rsid w:val="00502F7F"/>
    <w:rsid w:val="0050314E"/>
    <w:rsid w:val="00503CD2"/>
    <w:rsid w:val="00504827"/>
    <w:rsid w:val="00504CE8"/>
    <w:rsid w:val="00505191"/>
    <w:rsid w:val="0050616D"/>
    <w:rsid w:val="00506C27"/>
    <w:rsid w:val="00507985"/>
    <w:rsid w:val="005108A7"/>
    <w:rsid w:val="00510921"/>
    <w:rsid w:val="00510AD3"/>
    <w:rsid w:val="00512D1E"/>
    <w:rsid w:val="00513348"/>
    <w:rsid w:val="005136AB"/>
    <w:rsid w:val="00513AD8"/>
    <w:rsid w:val="00514014"/>
    <w:rsid w:val="00514663"/>
    <w:rsid w:val="005147BC"/>
    <w:rsid w:val="005155C3"/>
    <w:rsid w:val="005159A0"/>
    <w:rsid w:val="00515B65"/>
    <w:rsid w:val="00515C8C"/>
    <w:rsid w:val="00516D28"/>
    <w:rsid w:val="00516DE9"/>
    <w:rsid w:val="00517C60"/>
    <w:rsid w:val="00517CB5"/>
    <w:rsid w:val="005200B2"/>
    <w:rsid w:val="005204D2"/>
    <w:rsid w:val="00520A79"/>
    <w:rsid w:val="00520D91"/>
    <w:rsid w:val="005215D5"/>
    <w:rsid w:val="00521DDD"/>
    <w:rsid w:val="00521DE8"/>
    <w:rsid w:val="00522396"/>
    <w:rsid w:val="00522F13"/>
    <w:rsid w:val="00523309"/>
    <w:rsid w:val="00523796"/>
    <w:rsid w:val="00524DA9"/>
    <w:rsid w:val="005250CE"/>
    <w:rsid w:val="0052560C"/>
    <w:rsid w:val="00525AFC"/>
    <w:rsid w:val="00526672"/>
    <w:rsid w:val="0052693E"/>
    <w:rsid w:val="005277A2"/>
    <w:rsid w:val="005278E7"/>
    <w:rsid w:val="00530A4C"/>
    <w:rsid w:val="00531256"/>
    <w:rsid w:val="00531553"/>
    <w:rsid w:val="00531AE3"/>
    <w:rsid w:val="00531D5C"/>
    <w:rsid w:val="00531F1A"/>
    <w:rsid w:val="005332E3"/>
    <w:rsid w:val="005335D0"/>
    <w:rsid w:val="00533B5D"/>
    <w:rsid w:val="00533B5E"/>
    <w:rsid w:val="00533C86"/>
    <w:rsid w:val="005348CF"/>
    <w:rsid w:val="00534D73"/>
    <w:rsid w:val="00535894"/>
    <w:rsid w:val="00535E00"/>
    <w:rsid w:val="005362BB"/>
    <w:rsid w:val="00536364"/>
    <w:rsid w:val="00536461"/>
    <w:rsid w:val="00536564"/>
    <w:rsid w:val="005366B3"/>
    <w:rsid w:val="0053787F"/>
    <w:rsid w:val="005404AE"/>
    <w:rsid w:val="0054060F"/>
    <w:rsid w:val="00540967"/>
    <w:rsid w:val="0054103A"/>
    <w:rsid w:val="0054199F"/>
    <w:rsid w:val="00541D76"/>
    <w:rsid w:val="00541F6E"/>
    <w:rsid w:val="00541FD6"/>
    <w:rsid w:val="0054248D"/>
    <w:rsid w:val="00542651"/>
    <w:rsid w:val="00543555"/>
    <w:rsid w:val="005444AF"/>
    <w:rsid w:val="00544A28"/>
    <w:rsid w:val="00544B9B"/>
    <w:rsid w:val="00545097"/>
    <w:rsid w:val="005454BD"/>
    <w:rsid w:val="00546D4E"/>
    <w:rsid w:val="00546F37"/>
    <w:rsid w:val="0055084E"/>
    <w:rsid w:val="005509E9"/>
    <w:rsid w:val="00552E5A"/>
    <w:rsid w:val="0055348B"/>
    <w:rsid w:val="0055545D"/>
    <w:rsid w:val="00555464"/>
    <w:rsid w:val="005556C1"/>
    <w:rsid w:val="0055611E"/>
    <w:rsid w:val="005574A5"/>
    <w:rsid w:val="00557C0C"/>
    <w:rsid w:val="005600D9"/>
    <w:rsid w:val="005603FA"/>
    <w:rsid w:val="00560474"/>
    <w:rsid w:val="005616F3"/>
    <w:rsid w:val="00561798"/>
    <w:rsid w:val="005644A6"/>
    <w:rsid w:val="00564CE8"/>
    <w:rsid w:val="00564DE3"/>
    <w:rsid w:val="00565C24"/>
    <w:rsid w:val="00565F83"/>
    <w:rsid w:val="005667D8"/>
    <w:rsid w:val="00567704"/>
    <w:rsid w:val="0056774C"/>
    <w:rsid w:val="0056DEDC"/>
    <w:rsid w:val="005707D7"/>
    <w:rsid w:val="0057126D"/>
    <w:rsid w:val="005734DA"/>
    <w:rsid w:val="00573CBF"/>
    <w:rsid w:val="00574FED"/>
    <w:rsid w:val="005756CF"/>
    <w:rsid w:val="00575B53"/>
    <w:rsid w:val="00576865"/>
    <w:rsid w:val="00577947"/>
    <w:rsid w:val="005809BB"/>
    <w:rsid w:val="005810CE"/>
    <w:rsid w:val="00581665"/>
    <w:rsid w:val="005818DB"/>
    <w:rsid w:val="00581E47"/>
    <w:rsid w:val="00582BFB"/>
    <w:rsid w:val="005836CA"/>
    <w:rsid w:val="00583DFC"/>
    <w:rsid w:val="0058491D"/>
    <w:rsid w:val="00584B4B"/>
    <w:rsid w:val="0058506D"/>
    <w:rsid w:val="005854A0"/>
    <w:rsid w:val="005854EF"/>
    <w:rsid w:val="00585621"/>
    <w:rsid w:val="00586037"/>
    <w:rsid w:val="005860D0"/>
    <w:rsid w:val="005862AD"/>
    <w:rsid w:val="00590324"/>
    <w:rsid w:val="005903B9"/>
    <w:rsid w:val="00591683"/>
    <w:rsid w:val="005929AA"/>
    <w:rsid w:val="00592A46"/>
    <w:rsid w:val="00592BED"/>
    <w:rsid w:val="00593FD8"/>
    <w:rsid w:val="005944E0"/>
    <w:rsid w:val="005948F5"/>
    <w:rsid w:val="00595A04"/>
    <w:rsid w:val="00596BC1"/>
    <w:rsid w:val="0059746A"/>
    <w:rsid w:val="00597BA5"/>
    <w:rsid w:val="005A0960"/>
    <w:rsid w:val="005A0A57"/>
    <w:rsid w:val="005A1B92"/>
    <w:rsid w:val="005A1E8F"/>
    <w:rsid w:val="005A20F6"/>
    <w:rsid w:val="005A2837"/>
    <w:rsid w:val="005A3019"/>
    <w:rsid w:val="005A3172"/>
    <w:rsid w:val="005A35FF"/>
    <w:rsid w:val="005A39C5"/>
    <w:rsid w:val="005A4424"/>
    <w:rsid w:val="005A530A"/>
    <w:rsid w:val="005A5644"/>
    <w:rsid w:val="005A576A"/>
    <w:rsid w:val="005A63E8"/>
    <w:rsid w:val="005A6718"/>
    <w:rsid w:val="005A6725"/>
    <w:rsid w:val="005A7684"/>
    <w:rsid w:val="005A7D7C"/>
    <w:rsid w:val="005B0241"/>
    <w:rsid w:val="005B0297"/>
    <w:rsid w:val="005B03BC"/>
    <w:rsid w:val="005B0890"/>
    <w:rsid w:val="005B0BC3"/>
    <w:rsid w:val="005B12EE"/>
    <w:rsid w:val="005B1662"/>
    <w:rsid w:val="005B195D"/>
    <w:rsid w:val="005B1CE0"/>
    <w:rsid w:val="005B1F1B"/>
    <w:rsid w:val="005B29BC"/>
    <w:rsid w:val="005B2EC5"/>
    <w:rsid w:val="005B3509"/>
    <w:rsid w:val="005B3DB5"/>
    <w:rsid w:val="005B4680"/>
    <w:rsid w:val="005B4D33"/>
    <w:rsid w:val="005B53E7"/>
    <w:rsid w:val="005B55E8"/>
    <w:rsid w:val="005B59F3"/>
    <w:rsid w:val="005B5A41"/>
    <w:rsid w:val="005B7EB4"/>
    <w:rsid w:val="005C065C"/>
    <w:rsid w:val="005C06D2"/>
    <w:rsid w:val="005C0AB5"/>
    <w:rsid w:val="005C0ACC"/>
    <w:rsid w:val="005C12EA"/>
    <w:rsid w:val="005C2507"/>
    <w:rsid w:val="005C254C"/>
    <w:rsid w:val="005C3787"/>
    <w:rsid w:val="005C3ED5"/>
    <w:rsid w:val="005C48C5"/>
    <w:rsid w:val="005C52A0"/>
    <w:rsid w:val="005C59A6"/>
    <w:rsid w:val="005C59BE"/>
    <w:rsid w:val="005C5CFC"/>
    <w:rsid w:val="005C5EC4"/>
    <w:rsid w:val="005C66B6"/>
    <w:rsid w:val="005C6A14"/>
    <w:rsid w:val="005C6B2E"/>
    <w:rsid w:val="005C706D"/>
    <w:rsid w:val="005C7225"/>
    <w:rsid w:val="005C7489"/>
    <w:rsid w:val="005D0976"/>
    <w:rsid w:val="005D0A5A"/>
    <w:rsid w:val="005D157D"/>
    <w:rsid w:val="005D1718"/>
    <w:rsid w:val="005D1A76"/>
    <w:rsid w:val="005D2700"/>
    <w:rsid w:val="005D3655"/>
    <w:rsid w:val="005D4A8C"/>
    <w:rsid w:val="005D539A"/>
    <w:rsid w:val="005D5618"/>
    <w:rsid w:val="005D57B6"/>
    <w:rsid w:val="005D646D"/>
    <w:rsid w:val="005D6946"/>
    <w:rsid w:val="005D7037"/>
    <w:rsid w:val="005D7AFF"/>
    <w:rsid w:val="005E0666"/>
    <w:rsid w:val="005E0873"/>
    <w:rsid w:val="005E09B6"/>
    <w:rsid w:val="005E0CF4"/>
    <w:rsid w:val="005E0ED9"/>
    <w:rsid w:val="005E176B"/>
    <w:rsid w:val="005E21E0"/>
    <w:rsid w:val="005E37BB"/>
    <w:rsid w:val="005E3B54"/>
    <w:rsid w:val="005E41A0"/>
    <w:rsid w:val="005E42C7"/>
    <w:rsid w:val="005E4349"/>
    <w:rsid w:val="005E4830"/>
    <w:rsid w:val="005E4CD9"/>
    <w:rsid w:val="005E5593"/>
    <w:rsid w:val="005E57A6"/>
    <w:rsid w:val="005E5FE9"/>
    <w:rsid w:val="005E67A2"/>
    <w:rsid w:val="005E6936"/>
    <w:rsid w:val="005E7430"/>
    <w:rsid w:val="005E76EF"/>
    <w:rsid w:val="005E79AF"/>
    <w:rsid w:val="005F1F7F"/>
    <w:rsid w:val="005F2026"/>
    <w:rsid w:val="005F3DF5"/>
    <w:rsid w:val="005F489E"/>
    <w:rsid w:val="005F55E4"/>
    <w:rsid w:val="005F5958"/>
    <w:rsid w:val="005F6745"/>
    <w:rsid w:val="005F6E17"/>
    <w:rsid w:val="005F6E87"/>
    <w:rsid w:val="00600707"/>
    <w:rsid w:val="00602048"/>
    <w:rsid w:val="00603689"/>
    <w:rsid w:val="00603FC3"/>
    <w:rsid w:val="00605095"/>
    <w:rsid w:val="00605997"/>
    <w:rsid w:val="00605AC3"/>
    <w:rsid w:val="006063E1"/>
    <w:rsid w:val="00606996"/>
    <w:rsid w:val="00606C87"/>
    <w:rsid w:val="006072E8"/>
    <w:rsid w:val="006102C3"/>
    <w:rsid w:val="00610409"/>
    <w:rsid w:val="006105EB"/>
    <w:rsid w:val="00610B34"/>
    <w:rsid w:val="00611C72"/>
    <w:rsid w:val="00612CF8"/>
    <w:rsid w:val="00612D59"/>
    <w:rsid w:val="00612E04"/>
    <w:rsid w:val="006136A9"/>
    <w:rsid w:val="00613CA2"/>
    <w:rsid w:val="006144AB"/>
    <w:rsid w:val="006153D1"/>
    <w:rsid w:val="0061798B"/>
    <w:rsid w:val="00617E71"/>
    <w:rsid w:val="00617F27"/>
    <w:rsid w:val="0062013A"/>
    <w:rsid w:val="00620A4E"/>
    <w:rsid w:val="0062137F"/>
    <w:rsid w:val="00621A33"/>
    <w:rsid w:val="0062238B"/>
    <w:rsid w:val="00622A33"/>
    <w:rsid w:val="00622B86"/>
    <w:rsid w:val="00623BA1"/>
    <w:rsid w:val="006248A8"/>
    <w:rsid w:val="006248FA"/>
    <w:rsid w:val="00624960"/>
    <w:rsid w:val="00624CBD"/>
    <w:rsid w:val="00624E04"/>
    <w:rsid w:val="006269E6"/>
    <w:rsid w:val="00626AF4"/>
    <w:rsid w:val="00626BED"/>
    <w:rsid w:val="00627460"/>
    <w:rsid w:val="006307D2"/>
    <w:rsid w:val="00630A63"/>
    <w:rsid w:val="00631615"/>
    <w:rsid w:val="0063337B"/>
    <w:rsid w:val="006346BC"/>
    <w:rsid w:val="00634865"/>
    <w:rsid w:val="006348CD"/>
    <w:rsid w:val="00634BC8"/>
    <w:rsid w:val="00634FE0"/>
    <w:rsid w:val="00635C3E"/>
    <w:rsid w:val="00636CDE"/>
    <w:rsid w:val="00637457"/>
    <w:rsid w:val="006374D0"/>
    <w:rsid w:val="00637D26"/>
    <w:rsid w:val="00640F25"/>
    <w:rsid w:val="0064245D"/>
    <w:rsid w:val="00642DA1"/>
    <w:rsid w:val="00643FD5"/>
    <w:rsid w:val="00644495"/>
    <w:rsid w:val="00644BA3"/>
    <w:rsid w:val="00644C65"/>
    <w:rsid w:val="00644E10"/>
    <w:rsid w:val="00645E86"/>
    <w:rsid w:val="0064662C"/>
    <w:rsid w:val="00646EAB"/>
    <w:rsid w:val="00646F2C"/>
    <w:rsid w:val="00650104"/>
    <w:rsid w:val="00651355"/>
    <w:rsid w:val="0065155D"/>
    <w:rsid w:val="00652F7A"/>
    <w:rsid w:val="006530AC"/>
    <w:rsid w:val="00653FBC"/>
    <w:rsid w:val="00655AD5"/>
    <w:rsid w:val="0065617E"/>
    <w:rsid w:val="00656A2A"/>
    <w:rsid w:val="006574EE"/>
    <w:rsid w:val="00657E62"/>
    <w:rsid w:val="00660F05"/>
    <w:rsid w:val="006616E1"/>
    <w:rsid w:val="0066194E"/>
    <w:rsid w:val="00661E99"/>
    <w:rsid w:val="00661F8A"/>
    <w:rsid w:val="00662905"/>
    <w:rsid w:val="0066290E"/>
    <w:rsid w:val="00662FA0"/>
    <w:rsid w:val="00664708"/>
    <w:rsid w:val="006649BB"/>
    <w:rsid w:val="00665379"/>
    <w:rsid w:val="00665A3A"/>
    <w:rsid w:val="00665A6F"/>
    <w:rsid w:val="00665D77"/>
    <w:rsid w:val="006662B7"/>
    <w:rsid w:val="0066645C"/>
    <w:rsid w:val="0066652A"/>
    <w:rsid w:val="00666883"/>
    <w:rsid w:val="00666C97"/>
    <w:rsid w:val="00666D2F"/>
    <w:rsid w:val="00666F7A"/>
    <w:rsid w:val="0067016E"/>
    <w:rsid w:val="006706C2"/>
    <w:rsid w:val="0067154A"/>
    <w:rsid w:val="006719C3"/>
    <w:rsid w:val="00671B7D"/>
    <w:rsid w:val="0067317F"/>
    <w:rsid w:val="006735C8"/>
    <w:rsid w:val="006739D2"/>
    <w:rsid w:val="00674A00"/>
    <w:rsid w:val="0067558D"/>
    <w:rsid w:val="00677751"/>
    <w:rsid w:val="0068022F"/>
    <w:rsid w:val="006804B2"/>
    <w:rsid w:val="00680522"/>
    <w:rsid w:val="00680ABF"/>
    <w:rsid w:val="006812B8"/>
    <w:rsid w:val="00681D9C"/>
    <w:rsid w:val="00681F9C"/>
    <w:rsid w:val="00682167"/>
    <w:rsid w:val="006830AE"/>
    <w:rsid w:val="00683E9B"/>
    <w:rsid w:val="00686269"/>
    <w:rsid w:val="00686CCD"/>
    <w:rsid w:val="006876AC"/>
    <w:rsid w:val="00687979"/>
    <w:rsid w:val="006948CC"/>
    <w:rsid w:val="00695737"/>
    <w:rsid w:val="00695EC1"/>
    <w:rsid w:val="00696FF6"/>
    <w:rsid w:val="00697B51"/>
    <w:rsid w:val="006A0332"/>
    <w:rsid w:val="006A0DE4"/>
    <w:rsid w:val="006A1E00"/>
    <w:rsid w:val="006A1E17"/>
    <w:rsid w:val="006A2278"/>
    <w:rsid w:val="006A2471"/>
    <w:rsid w:val="006A3DDA"/>
    <w:rsid w:val="006A55AD"/>
    <w:rsid w:val="006A564C"/>
    <w:rsid w:val="006A56F8"/>
    <w:rsid w:val="006A6298"/>
    <w:rsid w:val="006A62AE"/>
    <w:rsid w:val="006A6CF2"/>
    <w:rsid w:val="006A6D36"/>
    <w:rsid w:val="006B0136"/>
    <w:rsid w:val="006B0157"/>
    <w:rsid w:val="006B025E"/>
    <w:rsid w:val="006B071A"/>
    <w:rsid w:val="006B0897"/>
    <w:rsid w:val="006B1445"/>
    <w:rsid w:val="006B1E85"/>
    <w:rsid w:val="006B3678"/>
    <w:rsid w:val="006B3977"/>
    <w:rsid w:val="006B5D0E"/>
    <w:rsid w:val="006B644F"/>
    <w:rsid w:val="006B67D1"/>
    <w:rsid w:val="006B683B"/>
    <w:rsid w:val="006B6A01"/>
    <w:rsid w:val="006B6C6D"/>
    <w:rsid w:val="006B7240"/>
    <w:rsid w:val="006B7FB1"/>
    <w:rsid w:val="006C0135"/>
    <w:rsid w:val="006C04BD"/>
    <w:rsid w:val="006C0764"/>
    <w:rsid w:val="006C1056"/>
    <w:rsid w:val="006C42AF"/>
    <w:rsid w:val="006C4360"/>
    <w:rsid w:val="006C5496"/>
    <w:rsid w:val="006C6212"/>
    <w:rsid w:val="006C6A9A"/>
    <w:rsid w:val="006C6F3A"/>
    <w:rsid w:val="006C7169"/>
    <w:rsid w:val="006C757D"/>
    <w:rsid w:val="006C761E"/>
    <w:rsid w:val="006C7A10"/>
    <w:rsid w:val="006C7C16"/>
    <w:rsid w:val="006D0384"/>
    <w:rsid w:val="006D1327"/>
    <w:rsid w:val="006D227D"/>
    <w:rsid w:val="006D2D0D"/>
    <w:rsid w:val="006D3794"/>
    <w:rsid w:val="006D4392"/>
    <w:rsid w:val="006D4EB1"/>
    <w:rsid w:val="006D570F"/>
    <w:rsid w:val="006D588D"/>
    <w:rsid w:val="006D6C4B"/>
    <w:rsid w:val="006D7A63"/>
    <w:rsid w:val="006D7FA0"/>
    <w:rsid w:val="006E104C"/>
    <w:rsid w:val="006E1561"/>
    <w:rsid w:val="006E27F5"/>
    <w:rsid w:val="006E2A21"/>
    <w:rsid w:val="006E2A70"/>
    <w:rsid w:val="006E2DE5"/>
    <w:rsid w:val="006E3367"/>
    <w:rsid w:val="006E3542"/>
    <w:rsid w:val="006E48B2"/>
    <w:rsid w:val="006E4B69"/>
    <w:rsid w:val="006E522C"/>
    <w:rsid w:val="006E5521"/>
    <w:rsid w:val="006E5CCB"/>
    <w:rsid w:val="006E5EB1"/>
    <w:rsid w:val="006E63DD"/>
    <w:rsid w:val="006E6644"/>
    <w:rsid w:val="006E6D48"/>
    <w:rsid w:val="006E6F12"/>
    <w:rsid w:val="006E7FA9"/>
    <w:rsid w:val="006F0EB0"/>
    <w:rsid w:val="006F37A0"/>
    <w:rsid w:val="006F39CA"/>
    <w:rsid w:val="006F4DF8"/>
    <w:rsid w:val="006F5534"/>
    <w:rsid w:val="006F602A"/>
    <w:rsid w:val="006F60B5"/>
    <w:rsid w:val="006F7791"/>
    <w:rsid w:val="00700FB4"/>
    <w:rsid w:val="00702677"/>
    <w:rsid w:val="00702AD4"/>
    <w:rsid w:val="007033E7"/>
    <w:rsid w:val="00704176"/>
    <w:rsid w:val="0070445C"/>
    <w:rsid w:val="00704C30"/>
    <w:rsid w:val="0070512B"/>
    <w:rsid w:val="007052C4"/>
    <w:rsid w:val="00705C67"/>
    <w:rsid w:val="00705D02"/>
    <w:rsid w:val="00705F5E"/>
    <w:rsid w:val="00706C42"/>
    <w:rsid w:val="007070B8"/>
    <w:rsid w:val="0071039A"/>
    <w:rsid w:val="007111EC"/>
    <w:rsid w:val="0071198D"/>
    <w:rsid w:val="00711BC2"/>
    <w:rsid w:val="00711D8E"/>
    <w:rsid w:val="007120D8"/>
    <w:rsid w:val="00712168"/>
    <w:rsid w:val="00712672"/>
    <w:rsid w:val="007134B7"/>
    <w:rsid w:val="00713DA6"/>
    <w:rsid w:val="00715DCD"/>
    <w:rsid w:val="00715FED"/>
    <w:rsid w:val="00716657"/>
    <w:rsid w:val="00716A44"/>
    <w:rsid w:val="00716AEA"/>
    <w:rsid w:val="00717344"/>
    <w:rsid w:val="00717384"/>
    <w:rsid w:val="00717D38"/>
    <w:rsid w:val="00720111"/>
    <w:rsid w:val="0072148C"/>
    <w:rsid w:val="00721AA9"/>
    <w:rsid w:val="0072246E"/>
    <w:rsid w:val="00722598"/>
    <w:rsid w:val="00722D72"/>
    <w:rsid w:val="00722FE3"/>
    <w:rsid w:val="00723C49"/>
    <w:rsid w:val="0072627E"/>
    <w:rsid w:val="00726D20"/>
    <w:rsid w:val="00726EDA"/>
    <w:rsid w:val="00727681"/>
    <w:rsid w:val="00727EDF"/>
    <w:rsid w:val="007301AC"/>
    <w:rsid w:val="00730406"/>
    <w:rsid w:val="00731D14"/>
    <w:rsid w:val="00731E6D"/>
    <w:rsid w:val="00731EE3"/>
    <w:rsid w:val="00732841"/>
    <w:rsid w:val="00733273"/>
    <w:rsid w:val="0073448D"/>
    <w:rsid w:val="00734C81"/>
    <w:rsid w:val="00734E3F"/>
    <w:rsid w:val="00735A9C"/>
    <w:rsid w:val="00736017"/>
    <w:rsid w:val="007360A0"/>
    <w:rsid w:val="00736985"/>
    <w:rsid w:val="00736C9D"/>
    <w:rsid w:val="00736EC9"/>
    <w:rsid w:val="0073706F"/>
    <w:rsid w:val="007370CB"/>
    <w:rsid w:val="00737303"/>
    <w:rsid w:val="007376B8"/>
    <w:rsid w:val="007376C3"/>
    <w:rsid w:val="00737EE8"/>
    <w:rsid w:val="00740829"/>
    <w:rsid w:val="00740B7D"/>
    <w:rsid w:val="00740C9C"/>
    <w:rsid w:val="00740CAE"/>
    <w:rsid w:val="0074153C"/>
    <w:rsid w:val="00741A52"/>
    <w:rsid w:val="00741CE5"/>
    <w:rsid w:val="00741D23"/>
    <w:rsid w:val="007421BE"/>
    <w:rsid w:val="007435B6"/>
    <w:rsid w:val="00743608"/>
    <w:rsid w:val="007436B9"/>
    <w:rsid w:val="00745659"/>
    <w:rsid w:val="007458DD"/>
    <w:rsid w:val="00745DF5"/>
    <w:rsid w:val="00746F4C"/>
    <w:rsid w:val="00750214"/>
    <w:rsid w:val="00750DC1"/>
    <w:rsid w:val="007513D8"/>
    <w:rsid w:val="007513EC"/>
    <w:rsid w:val="00751C5E"/>
    <w:rsid w:val="0075250B"/>
    <w:rsid w:val="00752A5A"/>
    <w:rsid w:val="00754ED8"/>
    <w:rsid w:val="00756D9F"/>
    <w:rsid w:val="007570A2"/>
    <w:rsid w:val="00760ECA"/>
    <w:rsid w:val="00760FE1"/>
    <w:rsid w:val="0076165C"/>
    <w:rsid w:val="0076187E"/>
    <w:rsid w:val="007621E4"/>
    <w:rsid w:val="0076220F"/>
    <w:rsid w:val="0076250F"/>
    <w:rsid w:val="0076258D"/>
    <w:rsid w:val="00762EB8"/>
    <w:rsid w:val="007633D9"/>
    <w:rsid w:val="0076370D"/>
    <w:rsid w:val="00763B60"/>
    <w:rsid w:val="00765AFF"/>
    <w:rsid w:val="00766DE9"/>
    <w:rsid w:val="007671E1"/>
    <w:rsid w:val="00767552"/>
    <w:rsid w:val="00767A9A"/>
    <w:rsid w:val="00767F2D"/>
    <w:rsid w:val="00770671"/>
    <w:rsid w:val="007706B8"/>
    <w:rsid w:val="00770C56"/>
    <w:rsid w:val="00771404"/>
    <w:rsid w:val="00772EAF"/>
    <w:rsid w:val="007731D1"/>
    <w:rsid w:val="00773CCA"/>
    <w:rsid w:val="00774045"/>
    <w:rsid w:val="00774308"/>
    <w:rsid w:val="00774509"/>
    <w:rsid w:val="007747C2"/>
    <w:rsid w:val="00774C44"/>
    <w:rsid w:val="00774EE4"/>
    <w:rsid w:val="007751EE"/>
    <w:rsid w:val="00775A75"/>
    <w:rsid w:val="00775E6D"/>
    <w:rsid w:val="007768A0"/>
    <w:rsid w:val="007773C4"/>
    <w:rsid w:val="007773D9"/>
    <w:rsid w:val="00780A2A"/>
    <w:rsid w:val="00780FA5"/>
    <w:rsid w:val="00781593"/>
    <w:rsid w:val="007827D2"/>
    <w:rsid w:val="00782A82"/>
    <w:rsid w:val="00784478"/>
    <w:rsid w:val="0078468F"/>
    <w:rsid w:val="00784EBA"/>
    <w:rsid w:val="00784EEA"/>
    <w:rsid w:val="007852F6"/>
    <w:rsid w:val="00785682"/>
    <w:rsid w:val="00785A4A"/>
    <w:rsid w:val="00785BD5"/>
    <w:rsid w:val="00785DC6"/>
    <w:rsid w:val="00785F26"/>
    <w:rsid w:val="0078608B"/>
    <w:rsid w:val="00786EDA"/>
    <w:rsid w:val="0078706F"/>
    <w:rsid w:val="00791445"/>
    <w:rsid w:val="00791F16"/>
    <w:rsid w:val="007923AC"/>
    <w:rsid w:val="0079254F"/>
    <w:rsid w:val="007932AD"/>
    <w:rsid w:val="0079452F"/>
    <w:rsid w:val="00794872"/>
    <w:rsid w:val="00794917"/>
    <w:rsid w:val="007955E7"/>
    <w:rsid w:val="00796863"/>
    <w:rsid w:val="00797887"/>
    <w:rsid w:val="007A06C0"/>
    <w:rsid w:val="007A076E"/>
    <w:rsid w:val="007A1965"/>
    <w:rsid w:val="007A19DA"/>
    <w:rsid w:val="007A1B95"/>
    <w:rsid w:val="007A22B6"/>
    <w:rsid w:val="007A24B5"/>
    <w:rsid w:val="007A24C5"/>
    <w:rsid w:val="007A26F1"/>
    <w:rsid w:val="007A3862"/>
    <w:rsid w:val="007A3BE1"/>
    <w:rsid w:val="007A4B4E"/>
    <w:rsid w:val="007A59BB"/>
    <w:rsid w:val="007A61D3"/>
    <w:rsid w:val="007A621A"/>
    <w:rsid w:val="007A63ED"/>
    <w:rsid w:val="007A698A"/>
    <w:rsid w:val="007A723F"/>
    <w:rsid w:val="007A7686"/>
    <w:rsid w:val="007A77BC"/>
    <w:rsid w:val="007A7CC8"/>
    <w:rsid w:val="007B03D8"/>
    <w:rsid w:val="007B09F8"/>
    <w:rsid w:val="007B149A"/>
    <w:rsid w:val="007B1D7B"/>
    <w:rsid w:val="007B3471"/>
    <w:rsid w:val="007B349D"/>
    <w:rsid w:val="007B3656"/>
    <w:rsid w:val="007B3A7F"/>
    <w:rsid w:val="007B4A54"/>
    <w:rsid w:val="007B4B2D"/>
    <w:rsid w:val="007B59F3"/>
    <w:rsid w:val="007B5A7B"/>
    <w:rsid w:val="007B6200"/>
    <w:rsid w:val="007B664B"/>
    <w:rsid w:val="007B6FF6"/>
    <w:rsid w:val="007B7416"/>
    <w:rsid w:val="007B767C"/>
    <w:rsid w:val="007C0327"/>
    <w:rsid w:val="007C0A32"/>
    <w:rsid w:val="007C0D54"/>
    <w:rsid w:val="007C0E39"/>
    <w:rsid w:val="007C3FB3"/>
    <w:rsid w:val="007C44DF"/>
    <w:rsid w:val="007C4C88"/>
    <w:rsid w:val="007C4D42"/>
    <w:rsid w:val="007C4FCB"/>
    <w:rsid w:val="007C69C6"/>
    <w:rsid w:val="007C69C8"/>
    <w:rsid w:val="007C6C59"/>
    <w:rsid w:val="007C7793"/>
    <w:rsid w:val="007C79B6"/>
    <w:rsid w:val="007D088D"/>
    <w:rsid w:val="007D2A22"/>
    <w:rsid w:val="007D2C70"/>
    <w:rsid w:val="007D2F10"/>
    <w:rsid w:val="007D40E6"/>
    <w:rsid w:val="007D414A"/>
    <w:rsid w:val="007D466B"/>
    <w:rsid w:val="007D49D5"/>
    <w:rsid w:val="007D4D0F"/>
    <w:rsid w:val="007D6B9A"/>
    <w:rsid w:val="007D7739"/>
    <w:rsid w:val="007D7AE6"/>
    <w:rsid w:val="007D7CC1"/>
    <w:rsid w:val="007D7F40"/>
    <w:rsid w:val="007E00B6"/>
    <w:rsid w:val="007E0586"/>
    <w:rsid w:val="007E06B2"/>
    <w:rsid w:val="007E07D3"/>
    <w:rsid w:val="007E0912"/>
    <w:rsid w:val="007E0D3B"/>
    <w:rsid w:val="007E10BC"/>
    <w:rsid w:val="007E1B96"/>
    <w:rsid w:val="007E1F76"/>
    <w:rsid w:val="007E28E4"/>
    <w:rsid w:val="007E36E8"/>
    <w:rsid w:val="007E39EB"/>
    <w:rsid w:val="007E406F"/>
    <w:rsid w:val="007E4658"/>
    <w:rsid w:val="007E48D1"/>
    <w:rsid w:val="007E58D5"/>
    <w:rsid w:val="007E6276"/>
    <w:rsid w:val="007E6FE2"/>
    <w:rsid w:val="007E7242"/>
    <w:rsid w:val="007E7388"/>
    <w:rsid w:val="007F0134"/>
    <w:rsid w:val="007F02DE"/>
    <w:rsid w:val="007F0EEE"/>
    <w:rsid w:val="007F0F16"/>
    <w:rsid w:val="007F0F29"/>
    <w:rsid w:val="007F10FC"/>
    <w:rsid w:val="007F11D0"/>
    <w:rsid w:val="007F12A3"/>
    <w:rsid w:val="007F1EF5"/>
    <w:rsid w:val="007F3395"/>
    <w:rsid w:val="007F489F"/>
    <w:rsid w:val="007F49EB"/>
    <w:rsid w:val="007F507F"/>
    <w:rsid w:val="007F5910"/>
    <w:rsid w:val="007F72EB"/>
    <w:rsid w:val="007F767B"/>
    <w:rsid w:val="007F7A0E"/>
    <w:rsid w:val="008001AF"/>
    <w:rsid w:val="0080081B"/>
    <w:rsid w:val="00800CB5"/>
    <w:rsid w:val="0080123E"/>
    <w:rsid w:val="00801417"/>
    <w:rsid w:val="00801B9F"/>
    <w:rsid w:val="0080204D"/>
    <w:rsid w:val="008022F0"/>
    <w:rsid w:val="008025F0"/>
    <w:rsid w:val="00802881"/>
    <w:rsid w:val="00802F1C"/>
    <w:rsid w:val="0080403F"/>
    <w:rsid w:val="008044A6"/>
    <w:rsid w:val="0080469B"/>
    <w:rsid w:val="00804D27"/>
    <w:rsid w:val="00804EBB"/>
    <w:rsid w:val="0080551E"/>
    <w:rsid w:val="00805932"/>
    <w:rsid w:val="00805B9C"/>
    <w:rsid w:val="00806836"/>
    <w:rsid w:val="00806C01"/>
    <w:rsid w:val="00807598"/>
    <w:rsid w:val="008075B9"/>
    <w:rsid w:val="008103B2"/>
    <w:rsid w:val="00810FCB"/>
    <w:rsid w:val="0081123D"/>
    <w:rsid w:val="008116E1"/>
    <w:rsid w:val="00811CEA"/>
    <w:rsid w:val="00811E75"/>
    <w:rsid w:val="008129C1"/>
    <w:rsid w:val="00812A77"/>
    <w:rsid w:val="00812EDB"/>
    <w:rsid w:val="00814152"/>
    <w:rsid w:val="0081426F"/>
    <w:rsid w:val="0081505A"/>
    <w:rsid w:val="0081574A"/>
    <w:rsid w:val="00815A9B"/>
    <w:rsid w:val="00815DFC"/>
    <w:rsid w:val="00815F46"/>
    <w:rsid w:val="008160AA"/>
    <w:rsid w:val="008164D9"/>
    <w:rsid w:val="00816CBF"/>
    <w:rsid w:val="0081705B"/>
    <w:rsid w:val="00817FAF"/>
    <w:rsid w:val="0082077B"/>
    <w:rsid w:val="008218D5"/>
    <w:rsid w:val="00821C54"/>
    <w:rsid w:val="008220C6"/>
    <w:rsid w:val="0082216E"/>
    <w:rsid w:val="008222AD"/>
    <w:rsid w:val="00822A1B"/>
    <w:rsid w:val="00823367"/>
    <w:rsid w:val="008238D5"/>
    <w:rsid w:val="00826101"/>
    <w:rsid w:val="00826AE6"/>
    <w:rsid w:val="008272AC"/>
    <w:rsid w:val="0082760D"/>
    <w:rsid w:val="00827A24"/>
    <w:rsid w:val="0083052F"/>
    <w:rsid w:val="00831BD5"/>
    <w:rsid w:val="00832558"/>
    <w:rsid w:val="00832834"/>
    <w:rsid w:val="008331ED"/>
    <w:rsid w:val="00833C41"/>
    <w:rsid w:val="00834FDA"/>
    <w:rsid w:val="008354EA"/>
    <w:rsid w:val="0083593E"/>
    <w:rsid w:val="008362C1"/>
    <w:rsid w:val="00842A81"/>
    <w:rsid w:val="00843046"/>
    <w:rsid w:val="0084490E"/>
    <w:rsid w:val="0084512B"/>
    <w:rsid w:val="0084526C"/>
    <w:rsid w:val="00845896"/>
    <w:rsid w:val="0084642A"/>
    <w:rsid w:val="008470C8"/>
    <w:rsid w:val="008475F0"/>
    <w:rsid w:val="0084772C"/>
    <w:rsid w:val="00847B59"/>
    <w:rsid w:val="00850773"/>
    <w:rsid w:val="008507BD"/>
    <w:rsid w:val="00850943"/>
    <w:rsid w:val="008509E0"/>
    <w:rsid w:val="00850E0E"/>
    <w:rsid w:val="00851786"/>
    <w:rsid w:val="0085242F"/>
    <w:rsid w:val="008528E2"/>
    <w:rsid w:val="00852A78"/>
    <w:rsid w:val="00852D6A"/>
    <w:rsid w:val="008531AA"/>
    <w:rsid w:val="0085338C"/>
    <w:rsid w:val="00853E7A"/>
    <w:rsid w:val="008557A7"/>
    <w:rsid w:val="00855E9A"/>
    <w:rsid w:val="00856873"/>
    <w:rsid w:val="008569B8"/>
    <w:rsid w:val="00856AB6"/>
    <w:rsid w:val="00857187"/>
    <w:rsid w:val="0085737B"/>
    <w:rsid w:val="00857BC3"/>
    <w:rsid w:val="008609DF"/>
    <w:rsid w:val="00861A89"/>
    <w:rsid w:val="00862E2F"/>
    <w:rsid w:val="00863611"/>
    <w:rsid w:val="0086404C"/>
    <w:rsid w:val="008654AA"/>
    <w:rsid w:val="00865624"/>
    <w:rsid w:val="008660CC"/>
    <w:rsid w:val="008675B4"/>
    <w:rsid w:val="0087036A"/>
    <w:rsid w:val="008703D3"/>
    <w:rsid w:val="00870928"/>
    <w:rsid w:val="0087112C"/>
    <w:rsid w:val="008717E1"/>
    <w:rsid w:val="00872510"/>
    <w:rsid w:val="008738CB"/>
    <w:rsid w:val="00873C87"/>
    <w:rsid w:val="00873CBE"/>
    <w:rsid w:val="0087448B"/>
    <w:rsid w:val="008747C2"/>
    <w:rsid w:val="0087538D"/>
    <w:rsid w:val="00875471"/>
    <w:rsid w:val="00875841"/>
    <w:rsid w:val="008763B6"/>
    <w:rsid w:val="00877466"/>
    <w:rsid w:val="008775E9"/>
    <w:rsid w:val="008813FA"/>
    <w:rsid w:val="00882238"/>
    <w:rsid w:val="00882AAE"/>
    <w:rsid w:val="00882D0F"/>
    <w:rsid w:val="00883756"/>
    <w:rsid w:val="008838BE"/>
    <w:rsid w:val="00883B93"/>
    <w:rsid w:val="008840A7"/>
    <w:rsid w:val="00884D09"/>
    <w:rsid w:val="00884D96"/>
    <w:rsid w:val="00885A62"/>
    <w:rsid w:val="00885AA3"/>
    <w:rsid w:val="008861F4"/>
    <w:rsid w:val="008862D3"/>
    <w:rsid w:val="0088654E"/>
    <w:rsid w:val="00890687"/>
    <w:rsid w:val="00890D61"/>
    <w:rsid w:val="008913BB"/>
    <w:rsid w:val="0089177A"/>
    <w:rsid w:val="00892601"/>
    <w:rsid w:val="00892916"/>
    <w:rsid w:val="00892BA0"/>
    <w:rsid w:val="00893285"/>
    <w:rsid w:val="008934FA"/>
    <w:rsid w:val="008938BB"/>
    <w:rsid w:val="00893B50"/>
    <w:rsid w:val="0089405C"/>
    <w:rsid w:val="00894150"/>
    <w:rsid w:val="00894DEB"/>
    <w:rsid w:val="008954FE"/>
    <w:rsid w:val="00895DF9"/>
    <w:rsid w:val="00897DEC"/>
    <w:rsid w:val="00897FA2"/>
    <w:rsid w:val="008A026E"/>
    <w:rsid w:val="008A0825"/>
    <w:rsid w:val="008A0972"/>
    <w:rsid w:val="008A09B3"/>
    <w:rsid w:val="008A0D42"/>
    <w:rsid w:val="008A1B18"/>
    <w:rsid w:val="008A1FCF"/>
    <w:rsid w:val="008A25C6"/>
    <w:rsid w:val="008A354A"/>
    <w:rsid w:val="008A382B"/>
    <w:rsid w:val="008A4651"/>
    <w:rsid w:val="008A5472"/>
    <w:rsid w:val="008A555A"/>
    <w:rsid w:val="008A5569"/>
    <w:rsid w:val="008A5AFE"/>
    <w:rsid w:val="008A5F35"/>
    <w:rsid w:val="008A6312"/>
    <w:rsid w:val="008A68A8"/>
    <w:rsid w:val="008A6AAC"/>
    <w:rsid w:val="008A6BF6"/>
    <w:rsid w:val="008A7404"/>
    <w:rsid w:val="008B0B93"/>
    <w:rsid w:val="008B0BE0"/>
    <w:rsid w:val="008B15B5"/>
    <w:rsid w:val="008B16B9"/>
    <w:rsid w:val="008B2929"/>
    <w:rsid w:val="008B2965"/>
    <w:rsid w:val="008B2CEB"/>
    <w:rsid w:val="008B3830"/>
    <w:rsid w:val="008B3FED"/>
    <w:rsid w:val="008B5551"/>
    <w:rsid w:val="008B5BCB"/>
    <w:rsid w:val="008B64EA"/>
    <w:rsid w:val="008B69F9"/>
    <w:rsid w:val="008B7106"/>
    <w:rsid w:val="008B76B1"/>
    <w:rsid w:val="008C099F"/>
    <w:rsid w:val="008C113D"/>
    <w:rsid w:val="008C11D2"/>
    <w:rsid w:val="008C17A9"/>
    <w:rsid w:val="008C1FAE"/>
    <w:rsid w:val="008C32FD"/>
    <w:rsid w:val="008C3774"/>
    <w:rsid w:val="008C4156"/>
    <w:rsid w:val="008C4301"/>
    <w:rsid w:val="008C447B"/>
    <w:rsid w:val="008C51E4"/>
    <w:rsid w:val="008C58B5"/>
    <w:rsid w:val="008C5A0E"/>
    <w:rsid w:val="008C6EF3"/>
    <w:rsid w:val="008D07CF"/>
    <w:rsid w:val="008D0F32"/>
    <w:rsid w:val="008D10E2"/>
    <w:rsid w:val="008D125D"/>
    <w:rsid w:val="008D32F3"/>
    <w:rsid w:val="008D404A"/>
    <w:rsid w:val="008D6BB5"/>
    <w:rsid w:val="008E02E4"/>
    <w:rsid w:val="008E04CA"/>
    <w:rsid w:val="008E055E"/>
    <w:rsid w:val="008E1BBA"/>
    <w:rsid w:val="008E1E0F"/>
    <w:rsid w:val="008E3390"/>
    <w:rsid w:val="008E3747"/>
    <w:rsid w:val="008E40F8"/>
    <w:rsid w:val="008E5A8A"/>
    <w:rsid w:val="008E5B02"/>
    <w:rsid w:val="008E60D3"/>
    <w:rsid w:val="008E6405"/>
    <w:rsid w:val="008E76E7"/>
    <w:rsid w:val="008E7754"/>
    <w:rsid w:val="008E7A37"/>
    <w:rsid w:val="008F054C"/>
    <w:rsid w:val="008F054F"/>
    <w:rsid w:val="008F1219"/>
    <w:rsid w:val="008F1619"/>
    <w:rsid w:val="008F23C4"/>
    <w:rsid w:val="008F30D5"/>
    <w:rsid w:val="008F323F"/>
    <w:rsid w:val="008F3C98"/>
    <w:rsid w:val="008F40A7"/>
    <w:rsid w:val="008F43A9"/>
    <w:rsid w:val="008F4DE1"/>
    <w:rsid w:val="008F5C46"/>
    <w:rsid w:val="008F6106"/>
    <w:rsid w:val="008F62C6"/>
    <w:rsid w:val="008F6888"/>
    <w:rsid w:val="008F7310"/>
    <w:rsid w:val="008F784F"/>
    <w:rsid w:val="008F7B27"/>
    <w:rsid w:val="008F7E2D"/>
    <w:rsid w:val="008F8A82"/>
    <w:rsid w:val="00900B00"/>
    <w:rsid w:val="00900BC4"/>
    <w:rsid w:val="00900C62"/>
    <w:rsid w:val="00901E30"/>
    <w:rsid w:val="0090348B"/>
    <w:rsid w:val="009044BF"/>
    <w:rsid w:val="00904886"/>
    <w:rsid w:val="00904BEE"/>
    <w:rsid w:val="0090771F"/>
    <w:rsid w:val="00907DC6"/>
    <w:rsid w:val="0091055F"/>
    <w:rsid w:val="00910EE9"/>
    <w:rsid w:val="0091103F"/>
    <w:rsid w:val="00911994"/>
    <w:rsid w:val="00911CE0"/>
    <w:rsid w:val="00911D15"/>
    <w:rsid w:val="009132D8"/>
    <w:rsid w:val="00913866"/>
    <w:rsid w:val="00914490"/>
    <w:rsid w:val="00914B69"/>
    <w:rsid w:val="009150F0"/>
    <w:rsid w:val="00915555"/>
    <w:rsid w:val="009156BA"/>
    <w:rsid w:val="00915BAB"/>
    <w:rsid w:val="00916375"/>
    <w:rsid w:val="0091713C"/>
    <w:rsid w:val="0091788C"/>
    <w:rsid w:val="00917F5A"/>
    <w:rsid w:val="00920042"/>
    <w:rsid w:val="009208DF"/>
    <w:rsid w:val="00920FD6"/>
    <w:rsid w:val="009210A6"/>
    <w:rsid w:val="0092124D"/>
    <w:rsid w:val="009216F6"/>
    <w:rsid w:val="00921ABD"/>
    <w:rsid w:val="00921ED3"/>
    <w:rsid w:val="00922301"/>
    <w:rsid w:val="00922321"/>
    <w:rsid w:val="009230EE"/>
    <w:rsid w:val="009246D7"/>
    <w:rsid w:val="009267BD"/>
    <w:rsid w:val="009277E7"/>
    <w:rsid w:val="00927B49"/>
    <w:rsid w:val="00927F88"/>
    <w:rsid w:val="0093023F"/>
    <w:rsid w:val="00930889"/>
    <w:rsid w:val="00931A0F"/>
    <w:rsid w:val="00931B40"/>
    <w:rsid w:val="00932CD5"/>
    <w:rsid w:val="00933664"/>
    <w:rsid w:val="00933778"/>
    <w:rsid w:val="00934CED"/>
    <w:rsid w:val="0093617C"/>
    <w:rsid w:val="0093642F"/>
    <w:rsid w:val="00936775"/>
    <w:rsid w:val="0093794F"/>
    <w:rsid w:val="009400DA"/>
    <w:rsid w:val="00940FDB"/>
    <w:rsid w:val="00941048"/>
    <w:rsid w:val="009414A0"/>
    <w:rsid w:val="00941B29"/>
    <w:rsid w:val="00941BF9"/>
    <w:rsid w:val="00943730"/>
    <w:rsid w:val="00943C5F"/>
    <w:rsid w:val="009448E4"/>
    <w:rsid w:val="00944A2E"/>
    <w:rsid w:val="00944E29"/>
    <w:rsid w:val="00944EEA"/>
    <w:rsid w:val="0094560F"/>
    <w:rsid w:val="00946A94"/>
    <w:rsid w:val="0095051F"/>
    <w:rsid w:val="00950A05"/>
    <w:rsid w:val="00950EA0"/>
    <w:rsid w:val="0095121A"/>
    <w:rsid w:val="00951FD8"/>
    <w:rsid w:val="00954392"/>
    <w:rsid w:val="00954A1F"/>
    <w:rsid w:val="009553F0"/>
    <w:rsid w:val="009558A5"/>
    <w:rsid w:val="009566B4"/>
    <w:rsid w:val="0095693C"/>
    <w:rsid w:val="009569E2"/>
    <w:rsid w:val="009570C9"/>
    <w:rsid w:val="00960183"/>
    <w:rsid w:val="0096094F"/>
    <w:rsid w:val="00960A4B"/>
    <w:rsid w:val="00961E72"/>
    <w:rsid w:val="00961EF6"/>
    <w:rsid w:val="00961F7C"/>
    <w:rsid w:val="009621A2"/>
    <w:rsid w:val="009621B3"/>
    <w:rsid w:val="00962645"/>
    <w:rsid w:val="009626C0"/>
    <w:rsid w:val="00963448"/>
    <w:rsid w:val="009647E8"/>
    <w:rsid w:val="0096624C"/>
    <w:rsid w:val="00966C4C"/>
    <w:rsid w:val="0096754F"/>
    <w:rsid w:val="00970093"/>
    <w:rsid w:val="009705E9"/>
    <w:rsid w:val="00970F73"/>
    <w:rsid w:val="0097126A"/>
    <w:rsid w:val="00971602"/>
    <w:rsid w:val="009716AA"/>
    <w:rsid w:val="009716C7"/>
    <w:rsid w:val="00971FD4"/>
    <w:rsid w:val="00972FD2"/>
    <w:rsid w:val="00973B4D"/>
    <w:rsid w:val="00974376"/>
    <w:rsid w:val="009745E2"/>
    <w:rsid w:val="0097498C"/>
    <w:rsid w:val="00974A4F"/>
    <w:rsid w:val="00974C93"/>
    <w:rsid w:val="00974D4D"/>
    <w:rsid w:val="00975CA5"/>
    <w:rsid w:val="00975DB0"/>
    <w:rsid w:val="00976BE6"/>
    <w:rsid w:val="0097707A"/>
    <w:rsid w:val="00977A52"/>
    <w:rsid w:val="0098064A"/>
    <w:rsid w:val="00980EB2"/>
    <w:rsid w:val="00981460"/>
    <w:rsid w:val="00981F70"/>
    <w:rsid w:val="009825D1"/>
    <w:rsid w:val="0098299C"/>
    <w:rsid w:val="00983AED"/>
    <w:rsid w:val="00983EE3"/>
    <w:rsid w:val="00983F50"/>
    <w:rsid w:val="00984E59"/>
    <w:rsid w:val="00984EE9"/>
    <w:rsid w:val="00985404"/>
    <w:rsid w:val="0098575A"/>
    <w:rsid w:val="00985EB8"/>
    <w:rsid w:val="009863B0"/>
    <w:rsid w:val="0098655D"/>
    <w:rsid w:val="00986590"/>
    <w:rsid w:val="009867BB"/>
    <w:rsid w:val="00987027"/>
    <w:rsid w:val="009871BA"/>
    <w:rsid w:val="009872F7"/>
    <w:rsid w:val="00987B68"/>
    <w:rsid w:val="00987F10"/>
    <w:rsid w:val="0099025D"/>
    <w:rsid w:val="00990455"/>
    <w:rsid w:val="009905A7"/>
    <w:rsid w:val="00991E53"/>
    <w:rsid w:val="00992377"/>
    <w:rsid w:val="00992B14"/>
    <w:rsid w:val="00992C02"/>
    <w:rsid w:val="00992C76"/>
    <w:rsid w:val="00992E06"/>
    <w:rsid w:val="00992F68"/>
    <w:rsid w:val="00993760"/>
    <w:rsid w:val="00993785"/>
    <w:rsid w:val="00993803"/>
    <w:rsid w:val="00993CE6"/>
    <w:rsid w:val="00994D4D"/>
    <w:rsid w:val="00994F23"/>
    <w:rsid w:val="00995214"/>
    <w:rsid w:val="009954A9"/>
    <w:rsid w:val="00995D1F"/>
    <w:rsid w:val="00995D4A"/>
    <w:rsid w:val="00995D91"/>
    <w:rsid w:val="00995E51"/>
    <w:rsid w:val="00996861"/>
    <w:rsid w:val="009969D6"/>
    <w:rsid w:val="00997CE4"/>
    <w:rsid w:val="00997E1B"/>
    <w:rsid w:val="009A016A"/>
    <w:rsid w:val="009A17EE"/>
    <w:rsid w:val="009A2224"/>
    <w:rsid w:val="009A2470"/>
    <w:rsid w:val="009A2D4E"/>
    <w:rsid w:val="009A2F29"/>
    <w:rsid w:val="009A39D8"/>
    <w:rsid w:val="009A3C3A"/>
    <w:rsid w:val="009A3DD2"/>
    <w:rsid w:val="009A4877"/>
    <w:rsid w:val="009A55D8"/>
    <w:rsid w:val="009A5A1E"/>
    <w:rsid w:val="009A622B"/>
    <w:rsid w:val="009A6349"/>
    <w:rsid w:val="009A68D8"/>
    <w:rsid w:val="009A69E2"/>
    <w:rsid w:val="009A7F2A"/>
    <w:rsid w:val="009B1268"/>
    <w:rsid w:val="009B3417"/>
    <w:rsid w:val="009B3461"/>
    <w:rsid w:val="009B3892"/>
    <w:rsid w:val="009B4D3B"/>
    <w:rsid w:val="009B52C2"/>
    <w:rsid w:val="009B5725"/>
    <w:rsid w:val="009B5A7E"/>
    <w:rsid w:val="009B5F66"/>
    <w:rsid w:val="009B6281"/>
    <w:rsid w:val="009B678A"/>
    <w:rsid w:val="009B6CA1"/>
    <w:rsid w:val="009B7942"/>
    <w:rsid w:val="009C0528"/>
    <w:rsid w:val="009C0EC6"/>
    <w:rsid w:val="009C1071"/>
    <w:rsid w:val="009C3241"/>
    <w:rsid w:val="009C377A"/>
    <w:rsid w:val="009C3AFD"/>
    <w:rsid w:val="009C553E"/>
    <w:rsid w:val="009C5875"/>
    <w:rsid w:val="009C596B"/>
    <w:rsid w:val="009C5A88"/>
    <w:rsid w:val="009C7233"/>
    <w:rsid w:val="009C761F"/>
    <w:rsid w:val="009D0740"/>
    <w:rsid w:val="009D1AAC"/>
    <w:rsid w:val="009D1C29"/>
    <w:rsid w:val="009D2ABF"/>
    <w:rsid w:val="009D3393"/>
    <w:rsid w:val="009D3C85"/>
    <w:rsid w:val="009D4848"/>
    <w:rsid w:val="009D4A6B"/>
    <w:rsid w:val="009D57A0"/>
    <w:rsid w:val="009D6C6E"/>
    <w:rsid w:val="009D6CE9"/>
    <w:rsid w:val="009D7407"/>
    <w:rsid w:val="009E0864"/>
    <w:rsid w:val="009E0866"/>
    <w:rsid w:val="009E1C9A"/>
    <w:rsid w:val="009E25EC"/>
    <w:rsid w:val="009E273C"/>
    <w:rsid w:val="009E32A8"/>
    <w:rsid w:val="009E4673"/>
    <w:rsid w:val="009E4F32"/>
    <w:rsid w:val="009E52C8"/>
    <w:rsid w:val="009E5801"/>
    <w:rsid w:val="009E69E5"/>
    <w:rsid w:val="009E6EFF"/>
    <w:rsid w:val="009E7159"/>
    <w:rsid w:val="009E738F"/>
    <w:rsid w:val="009E7B25"/>
    <w:rsid w:val="009E7F0A"/>
    <w:rsid w:val="009F0064"/>
    <w:rsid w:val="009F095D"/>
    <w:rsid w:val="009F1350"/>
    <w:rsid w:val="009F22B7"/>
    <w:rsid w:val="009F2379"/>
    <w:rsid w:val="009F243A"/>
    <w:rsid w:val="009F29E1"/>
    <w:rsid w:val="009F2C2C"/>
    <w:rsid w:val="009F31B8"/>
    <w:rsid w:val="009F5037"/>
    <w:rsid w:val="009F5854"/>
    <w:rsid w:val="009F58E4"/>
    <w:rsid w:val="009F6423"/>
    <w:rsid w:val="009F6738"/>
    <w:rsid w:val="009F7B80"/>
    <w:rsid w:val="00A00034"/>
    <w:rsid w:val="00A00F33"/>
    <w:rsid w:val="00A01611"/>
    <w:rsid w:val="00A01AC8"/>
    <w:rsid w:val="00A01F9C"/>
    <w:rsid w:val="00A023B0"/>
    <w:rsid w:val="00A03B2D"/>
    <w:rsid w:val="00A0442C"/>
    <w:rsid w:val="00A0476D"/>
    <w:rsid w:val="00A048B8"/>
    <w:rsid w:val="00A04B49"/>
    <w:rsid w:val="00A04DFD"/>
    <w:rsid w:val="00A0534D"/>
    <w:rsid w:val="00A0536C"/>
    <w:rsid w:val="00A063D8"/>
    <w:rsid w:val="00A07161"/>
    <w:rsid w:val="00A07A84"/>
    <w:rsid w:val="00A07DBD"/>
    <w:rsid w:val="00A108F6"/>
    <w:rsid w:val="00A120E4"/>
    <w:rsid w:val="00A12F0B"/>
    <w:rsid w:val="00A156F1"/>
    <w:rsid w:val="00A16AF7"/>
    <w:rsid w:val="00A16F3C"/>
    <w:rsid w:val="00A17289"/>
    <w:rsid w:val="00A175B3"/>
    <w:rsid w:val="00A17A26"/>
    <w:rsid w:val="00A17B72"/>
    <w:rsid w:val="00A2023F"/>
    <w:rsid w:val="00A204FC"/>
    <w:rsid w:val="00A20600"/>
    <w:rsid w:val="00A208B4"/>
    <w:rsid w:val="00A20A02"/>
    <w:rsid w:val="00A20A58"/>
    <w:rsid w:val="00A20ED0"/>
    <w:rsid w:val="00A21A8F"/>
    <w:rsid w:val="00A222D1"/>
    <w:rsid w:val="00A228FC"/>
    <w:rsid w:val="00A233A1"/>
    <w:rsid w:val="00A23B7A"/>
    <w:rsid w:val="00A23F21"/>
    <w:rsid w:val="00A2412C"/>
    <w:rsid w:val="00A243BD"/>
    <w:rsid w:val="00A249C0"/>
    <w:rsid w:val="00A24A62"/>
    <w:rsid w:val="00A24A78"/>
    <w:rsid w:val="00A24B83"/>
    <w:rsid w:val="00A24BB7"/>
    <w:rsid w:val="00A251A3"/>
    <w:rsid w:val="00A25AC6"/>
    <w:rsid w:val="00A26215"/>
    <w:rsid w:val="00A26DB6"/>
    <w:rsid w:val="00A2732C"/>
    <w:rsid w:val="00A27FF1"/>
    <w:rsid w:val="00A30CA5"/>
    <w:rsid w:val="00A31C9F"/>
    <w:rsid w:val="00A32858"/>
    <w:rsid w:val="00A32EE0"/>
    <w:rsid w:val="00A33292"/>
    <w:rsid w:val="00A34B1D"/>
    <w:rsid w:val="00A352AF"/>
    <w:rsid w:val="00A355EC"/>
    <w:rsid w:val="00A36736"/>
    <w:rsid w:val="00A36CF4"/>
    <w:rsid w:val="00A40DCF"/>
    <w:rsid w:val="00A4144F"/>
    <w:rsid w:val="00A41C1E"/>
    <w:rsid w:val="00A423AF"/>
    <w:rsid w:val="00A424C3"/>
    <w:rsid w:val="00A42DAD"/>
    <w:rsid w:val="00A42E0E"/>
    <w:rsid w:val="00A4379D"/>
    <w:rsid w:val="00A438A4"/>
    <w:rsid w:val="00A4406A"/>
    <w:rsid w:val="00A4438E"/>
    <w:rsid w:val="00A4478A"/>
    <w:rsid w:val="00A452F1"/>
    <w:rsid w:val="00A45E50"/>
    <w:rsid w:val="00A462B4"/>
    <w:rsid w:val="00A465A2"/>
    <w:rsid w:val="00A46641"/>
    <w:rsid w:val="00A46A4F"/>
    <w:rsid w:val="00A4780A"/>
    <w:rsid w:val="00A47D61"/>
    <w:rsid w:val="00A501A7"/>
    <w:rsid w:val="00A5025B"/>
    <w:rsid w:val="00A505C5"/>
    <w:rsid w:val="00A52FA8"/>
    <w:rsid w:val="00A546B3"/>
    <w:rsid w:val="00A54C6C"/>
    <w:rsid w:val="00A55645"/>
    <w:rsid w:val="00A559B7"/>
    <w:rsid w:val="00A56C2D"/>
    <w:rsid w:val="00A579D9"/>
    <w:rsid w:val="00A60410"/>
    <w:rsid w:val="00A612AF"/>
    <w:rsid w:val="00A6142C"/>
    <w:rsid w:val="00A619B2"/>
    <w:rsid w:val="00A61B4D"/>
    <w:rsid w:val="00A6254C"/>
    <w:rsid w:val="00A636EC"/>
    <w:rsid w:val="00A63C3A"/>
    <w:rsid w:val="00A63D76"/>
    <w:rsid w:val="00A64085"/>
    <w:rsid w:val="00A646CE"/>
    <w:rsid w:val="00A64B34"/>
    <w:rsid w:val="00A64D88"/>
    <w:rsid w:val="00A65677"/>
    <w:rsid w:val="00A65ADC"/>
    <w:rsid w:val="00A6665F"/>
    <w:rsid w:val="00A6687D"/>
    <w:rsid w:val="00A66C43"/>
    <w:rsid w:val="00A66F21"/>
    <w:rsid w:val="00A67E3F"/>
    <w:rsid w:val="00A67E69"/>
    <w:rsid w:val="00A708E1"/>
    <w:rsid w:val="00A72442"/>
    <w:rsid w:val="00A72845"/>
    <w:rsid w:val="00A72AF8"/>
    <w:rsid w:val="00A72EC2"/>
    <w:rsid w:val="00A72F25"/>
    <w:rsid w:val="00A74196"/>
    <w:rsid w:val="00A74843"/>
    <w:rsid w:val="00A75165"/>
    <w:rsid w:val="00A756BF"/>
    <w:rsid w:val="00A757CC"/>
    <w:rsid w:val="00A758C7"/>
    <w:rsid w:val="00A75A2C"/>
    <w:rsid w:val="00A75D14"/>
    <w:rsid w:val="00A76DCB"/>
    <w:rsid w:val="00A800A8"/>
    <w:rsid w:val="00A8053D"/>
    <w:rsid w:val="00A80A10"/>
    <w:rsid w:val="00A80F95"/>
    <w:rsid w:val="00A8154E"/>
    <w:rsid w:val="00A819E0"/>
    <w:rsid w:val="00A822EA"/>
    <w:rsid w:val="00A84303"/>
    <w:rsid w:val="00A845CB"/>
    <w:rsid w:val="00A852CB"/>
    <w:rsid w:val="00A8606A"/>
    <w:rsid w:val="00A86594"/>
    <w:rsid w:val="00A86D69"/>
    <w:rsid w:val="00A86FC7"/>
    <w:rsid w:val="00A9103E"/>
    <w:rsid w:val="00A91795"/>
    <w:rsid w:val="00A91C86"/>
    <w:rsid w:val="00A924E3"/>
    <w:rsid w:val="00A9256C"/>
    <w:rsid w:val="00A94434"/>
    <w:rsid w:val="00A94542"/>
    <w:rsid w:val="00A94859"/>
    <w:rsid w:val="00A94FB0"/>
    <w:rsid w:val="00A95093"/>
    <w:rsid w:val="00A951A3"/>
    <w:rsid w:val="00A97BF1"/>
    <w:rsid w:val="00AA0236"/>
    <w:rsid w:val="00AA0337"/>
    <w:rsid w:val="00AA073A"/>
    <w:rsid w:val="00AA0766"/>
    <w:rsid w:val="00AA0E9A"/>
    <w:rsid w:val="00AA10DE"/>
    <w:rsid w:val="00AA1FC3"/>
    <w:rsid w:val="00AA2868"/>
    <w:rsid w:val="00AA298A"/>
    <w:rsid w:val="00AA315B"/>
    <w:rsid w:val="00AA349D"/>
    <w:rsid w:val="00AA4B1E"/>
    <w:rsid w:val="00AA5446"/>
    <w:rsid w:val="00AA584C"/>
    <w:rsid w:val="00AA5F51"/>
    <w:rsid w:val="00AA6098"/>
    <w:rsid w:val="00AA63FD"/>
    <w:rsid w:val="00AA6809"/>
    <w:rsid w:val="00AA6931"/>
    <w:rsid w:val="00AA7301"/>
    <w:rsid w:val="00AB059F"/>
    <w:rsid w:val="00AB09DF"/>
    <w:rsid w:val="00AB0A94"/>
    <w:rsid w:val="00AB0B97"/>
    <w:rsid w:val="00AB0CE9"/>
    <w:rsid w:val="00AB10ED"/>
    <w:rsid w:val="00AB112C"/>
    <w:rsid w:val="00AB112E"/>
    <w:rsid w:val="00AB1F1E"/>
    <w:rsid w:val="00AB23C6"/>
    <w:rsid w:val="00AB35D6"/>
    <w:rsid w:val="00AB40EC"/>
    <w:rsid w:val="00AB41C8"/>
    <w:rsid w:val="00AB469A"/>
    <w:rsid w:val="00AB48A9"/>
    <w:rsid w:val="00AB4E3A"/>
    <w:rsid w:val="00AB4F1C"/>
    <w:rsid w:val="00AB773B"/>
    <w:rsid w:val="00AC00B3"/>
    <w:rsid w:val="00AC06E8"/>
    <w:rsid w:val="00AC0B9D"/>
    <w:rsid w:val="00AC0EA5"/>
    <w:rsid w:val="00AC164A"/>
    <w:rsid w:val="00AC38A7"/>
    <w:rsid w:val="00AC38DD"/>
    <w:rsid w:val="00AC434C"/>
    <w:rsid w:val="00AC7B34"/>
    <w:rsid w:val="00AD03F2"/>
    <w:rsid w:val="00AD048A"/>
    <w:rsid w:val="00AD0913"/>
    <w:rsid w:val="00AD0A00"/>
    <w:rsid w:val="00AD0A93"/>
    <w:rsid w:val="00AD14D3"/>
    <w:rsid w:val="00AD1530"/>
    <w:rsid w:val="00AD1E09"/>
    <w:rsid w:val="00AD39E4"/>
    <w:rsid w:val="00AD48F8"/>
    <w:rsid w:val="00AD5B49"/>
    <w:rsid w:val="00AD5F3F"/>
    <w:rsid w:val="00AD655B"/>
    <w:rsid w:val="00AD662E"/>
    <w:rsid w:val="00AD75BC"/>
    <w:rsid w:val="00AD769D"/>
    <w:rsid w:val="00AE0889"/>
    <w:rsid w:val="00AE16BD"/>
    <w:rsid w:val="00AE1F77"/>
    <w:rsid w:val="00AE3206"/>
    <w:rsid w:val="00AE3745"/>
    <w:rsid w:val="00AE37D1"/>
    <w:rsid w:val="00AE38EB"/>
    <w:rsid w:val="00AE422E"/>
    <w:rsid w:val="00AE448A"/>
    <w:rsid w:val="00AE45B8"/>
    <w:rsid w:val="00AE4ED1"/>
    <w:rsid w:val="00AE51E9"/>
    <w:rsid w:val="00AE5704"/>
    <w:rsid w:val="00AE573C"/>
    <w:rsid w:val="00AE57C8"/>
    <w:rsid w:val="00AE5EBB"/>
    <w:rsid w:val="00AE768C"/>
    <w:rsid w:val="00AF0B98"/>
    <w:rsid w:val="00AF2050"/>
    <w:rsid w:val="00AF3409"/>
    <w:rsid w:val="00AF399B"/>
    <w:rsid w:val="00AF50E2"/>
    <w:rsid w:val="00AF64E6"/>
    <w:rsid w:val="00AF6C6C"/>
    <w:rsid w:val="00AF72D9"/>
    <w:rsid w:val="00AF798F"/>
    <w:rsid w:val="00B005A0"/>
    <w:rsid w:val="00B00905"/>
    <w:rsid w:val="00B013A5"/>
    <w:rsid w:val="00B01FA9"/>
    <w:rsid w:val="00B02112"/>
    <w:rsid w:val="00B0227C"/>
    <w:rsid w:val="00B02378"/>
    <w:rsid w:val="00B02CE1"/>
    <w:rsid w:val="00B030B2"/>
    <w:rsid w:val="00B03C3A"/>
    <w:rsid w:val="00B03CA8"/>
    <w:rsid w:val="00B03E9D"/>
    <w:rsid w:val="00B0412E"/>
    <w:rsid w:val="00B0459A"/>
    <w:rsid w:val="00B0459C"/>
    <w:rsid w:val="00B04A5B"/>
    <w:rsid w:val="00B04E95"/>
    <w:rsid w:val="00B0517E"/>
    <w:rsid w:val="00B05613"/>
    <w:rsid w:val="00B056B6"/>
    <w:rsid w:val="00B06699"/>
    <w:rsid w:val="00B074E1"/>
    <w:rsid w:val="00B1004C"/>
    <w:rsid w:val="00B10243"/>
    <w:rsid w:val="00B10A1F"/>
    <w:rsid w:val="00B10CC8"/>
    <w:rsid w:val="00B10EE5"/>
    <w:rsid w:val="00B11042"/>
    <w:rsid w:val="00B1152B"/>
    <w:rsid w:val="00B1179D"/>
    <w:rsid w:val="00B1218F"/>
    <w:rsid w:val="00B12AF8"/>
    <w:rsid w:val="00B12E38"/>
    <w:rsid w:val="00B13056"/>
    <w:rsid w:val="00B131E6"/>
    <w:rsid w:val="00B14487"/>
    <w:rsid w:val="00B147B3"/>
    <w:rsid w:val="00B150AF"/>
    <w:rsid w:val="00B15671"/>
    <w:rsid w:val="00B17178"/>
    <w:rsid w:val="00B173FE"/>
    <w:rsid w:val="00B17906"/>
    <w:rsid w:val="00B17B40"/>
    <w:rsid w:val="00B17C08"/>
    <w:rsid w:val="00B202FA"/>
    <w:rsid w:val="00B20852"/>
    <w:rsid w:val="00B20FF4"/>
    <w:rsid w:val="00B217FA"/>
    <w:rsid w:val="00B219E9"/>
    <w:rsid w:val="00B21B93"/>
    <w:rsid w:val="00B22583"/>
    <w:rsid w:val="00B2287D"/>
    <w:rsid w:val="00B22C13"/>
    <w:rsid w:val="00B22DE3"/>
    <w:rsid w:val="00B235DF"/>
    <w:rsid w:val="00B23707"/>
    <w:rsid w:val="00B238B4"/>
    <w:rsid w:val="00B238C1"/>
    <w:rsid w:val="00B241B9"/>
    <w:rsid w:val="00B245E8"/>
    <w:rsid w:val="00B24641"/>
    <w:rsid w:val="00B255CB"/>
    <w:rsid w:val="00B25737"/>
    <w:rsid w:val="00B25AC9"/>
    <w:rsid w:val="00B26699"/>
    <w:rsid w:val="00B267BA"/>
    <w:rsid w:val="00B26B72"/>
    <w:rsid w:val="00B2762A"/>
    <w:rsid w:val="00B27C79"/>
    <w:rsid w:val="00B27D32"/>
    <w:rsid w:val="00B30861"/>
    <w:rsid w:val="00B30879"/>
    <w:rsid w:val="00B3159D"/>
    <w:rsid w:val="00B3161A"/>
    <w:rsid w:val="00B31A31"/>
    <w:rsid w:val="00B32417"/>
    <w:rsid w:val="00B326A4"/>
    <w:rsid w:val="00B327B1"/>
    <w:rsid w:val="00B32D31"/>
    <w:rsid w:val="00B334DE"/>
    <w:rsid w:val="00B337AA"/>
    <w:rsid w:val="00B33C0A"/>
    <w:rsid w:val="00B35229"/>
    <w:rsid w:val="00B3584A"/>
    <w:rsid w:val="00B3602C"/>
    <w:rsid w:val="00B360C6"/>
    <w:rsid w:val="00B362B6"/>
    <w:rsid w:val="00B36A5B"/>
    <w:rsid w:val="00B3751C"/>
    <w:rsid w:val="00B37F83"/>
    <w:rsid w:val="00B40113"/>
    <w:rsid w:val="00B40128"/>
    <w:rsid w:val="00B40518"/>
    <w:rsid w:val="00B40EF0"/>
    <w:rsid w:val="00B41BC8"/>
    <w:rsid w:val="00B41E38"/>
    <w:rsid w:val="00B42BC4"/>
    <w:rsid w:val="00B43493"/>
    <w:rsid w:val="00B43532"/>
    <w:rsid w:val="00B4376C"/>
    <w:rsid w:val="00B43E6D"/>
    <w:rsid w:val="00B441CB"/>
    <w:rsid w:val="00B446B9"/>
    <w:rsid w:val="00B45077"/>
    <w:rsid w:val="00B4526A"/>
    <w:rsid w:val="00B4526F"/>
    <w:rsid w:val="00B45DBF"/>
    <w:rsid w:val="00B467D5"/>
    <w:rsid w:val="00B46DB3"/>
    <w:rsid w:val="00B470EF"/>
    <w:rsid w:val="00B476FF"/>
    <w:rsid w:val="00B47D97"/>
    <w:rsid w:val="00B47EC0"/>
    <w:rsid w:val="00B50F1B"/>
    <w:rsid w:val="00B5105F"/>
    <w:rsid w:val="00B510F0"/>
    <w:rsid w:val="00B532C1"/>
    <w:rsid w:val="00B53B5B"/>
    <w:rsid w:val="00B53FC3"/>
    <w:rsid w:val="00B5427A"/>
    <w:rsid w:val="00B54735"/>
    <w:rsid w:val="00B55235"/>
    <w:rsid w:val="00B55E19"/>
    <w:rsid w:val="00B56486"/>
    <w:rsid w:val="00B566D6"/>
    <w:rsid w:val="00B57929"/>
    <w:rsid w:val="00B600E0"/>
    <w:rsid w:val="00B62142"/>
    <w:rsid w:val="00B623C5"/>
    <w:rsid w:val="00B62555"/>
    <w:rsid w:val="00B62F60"/>
    <w:rsid w:val="00B6305D"/>
    <w:rsid w:val="00B63393"/>
    <w:rsid w:val="00B63476"/>
    <w:rsid w:val="00B638E7"/>
    <w:rsid w:val="00B63BD2"/>
    <w:rsid w:val="00B63E3C"/>
    <w:rsid w:val="00B64022"/>
    <w:rsid w:val="00B64142"/>
    <w:rsid w:val="00B644E0"/>
    <w:rsid w:val="00B64B5F"/>
    <w:rsid w:val="00B6500E"/>
    <w:rsid w:val="00B65019"/>
    <w:rsid w:val="00B65090"/>
    <w:rsid w:val="00B66972"/>
    <w:rsid w:val="00B669AB"/>
    <w:rsid w:val="00B66E84"/>
    <w:rsid w:val="00B67221"/>
    <w:rsid w:val="00B67D7D"/>
    <w:rsid w:val="00B70DF0"/>
    <w:rsid w:val="00B718A9"/>
    <w:rsid w:val="00B719A9"/>
    <w:rsid w:val="00B71BA4"/>
    <w:rsid w:val="00B71D82"/>
    <w:rsid w:val="00B72027"/>
    <w:rsid w:val="00B72710"/>
    <w:rsid w:val="00B72970"/>
    <w:rsid w:val="00B72D9F"/>
    <w:rsid w:val="00B74F22"/>
    <w:rsid w:val="00B74FAB"/>
    <w:rsid w:val="00B752EA"/>
    <w:rsid w:val="00B75ACC"/>
    <w:rsid w:val="00B76792"/>
    <w:rsid w:val="00B7788F"/>
    <w:rsid w:val="00B77B0B"/>
    <w:rsid w:val="00B77F32"/>
    <w:rsid w:val="00B800C4"/>
    <w:rsid w:val="00B800FD"/>
    <w:rsid w:val="00B81420"/>
    <w:rsid w:val="00B81AD1"/>
    <w:rsid w:val="00B821D6"/>
    <w:rsid w:val="00B82A68"/>
    <w:rsid w:val="00B82E80"/>
    <w:rsid w:val="00B84A64"/>
    <w:rsid w:val="00B84B46"/>
    <w:rsid w:val="00B84BB5"/>
    <w:rsid w:val="00B8594C"/>
    <w:rsid w:val="00B85D48"/>
    <w:rsid w:val="00B877EA"/>
    <w:rsid w:val="00B90958"/>
    <w:rsid w:val="00B92CF2"/>
    <w:rsid w:val="00B9365A"/>
    <w:rsid w:val="00B94218"/>
    <w:rsid w:val="00B94758"/>
    <w:rsid w:val="00B95820"/>
    <w:rsid w:val="00B95D4A"/>
    <w:rsid w:val="00B95F06"/>
    <w:rsid w:val="00B95F9B"/>
    <w:rsid w:val="00B95FA2"/>
    <w:rsid w:val="00B96322"/>
    <w:rsid w:val="00B96529"/>
    <w:rsid w:val="00B97E9A"/>
    <w:rsid w:val="00B97F5B"/>
    <w:rsid w:val="00BA0B42"/>
    <w:rsid w:val="00BA0C9D"/>
    <w:rsid w:val="00BA100C"/>
    <w:rsid w:val="00BA1734"/>
    <w:rsid w:val="00BA195E"/>
    <w:rsid w:val="00BA1A0D"/>
    <w:rsid w:val="00BA225C"/>
    <w:rsid w:val="00BA444A"/>
    <w:rsid w:val="00BA492C"/>
    <w:rsid w:val="00BA4B6D"/>
    <w:rsid w:val="00BA66FD"/>
    <w:rsid w:val="00BA6EF8"/>
    <w:rsid w:val="00BA7052"/>
    <w:rsid w:val="00BB01AE"/>
    <w:rsid w:val="00BB03D1"/>
    <w:rsid w:val="00BB1458"/>
    <w:rsid w:val="00BB2095"/>
    <w:rsid w:val="00BB2240"/>
    <w:rsid w:val="00BB26C5"/>
    <w:rsid w:val="00BB4080"/>
    <w:rsid w:val="00BB4DA1"/>
    <w:rsid w:val="00BB5020"/>
    <w:rsid w:val="00BB5739"/>
    <w:rsid w:val="00BB63FD"/>
    <w:rsid w:val="00BB6E40"/>
    <w:rsid w:val="00BC02E7"/>
    <w:rsid w:val="00BC0BE5"/>
    <w:rsid w:val="00BC11EE"/>
    <w:rsid w:val="00BC13B0"/>
    <w:rsid w:val="00BC31BD"/>
    <w:rsid w:val="00BC4177"/>
    <w:rsid w:val="00BC46CE"/>
    <w:rsid w:val="00BC4E50"/>
    <w:rsid w:val="00BC4F14"/>
    <w:rsid w:val="00BC514A"/>
    <w:rsid w:val="00BC5EB8"/>
    <w:rsid w:val="00BC63DC"/>
    <w:rsid w:val="00BC7870"/>
    <w:rsid w:val="00BC7A24"/>
    <w:rsid w:val="00BC7F7E"/>
    <w:rsid w:val="00BC7F8E"/>
    <w:rsid w:val="00BD0A8B"/>
    <w:rsid w:val="00BD0F57"/>
    <w:rsid w:val="00BD1D88"/>
    <w:rsid w:val="00BD208D"/>
    <w:rsid w:val="00BD20AB"/>
    <w:rsid w:val="00BD24B8"/>
    <w:rsid w:val="00BD26FA"/>
    <w:rsid w:val="00BD2AD0"/>
    <w:rsid w:val="00BD2F5A"/>
    <w:rsid w:val="00BD30F0"/>
    <w:rsid w:val="00BD32F5"/>
    <w:rsid w:val="00BD35C9"/>
    <w:rsid w:val="00BD3B34"/>
    <w:rsid w:val="00BD3D4A"/>
    <w:rsid w:val="00BD3E14"/>
    <w:rsid w:val="00BD78BA"/>
    <w:rsid w:val="00BD795C"/>
    <w:rsid w:val="00BE00E7"/>
    <w:rsid w:val="00BE02D6"/>
    <w:rsid w:val="00BE0318"/>
    <w:rsid w:val="00BE0CF3"/>
    <w:rsid w:val="00BE18CC"/>
    <w:rsid w:val="00BE1A75"/>
    <w:rsid w:val="00BE2ABC"/>
    <w:rsid w:val="00BE605B"/>
    <w:rsid w:val="00BE6074"/>
    <w:rsid w:val="00BE6697"/>
    <w:rsid w:val="00BE7665"/>
    <w:rsid w:val="00BE7B49"/>
    <w:rsid w:val="00BE7D78"/>
    <w:rsid w:val="00BF01BE"/>
    <w:rsid w:val="00BF09F5"/>
    <w:rsid w:val="00BF24F4"/>
    <w:rsid w:val="00BF2DB7"/>
    <w:rsid w:val="00BF2F54"/>
    <w:rsid w:val="00BF401D"/>
    <w:rsid w:val="00BF4641"/>
    <w:rsid w:val="00BF4DE6"/>
    <w:rsid w:val="00BF5795"/>
    <w:rsid w:val="00BF5AB5"/>
    <w:rsid w:val="00BF636C"/>
    <w:rsid w:val="00BF714F"/>
    <w:rsid w:val="00BF7638"/>
    <w:rsid w:val="00BF768C"/>
    <w:rsid w:val="00BF769B"/>
    <w:rsid w:val="00BF76F1"/>
    <w:rsid w:val="00C009F3"/>
    <w:rsid w:val="00C0154D"/>
    <w:rsid w:val="00C0171B"/>
    <w:rsid w:val="00C017D0"/>
    <w:rsid w:val="00C03768"/>
    <w:rsid w:val="00C04A02"/>
    <w:rsid w:val="00C05621"/>
    <w:rsid w:val="00C0595E"/>
    <w:rsid w:val="00C05F6C"/>
    <w:rsid w:val="00C0646D"/>
    <w:rsid w:val="00C065E1"/>
    <w:rsid w:val="00C06619"/>
    <w:rsid w:val="00C06B13"/>
    <w:rsid w:val="00C06D31"/>
    <w:rsid w:val="00C0720E"/>
    <w:rsid w:val="00C0724F"/>
    <w:rsid w:val="00C10FF3"/>
    <w:rsid w:val="00C12016"/>
    <w:rsid w:val="00C12DF3"/>
    <w:rsid w:val="00C13FBA"/>
    <w:rsid w:val="00C1494C"/>
    <w:rsid w:val="00C14A2E"/>
    <w:rsid w:val="00C15569"/>
    <w:rsid w:val="00C15E4D"/>
    <w:rsid w:val="00C164CD"/>
    <w:rsid w:val="00C16859"/>
    <w:rsid w:val="00C209FC"/>
    <w:rsid w:val="00C20EF7"/>
    <w:rsid w:val="00C21185"/>
    <w:rsid w:val="00C2146E"/>
    <w:rsid w:val="00C21B3E"/>
    <w:rsid w:val="00C22954"/>
    <w:rsid w:val="00C22F6A"/>
    <w:rsid w:val="00C23A69"/>
    <w:rsid w:val="00C24210"/>
    <w:rsid w:val="00C24E7C"/>
    <w:rsid w:val="00C252F4"/>
    <w:rsid w:val="00C262D8"/>
    <w:rsid w:val="00C2778D"/>
    <w:rsid w:val="00C27D25"/>
    <w:rsid w:val="00C27DF7"/>
    <w:rsid w:val="00C3027A"/>
    <w:rsid w:val="00C30503"/>
    <w:rsid w:val="00C308A6"/>
    <w:rsid w:val="00C31719"/>
    <w:rsid w:val="00C334BA"/>
    <w:rsid w:val="00C33646"/>
    <w:rsid w:val="00C33742"/>
    <w:rsid w:val="00C33D73"/>
    <w:rsid w:val="00C34050"/>
    <w:rsid w:val="00C3434C"/>
    <w:rsid w:val="00C34CD9"/>
    <w:rsid w:val="00C34F33"/>
    <w:rsid w:val="00C351D7"/>
    <w:rsid w:val="00C35CF7"/>
    <w:rsid w:val="00C36A54"/>
    <w:rsid w:val="00C3717A"/>
    <w:rsid w:val="00C371BE"/>
    <w:rsid w:val="00C37866"/>
    <w:rsid w:val="00C4033D"/>
    <w:rsid w:val="00C40602"/>
    <w:rsid w:val="00C41226"/>
    <w:rsid w:val="00C41371"/>
    <w:rsid w:val="00C415B0"/>
    <w:rsid w:val="00C42541"/>
    <w:rsid w:val="00C42CDE"/>
    <w:rsid w:val="00C434EE"/>
    <w:rsid w:val="00C43B75"/>
    <w:rsid w:val="00C43EF2"/>
    <w:rsid w:val="00C43F1B"/>
    <w:rsid w:val="00C44B8D"/>
    <w:rsid w:val="00C45EBA"/>
    <w:rsid w:val="00C45F79"/>
    <w:rsid w:val="00C46029"/>
    <w:rsid w:val="00C460AB"/>
    <w:rsid w:val="00C476EE"/>
    <w:rsid w:val="00C50687"/>
    <w:rsid w:val="00C5082A"/>
    <w:rsid w:val="00C515AA"/>
    <w:rsid w:val="00C515B0"/>
    <w:rsid w:val="00C5182A"/>
    <w:rsid w:val="00C51FA3"/>
    <w:rsid w:val="00C53357"/>
    <w:rsid w:val="00C53B96"/>
    <w:rsid w:val="00C543EE"/>
    <w:rsid w:val="00C5734F"/>
    <w:rsid w:val="00C57352"/>
    <w:rsid w:val="00C57483"/>
    <w:rsid w:val="00C574D2"/>
    <w:rsid w:val="00C60196"/>
    <w:rsid w:val="00C60391"/>
    <w:rsid w:val="00C60A6B"/>
    <w:rsid w:val="00C620A6"/>
    <w:rsid w:val="00C6288C"/>
    <w:rsid w:val="00C63EE9"/>
    <w:rsid w:val="00C66411"/>
    <w:rsid w:val="00C665D4"/>
    <w:rsid w:val="00C66D97"/>
    <w:rsid w:val="00C67A07"/>
    <w:rsid w:val="00C70AFA"/>
    <w:rsid w:val="00C71D33"/>
    <w:rsid w:val="00C7295B"/>
    <w:rsid w:val="00C72D4F"/>
    <w:rsid w:val="00C730F2"/>
    <w:rsid w:val="00C73941"/>
    <w:rsid w:val="00C741BD"/>
    <w:rsid w:val="00C7446F"/>
    <w:rsid w:val="00C745BF"/>
    <w:rsid w:val="00C74B6D"/>
    <w:rsid w:val="00C753BC"/>
    <w:rsid w:val="00C7580E"/>
    <w:rsid w:val="00C759AE"/>
    <w:rsid w:val="00C76891"/>
    <w:rsid w:val="00C769FC"/>
    <w:rsid w:val="00C76E90"/>
    <w:rsid w:val="00C80092"/>
    <w:rsid w:val="00C8036C"/>
    <w:rsid w:val="00C80374"/>
    <w:rsid w:val="00C80D0E"/>
    <w:rsid w:val="00C8147F"/>
    <w:rsid w:val="00C81EC9"/>
    <w:rsid w:val="00C82EED"/>
    <w:rsid w:val="00C8304B"/>
    <w:rsid w:val="00C84DDB"/>
    <w:rsid w:val="00C861DA"/>
    <w:rsid w:val="00C87AAA"/>
    <w:rsid w:val="00C87D80"/>
    <w:rsid w:val="00C92510"/>
    <w:rsid w:val="00C9281B"/>
    <w:rsid w:val="00C92DCF"/>
    <w:rsid w:val="00C93769"/>
    <w:rsid w:val="00C94032"/>
    <w:rsid w:val="00C94188"/>
    <w:rsid w:val="00C94AAA"/>
    <w:rsid w:val="00C94AE6"/>
    <w:rsid w:val="00C95207"/>
    <w:rsid w:val="00C96507"/>
    <w:rsid w:val="00C96EEF"/>
    <w:rsid w:val="00C974BD"/>
    <w:rsid w:val="00C97E71"/>
    <w:rsid w:val="00CA011A"/>
    <w:rsid w:val="00CA086D"/>
    <w:rsid w:val="00CA0E94"/>
    <w:rsid w:val="00CA0EAA"/>
    <w:rsid w:val="00CA16F3"/>
    <w:rsid w:val="00CA18DD"/>
    <w:rsid w:val="00CA37B1"/>
    <w:rsid w:val="00CA3E7C"/>
    <w:rsid w:val="00CA43BC"/>
    <w:rsid w:val="00CA4DB7"/>
    <w:rsid w:val="00CA50BE"/>
    <w:rsid w:val="00CA5434"/>
    <w:rsid w:val="00CA5E15"/>
    <w:rsid w:val="00CA6069"/>
    <w:rsid w:val="00CA7BC2"/>
    <w:rsid w:val="00CB0CCC"/>
    <w:rsid w:val="00CB14A5"/>
    <w:rsid w:val="00CB1959"/>
    <w:rsid w:val="00CB1AC2"/>
    <w:rsid w:val="00CB1D04"/>
    <w:rsid w:val="00CB1DD0"/>
    <w:rsid w:val="00CB27F5"/>
    <w:rsid w:val="00CB5A6A"/>
    <w:rsid w:val="00CB5AD6"/>
    <w:rsid w:val="00CB609B"/>
    <w:rsid w:val="00CB6BE5"/>
    <w:rsid w:val="00CB791A"/>
    <w:rsid w:val="00CB7D55"/>
    <w:rsid w:val="00CB7EEA"/>
    <w:rsid w:val="00CC0D57"/>
    <w:rsid w:val="00CC1AFE"/>
    <w:rsid w:val="00CC1D86"/>
    <w:rsid w:val="00CC26DA"/>
    <w:rsid w:val="00CC2940"/>
    <w:rsid w:val="00CC29C1"/>
    <w:rsid w:val="00CC336B"/>
    <w:rsid w:val="00CC36A7"/>
    <w:rsid w:val="00CC45DA"/>
    <w:rsid w:val="00CC47BA"/>
    <w:rsid w:val="00CC4B40"/>
    <w:rsid w:val="00CC4E75"/>
    <w:rsid w:val="00CC5049"/>
    <w:rsid w:val="00CC6567"/>
    <w:rsid w:val="00CC73FF"/>
    <w:rsid w:val="00CC741B"/>
    <w:rsid w:val="00CC78F8"/>
    <w:rsid w:val="00CC7AD7"/>
    <w:rsid w:val="00CD00CB"/>
    <w:rsid w:val="00CD0E4B"/>
    <w:rsid w:val="00CD1EA4"/>
    <w:rsid w:val="00CD2092"/>
    <w:rsid w:val="00CD2312"/>
    <w:rsid w:val="00CD3F37"/>
    <w:rsid w:val="00CD486F"/>
    <w:rsid w:val="00CD5A85"/>
    <w:rsid w:val="00CD6098"/>
    <w:rsid w:val="00CD68BC"/>
    <w:rsid w:val="00CE041C"/>
    <w:rsid w:val="00CE0434"/>
    <w:rsid w:val="00CE095A"/>
    <w:rsid w:val="00CE0C22"/>
    <w:rsid w:val="00CE15D0"/>
    <w:rsid w:val="00CE170A"/>
    <w:rsid w:val="00CE2C1E"/>
    <w:rsid w:val="00CE317A"/>
    <w:rsid w:val="00CE3688"/>
    <w:rsid w:val="00CE38D5"/>
    <w:rsid w:val="00CE3BFE"/>
    <w:rsid w:val="00CE432F"/>
    <w:rsid w:val="00CE4C89"/>
    <w:rsid w:val="00CE4CB7"/>
    <w:rsid w:val="00CE4EA8"/>
    <w:rsid w:val="00CE55B7"/>
    <w:rsid w:val="00CE5FF3"/>
    <w:rsid w:val="00CE6DD1"/>
    <w:rsid w:val="00CE7602"/>
    <w:rsid w:val="00CE77DB"/>
    <w:rsid w:val="00CE7919"/>
    <w:rsid w:val="00CE7CF7"/>
    <w:rsid w:val="00CF02FD"/>
    <w:rsid w:val="00CF045D"/>
    <w:rsid w:val="00CF0722"/>
    <w:rsid w:val="00CF07BA"/>
    <w:rsid w:val="00CF14C1"/>
    <w:rsid w:val="00CF3290"/>
    <w:rsid w:val="00CF3738"/>
    <w:rsid w:val="00CF4C2C"/>
    <w:rsid w:val="00CF5598"/>
    <w:rsid w:val="00CF58FB"/>
    <w:rsid w:val="00CF6760"/>
    <w:rsid w:val="00CF7216"/>
    <w:rsid w:val="00CF731A"/>
    <w:rsid w:val="00CF7595"/>
    <w:rsid w:val="00CF764A"/>
    <w:rsid w:val="00CF7FA8"/>
    <w:rsid w:val="00D005AA"/>
    <w:rsid w:val="00D008AA"/>
    <w:rsid w:val="00D00E48"/>
    <w:rsid w:val="00D01B54"/>
    <w:rsid w:val="00D01EDA"/>
    <w:rsid w:val="00D0296C"/>
    <w:rsid w:val="00D02A59"/>
    <w:rsid w:val="00D02E39"/>
    <w:rsid w:val="00D02EF0"/>
    <w:rsid w:val="00D0356B"/>
    <w:rsid w:val="00D03FA9"/>
    <w:rsid w:val="00D04611"/>
    <w:rsid w:val="00D0477C"/>
    <w:rsid w:val="00D049EF"/>
    <w:rsid w:val="00D04AE9"/>
    <w:rsid w:val="00D04D33"/>
    <w:rsid w:val="00D05B71"/>
    <w:rsid w:val="00D0762A"/>
    <w:rsid w:val="00D076FC"/>
    <w:rsid w:val="00D07D27"/>
    <w:rsid w:val="00D102B4"/>
    <w:rsid w:val="00D10C6C"/>
    <w:rsid w:val="00D1148F"/>
    <w:rsid w:val="00D11811"/>
    <w:rsid w:val="00D11A83"/>
    <w:rsid w:val="00D12132"/>
    <w:rsid w:val="00D12D00"/>
    <w:rsid w:val="00D13019"/>
    <w:rsid w:val="00D1341E"/>
    <w:rsid w:val="00D13834"/>
    <w:rsid w:val="00D13CBE"/>
    <w:rsid w:val="00D14ED2"/>
    <w:rsid w:val="00D15727"/>
    <w:rsid w:val="00D160F1"/>
    <w:rsid w:val="00D1648D"/>
    <w:rsid w:val="00D164E0"/>
    <w:rsid w:val="00D166FE"/>
    <w:rsid w:val="00D167D2"/>
    <w:rsid w:val="00D16B07"/>
    <w:rsid w:val="00D16FEE"/>
    <w:rsid w:val="00D17B90"/>
    <w:rsid w:val="00D203F5"/>
    <w:rsid w:val="00D20714"/>
    <w:rsid w:val="00D21EE8"/>
    <w:rsid w:val="00D222EC"/>
    <w:rsid w:val="00D22573"/>
    <w:rsid w:val="00D242A4"/>
    <w:rsid w:val="00D2459A"/>
    <w:rsid w:val="00D2498B"/>
    <w:rsid w:val="00D2523E"/>
    <w:rsid w:val="00D25D78"/>
    <w:rsid w:val="00D2740A"/>
    <w:rsid w:val="00D27650"/>
    <w:rsid w:val="00D27EB9"/>
    <w:rsid w:val="00D304C2"/>
    <w:rsid w:val="00D30990"/>
    <w:rsid w:val="00D30B03"/>
    <w:rsid w:val="00D31F48"/>
    <w:rsid w:val="00D32A9B"/>
    <w:rsid w:val="00D32D6F"/>
    <w:rsid w:val="00D33554"/>
    <w:rsid w:val="00D340B8"/>
    <w:rsid w:val="00D34837"/>
    <w:rsid w:val="00D34AAB"/>
    <w:rsid w:val="00D358A9"/>
    <w:rsid w:val="00D35DA1"/>
    <w:rsid w:val="00D36BD8"/>
    <w:rsid w:val="00D36CF0"/>
    <w:rsid w:val="00D37B04"/>
    <w:rsid w:val="00D37F30"/>
    <w:rsid w:val="00D40640"/>
    <w:rsid w:val="00D41A6F"/>
    <w:rsid w:val="00D42374"/>
    <w:rsid w:val="00D424C0"/>
    <w:rsid w:val="00D4355D"/>
    <w:rsid w:val="00D436A1"/>
    <w:rsid w:val="00D43E77"/>
    <w:rsid w:val="00D43FE2"/>
    <w:rsid w:val="00D44AD9"/>
    <w:rsid w:val="00D44AE7"/>
    <w:rsid w:val="00D44E9B"/>
    <w:rsid w:val="00D45166"/>
    <w:rsid w:val="00D4537A"/>
    <w:rsid w:val="00D460E8"/>
    <w:rsid w:val="00D4614B"/>
    <w:rsid w:val="00D462B0"/>
    <w:rsid w:val="00D46B22"/>
    <w:rsid w:val="00D46E95"/>
    <w:rsid w:val="00D46EF9"/>
    <w:rsid w:val="00D47290"/>
    <w:rsid w:val="00D474C9"/>
    <w:rsid w:val="00D518F4"/>
    <w:rsid w:val="00D520D5"/>
    <w:rsid w:val="00D5220F"/>
    <w:rsid w:val="00D53A3A"/>
    <w:rsid w:val="00D540C6"/>
    <w:rsid w:val="00D54817"/>
    <w:rsid w:val="00D54895"/>
    <w:rsid w:val="00D548BC"/>
    <w:rsid w:val="00D5578B"/>
    <w:rsid w:val="00D55B69"/>
    <w:rsid w:val="00D57976"/>
    <w:rsid w:val="00D60002"/>
    <w:rsid w:val="00D60ADA"/>
    <w:rsid w:val="00D613B1"/>
    <w:rsid w:val="00D61F97"/>
    <w:rsid w:val="00D6254D"/>
    <w:rsid w:val="00D6277B"/>
    <w:rsid w:val="00D630A8"/>
    <w:rsid w:val="00D6355F"/>
    <w:rsid w:val="00D64BD1"/>
    <w:rsid w:val="00D64E61"/>
    <w:rsid w:val="00D64F2C"/>
    <w:rsid w:val="00D65A86"/>
    <w:rsid w:val="00D6624C"/>
    <w:rsid w:val="00D667F2"/>
    <w:rsid w:val="00D66BEE"/>
    <w:rsid w:val="00D66BFB"/>
    <w:rsid w:val="00D670A4"/>
    <w:rsid w:val="00D70843"/>
    <w:rsid w:val="00D714CC"/>
    <w:rsid w:val="00D7168A"/>
    <w:rsid w:val="00D719AF"/>
    <w:rsid w:val="00D72628"/>
    <w:rsid w:val="00D72F9A"/>
    <w:rsid w:val="00D73DB8"/>
    <w:rsid w:val="00D7450B"/>
    <w:rsid w:val="00D75938"/>
    <w:rsid w:val="00D75B55"/>
    <w:rsid w:val="00D75B81"/>
    <w:rsid w:val="00D80013"/>
    <w:rsid w:val="00D8084A"/>
    <w:rsid w:val="00D80AA4"/>
    <w:rsid w:val="00D80DDD"/>
    <w:rsid w:val="00D80DF1"/>
    <w:rsid w:val="00D834A5"/>
    <w:rsid w:val="00D83ACB"/>
    <w:rsid w:val="00D847FF"/>
    <w:rsid w:val="00D851B5"/>
    <w:rsid w:val="00D85376"/>
    <w:rsid w:val="00D85DC0"/>
    <w:rsid w:val="00D86FD4"/>
    <w:rsid w:val="00D87D22"/>
    <w:rsid w:val="00D90C4B"/>
    <w:rsid w:val="00D90D44"/>
    <w:rsid w:val="00D90F71"/>
    <w:rsid w:val="00D92254"/>
    <w:rsid w:val="00D93BFD"/>
    <w:rsid w:val="00D940C6"/>
    <w:rsid w:val="00D954DB"/>
    <w:rsid w:val="00D9665A"/>
    <w:rsid w:val="00D973A6"/>
    <w:rsid w:val="00DA0B31"/>
    <w:rsid w:val="00DA2B0F"/>
    <w:rsid w:val="00DA2F1C"/>
    <w:rsid w:val="00DA3340"/>
    <w:rsid w:val="00DA4456"/>
    <w:rsid w:val="00DA477F"/>
    <w:rsid w:val="00DA4BF5"/>
    <w:rsid w:val="00DA5F48"/>
    <w:rsid w:val="00DA7184"/>
    <w:rsid w:val="00DA757B"/>
    <w:rsid w:val="00DA7A4D"/>
    <w:rsid w:val="00DB058C"/>
    <w:rsid w:val="00DB0C58"/>
    <w:rsid w:val="00DB11D3"/>
    <w:rsid w:val="00DB46E1"/>
    <w:rsid w:val="00DB4F82"/>
    <w:rsid w:val="00DB52A3"/>
    <w:rsid w:val="00DB582F"/>
    <w:rsid w:val="00DB5A94"/>
    <w:rsid w:val="00DB75E1"/>
    <w:rsid w:val="00DC0622"/>
    <w:rsid w:val="00DC0F13"/>
    <w:rsid w:val="00DC1322"/>
    <w:rsid w:val="00DC1DF6"/>
    <w:rsid w:val="00DC4F04"/>
    <w:rsid w:val="00DC5E86"/>
    <w:rsid w:val="00DC613D"/>
    <w:rsid w:val="00DC62FE"/>
    <w:rsid w:val="00DC6843"/>
    <w:rsid w:val="00DC7545"/>
    <w:rsid w:val="00DD01C5"/>
    <w:rsid w:val="00DD19D4"/>
    <w:rsid w:val="00DD1C75"/>
    <w:rsid w:val="00DD2426"/>
    <w:rsid w:val="00DD2589"/>
    <w:rsid w:val="00DD404F"/>
    <w:rsid w:val="00DD5047"/>
    <w:rsid w:val="00DD523A"/>
    <w:rsid w:val="00DD5D52"/>
    <w:rsid w:val="00DD7C72"/>
    <w:rsid w:val="00DE00F0"/>
    <w:rsid w:val="00DE0827"/>
    <w:rsid w:val="00DE084C"/>
    <w:rsid w:val="00DE0921"/>
    <w:rsid w:val="00DE0C61"/>
    <w:rsid w:val="00DE14CF"/>
    <w:rsid w:val="00DE15D0"/>
    <w:rsid w:val="00DE15FB"/>
    <w:rsid w:val="00DE28BA"/>
    <w:rsid w:val="00DE292F"/>
    <w:rsid w:val="00DE2AC0"/>
    <w:rsid w:val="00DE2B40"/>
    <w:rsid w:val="00DE2E50"/>
    <w:rsid w:val="00DE3687"/>
    <w:rsid w:val="00DE3865"/>
    <w:rsid w:val="00DE3AD5"/>
    <w:rsid w:val="00DE477B"/>
    <w:rsid w:val="00DE4D0E"/>
    <w:rsid w:val="00DE564A"/>
    <w:rsid w:val="00DE5D3A"/>
    <w:rsid w:val="00DE602D"/>
    <w:rsid w:val="00DE6E2B"/>
    <w:rsid w:val="00DF0332"/>
    <w:rsid w:val="00DF09CA"/>
    <w:rsid w:val="00DF1C1D"/>
    <w:rsid w:val="00DF1D9F"/>
    <w:rsid w:val="00DF213A"/>
    <w:rsid w:val="00DF22FB"/>
    <w:rsid w:val="00DF285E"/>
    <w:rsid w:val="00DF2A89"/>
    <w:rsid w:val="00DF3AC6"/>
    <w:rsid w:val="00DF3AF1"/>
    <w:rsid w:val="00DF4603"/>
    <w:rsid w:val="00DF4E71"/>
    <w:rsid w:val="00DF5FEB"/>
    <w:rsid w:val="00DF609E"/>
    <w:rsid w:val="00DF648A"/>
    <w:rsid w:val="00DF70A2"/>
    <w:rsid w:val="00DF71C0"/>
    <w:rsid w:val="00DF7505"/>
    <w:rsid w:val="00DF7DE4"/>
    <w:rsid w:val="00DF7FC8"/>
    <w:rsid w:val="00E00BF0"/>
    <w:rsid w:val="00E00CFC"/>
    <w:rsid w:val="00E01F13"/>
    <w:rsid w:val="00E02D1C"/>
    <w:rsid w:val="00E03276"/>
    <w:rsid w:val="00E03423"/>
    <w:rsid w:val="00E03D35"/>
    <w:rsid w:val="00E040EE"/>
    <w:rsid w:val="00E04CD0"/>
    <w:rsid w:val="00E051F4"/>
    <w:rsid w:val="00E056BF"/>
    <w:rsid w:val="00E068F1"/>
    <w:rsid w:val="00E06A32"/>
    <w:rsid w:val="00E06DF7"/>
    <w:rsid w:val="00E06EB0"/>
    <w:rsid w:val="00E0734B"/>
    <w:rsid w:val="00E074A8"/>
    <w:rsid w:val="00E07780"/>
    <w:rsid w:val="00E07788"/>
    <w:rsid w:val="00E108FB"/>
    <w:rsid w:val="00E10A76"/>
    <w:rsid w:val="00E113F3"/>
    <w:rsid w:val="00E11CB9"/>
    <w:rsid w:val="00E11FC2"/>
    <w:rsid w:val="00E1292C"/>
    <w:rsid w:val="00E12E3E"/>
    <w:rsid w:val="00E12FCF"/>
    <w:rsid w:val="00E131C6"/>
    <w:rsid w:val="00E135B0"/>
    <w:rsid w:val="00E142E2"/>
    <w:rsid w:val="00E1430D"/>
    <w:rsid w:val="00E14528"/>
    <w:rsid w:val="00E146CF"/>
    <w:rsid w:val="00E147FD"/>
    <w:rsid w:val="00E14F51"/>
    <w:rsid w:val="00E15E6C"/>
    <w:rsid w:val="00E16557"/>
    <w:rsid w:val="00E167F7"/>
    <w:rsid w:val="00E16B68"/>
    <w:rsid w:val="00E16D60"/>
    <w:rsid w:val="00E17194"/>
    <w:rsid w:val="00E17732"/>
    <w:rsid w:val="00E2154F"/>
    <w:rsid w:val="00E21978"/>
    <w:rsid w:val="00E219E2"/>
    <w:rsid w:val="00E22C35"/>
    <w:rsid w:val="00E236A2"/>
    <w:rsid w:val="00E24692"/>
    <w:rsid w:val="00E24728"/>
    <w:rsid w:val="00E25171"/>
    <w:rsid w:val="00E25820"/>
    <w:rsid w:val="00E25900"/>
    <w:rsid w:val="00E25A09"/>
    <w:rsid w:val="00E25CE3"/>
    <w:rsid w:val="00E266B5"/>
    <w:rsid w:val="00E26F3C"/>
    <w:rsid w:val="00E2785A"/>
    <w:rsid w:val="00E27C8A"/>
    <w:rsid w:val="00E314C4"/>
    <w:rsid w:val="00E320A4"/>
    <w:rsid w:val="00E322BA"/>
    <w:rsid w:val="00E33EEF"/>
    <w:rsid w:val="00E34985"/>
    <w:rsid w:val="00E34C93"/>
    <w:rsid w:val="00E34CDE"/>
    <w:rsid w:val="00E34D8A"/>
    <w:rsid w:val="00E35680"/>
    <w:rsid w:val="00E357B7"/>
    <w:rsid w:val="00E35D93"/>
    <w:rsid w:val="00E36331"/>
    <w:rsid w:val="00E37BA3"/>
    <w:rsid w:val="00E41BAD"/>
    <w:rsid w:val="00E426C8"/>
    <w:rsid w:val="00E4273E"/>
    <w:rsid w:val="00E436BA"/>
    <w:rsid w:val="00E443D6"/>
    <w:rsid w:val="00E44790"/>
    <w:rsid w:val="00E452E0"/>
    <w:rsid w:val="00E45720"/>
    <w:rsid w:val="00E465B2"/>
    <w:rsid w:val="00E467E4"/>
    <w:rsid w:val="00E46CC6"/>
    <w:rsid w:val="00E46F0F"/>
    <w:rsid w:val="00E46FBD"/>
    <w:rsid w:val="00E47779"/>
    <w:rsid w:val="00E50236"/>
    <w:rsid w:val="00E50D71"/>
    <w:rsid w:val="00E514EC"/>
    <w:rsid w:val="00E51613"/>
    <w:rsid w:val="00E524BB"/>
    <w:rsid w:val="00E53703"/>
    <w:rsid w:val="00E53800"/>
    <w:rsid w:val="00E54D9C"/>
    <w:rsid w:val="00E55339"/>
    <w:rsid w:val="00E55800"/>
    <w:rsid w:val="00E55D6D"/>
    <w:rsid w:val="00E56638"/>
    <w:rsid w:val="00E57ADF"/>
    <w:rsid w:val="00E602C6"/>
    <w:rsid w:val="00E6081F"/>
    <w:rsid w:val="00E6168D"/>
    <w:rsid w:val="00E6171B"/>
    <w:rsid w:val="00E620E1"/>
    <w:rsid w:val="00E62322"/>
    <w:rsid w:val="00E62A0F"/>
    <w:rsid w:val="00E62E01"/>
    <w:rsid w:val="00E631FD"/>
    <w:rsid w:val="00E63488"/>
    <w:rsid w:val="00E638E3"/>
    <w:rsid w:val="00E63A74"/>
    <w:rsid w:val="00E63CBE"/>
    <w:rsid w:val="00E64D93"/>
    <w:rsid w:val="00E64E5F"/>
    <w:rsid w:val="00E6520F"/>
    <w:rsid w:val="00E65349"/>
    <w:rsid w:val="00E65A3D"/>
    <w:rsid w:val="00E6724F"/>
    <w:rsid w:val="00E70346"/>
    <w:rsid w:val="00E7062C"/>
    <w:rsid w:val="00E706BE"/>
    <w:rsid w:val="00E70D9C"/>
    <w:rsid w:val="00E717BD"/>
    <w:rsid w:val="00E726E0"/>
    <w:rsid w:val="00E727ED"/>
    <w:rsid w:val="00E72A89"/>
    <w:rsid w:val="00E73107"/>
    <w:rsid w:val="00E73D9E"/>
    <w:rsid w:val="00E741FA"/>
    <w:rsid w:val="00E74769"/>
    <w:rsid w:val="00E753C4"/>
    <w:rsid w:val="00E76106"/>
    <w:rsid w:val="00E806FE"/>
    <w:rsid w:val="00E81BAE"/>
    <w:rsid w:val="00E81D50"/>
    <w:rsid w:val="00E8258E"/>
    <w:rsid w:val="00E8296D"/>
    <w:rsid w:val="00E84451"/>
    <w:rsid w:val="00E8457B"/>
    <w:rsid w:val="00E84EB0"/>
    <w:rsid w:val="00E85222"/>
    <w:rsid w:val="00E8679D"/>
    <w:rsid w:val="00E867E5"/>
    <w:rsid w:val="00E86932"/>
    <w:rsid w:val="00E87887"/>
    <w:rsid w:val="00E908D7"/>
    <w:rsid w:val="00E921D9"/>
    <w:rsid w:val="00E92610"/>
    <w:rsid w:val="00E929BE"/>
    <w:rsid w:val="00E92EFE"/>
    <w:rsid w:val="00E930B1"/>
    <w:rsid w:val="00E934DE"/>
    <w:rsid w:val="00E93874"/>
    <w:rsid w:val="00E945E6"/>
    <w:rsid w:val="00E94DFB"/>
    <w:rsid w:val="00E96460"/>
    <w:rsid w:val="00E96483"/>
    <w:rsid w:val="00E9676D"/>
    <w:rsid w:val="00E9702D"/>
    <w:rsid w:val="00E97863"/>
    <w:rsid w:val="00EA0263"/>
    <w:rsid w:val="00EA04B2"/>
    <w:rsid w:val="00EA0E66"/>
    <w:rsid w:val="00EA1D62"/>
    <w:rsid w:val="00EA200D"/>
    <w:rsid w:val="00EA20F3"/>
    <w:rsid w:val="00EA24DF"/>
    <w:rsid w:val="00EA25E2"/>
    <w:rsid w:val="00EA2638"/>
    <w:rsid w:val="00EA3D0D"/>
    <w:rsid w:val="00EA4843"/>
    <w:rsid w:val="00EA51D0"/>
    <w:rsid w:val="00EA6B11"/>
    <w:rsid w:val="00EA6EED"/>
    <w:rsid w:val="00EA7D26"/>
    <w:rsid w:val="00EB0572"/>
    <w:rsid w:val="00EB0CB8"/>
    <w:rsid w:val="00EB105C"/>
    <w:rsid w:val="00EB1284"/>
    <w:rsid w:val="00EB1618"/>
    <w:rsid w:val="00EB16E1"/>
    <w:rsid w:val="00EB1EBC"/>
    <w:rsid w:val="00EB3ACC"/>
    <w:rsid w:val="00EB3F60"/>
    <w:rsid w:val="00EB4704"/>
    <w:rsid w:val="00EB510E"/>
    <w:rsid w:val="00EB52B3"/>
    <w:rsid w:val="00EB5450"/>
    <w:rsid w:val="00EB6384"/>
    <w:rsid w:val="00EB723B"/>
    <w:rsid w:val="00EB74EB"/>
    <w:rsid w:val="00EB75AA"/>
    <w:rsid w:val="00EB75AB"/>
    <w:rsid w:val="00EB7673"/>
    <w:rsid w:val="00EB781D"/>
    <w:rsid w:val="00EC05EC"/>
    <w:rsid w:val="00EC075F"/>
    <w:rsid w:val="00EC1BFA"/>
    <w:rsid w:val="00EC250B"/>
    <w:rsid w:val="00EC2BED"/>
    <w:rsid w:val="00EC2FCD"/>
    <w:rsid w:val="00EC384F"/>
    <w:rsid w:val="00EC3AB4"/>
    <w:rsid w:val="00EC3CF0"/>
    <w:rsid w:val="00EC3DCA"/>
    <w:rsid w:val="00EC3FBB"/>
    <w:rsid w:val="00EC48A5"/>
    <w:rsid w:val="00EC4A11"/>
    <w:rsid w:val="00EC51A6"/>
    <w:rsid w:val="00EC559A"/>
    <w:rsid w:val="00EC5659"/>
    <w:rsid w:val="00EC5ECD"/>
    <w:rsid w:val="00EC7098"/>
    <w:rsid w:val="00EC72B8"/>
    <w:rsid w:val="00EC7487"/>
    <w:rsid w:val="00EC7BBD"/>
    <w:rsid w:val="00EC7C33"/>
    <w:rsid w:val="00ED0790"/>
    <w:rsid w:val="00ED0E31"/>
    <w:rsid w:val="00ED1769"/>
    <w:rsid w:val="00ED2831"/>
    <w:rsid w:val="00ED339A"/>
    <w:rsid w:val="00ED378A"/>
    <w:rsid w:val="00ED43D1"/>
    <w:rsid w:val="00ED5396"/>
    <w:rsid w:val="00ED57BA"/>
    <w:rsid w:val="00ED598F"/>
    <w:rsid w:val="00ED7316"/>
    <w:rsid w:val="00ED75E6"/>
    <w:rsid w:val="00ED7742"/>
    <w:rsid w:val="00ED7E1A"/>
    <w:rsid w:val="00EE0A9C"/>
    <w:rsid w:val="00EE0C01"/>
    <w:rsid w:val="00EE0FB0"/>
    <w:rsid w:val="00EE1097"/>
    <w:rsid w:val="00EE120C"/>
    <w:rsid w:val="00EE25F4"/>
    <w:rsid w:val="00EE32F1"/>
    <w:rsid w:val="00EE4189"/>
    <w:rsid w:val="00EE44ED"/>
    <w:rsid w:val="00EE4EE1"/>
    <w:rsid w:val="00EE6484"/>
    <w:rsid w:val="00EE7860"/>
    <w:rsid w:val="00EE792E"/>
    <w:rsid w:val="00EE7F14"/>
    <w:rsid w:val="00EF00B4"/>
    <w:rsid w:val="00EF05C3"/>
    <w:rsid w:val="00EF0BFE"/>
    <w:rsid w:val="00EF11E5"/>
    <w:rsid w:val="00EF12F5"/>
    <w:rsid w:val="00EF1A8A"/>
    <w:rsid w:val="00EF26A8"/>
    <w:rsid w:val="00EF2B1E"/>
    <w:rsid w:val="00EF2B46"/>
    <w:rsid w:val="00EF31BE"/>
    <w:rsid w:val="00EF3860"/>
    <w:rsid w:val="00EF3E15"/>
    <w:rsid w:val="00EF43A7"/>
    <w:rsid w:val="00EF4574"/>
    <w:rsid w:val="00EF481D"/>
    <w:rsid w:val="00EF5FB3"/>
    <w:rsid w:val="00EF67D9"/>
    <w:rsid w:val="00EF73D4"/>
    <w:rsid w:val="00F009E3"/>
    <w:rsid w:val="00F00EDE"/>
    <w:rsid w:val="00F012F3"/>
    <w:rsid w:val="00F02007"/>
    <w:rsid w:val="00F03E6C"/>
    <w:rsid w:val="00F04248"/>
    <w:rsid w:val="00F0450A"/>
    <w:rsid w:val="00F0478D"/>
    <w:rsid w:val="00F051FC"/>
    <w:rsid w:val="00F05410"/>
    <w:rsid w:val="00F05511"/>
    <w:rsid w:val="00F0593B"/>
    <w:rsid w:val="00F066EB"/>
    <w:rsid w:val="00F06A1B"/>
    <w:rsid w:val="00F0732D"/>
    <w:rsid w:val="00F10576"/>
    <w:rsid w:val="00F10C84"/>
    <w:rsid w:val="00F11236"/>
    <w:rsid w:val="00F1220F"/>
    <w:rsid w:val="00F1297D"/>
    <w:rsid w:val="00F14597"/>
    <w:rsid w:val="00F1527A"/>
    <w:rsid w:val="00F165F8"/>
    <w:rsid w:val="00F17AB6"/>
    <w:rsid w:val="00F17DB8"/>
    <w:rsid w:val="00F2114F"/>
    <w:rsid w:val="00F22055"/>
    <w:rsid w:val="00F222A7"/>
    <w:rsid w:val="00F22441"/>
    <w:rsid w:val="00F22F14"/>
    <w:rsid w:val="00F23F9B"/>
    <w:rsid w:val="00F24D0A"/>
    <w:rsid w:val="00F25A93"/>
    <w:rsid w:val="00F2612C"/>
    <w:rsid w:val="00F26351"/>
    <w:rsid w:val="00F2684E"/>
    <w:rsid w:val="00F26D45"/>
    <w:rsid w:val="00F271C7"/>
    <w:rsid w:val="00F300C5"/>
    <w:rsid w:val="00F30730"/>
    <w:rsid w:val="00F30C3C"/>
    <w:rsid w:val="00F30C7F"/>
    <w:rsid w:val="00F31694"/>
    <w:rsid w:val="00F3189C"/>
    <w:rsid w:val="00F3213C"/>
    <w:rsid w:val="00F32516"/>
    <w:rsid w:val="00F33145"/>
    <w:rsid w:val="00F332A3"/>
    <w:rsid w:val="00F33449"/>
    <w:rsid w:val="00F34021"/>
    <w:rsid w:val="00F34124"/>
    <w:rsid w:val="00F34C3C"/>
    <w:rsid w:val="00F3507F"/>
    <w:rsid w:val="00F36611"/>
    <w:rsid w:val="00F366A6"/>
    <w:rsid w:val="00F36D71"/>
    <w:rsid w:val="00F36FF3"/>
    <w:rsid w:val="00F37849"/>
    <w:rsid w:val="00F4077C"/>
    <w:rsid w:val="00F40BA6"/>
    <w:rsid w:val="00F41E0A"/>
    <w:rsid w:val="00F4344B"/>
    <w:rsid w:val="00F43C67"/>
    <w:rsid w:val="00F44317"/>
    <w:rsid w:val="00F44506"/>
    <w:rsid w:val="00F46E6E"/>
    <w:rsid w:val="00F470FD"/>
    <w:rsid w:val="00F4763C"/>
    <w:rsid w:val="00F502B7"/>
    <w:rsid w:val="00F50AC0"/>
    <w:rsid w:val="00F50FF4"/>
    <w:rsid w:val="00F511D1"/>
    <w:rsid w:val="00F52B0A"/>
    <w:rsid w:val="00F5404C"/>
    <w:rsid w:val="00F55882"/>
    <w:rsid w:val="00F569C7"/>
    <w:rsid w:val="00F569EF"/>
    <w:rsid w:val="00F570AC"/>
    <w:rsid w:val="00F576B5"/>
    <w:rsid w:val="00F57A16"/>
    <w:rsid w:val="00F6068E"/>
    <w:rsid w:val="00F60C7B"/>
    <w:rsid w:val="00F60DE9"/>
    <w:rsid w:val="00F60E9B"/>
    <w:rsid w:val="00F62EFE"/>
    <w:rsid w:val="00F645E8"/>
    <w:rsid w:val="00F64B65"/>
    <w:rsid w:val="00F64CFE"/>
    <w:rsid w:val="00F64D7B"/>
    <w:rsid w:val="00F65078"/>
    <w:rsid w:val="00F65241"/>
    <w:rsid w:val="00F65852"/>
    <w:rsid w:val="00F65F5C"/>
    <w:rsid w:val="00F66021"/>
    <w:rsid w:val="00F664AA"/>
    <w:rsid w:val="00F66AFB"/>
    <w:rsid w:val="00F702BC"/>
    <w:rsid w:val="00F70AA2"/>
    <w:rsid w:val="00F71018"/>
    <w:rsid w:val="00F71E67"/>
    <w:rsid w:val="00F7249D"/>
    <w:rsid w:val="00F729EF"/>
    <w:rsid w:val="00F72A6E"/>
    <w:rsid w:val="00F730A7"/>
    <w:rsid w:val="00F7349C"/>
    <w:rsid w:val="00F7363A"/>
    <w:rsid w:val="00F741B0"/>
    <w:rsid w:val="00F744A2"/>
    <w:rsid w:val="00F755D2"/>
    <w:rsid w:val="00F755F4"/>
    <w:rsid w:val="00F7567F"/>
    <w:rsid w:val="00F75680"/>
    <w:rsid w:val="00F759F2"/>
    <w:rsid w:val="00F76DF9"/>
    <w:rsid w:val="00F77395"/>
    <w:rsid w:val="00F77434"/>
    <w:rsid w:val="00F77780"/>
    <w:rsid w:val="00F77CAE"/>
    <w:rsid w:val="00F77DCD"/>
    <w:rsid w:val="00F77FA2"/>
    <w:rsid w:val="00F801AC"/>
    <w:rsid w:val="00F80C86"/>
    <w:rsid w:val="00F82271"/>
    <w:rsid w:val="00F8303B"/>
    <w:rsid w:val="00F83264"/>
    <w:rsid w:val="00F83428"/>
    <w:rsid w:val="00F835B5"/>
    <w:rsid w:val="00F835C9"/>
    <w:rsid w:val="00F83870"/>
    <w:rsid w:val="00F83F7C"/>
    <w:rsid w:val="00F84433"/>
    <w:rsid w:val="00F84A22"/>
    <w:rsid w:val="00F850C2"/>
    <w:rsid w:val="00F85C63"/>
    <w:rsid w:val="00F900DF"/>
    <w:rsid w:val="00F902F6"/>
    <w:rsid w:val="00F911A5"/>
    <w:rsid w:val="00F9180D"/>
    <w:rsid w:val="00F92FC5"/>
    <w:rsid w:val="00F93387"/>
    <w:rsid w:val="00F93C5C"/>
    <w:rsid w:val="00F93F95"/>
    <w:rsid w:val="00F94D13"/>
    <w:rsid w:val="00F94DF4"/>
    <w:rsid w:val="00F95895"/>
    <w:rsid w:val="00F9623C"/>
    <w:rsid w:val="00F96BB9"/>
    <w:rsid w:val="00F97192"/>
    <w:rsid w:val="00F979B1"/>
    <w:rsid w:val="00F97E9B"/>
    <w:rsid w:val="00FA0325"/>
    <w:rsid w:val="00FA1F49"/>
    <w:rsid w:val="00FA2907"/>
    <w:rsid w:val="00FA2924"/>
    <w:rsid w:val="00FA2A8C"/>
    <w:rsid w:val="00FA3151"/>
    <w:rsid w:val="00FA32BC"/>
    <w:rsid w:val="00FA36E7"/>
    <w:rsid w:val="00FA413B"/>
    <w:rsid w:val="00FA471D"/>
    <w:rsid w:val="00FA49C1"/>
    <w:rsid w:val="00FA52F9"/>
    <w:rsid w:val="00FA55BB"/>
    <w:rsid w:val="00FA5D9A"/>
    <w:rsid w:val="00FA628D"/>
    <w:rsid w:val="00FA6C18"/>
    <w:rsid w:val="00FA6EBA"/>
    <w:rsid w:val="00FA76DE"/>
    <w:rsid w:val="00FA7813"/>
    <w:rsid w:val="00FB02F4"/>
    <w:rsid w:val="00FB0849"/>
    <w:rsid w:val="00FB14DA"/>
    <w:rsid w:val="00FB1C61"/>
    <w:rsid w:val="00FB2662"/>
    <w:rsid w:val="00FB26FE"/>
    <w:rsid w:val="00FB2AE8"/>
    <w:rsid w:val="00FB33D6"/>
    <w:rsid w:val="00FB39C9"/>
    <w:rsid w:val="00FB3C4B"/>
    <w:rsid w:val="00FB3DE6"/>
    <w:rsid w:val="00FB40A4"/>
    <w:rsid w:val="00FB50E5"/>
    <w:rsid w:val="00FB5C16"/>
    <w:rsid w:val="00FB62E5"/>
    <w:rsid w:val="00FB6D81"/>
    <w:rsid w:val="00FB7566"/>
    <w:rsid w:val="00FB7D3D"/>
    <w:rsid w:val="00FC0D6D"/>
    <w:rsid w:val="00FC1764"/>
    <w:rsid w:val="00FC1942"/>
    <w:rsid w:val="00FC20C7"/>
    <w:rsid w:val="00FC322F"/>
    <w:rsid w:val="00FC38A5"/>
    <w:rsid w:val="00FC3E72"/>
    <w:rsid w:val="00FC55C3"/>
    <w:rsid w:val="00FC582F"/>
    <w:rsid w:val="00FC5DDF"/>
    <w:rsid w:val="00FC5EF0"/>
    <w:rsid w:val="00FC6351"/>
    <w:rsid w:val="00FC6353"/>
    <w:rsid w:val="00FC6F28"/>
    <w:rsid w:val="00FC723F"/>
    <w:rsid w:val="00FC74A3"/>
    <w:rsid w:val="00FD03DC"/>
    <w:rsid w:val="00FD0844"/>
    <w:rsid w:val="00FD0C51"/>
    <w:rsid w:val="00FD19B6"/>
    <w:rsid w:val="00FD3DCA"/>
    <w:rsid w:val="00FD4067"/>
    <w:rsid w:val="00FD4DE0"/>
    <w:rsid w:val="00FD5071"/>
    <w:rsid w:val="00FD5E13"/>
    <w:rsid w:val="00FD6278"/>
    <w:rsid w:val="00FD677E"/>
    <w:rsid w:val="00FD7A6D"/>
    <w:rsid w:val="00FE0204"/>
    <w:rsid w:val="00FE05E2"/>
    <w:rsid w:val="00FE0714"/>
    <w:rsid w:val="00FE2BB1"/>
    <w:rsid w:val="00FE3340"/>
    <w:rsid w:val="00FE35C5"/>
    <w:rsid w:val="00FE481C"/>
    <w:rsid w:val="00FE5860"/>
    <w:rsid w:val="00FE5982"/>
    <w:rsid w:val="00FE605E"/>
    <w:rsid w:val="00FE6767"/>
    <w:rsid w:val="00FE6D51"/>
    <w:rsid w:val="00FE6F2A"/>
    <w:rsid w:val="00FE707F"/>
    <w:rsid w:val="00FE7DDA"/>
    <w:rsid w:val="00FF0062"/>
    <w:rsid w:val="00FF0CF2"/>
    <w:rsid w:val="00FF0DFB"/>
    <w:rsid w:val="00FF1407"/>
    <w:rsid w:val="00FF2955"/>
    <w:rsid w:val="00FF29A2"/>
    <w:rsid w:val="00FF2BA3"/>
    <w:rsid w:val="00FF2BD1"/>
    <w:rsid w:val="00FF2F3E"/>
    <w:rsid w:val="00FF3222"/>
    <w:rsid w:val="00FF6F9C"/>
    <w:rsid w:val="00FF6F9E"/>
    <w:rsid w:val="00FF738F"/>
    <w:rsid w:val="00FF799B"/>
    <w:rsid w:val="010A878A"/>
    <w:rsid w:val="01375B3B"/>
    <w:rsid w:val="013FDD78"/>
    <w:rsid w:val="018E372F"/>
    <w:rsid w:val="01A2B110"/>
    <w:rsid w:val="01A2C446"/>
    <w:rsid w:val="01FA903B"/>
    <w:rsid w:val="01FB99A2"/>
    <w:rsid w:val="0252C437"/>
    <w:rsid w:val="025A5604"/>
    <w:rsid w:val="02A277C7"/>
    <w:rsid w:val="02A4DDF7"/>
    <w:rsid w:val="02F5D2AC"/>
    <w:rsid w:val="0315A140"/>
    <w:rsid w:val="03277E81"/>
    <w:rsid w:val="033F093C"/>
    <w:rsid w:val="03598559"/>
    <w:rsid w:val="03817922"/>
    <w:rsid w:val="0381CCE4"/>
    <w:rsid w:val="03AF18EF"/>
    <w:rsid w:val="03D309F3"/>
    <w:rsid w:val="03E4BE1E"/>
    <w:rsid w:val="04B619E9"/>
    <w:rsid w:val="04DA5101"/>
    <w:rsid w:val="05004881"/>
    <w:rsid w:val="05455A1D"/>
    <w:rsid w:val="0572E4CE"/>
    <w:rsid w:val="05FB1738"/>
    <w:rsid w:val="062A3511"/>
    <w:rsid w:val="06937244"/>
    <w:rsid w:val="069A1E86"/>
    <w:rsid w:val="06B7F040"/>
    <w:rsid w:val="070614C8"/>
    <w:rsid w:val="0718A19B"/>
    <w:rsid w:val="072160D6"/>
    <w:rsid w:val="0744D1B2"/>
    <w:rsid w:val="074760E4"/>
    <w:rsid w:val="075DD81A"/>
    <w:rsid w:val="07C969BB"/>
    <w:rsid w:val="07CA88AD"/>
    <w:rsid w:val="07F0BE8E"/>
    <w:rsid w:val="080531B5"/>
    <w:rsid w:val="080C9B84"/>
    <w:rsid w:val="083A0173"/>
    <w:rsid w:val="084D88F7"/>
    <w:rsid w:val="085469C2"/>
    <w:rsid w:val="0859D7D1"/>
    <w:rsid w:val="086D3F3C"/>
    <w:rsid w:val="08C56DCA"/>
    <w:rsid w:val="08E89115"/>
    <w:rsid w:val="090416A4"/>
    <w:rsid w:val="094BC21C"/>
    <w:rsid w:val="09546E04"/>
    <w:rsid w:val="09691388"/>
    <w:rsid w:val="09D4A2E3"/>
    <w:rsid w:val="09F52B9C"/>
    <w:rsid w:val="0A4DB47E"/>
    <w:rsid w:val="0A5167F2"/>
    <w:rsid w:val="0A51BC54"/>
    <w:rsid w:val="0A6D819F"/>
    <w:rsid w:val="0A8C33D4"/>
    <w:rsid w:val="0A8D93ED"/>
    <w:rsid w:val="0AC098C9"/>
    <w:rsid w:val="0ADB8F70"/>
    <w:rsid w:val="0ADD98FD"/>
    <w:rsid w:val="0AF7B15E"/>
    <w:rsid w:val="0B172693"/>
    <w:rsid w:val="0B18398E"/>
    <w:rsid w:val="0B2A4E39"/>
    <w:rsid w:val="0B56BA3A"/>
    <w:rsid w:val="0B71C9C6"/>
    <w:rsid w:val="0BEDA2C1"/>
    <w:rsid w:val="0C031906"/>
    <w:rsid w:val="0C52AC00"/>
    <w:rsid w:val="0C9DEE7B"/>
    <w:rsid w:val="0CBA0F42"/>
    <w:rsid w:val="0CECA3E8"/>
    <w:rsid w:val="0CF5D8D4"/>
    <w:rsid w:val="0D40AEC3"/>
    <w:rsid w:val="0D6C4D24"/>
    <w:rsid w:val="0D988FC6"/>
    <w:rsid w:val="0DC5EFCA"/>
    <w:rsid w:val="0DF4DCD9"/>
    <w:rsid w:val="0E229604"/>
    <w:rsid w:val="0E358FE1"/>
    <w:rsid w:val="0E4CCB44"/>
    <w:rsid w:val="0E98DB05"/>
    <w:rsid w:val="0E9942F9"/>
    <w:rsid w:val="0EC4D471"/>
    <w:rsid w:val="0EFE187B"/>
    <w:rsid w:val="0F2E952E"/>
    <w:rsid w:val="0F3871E3"/>
    <w:rsid w:val="0F529A42"/>
    <w:rsid w:val="0FA7661E"/>
    <w:rsid w:val="0FEDD314"/>
    <w:rsid w:val="1018932C"/>
    <w:rsid w:val="105E0D4F"/>
    <w:rsid w:val="1088876D"/>
    <w:rsid w:val="10AC76DD"/>
    <w:rsid w:val="10B24812"/>
    <w:rsid w:val="10DBE78F"/>
    <w:rsid w:val="10FE59F4"/>
    <w:rsid w:val="1127FF37"/>
    <w:rsid w:val="1156F331"/>
    <w:rsid w:val="1169CFB7"/>
    <w:rsid w:val="118F85AE"/>
    <w:rsid w:val="11B238F9"/>
    <w:rsid w:val="11B96545"/>
    <w:rsid w:val="11C74205"/>
    <w:rsid w:val="11ECBFD8"/>
    <w:rsid w:val="12184D21"/>
    <w:rsid w:val="123EDFB8"/>
    <w:rsid w:val="12A3E3C2"/>
    <w:rsid w:val="12DF41D8"/>
    <w:rsid w:val="12ED8CEC"/>
    <w:rsid w:val="1317A855"/>
    <w:rsid w:val="133547E8"/>
    <w:rsid w:val="1339E21D"/>
    <w:rsid w:val="13553810"/>
    <w:rsid w:val="137649B4"/>
    <w:rsid w:val="13984594"/>
    <w:rsid w:val="13FBE6BB"/>
    <w:rsid w:val="142A53DC"/>
    <w:rsid w:val="1473D1B0"/>
    <w:rsid w:val="14D94558"/>
    <w:rsid w:val="15B48567"/>
    <w:rsid w:val="15CA6F9A"/>
    <w:rsid w:val="15F92757"/>
    <w:rsid w:val="1651932A"/>
    <w:rsid w:val="1662CF0D"/>
    <w:rsid w:val="16A2ADAC"/>
    <w:rsid w:val="16D7005D"/>
    <w:rsid w:val="16E0A796"/>
    <w:rsid w:val="16E5915D"/>
    <w:rsid w:val="170D5924"/>
    <w:rsid w:val="1751F36B"/>
    <w:rsid w:val="1780E798"/>
    <w:rsid w:val="17D91909"/>
    <w:rsid w:val="180AB001"/>
    <w:rsid w:val="181CF2A1"/>
    <w:rsid w:val="1822E594"/>
    <w:rsid w:val="1833E305"/>
    <w:rsid w:val="183D5774"/>
    <w:rsid w:val="184A7698"/>
    <w:rsid w:val="18A97774"/>
    <w:rsid w:val="18CCCC29"/>
    <w:rsid w:val="18DC53F0"/>
    <w:rsid w:val="18DD9D32"/>
    <w:rsid w:val="19812907"/>
    <w:rsid w:val="19CC9A2F"/>
    <w:rsid w:val="19D683F9"/>
    <w:rsid w:val="19F5BA05"/>
    <w:rsid w:val="19F92EFC"/>
    <w:rsid w:val="1A07459D"/>
    <w:rsid w:val="1A6E02BE"/>
    <w:rsid w:val="1A8922C9"/>
    <w:rsid w:val="1AB25CFE"/>
    <w:rsid w:val="1B2DD42B"/>
    <w:rsid w:val="1B3D3475"/>
    <w:rsid w:val="1B513C64"/>
    <w:rsid w:val="1B92B169"/>
    <w:rsid w:val="1BC64346"/>
    <w:rsid w:val="1BF97E12"/>
    <w:rsid w:val="1C9B637B"/>
    <w:rsid w:val="1C9CB2E2"/>
    <w:rsid w:val="1CA76B63"/>
    <w:rsid w:val="1CAB457A"/>
    <w:rsid w:val="1CD9E28B"/>
    <w:rsid w:val="1D46150B"/>
    <w:rsid w:val="1D4DDD10"/>
    <w:rsid w:val="1D4FE12A"/>
    <w:rsid w:val="1D74D65A"/>
    <w:rsid w:val="1D8FCDF4"/>
    <w:rsid w:val="1DA5F46F"/>
    <w:rsid w:val="1DC0C38B"/>
    <w:rsid w:val="1DEF7592"/>
    <w:rsid w:val="1DF9B73B"/>
    <w:rsid w:val="1DFC3A75"/>
    <w:rsid w:val="1DFE6F30"/>
    <w:rsid w:val="1E274D05"/>
    <w:rsid w:val="1E2FD4AD"/>
    <w:rsid w:val="1EC16BFA"/>
    <w:rsid w:val="1EDF7694"/>
    <w:rsid w:val="1EE443CA"/>
    <w:rsid w:val="1EEB1E3E"/>
    <w:rsid w:val="1EF3E894"/>
    <w:rsid w:val="1EF7C526"/>
    <w:rsid w:val="1F267297"/>
    <w:rsid w:val="1F2EA507"/>
    <w:rsid w:val="1F3C1DC6"/>
    <w:rsid w:val="1F645001"/>
    <w:rsid w:val="1FBBC6CC"/>
    <w:rsid w:val="1FC9EB27"/>
    <w:rsid w:val="1FE6CF8E"/>
    <w:rsid w:val="1FE7BBD8"/>
    <w:rsid w:val="1FEFAEFE"/>
    <w:rsid w:val="1FFC1EF4"/>
    <w:rsid w:val="20AC4D29"/>
    <w:rsid w:val="20B3D682"/>
    <w:rsid w:val="20B5838A"/>
    <w:rsid w:val="210D94EE"/>
    <w:rsid w:val="211DD733"/>
    <w:rsid w:val="212F8D70"/>
    <w:rsid w:val="214C9667"/>
    <w:rsid w:val="215E1CFB"/>
    <w:rsid w:val="2172A4AD"/>
    <w:rsid w:val="2175415D"/>
    <w:rsid w:val="21A81676"/>
    <w:rsid w:val="21B5EE15"/>
    <w:rsid w:val="21B82F81"/>
    <w:rsid w:val="21CF5A83"/>
    <w:rsid w:val="21D587C9"/>
    <w:rsid w:val="2260F083"/>
    <w:rsid w:val="2297803E"/>
    <w:rsid w:val="22A52FB7"/>
    <w:rsid w:val="22ABE07A"/>
    <w:rsid w:val="22C5B69A"/>
    <w:rsid w:val="22E3DBB8"/>
    <w:rsid w:val="22E5C0F5"/>
    <w:rsid w:val="22F21565"/>
    <w:rsid w:val="23114B62"/>
    <w:rsid w:val="232FF35C"/>
    <w:rsid w:val="2336B5CC"/>
    <w:rsid w:val="23709C9D"/>
    <w:rsid w:val="23718CFD"/>
    <w:rsid w:val="247234D9"/>
    <w:rsid w:val="2492546D"/>
    <w:rsid w:val="24A07077"/>
    <w:rsid w:val="24ECEC32"/>
    <w:rsid w:val="24EEAC49"/>
    <w:rsid w:val="252DC495"/>
    <w:rsid w:val="25382182"/>
    <w:rsid w:val="25420D60"/>
    <w:rsid w:val="255CEF80"/>
    <w:rsid w:val="2579BD2B"/>
    <w:rsid w:val="258E7362"/>
    <w:rsid w:val="25AD9AA3"/>
    <w:rsid w:val="25AEC871"/>
    <w:rsid w:val="2643BEE8"/>
    <w:rsid w:val="26515299"/>
    <w:rsid w:val="268F02DC"/>
    <w:rsid w:val="2698D067"/>
    <w:rsid w:val="269CCD48"/>
    <w:rsid w:val="26ACC25C"/>
    <w:rsid w:val="26CA6FF9"/>
    <w:rsid w:val="26E6015F"/>
    <w:rsid w:val="27838572"/>
    <w:rsid w:val="2784A283"/>
    <w:rsid w:val="27A154A9"/>
    <w:rsid w:val="27A1B816"/>
    <w:rsid w:val="27C60052"/>
    <w:rsid w:val="27D3AFFD"/>
    <w:rsid w:val="27E47242"/>
    <w:rsid w:val="2846CC4F"/>
    <w:rsid w:val="28488707"/>
    <w:rsid w:val="286A426D"/>
    <w:rsid w:val="289281CD"/>
    <w:rsid w:val="28B9C2CA"/>
    <w:rsid w:val="28D5F06F"/>
    <w:rsid w:val="28EDA166"/>
    <w:rsid w:val="28F54985"/>
    <w:rsid w:val="29174563"/>
    <w:rsid w:val="2957116D"/>
    <w:rsid w:val="296E7C44"/>
    <w:rsid w:val="299171C8"/>
    <w:rsid w:val="29B74EE7"/>
    <w:rsid w:val="29C79308"/>
    <w:rsid w:val="29FD2D98"/>
    <w:rsid w:val="2A052591"/>
    <w:rsid w:val="2A542480"/>
    <w:rsid w:val="2A6E34D8"/>
    <w:rsid w:val="2A73A789"/>
    <w:rsid w:val="2AAEA4F1"/>
    <w:rsid w:val="2AD8184B"/>
    <w:rsid w:val="2B26FEE2"/>
    <w:rsid w:val="2B5F147E"/>
    <w:rsid w:val="2BDD6E08"/>
    <w:rsid w:val="2BE778F3"/>
    <w:rsid w:val="2BEDB98D"/>
    <w:rsid w:val="2BEFF09A"/>
    <w:rsid w:val="2C5281F6"/>
    <w:rsid w:val="2C682A6D"/>
    <w:rsid w:val="2C6D03C8"/>
    <w:rsid w:val="2CA04668"/>
    <w:rsid w:val="2CCF0182"/>
    <w:rsid w:val="2D13F823"/>
    <w:rsid w:val="2D17DA11"/>
    <w:rsid w:val="2D2FF7EE"/>
    <w:rsid w:val="2D492DB4"/>
    <w:rsid w:val="2D4E996F"/>
    <w:rsid w:val="2D58FA73"/>
    <w:rsid w:val="2D6E82E3"/>
    <w:rsid w:val="2DF9CE24"/>
    <w:rsid w:val="2E004771"/>
    <w:rsid w:val="2E186A7F"/>
    <w:rsid w:val="2E1B8ABB"/>
    <w:rsid w:val="2E21751C"/>
    <w:rsid w:val="2EA3E0AD"/>
    <w:rsid w:val="2EA53040"/>
    <w:rsid w:val="2EE37585"/>
    <w:rsid w:val="2F3F8A39"/>
    <w:rsid w:val="2F4E50BC"/>
    <w:rsid w:val="2F7FB3E9"/>
    <w:rsid w:val="301400EA"/>
    <w:rsid w:val="30EE4343"/>
    <w:rsid w:val="310DDE15"/>
    <w:rsid w:val="315643ED"/>
    <w:rsid w:val="31759A24"/>
    <w:rsid w:val="317941C6"/>
    <w:rsid w:val="31A87297"/>
    <w:rsid w:val="31C941CC"/>
    <w:rsid w:val="3219CE2D"/>
    <w:rsid w:val="322D41AB"/>
    <w:rsid w:val="3262689C"/>
    <w:rsid w:val="328D7155"/>
    <w:rsid w:val="32935978"/>
    <w:rsid w:val="329F08BF"/>
    <w:rsid w:val="32B65A4A"/>
    <w:rsid w:val="32C5CDA9"/>
    <w:rsid w:val="330D3A90"/>
    <w:rsid w:val="330E8E11"/>
    <w:rsid w:val="3346912A"/>
    <w:rsid w:val="337790AA"/>
    <w:rsid w:val="33907834"/>
    <w:rsid w:val="3390FE74"/>
    <w:rsid w:val="339C0350"/>
    <w:rsid w:val="33A4EA95"/>
    <w:rsid w:val="33DDEAB9"/>
    <w:rsid w:val="33E4A29F"/>
    <w:rsid w:val="33ED6E2E"/>
    <w:rsid w:val="3424008B"/>
    <w:rsid w:val="342E8CD3"/>
    <w:rsid w:val="345DDECA"/>
    <w:rsid w:val="3475121F"/>
    <w:rsid w:val="349F2C5C"/>
    <w:rsid w:val="34DC4B80"/>
    <w:rsid w:val="35003A41"/>
    <w:rsid w:val="35048089"/>
    <w:rsid w:val="3555B07C"/>
    <w:rsid w:val="357F1CA3"/>
    <w:rsid w:val="35A6AB6B"/>
    <w:rsid w:val="35DA01C2"/>
    <w:rsid w:val="35DA1747"/>
    <w:rsid w:val="36226C85"/>
    <w:rsid w:val="362A5472"/>
    <w:rsid w:val="36341F1E"/>
    <w:rsid w:val="364D9B39"/>
    <w:rsid w:val="3650BE4F"/>
    <w:rsid w:val="368A8430"/>
    <w:rsid w:val="369426C7"/>
    <w:rsid w:val="369444D0"/>
    <w:rsid w:val="36B8AFD0"/>
    <w:rsid w:val="36D63EFC"/>
    <w:rsid w:val="36E2680F"/>
    <w:rsid w:val="36EFD49C"/>
    <w:rsid w:val="370EFA48"/>
    <w:rsid w:val="371C5836"/>
    <w:rsid w:val="373E90CD"/>
    <w:rsid w:val="37428392"/>
    <w:rsid w:val="37867A34"/>
    <w:rsid w:val="37C1C01C"/>
    <w:rsid w:val="37F30F74"/>
    <w:rsid w:val="37F88794"/>
    <w:rsid w:val="3826906C"/>
    <w:rsid w:val="3856ACCF"/>
    <w:rsid w:val="385F3070"/>
    <w:rsid w:val="3861334B"/>
    <w:rsid w:val="38AF99AE"/>
    <w:rsid w:val="38B283FE"/>
    <w:rsid w:val="38F9F7B2"/>
    <w:rsid w:val="3909BC83"/>
    <w:rsid w:val="39316AD1"/>
    <w:rsid w:val="397508FE"/>
    <w:rsid w:val="397776C1"/>
    <w:rsid w:val="39B1074D"/>
    <w:rsid w:val="39C5B59B"/>
    <w:rsid w:val="39E4E188"/>
    <w:rsid w:val="39E608B1"/>
    <w:rsid w:val="39EC5970"/>
    <w:rsid w:val="39EE76C2"/>
    <w:rsid w:val="39EFC5B0"/>
    <w:rsid w:val="3A01F7FC"/>
    <w:rsid w:val="3A1E3C96"/>
    <w:rsid w:val="3A257E77"/>
    <w:rsid w:val="3A301C17"/>
    <w:rsid w:val="3A3D823E"/>
    <w:rsid w:val="3A404961"/>
    <w:rsid w:val="3A4ACA38"/>
    <w:rsid w:val="3A5D3588"/>
    <w:rsid w:val="3A8613F7"/>
    <w:rsid w:val="3A9D9211"/>
    <w:rsid w:val="3AB5E55A"/>
    <w:rsid w:val="3AC5502C"/>
    <w:rsid w:val="3AE06D8E"/>
    <w:rsid w:val="3AE14BFE"/>
    <w:rsid w:val="3B4C94C8"/>
    <w:rsid w:val="3B561596"/>
    <w:rsid w:val="3B72CB90"/>
    <w:rsid w:val="3BC25C49"/>
    <w:rsid w:val="3C1559FF"/>
    <w:rsid w:val="3C22CC8C"/>
    <w:rsid w:val="3C35B31B"/>
    <w:rsid w:val="3C6BEDEA"/>
    <w:rsid w:val="3C7A207B"/>
    <w:rsid w:val="3CCFEDBD"/>
    <w:rsid w:val="3CF58654"/>
    <w:rsid w:val="3D7EAB81"/>
    <w:rsid w:val="3E14C1DF"/>
    <w:rsid w:val="3E61F708"/>
    <w:rsid w:val="3EC08277"/>
    <w:rsid w:val="3EC6EC83"/>
    <w:rsid w:val="3ED852CF"/>
    <w:rsid w:val="3F03B711"/>
    <w:rsid w:val="3F2563DF"/>
    <w:rsid w:val="3F3403B5"/>
    <w:rsid w:val="3F3EA7AC"/>
    <w:rsid w:val="3F4530FA"/>
    <w:rsid w:val="3F56115E"/>
    <w:rsid w:val="3F6DEFA0"/>
    <w:rsid w:val="3F6E3AA1"/>
    <w:rsid w:val="3F78B7F0"/>
    <w:rsid w:val="3F7CDADA"/>
    <w:rsid w:val="3F88B5AF"/>
    <w:rsid w:val="3FC2DA0D"/>
    <w:rsid w:val="3FE59881"/>
    <w:rsid w:val="40059512"/>
    <w:rsid w:val="4063A9E3"/>
    <w:rsid w:val="40676471"/>
    <w:rsid w:val="40C2F958"/>
    <w:rsid w:val="40DEA69D"/>
    <w:rsid w:val="4115ACDC"/>
    <w:rsid w:val="4122184A"/>
    <w:rsid w:val="413BD202"/>
    <w:rsid w:val="413F1BB3"/>
    <w:rsid w:val="413FB11D"/>
    <w:rsid w:val="415371EE"/>
    <w:rsid w:val="4164B702"/>
    <w:rsid w:val="41FA821F"/>
    <w:rsid w:val="425BD136"/>
    <w:rsid w:val="427937D1"/>
    <w:rsid w:val="42918486"/>
    <w:rsid w:val="42964604"/>
    <w:rsid w:val="429731A5"/>
    <w:rsid w:val="429E5AC5"/>
    <w:rsid w:val="42B3827A"/>
    <w:rsid w:val="42B81D3F"/>
    <w:rsid w:val="42BA6B09"/>
    <w:rsid w:val="42EF93FD"/>
    <w:rsid w:val="43314A80"/>
    <w:rsid w:val="434ED96D"/>
    <w:rsid w:val="43663DBA"/>
    <w:rsid w:val="4374D65E"/>
    <w:rsid w:val="43AE50A5"/>
    <w:rsid w:val="43DDF870"/>
    <w:rsid w:val="4422ABF7"/>
    <w:rsid w:val="4433E1D5"/>
    <w:rsid w:val="444786DB"/>
    <w:rsid w:val="44682BDB"/>
    <w:rsid w:val="4480B73D"/>
    <w:rsid w:val="44AD966A"/>
    <w:rsid w:val="44DF8683"/>
    <w:rsid w:val="44E39E71"/>
    <w:rsid w:val="450EE40A"/>
    <w:rsid w:val="4518B908"/>
    <w:rsid w:val="452746E5"/>
    <w:rsid w:val="453ED4BF"/>
    <w:rsid w:val="45409EDD"/>
    <w:rsid w:val="45550431"/>
    <w:rsid w:val="456A268A"/>
    <w:rsid w:val="45755F4C"/>
    <w:rsid w:val="4575B14E"/>
    <w:rsid w:val="45A17CCA"/>
    <w:rsid w:val="464FF943"/>
    <w:rsid w:val="4668E483"/>
    <w:rsid w:val="468738BD"/>
    <w:rsid w:val="46C45657"/>
    <w:rsid w:val="46CB1DCB"/>
    <w:rsid w:val="46D0D0F3"/>
    <w:rsid w:val="4742F967"/>
    <w:rsid w:val="475D3F0B"/>
    <w:rsid w:val="4770EFFB"/>
    <w:rsid w:val="4782DA8A"/>
    <w:rsid w:val="47970AE6"/>
    <w:rsid w:val="47C1A8D3"/>
    <w:rsid w:val="47C6587F"/>
    <w:rsid w:val="47FE47C1"/>
    <w:rsid w:val="4802ED60"/>
    <w:rsid w:val="4809C420"/>
    <w:rsid w:val="4817E254"/>
    <w:rsid w:val="483F5C58"/>
    <w:rsid w:val="4840E5F3"/>
    <w:rsid w:val="48A814E3"/>
    <w:rsid w:val="4929A3C5"/>
    <w:rsid w:val="49447C9E"/>
    <w:rsid w:val="494D32EF"/>
    <w:rsid w:val="49BBFBCA"/>
    <w:rsid w:val="49C03D0A"/>
    <w:rsid w:val="49D1F812"/>
    <w:rsid w:val="49F37ECC"/>
    <w:rsid w:val="4A2E6B75"/>
    <w:rsid w:val="4AC9D610"/>
    <w:rsid w:val="4ADD9E0A"/>
    <w:rsid w:val="4AE4F2F2"/>
    <w:rsid w:val="4AF572BA"/>
    <w:rsid w:val="4AF75306"/>
    <w:rsid w:val="4B135235"/>
    <w:rsid w:val="4B15905B"/>
    <w:rsid w:val="4B1A8EB0"/>
    <w:rsid w:val="4B39E4D5"/>
    <w:rsid w:val="4B3BC322"/>
    <w:rsid w:val="4B84B844"/>
    <w:rsid w:val="4BBE16EA"/>
    <w:rsid w:val="4BC53935"/>
    <w:rsid w:val="4BC5EACA"/>
    <w:rsid w:val="4BC8942F"/>
    <w:rsid w:val="4C3F5737"/>
    <w:rsid w:val="4C65FC90"/>
    <w:rsid w:val="4C830A8E"/>
    <w:rsid w:val="4CDDC1A4"/>
    <w:rsid w:val="4CE436F4"/>
    <w:rsid w:val="4D490B34"/>
    <w:rsid w:val="4D50E232"/>
    <w:rsid w:val="4D5C9FB0"/>
    <w:rsid w:val="4D66EE82"/>
    <w:rsid w:val="4D93B7B7"/>
    <w:rsid w:val="4DC142AF"/>
    <w:rsid w:val="4E12DF42"/>
    <w:rsid w:val="4E4162FA"/>
    <w:rsid w:val="4E666B3A"/>
    <w:rsid w:val="4E74462B"/>
    <w:rsid w:val="4E76B7F4"/>
    <w:rsid w:val="4E82CB6F"/>
    <w:rsid w:val="4E8D661D"/>
    <w:rsid w:val="4EBA95B0"/>
    <w:rsid w:val="4EBB85F2"/>
    <w:rsid w:val="4EBFC7EC"/>
    <w:rsid w:val="4ED23CD7"/>
    <w:rsid w:val="4EEC7B0A"/>
    <w:rsid w:val="4F065D1B"/>
    <w:rsid w:val="4F18C0B3"/>
    <w:rsid w:val="4F1A373F"/>
    <w:rsid w:val="4F1CE7B1"/>
    <w:rsid w:val="4F668A10"/>
    <w:rsid w:val="4F6A8020"/>
    <w:rsid w:val="4F95D148"/>
    <w:rsid w:val="4FA143A4"/>
    <w:rsid w:val="4FB3882F"/>
    <w:rsid w:val="4FBCE333"/>
    <w:rsid w:val="4FC58DAA"/>
    <w:rsid w:val="4FC92794"/>
    <w:rsid w:val="4FD572AF"/>
    <w:rsid w:val="4FE41296"/>
    <w:rsid w:val="501A5E17"/>
    <w:rsid w:val="502DD3E4"/>
    <w:rsid w:val="504ECB4A"/>
    <w:rsid w:val="5051EAB5"/>
    <w:rsid w:val="5059906B"/>
    <w:rsid w:val="5069B4BE"/>
    <w:rsid w:val="508B5462"/>
    <w:rsid w:val="50A78EC0"/>
    <w:rsid w:val="50C8EA8D"/>
    <w:rsid w:val="5108697C"/>
    <w:rsid w:val="51273E6A"/>
    <w:rsid w:val="51459EC0"/>
    <w:rsid w:val="516430ED"/>
    <w:rsid w:val="51805638"/>
    <w:rsid w:val="51E38D64"/>
    <w:rsid w:val="51E9604E"/>
    <w:rsid w:val="5247A567"/>
    <w:rsid w:val="527656AC"/>
    <w:rsid w:val="527AA26F"/>
    <w:rsid w:val="529A0089"/>
    <w:rsid w:val="52A3B9CB"/>
    <w:rsid w:val="52A4DD8B"/>
    <w:rsid w:val="5316B565"/>
    <w:rsid w:val="531EC59D"/>
    <w:rsid w:val="532239A9"/>
    <w:rsid w:val="532F0BB1"/>
    <w:rsid w:val="5367BA18"/>
    <w:rsid w:val="53745E68"/>
    <w:rsid w:val="53C93FC4"/>
    <w:rsid w:val="53D2951D"/>
    <w:rsid w:val="53D497B9"/>
    <w:rsid w:val="5448C17F"/>
    <w:rsid w:val="54A4C21F"/>
    <w:rsid w:val="54CA5F10"/>
    <w:rsid w:val="54F5B028"/>
    <w:rsid w:val="54F8E6A4"/>
    <w:rsid w:val="55123ACE"/>
    <w:rsid w:val="5512A64C"/>
    <w:rsid w:val="553BD02C"/>
    <w:rsid w:val="5543CAC5"/>
    <w:rsid w:val="55A89719"/>
    <w:rsid w:val="55FD7B95"/>
    <w:rsid w:val="55FDA6BC"/>
    <w:rsid w:val="562B8CAE"/>
    <w:rsid w:val="5630DE6D"/>
    <w:rsid w:val="56458727"/>
    <w:rsid w:val="5693DD0B"/>
    <w:rsid w:val="56B24F8B"/>
    <w:rsid w:val="56C7BCC8"/>
    <w:rsid w:val="56E9C4EF"/>
    <w:rsid w:val="56F5E901"/>
    <w:rsid w:val="56FF4524"/>
    <w:rsid w:val="572E1486"/>
    <w:rsid w:val="57591064"/>
    <w:rsid w:val="575F5781"/>
    <w:rsid w:val="576529BB"/>
    <w:rsid w:val="576CCC65"/>
    <w:rsid w:val="57BBA4AE"/>
    <w:rsid w:val="57C36B24"/>
    <w:rsid w:val="581C89BD"/>
    <w:rsid w:val="58556CBA"/>
    <w:rsid w:val="585801C4"/>
    <w:rsid w:val="588F2781"/>
    <w:rsid w:val="58AA8587"/>
    <w:rsid w:val="593AB0EE"/>
    <w:rsid w:val="595BE7F5"/>
    <w:rsid w:val="596D7C18"/>
    <w:rsid w:val="599537B7"/>
    <w:rsid w:val="59AC2192"/>
    <w:rsid w:val="59AE0643"/>
    <w:rsid w:val="59AE64F8"/>
    <w:rsid w:val="59D15B5D"/>
    <w:rsid w:val="59DAB27E"/>
    <w:rsid w:val="59DDB6FF"/>
    <w:rsid w:val="59E4A92B"/>
    <w:rsid w:val="59F974EA"/>
    <w:rsid w:val="59FFA69D"/>
    <w:rsid w:val="5A4C4A1A"/>
    <w:rsid w:val="5A8D2570"/>
    <w:rsid w:val="5A972D64"/>
    <w:rsid w:val="5ABC2DE2"/>
    <w:rsid w:val="5AC72E5E"/>
    <w:rsid w:val="5B1D7910"/>
    <w:rsid w:val="5B1DB1D8"/>
    <w:rsid w:val="5B206D9E"/>
    <w:rsid w:val="5B893778"/>
    <w:rsid w:val="5BBC8C19"/>
    <w:rsid w:val="5BC20D0C"/>
    <w:rsid w:val="5BC526E0"/>
    <w:rsid w:val="5BD5B25B"/>
    <w:rsid w:val="5BDE6663"/>
    <w:rsid w:val="5C9A0B70"/>
    <w:rsid w:val="5CA97A6E"/>
    <w:rsid w:val="5CB95E2E"/>
    <w:rsid w:val="5CD80A23"/>
    <w:rsid w:val="5CE38C52"/>
    <w:rsid w:val="5D0DA066"/>
    <w:rsid w:val="5D144FF5"/>
    <w:rsid w:val="5D1FAD4A"/>
    <w:rsid w:val="5D220FA5"/>
    <w:rsid w:val="5D25BAAF"/>
    <w:rsid w:val="5D277749"/>
    <w:rsid w:val="5D37CE6A"/>
    <w:rsid w:val="5D461D30"/>
    <w:rsid w:val="5D46D831"/>
    <w:rsid w:val="5D5D9C5C"/>
    <w:rsid w:val="5D651CFA"/>
    <w:rsid w:val="5D83F12A"/>
    <w:rsid w:val="5D98FE27"/>
    <w:rsid w:val="5D9CA69A"/>
    <w:rsid w:val="5DB9F578"/>
    <w:rsid w:val="5DECFF8E"/>
    <w:rsid w:val="5DF4C27F"/>
    <w:rsid w:val="5E05BF96"/>
    <w:rsid w:val="5E24FA78"/>
    <w:rsid w:val="5E44DF25"/>
    <w:rsid w:val="5E8894AE"/>
    <w:rsid w:val="5EA709C5"/>
    <w:rsid w:val="5ED33D8B"/>
    <w:rsid w:val="5F06E175"/>
    <w:rsid w:val="5F19EBE5"/>
    <w:rsid w:val="5F23927F"/>
    <w:rsid w:val="5F2A4B44"/>
    <w:rsid w:val="5F38FAC8"/>
    <w:rsid w:val="5F3AA618"/>
    <w:rsid w:val="5F54E22F"/>
    <w:rsid w:val="5F8389FB"/>
    <w:rsid w:val="5FA7C648"/>
    <w:rsid w:val="5FA9C2AD"/>
    <w:rsid w:val="5FC2F0BD"/>
    <w:rsid w:val="5FDDD234"/>
    <w:rsid w:val="5FEB2822"/>
    <w:rsid w:val="60130457"/>
    <w:rsid w:val="60263F3C"/>
    <w:rsid w:val="604D12CD"/>
    <w:rsid w:val="6060E9D7"/>
    <w:rsid w:val="60D05B7B"/>
    <w:rsid w:val="60E2AEE0"/>
    <w:rsid w:val="6122D8A0"/>
    <w:rsid w:val="612A3D31"/>
    <w:rsid w:val="61317797"/>
    <w:rsid w:val="61AB722F"/>
    <w:rsid w:val="61BA16F5"/>
    <w:rsid w:val="61DD0823"/>
    <w:rsid w:val="61E3285D"/>
    <w:rsid w:val="61EF7E65"/>
    <w:rsid w:val="623791C6"/>
    <w:rsid w:val="6240ACD6"/>
    <w:rsid w:val="62455342"/>
    <w:rsid w:val="6246FE87"/>
    <w:rsid w:val="62735219"/>
    <w:rsid w:val="62789B11"/>
    <w:rsid w:val="62A3C6F1"/>
    <w:rsid w:val="62B5F03A"/>
    <w:rsid w:val="62C7D8EB"/>
    <w:rsid w:val="62CA744A"/>
    <w:rsid w:val="62E2FA83"/>
    <w:rsid w:val="62F72DA5"/>
    <w:rsid w:val="6348B7CD"/>
    <w:rsid w:val="63925424"/>
    <w:rsid w:val="63A5C709"/>
    <w:rsid w:val="643B44E0"/>
    <w:rsid w:val="6444FDCA"/>
    <w:rsid w:val="64A89447"/>
    <w:rsid w:val="64D64EB8"/>
    <w:rsid w:val="64DF3FED"/>
    <w:rsid w:val="6542144D"/>
    <w:rsid w:val="6547AA79"/>
    <w:rsid w:val="655236F7"/>
    <w:rsid w:val="6560A956"/>
    <w:rsid w:val="657E3C53"/>
    <w:rsid w:val="658723FD"/>
    <w:rsid w:val="65BB215E"/>
    <w:rsid w:val="65E6C40D"/>
    <w:rsid w:val="66333C55"/>
    <w:rsid w:val="6648C2B1"/>
    <w:rsid w:val="667FEE20"/>
    <w:rsid w:val="66CE744E"/>
    <w:rsid w:val="66D061BF"/>
    <w:rsid w:val="66FB4D2E"/>
    <w:rsid w:val="672EE095"/>
    <w:rsid w:val="675EC150"/>
    <w:rsid w:val="675FDB5E"/>
    <w:rsid w:val="6761A069"/>
    <w:rsid w:val="67906D27"/>
    <w:rsid w:val="67BDF007"/>
    <w:rsid w:val="67BFAA27"/>
    <w:rsid w:val="67C4FD49"/>
    <w:rsid w:val="67C64315"/>
    <w:rsid w:val="6809536D"/>
    <w:rsid w:val="681BFA0E"/>
    <w:rsid w:val="6860915C"/>
    <w:rsid w:val="686FCEAA"/>
    <w:rsid w:val="688A727A"/>
    <w:rsid w:val="68D45A07"/>
    <w:rsid w:val="68E11C59"/>
    <w:rsid w:val="6910A660"/>
    <w:rsid w:val="6950B5ED"/>
    <w:rsid w:val="6977A77C"/>
    <w:rsid w:val="6978B2C8"/>
    <w:rsid w:val="69E0ACA6"/>
    <w:rsid w:val="69F89032"/>
    <w:rsid w:val="69FF4EA7"/>
    <w:rsid w:val="6A1D5334"/>
    <w:rsid w:val="6A426C1A"/>
    <w:rsid w:val="6A686BDD"/>
    <w:rsid w:val="6A7AD89F"/>
    <w:rsid w:val="6AEBABAF"/>
    <w:rsid w:val="6AF12B82"/>
    <w:rsid w:val="6AF1DACC"/>
    <w:rsid w:val="6AF8F62D"/>
    <w:rsid w:val="6B0434F4"/>
    <w:rsid w:val="6B0C703A"/>
    <w:rsid w:val="6B1D6FCD"/>
    <w:rsid w:val="6B2081A0"/>
    <w:rsid w:val="6B53F595"/>
    <w:rsid w:val="6B88693D"/>
    <w:rsid w:val="6B8A256C"/>
    <w:rsid w:val="6B9AFD4C"/>
    <w:rsid w:val="6BDA3171"/>
    <w:rsid w:val="6BE09A79"/>
    <w:rsid w:val="6C5984BA"/>
    <w:rsid w:val="6C5E8C15"/>
    <w:rsid w:val="6C774769"/>
    <w:rsid w:val="6C8100F4"/>
    <w:rsid w:val="6C9B578A"/>
    <w:rsid w:val="6CB096FB"/>
    <w:rsid w:val="6CE542D3"/>
    <w:rsid w:val="6CE7D4D4"/>
    <w:rsid w:val="6CFFBA2F"/>
    <w:rsid w:val="6D02EA5F"/>
    <w:rsid w:val="6D1E8C76"/>
    <w:rsid w:val="6D527874"/>
    <w:rsid w:val="6D6D1016"/>
    <w:rsid w:val="6D8306A3"/>
    <w:rsid w:val="6DBD5899"/>
    <w:rsid w:val="6DE26EA5"/>
    <w:rsid w:val="6E298CE3"/>
    <w:rsid w:val="6E60A730"/>
    <w:rsid w:val="6E87CFF3"/>
    <w:rsid w:val="6E9A4844"/>
    <w:rsid w:val="6EA415FA"/>
    <w:rsid w:val="6F1D8B3C"/>
    <w:rsid w:val="6F26BC61"/>
    <w:rsid w:val="6FA11F00"/>
    <w:rsid w:val="6FA86E15"/>
    <w:rsid w:val="6FAF9C14"/>
    <w:rsid w:val="6FC8B55A"/>
    <w:rsid w:val="6FCC7984"/>
    <w:rsid w:val="703AF726"/>
    <w:rsid w:val="7063B26C"/>
    <w:rsid w:val="70C08F10"/>
    <w:rsid w:val="70F7CFD2"/>
    <w:rsid w:val="71269B25"/>
    <w:rsid w:val="71315372"/>
    <w:rsid w:val="71A80C5F"/>
    <w:rsid w:val="72094E57"/>
    <w:rsid w:val="721044AB"/>
    <w:rsid w:val="72658F18"/>
    <w:rsid w:val="72C10F49"/>
    <w:rsid w:val="72D2D0D7"/>
    <w:rsid w:val="72DDEED0"/>
    <w:rsid w:val="72ED2089"/>
    <w:rsid w:val="72F44F64"/>
    <w:rsid w:val="72F69693"/>
    <w:rsid w:val="72FA0B0F"/>
    <w:rsid w:val="73120BFA"/>
    <w:rsid w:val="731D2F33"/>
    <w:rsid w:val="733E862B"/>
    <w:rsid w:val="735C0963"/>
    <w:rsid w:val="736E632F"/>
    <w:rsid w:val="7370786A"/>
    <w:rsid w:val="73D7F1A3"/>
    <w:rsid w:val="73D8BAFB"/>
    <w:rsid w:val="742D33CA"/>
    <w:rsid w:val="74635099"/>
    <w:rsid w:val="7466FEE0"/>
    <w:rsid w:val="7485267B"/>
    <w:rsid w:val="74B2D258"/>
    <w:rsid w:val="74D47FB1"/>
    <w:rsid w:val="754C08A1"/>
    <w:rsid w:val="754F220A"/>
    <w:rsid w:val="7589E80C"/>
    <w:rsid w:val="758A9905"/>
    <w:rsid w:val="759AB26C"/>
    <w:rsid w:val="75A1C656"/>
    <w:rsid w:val="75A36647"/>
    <w:rsid w:val="75BD19CE"/>
    <w:rsid w:val="75C946B7"/>
    <w:rsid w:val="7649E0E1"/>
    <w:rsid w:val="765196D3"/>
    <w:rsid w:val="769A1613"/>
    <w:rsid w:val="76AC8458"/>
    <w:rsid w:val="7733C091"/>
    <w:rsid w:val="77479685"/>
    <w:rsid w:val="7752FC16"/>
    <w:rsid w:val="7764F09A"/>
    <w:rsid w:val="77672BB4"/>
    <w:rsid w:val="77776A30"/>
    <w:rsid w:val="77A8DBA3"/>
    <w:rsid w:val="77F9121C"/>
    <w:rsid w:val="7801AEC0"/>
    <w:rsid w:val="781C4311"/>
    <w:rsid w:val="782F5960"/>
    <w:rsid w:val="7854BD0D"/>
    <w:rsid w:val="786985CC"/>
    <w:rsid w:val="786D5973"/>
    <w:rsid w:val="78A9DEEF"/>
    <w:rsid w:val="78DB692D"/>
    <w:rsid w:val="78E48E0B"/>
    <w:rsid w:val="78F88796"/>
    <w:rsid w:val="79154551"/>
    <w:rsid w:val="7971A028"/>
    <w:rsid w:val="79751417"/>
    <w:rsid w:val="79BFE07C"/>
    <w:rsid w:val="79D0687C"/>
    <w:rsid w:val="79F036F8"/>
    <w:rsid w:val="79F465B7"/>
    <w:rsid w:val="7A0D5053"/>
    <w:rsid w:val="7A5785E2"/>
    <w:rsid w:val="7A5F7CE3"/>
    <w:rsid w:val="7A91776D"/>
    <w:rsid w:val="7ABF4419"/>
    <w:rsid w:val="7AD0E679"/>
    <w:rsid w:val="7AD15C3D"/>
    <w:rsid w:val="7AD42963"/>
    <w:rsid w:val="7AEA3CDB"/>
    <w:rsid w:val="7AEF0366"/>
    <w:rsid w:val="7B0A6277"/>
    <w:rsid w:val="7B0BD803"/>
    <w:rsid w:val="7B1C7767"/>
    <w:rsid w:val="7B265B2F"/>
    <w:rsid w:val="7BCDB018"/>
    <w:rsid w:val="7BDA09CA"/>
    <w:rsid w:val="7BEE01F6"/>
    <w:rsid w:val="7C99756E"/>
    <w:rsid w:val="7C9CDE1E"/>
    <w:rsid w:val="7CD3D98B"/>
    <w:rsid w:val="7CF12053"/>
    <w:rsid w:val="7D177A83"/>
    <w:rsid w:val="7D2D82CD"/>
    <w:rsid w:val="7D47F054"/>
    <w:rsid w:val="7D54AC6B"/>
    <w:rsid w:val="7D75ECBC"/>
    <w:rsid w:val="7DB411E9"/>
    <w:rsid w:val="7DF2FF63"/>
    <w:rsid w:val="7DF88A96"/>
    <w:rsid w:val="7E0BEF3C"/>
    <w:rsid w:val="7E2FA5C8"/>
    <w:rsid w:val="7E32D3B2"/>
    <w:rsid w:val="7E58168B"/>
    <w:rsid w:val="7E62A0EC"/>
    <w:rsid w:val="7EF46C1A"/>
    <w:rsid w:val="7F286989"/>
    <w:rsid w:val="7F927337"/>
    <w:rsid w:val="7FA37213"/>
    <w:rsid w:val="7FBD6D60"/>
    <w:rsid w:val="7FC974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289E9"/>
  <w15:docId w15:val="{62635E23-5AEC-4042-A476-29D0B10B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locked="0"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B55E8"/>
    <w:pPr>
      <w:suppressAutoHyphens/>
      <w:spacing w:before="120" w:after="60" w:line="260" w:lineRule="atLeast"/>
    </w:pPr>
    <w:rPr>
      <w:color w:val="495965" w:themeColor="text2"/>
    </w:rPr>
  </w:style>
  <w:style w:type="paragraph" w:styleId="Heading1">
    <w:name w:val="heading 1"/>
    <w:basedOn w:val="Normal"/>
    <w:next w:val="Normal"/>
    <w:link w:val="Heading1Char"/>
    <w:autoRedefine/>
    <w:uiPriority w:val="9"/>
    <w:qFormat/>
    <w:rsid w:val="005250CE"/>
    <w:pPr>
      <w:keepNext/>
      <w:keepLines/>
      <w:numPr>
        <w:numId w:val="9"/>
      </w:numPr>
      <w:spacing w:before="0" w:after="180" w:line="380" w:lineRule="exact"/>
      <w:contextualSpacing/>
      <w:outlineLvl w:val="0"/>
    </w:pPr>
    <w:rPr>
      <w:rFonts w:asciiTheme="majorHAnsi" w:eastAsiaTheme="majorEastAsia" w:hAnsiTheme="majorHAnsi" w:cstheme="majorBidi"/>
      <w:b/>
      <w:bCs/>
      <w:sz w:val="36"/>
    </w:rPr>
  </w:style>
  <w:style w:type="paragraph" w:styleId="Heading2">
    <w:name w:val="heading 2"/>
    <w:basedOn w:val="Heading1"/>
    <w:next w:val="Normal"/>
    <w:link w:val="Heading2Char"/>
    <w:uiPriority w:val="9"/>
    <w:unhideWhenUsed/>
    <w:qFormat/>
    <w:rsid w:val="005250CE"/>
    <w:pPr>
      <w:numPr>
        <w:numId w:val="0"/>
      </w:numPr>
      <w:spacing w:before="480" w:after="120"/>
      <w:outlineLvl w:val="1"/>
    </w:pPr>
    <w:rPr>
      <w:rFonts w:asciiTheme="minorHAnsi" w:hAnsiTheme="minorHAnsi" w:cstheme="minorHAnsi"/>
      <w:i/>
      <w:color w:val="007C89" w:themeColor="accent6"/>
      <w:sz w:val="28"/>
      <w:szCs w:val="26"/>
    </w:rPr>
  </w:style>
  <w:style w:type="paragraph" w:styleId="Heading3">
    <w:name w:val="heading 3"/>
    <w:basedOn w:val="Bullet2"/>
    <w:next w:val="Normal"/>
    <w:link w:val="Heading3Char"/>
    <w:uiPriority w:val="9"/>
    <w:unhideWhenUsed/>
    <w:qFormat/>
    <w:rsid w:val="0076165C"/>
    <w:pPr>
      <w:outlineLvl w:val="2"/>
    </w:pPr>
    <w:rPr>
      <w:b/>
      <w:bCs/>
    </w:rPr>
  </w:style>
  <w:style w:type="paragraph" w:styleId="Heading4">
    <w:name w:val="heading 4"/>
    <w:basedOn w:val="Normal"/>
    <w:next w:val="Normal"/>
    <w:link w:val="Heading4Char"/>
    <w:autoRedefine/>
    <w:uiPriority w:val="9"/>
    <w:unhideWhenUsed/>
    <w:qFormat/>
    <w:rsid w:val="00ED5396"/>
    <w:pPr>
      <w:numPr>
        <w:numId w:val="18"/>
      </w:numPr>
      <w:tabs>
        <w:tab w:val="clear" w:pos="720"/>
        <w:tab w:val="num" w:pos="567"/>
      </w:tabs>
      <w:spacing w:before="0"/>
      <w:ind w:left="567" w:hanging="357"/>
      <w:outlineLvl w:val="3"/>
    </w:pPr>
    <w:rPr>
      <w:rFonts w:cstheme="minorHAnsi"/>
      <w:b/>
      <w:i/>
      <w:sz w:val="21"/>
      <w:szCs w:val="21"/>
    </w:rPr>
  </w:style>
  <w:style w:type="paragraph" w:styleId="Heading5">
    <w:name w:val="heading 5"/>
    <w:basedOn w:val="Heading4"/>
    <w:next w:val="Normal"/>
    <w:link w:val="Heading5Char"/>
    <w:uiPriority w:val="9"/>
    <w:unhideWhenUsed/>
    <w:qFormat/>
    <w:rsid w:val="007706B8"/>
    <w:pPr>
      <w:spacing w:line="200" w:lineRule="atLeast"/>
      <w:outlineLvl w:val="4"/>
    </w:pPr>
    <w:rPr>
      <w:b w:val="0"/>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locked/>
    <w:rsid w:val="00486804"/>
    <w:pPr>
      <w:outlineLvl w:val="6"/>
    </w:pPr>
    <w:rPr>
      <w:i w:val="0"/>
      <w:iCs/>
    </w:rPr>
  </w:style>
  <w:style w:type="paragraph" w:styleId="Heading8">
    <w:name w:val="heading 8"/>
    <w:basedOn w:val="Heading7"/>
    <w:next w:val="Normal"/>
    <w:link w:val="Heading8Char"/>
    <w:uiPriority w:val="9"/>
    <w:semiHidden/>
    <w:unhideWhenUsed/>
    <w:qFormat/>
    <w:locked/>
    <w:rsid w:val="00486804"/>
    <w:pPr>
      <w:outlineLvl w:val="7"/>
    </w:pPr>
    <w:rPr>
      <w:color w:val="272727" w:themeColor="text1" w:themeTint="D8"/>
      <w:sz w:val="21"/>
    </w:rPr>
  </w:style>
  <w:style w:type="paragraph" w:styleId="Heading9">
    <w:name w:val="heading 9"/>
    <w:basedOn w:val="Heading8"/>
    <w:next w:val="Normal"/>
    <w:link w:val="Heading9Char"/>
    <w:uiPriority w:val="9"/>
    <w:semiHidden/>
    <w:unhideWhenUsed/>
    <w:qFormat/>
    <w:locked/>
    <w:rsid w:val="00486804"/>
    <w:pPr>
      <w:outlineLvl w:val="8"/>
    </w:pPr>
    <w:rPr>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0CE"/>
    <w:rPr>
      <w:rFonts w:asciiTheme="majorHAnsi" w:eastAsiaTheme="majorEastAsia" w:hAnsiTheme="majorHAnsi" w:cstheme="majorBidi"/>
      <w:b/>
      <w:bCs/>
      <w:color w:val="495965" w:themeColor="text2"/>
      <w:sz w:val="36"/>
    </w:rPr>
  </w:style>
  <w:style w:type="character" w:customStyle="1" w:styleId="Heading2Char">
    <w:name w:val="Heading 2 Char"/>
    <w:basedOn w:val="DefaultParagraphFont"/>
    <w:link w:val="Heading2"/>
    <w:uiPriority w:val="9"/>
    <w:rsid w:val="005250CE"/>
    <w:rPr>
      <w:rFonts w:eastAsiaTheme="majorEastAsia" w:cstheme="minorHAnsi"/>
      <w:b/>
      <w:bCs/>
      <w:i/>
      <w:color w:val="007C89" w:themeColor="accent6"/>
      <w:sz w:val="28"/>
      <w:szCs w:val="26"/>
    </w:rPr>
  </w:style>
  <w:style w:type="character" w:customStyle="1" w:styleId="Heading3Char">
    <w:name w:val="Heading 3 Char"/>
    <w:basedOn w:val="DefaultParagraphFont"/>
    <w:link w:val="Heading3"/>
    <w:uiPriority w:val="9"/>
    <w:rsid w:val="0076165C"/>
    <w:rPr>
      <w:b/>
      <w:bCs/>
      <w:color w:val="495965" w:themeColor="text2"/>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64BD1"/>
    <w:pPr>
      <w:spacing w:after="0"/>
    </w:pPr>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olor w:val="495965" w:themeColor="text2"/>
      <w:spacing w:val="-10"/>
      <w:kern w:val="28"/>
      <w:sz w:val="36"/>
      <w:szCs w:val="52"/>
    </w:rPr>
  </w:style>
  <w:style w:type="paragraph" w:styleId="Subtitle">
    <w:name w:val="Subtitle"/>
    <w:basedOn w:val="Title"/>
    <w:next w:val="Normal"/>
    <w:link w:val="SubtitleChar"/>
    <w:uiPriority w:val="11"/>
    <w:qFormat/>
    <w:rsid w:val="00D64BD1"/>
    <w:pPr>
      <w:numPr>
        <w:numId w:val="0"/>
      </w:numPr>
      <w:spacing w:before="60" w:after="300"/>
      <w:ind w:left="567" w:hanging="567"/>
    </w:pPr>
    <w:rPr>
      <w:rFonts w:asciiTheme="minorHAnsi" w:hAnsiTheme="minorHAnsi"/>
      <w:b w:val="0"/>
      <w:iCs/>
      <w:szCs w:val="24"/>
    </w:rPr>
  </w:style>
  <w:style w:type="character" w:customStyle="1" w:styleId="SubtitleChar">
    <w:name w:val="Subtitle Char"/>
    <w:basedOn w:val="DefaultParagraphFont"/>
    <w:link w:val="Subtitle"/>
    <w:uiPriority w:val="11"/>
    <w:rsid w:val="00D64BD1"/>
    <w:rPr>
      <w:rFonts w:eastAsiaTheme="majorEastAsia" w:cstheme="majorBidi"/>
      <w:bCs/>
      <w:iCs/>
      <w:color w:val="495965" w:themeColor="text2"/>
      <w:spacing w:val="-10"/>
      <w:kern w:val="28"/>
      <w:sz w:val="32"/>
      <w:szCs w:val="24"/>
    </w:rPr>
  </w:style>
  <w:style w:type="paragraph" w:customStyle="1" w:styleId="Bullet1">
    <w:name w:val="Bullet 1"/>
    <w:basedOn w:val="Normal"/>
    <w:qFormat/>
    <w:rsid w:val="007706B8"/>
    <w:pPr>
      <w:numPr>
        <w:numId w:val="8"/>
      </w:numPr>
      <w:spacing w:before="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2684E"/>
    <w:pPr>
      <w:numPr>
        <w:numId w:val="10"/>
      </w:numPr>
      <w:spacing w:before="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style>
  <w:style w:type="paragraph" w:customStyle="1" w:styleId="Heading2Numbered">
    <w:name w:val="Heading 2 Numbered"/>
    <w:basedOn w:val="Heading2"/>
    <w:next w:val="Normal"/>
    <w:qFormat/>
    <w:rsid w:val="00ED2831"/>
    <w:pPr>
      <w:numPr>
        <w:ilvl w:val="1"/>
        <w:numId w:val="9"/>
      </w:numPr>
      <w:spacing w:after="60"/>
    </w:pPr>
    <w:rPr>
      <w:bCs w:val="0"/>
    </w:rPr>
  </w:style>
  <w:style w:type="paragraph" w:customStyle="1" w:styleId="Heading3Numbered">
    <w:name w:val="Heading 3 Numbered"/>
    <w:basedOn w:val="Heading3"/>
    <w:next w:val="Normal"/>
    <w:qFormat/>
    <w:rsid w:val="00ED2831"/>
    <w:pPr>
      <w:numPr>
        <w:ilvl w:val="2"/>
        <w:numId w:val="9"/>
      </w:numPr>
      <w:spacing w:before="300"/>
    </w:pPr>
  </w:style>
  <w:style w:type="numbering" w:customStyle="1" w:styleId="BulletsList">
    <w:name w:val="Bullets List"/>
    <w:uiPriority w:val="99"/>
    <w:rsid w:val="007706B8"/>
    <w:pPr>
      <w:numPr>
        <w:numId w:val="3"/>
      </w:numPr>
    </w:pPr>
  </w:style>
  <w:style w:type="numbering" w:customStyle="1" w:styleId="Numberedlist">
    <w:name w:val="Numbered list"/>
    <w:uiPriority w:val="99"/>
    <w:rsid w:val="00F2684E"/>
    <w:pPr>
      <w:numPr>
        <w:numId w:val="4"/>
      </w:numPr>
    </w:pPr>
  </w:style>
  <w:style w:type="numbering" w:customStyle="1" w:styleId="HeadingsList">
    <w:name w:val="Headings List"/>
    <w:uiPriority w:val="99"/>
    <w:rsid w:val="001E1DC0"/>
    <w:pPr>
      <w:numPr>
        <w:numId w:val="5"/>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D2831"/>
    <w:pPr>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ED5396"/>
    <w:rPr>
      <w:rFonts w:cstheme="minorHAnsi"/>
      <w:b/>
      <w:i/>
      <w:color w:val="495965" w:themeColor="text2"/>
      <w:sz w:val="21"/>
      <w:szCs w:val="21"/>
    </w:rPr>
  </w:style>
  <w:style w:type="paragraph" w:styleId="TOC1">
    <w:name w:val="toc 1"/>
    <w:basedOn w:val="Normal"/>
    <w:next w:val="Normal"/>
    <w:autoRedefine/>
    <w:uiPriority w:val="39"/>
    <w:unhideWhenUsed/>
    <w:rsid w:val="0031705E"/>
    <w:pPr>
      <w:pBdr>
        <w:top w:val="single" w:sz="4" w:space="6" w:color="auto"/>
      </w:pBdr>
      <w:tabs>
        <w:tab w:val="left" w:pos="660"/>
        <w:tab w:val="right" w:leader="dot" w:pos="9628"/>
      </w:tabs>
      <w:spacing w:after="0" w:line="240" w:lineRule="auto"/>
    </w:pPr>
    <w:rPr>
      <w:rFonts w:cstheme="majorHAnsi"/>
      <w:b/>
      <w:bCs/>
      <w:szCs w:val="24"/>
    </w:rPr>
  </w:style>
  <w:style w:type="paragraph" w:styleId="TOC2">
    <w:name w:val="toc 2"/>
    <w:basedOn w:val="Normal"/>
    <w:next w:val="Normal"/>
    <w:autoRedefine/>
    <w:uiPriority w:val="39"/>
    <w:unhideWhenUsed/>
    <w:rsid w:val="0031705E"/>
    <w:pPr>
      <w:spacing w:before="0" w:after="0" w:line="240" w:lineRule="auto"/>
      <w:contextualSpacing/>
    </w:pPr>
    <w:rPr>
      <w:rFonts w:cstheme="minorHAnsi"/>
      <w:bCs/>
      <w:sz w:val="21"/>
      <w:szCs w:val="20"/>
    </w:rPr>
  </w:style>
  <w:style w:type="paragraph" w:styleId="TOC3">
    <w:name w:val="toc 3"/>
    <w:basedOn w:val="Normal"/>
    <w:next w:val="Normal"/>
    <w:autoRedefine/>
    <w:uiPriority w:val="39"/>
    <w:unhideWhenUsed/>
    <w:rsid w:val="0035119D"/>
    <w:pPr>
      <w:spacing w:before="0" w:after="0"/>
      <w:ind w:left="220"/>
    </w:pPr>
    <w:rPr>
      <w:rFonts w:cstheme="minorHAnsi"/>
      <w:sz w:val="20"/>
      <w:szCs w:val="20"/>
    </w:rPr>
  </w:style>
  <w:style w:type="paragraph" w:styleId="Header">
    <w:name w:val="header"/>
    <w:basedOn w:val="Normal"/>
    <w:link w:val="HeaderChar"/>
    <w:uiPriority w:val="99"/>
    <w:unhideWhenUsed/>
    <w:rsid w:val="00FC322F"/>
    <w:pPr>
      <w:tabs>
        <w:tab w:val="center" w:pos="4513"/>
        <w:tab w:val="right" w:pos="9026"/>
      </w:tabs>
      <w:spacing w:before="0" w:after="0"/>
      <w:ind w:left="227"/>
    </w:pPr>
    <w:rPr>
      <w:b/>
      <w:caps/>
      <w:color w:val="FFFFFF" w:themeColor="background1"/>
      <w:sz w:val="20"/>
    </w:rPr>
  </w:style>
  <w:style w:type="paragraph" w:styleId="TOC4">
    <w:name w:val="toc 4"/>
    <w:basedOn w:val="Normal"/>
    <w:next w:val="Normal"/>
    <w:autoRedefine/>
    <w:uiPriority w:val="39"/>
    <w:unhideWhenUsed/>
    <w:locked/>
    <w:rsid w:val="0035119D"/>
    <w:pPr>
      <w:spacing w:before="0" w:after="0"/>
      <w:ind w:left="440"/>
    </w:pPr>
    <w:rPr>
      <w:rFonts w:cstheme="minorHAnsi"/>
      <w:sz w:val="20"/>
      <w:szCs w:val="20"/>
    </w:rPr>
  </w:style>
  <w:style w:type="paragraph" w:styleId="TOC5">
    <w:name w:val="toc 5"/>
    <w:basedOn w:val="Normal"/>
    <w:next w:val="Normal"/>
    <w:autoRedefine/>
    <w:uiPriority w:val="39"/>
    <w:unhideWhenUsed/>
    <w:locked/>
    <w:rsid w:val="0035119D"/>
    <w:pPr>
      <w:spacing w:before="0" w:after="0"/>
      <w:ind w:left="660"/>
    </w:pPr>
    <w:rPr>
      <w:rFonts w:cstheme="minorHAnsi"/>
      <w:sz w:val="20"/>
      <w:szCs w:val="20"/>
    </w:rPr>
  </w:style>
  <w:style w:type="paragraph" w:styleId="TOC6">
    <w:name w:val="toc 6"/>
    <w:basedOn w:val="Normal"/>
    <w:next w:val="Normal"/>
    <w:autoRedefine/>
    <w:uiPriority w:val="39"/>
    <w:unhideWhenUsed/>
    <w:locked/>
    <w:rsid w:val="0035119D"/>
    <w:pPr>
      <w:spacing w:before="0" w:after="0"/>
      <w:ind w:left="880"/>
    </w:pPr>
    <w:rPr>
      <w:rFonts w:cstheme="minorHAnsi"/>
      <w:sz w:val="20"/>
      <w:szCs w:val="20"/>
    </w:rPr>
  </w:style>
  <w:style w:type="paragraph" w:styleId="TOC7">
    <w:name w:val="toc 7"/>
    <w:basedOn w:val="Normal"/>
    <w:next w:val="Normal"/>
    <w:autoRedefine/>
    <w:uiPriority w:val="39"/>
    <w:unhideWhenUsed/>
    <w:locked/>
    <w:rsid w:val="0035119D"/>
    <w:pPr>
      <w:spacing w:before="0" w:after="0"/>
      <w:ind w:left="1100"/>
    </w:pPr>
    <w:rPr>
      <w:rFonts w:cstheme="minorHAnsi"/>
      <w:sz w:val="20"/>
      <w:szCs w:val="20"/>
    </w:rPr>
  </w:style>
  <w:style w:type="numbering" w:customStyle="1" w:styleId="TableHeadingNumbers">
    <w:name w:val="Table Heading Numbers"/>
    <w:uiPriority w:val="99"/>
    <w:rsid w:val="00ED2831"/>
    <w:pPr>
      <w:numPr>
        <w:numId w:val="6"/>
      </w:numPr>
    </w:pPr>
  </w:style>
  <w:style w:type="paragraph" w:styleId="TOC8">
    <w:name w:val="toc 8"/>
    <w:basedOn w:val="Normal"/>
    <w:next w:val="Normal"/>
    <w:autoRedefine/>
    <w:uiPriority w:val="39"/>
    <w:unhideWhenUsed/>
    <w:locked/>
    <w:rsid w:val="0035119D"/>
    <w:pPr>
      <w:spacing w:before="0" w:after="0"/>
      <w:ind w:left="1320"/>
    </w:pPr>
    <w:rPr>
      <w:rFonts w:cstheme="minorHAnsi"/>
      <w:sz w:val="20"/>
      <w:szCs w:val="20"/>
    </w:rPr>
  </w:style>
  <w:style w:type="paragraph" w:styleId="TOC9">
    <w:name w:val="toc 9"/>
    <w:basedOn w:val="Normal"/>
    <w:next w:val="Normal"/>
    <w:autoRedefine/>
    <w:uiPriority w:val="39"/>
    <w:unhideWhenUsed/>
    <w:locked/>
    <w:rsid w:val="0035119D"/>
    <w:pPr>
      <w:spacing w:before="0" w:after="0"/>
      <w:ind w:left="1540"/>
    </w:pPr>
    <w:rPr>
      <w:rFonts w:cstheme="minorHAnsi"/>
      <w:sz w:val="20"/>
      <w:szCs w:val="20"/>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7706B8"/>
    <w:pPr>
      <w:spacing w:before="400" w:after="400" w:line="280" w:lineRule="exact"/>
    </w:pPr>
    <w:rPr>
      <w:b/>
      <w:color w:val="ACD08C" w:themeColor="accent2"/>
      <w:sz w:val="28"/>
    </w:rPr>
  </w:style>
  <w:style w:type="table" w:styleId="TableGrid">
    <w:name w:val="Table Grid"/>
    <w:basedOn w:val="TableNormal"/>
    <w:uiPriority w:val="39"/>
    <w:locked/>
    <w:rsid w:val="00ED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C322F"/>
    <w:rPr>
      <w:b/>
      <w:caps/>
      <w:color w:val="FFFFFF" w:themeColor="background1"/>
      <w:sz w:val="20"/>
      <w:lang w:val="en-GB"/>
    </w:rPr>
  </w:style>
  <w:style w:type="numbering" w:customStyle="1" w:styleId="FigureTitles">
    <w:name w:val="Figure Titles"/>
    <w:uiPriority w:val="99"/>
    <w:rsid w:val="006346BC"/>
    <w:pPr>
      <w:numPr>
        <w:numId w:val="7"/>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D32D6F"/>
    <w:rPr>
      <w:b/>
      <w:i/>
      <w:iCs/>
      <w:color w:val="495965" w:themeColor="text2"/>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7706B8"/>
    <w:rPr>
      <w:rFonts w:cstheme="minorHAnsi"/>
      <w:i/>
      <w:color w:val="495965" w:themeColor="text2"/>
      <w:szCs w:val="21"/>
    </w:rPr>
  </w:style>
  <w:style w:type="paragraph" w:styleId="Caption">
    <w:name w:val="caption"/>
    <w:basedOn w:val="Normal"/>
    <w:next w:val="Normal"/>
    <w:uiPriority w:val="35"/>
    <w:unhideWhenUsed/>
    <w:qFormat/>
    <w:rsid w:val="001214BE"/>
    <w:pPr>
      <w:spacing w:before="240" w:after="180" w:line="240" w:lineRule="atLeast"/>
      <w:contextualSpacing/>
    </w:pPr>
    <w:rPr>
      <w:b/>
      <w:iCs/>
      <w:sz w:val="20"/>
      <w:szCs w:val="18"/>
    </w:rPr>
  </w:style>
  <w:style w:type="paragraph" w:styleId="Footer">
    <w:name w:val="footer"/>
    <w:basedOn w:val="Normal"/>
    <w:link w:val="FooterChar"/>
    <w:uiPriority w:val="99"/>
    <w:unhideWhenUsed/>
    <w:rsid w:val="00FC322F"/>
    <w:pPr>
      <w:spacing w:before="0" w:after="0" w:line="240" w:lineRule="exact"/>
      <w:ind w:left="284" w:right="284"/>
    </w:pPr>
    <w:rPr>
      <w:color w:val="FFFFFF" w:themeColor="background1"/>
    </w:rPr>
  </w:style>
  <w:style w:type="character" w:customStyle="1" w:styleId="FooterChar">
    <w:name w:val="Footer Char"/>
    <w:basedOn w:val="DefaultParagraphFont"/>
    <w:link w:val="Footer"/>
    <w:uiPriority w:val="99"/>
    <w:rsid w:val="00FC322F"/>
    <w:rPr>
      <w:color w:val="FFFFFF" w:themeColor="background1"/>
      <w:lang w:val="en-GB"/>
    </w:rPr>
  </w:style>
  <w:style w:type="character" w:customStyle="1" w:styleId="Heading6Char">
    <w:name w:val="Heading 6 Char"/>
    <w:basedOn w:val="DefaultParagraphFont"/>
    <w:link w:val="Heading6"/>
    <w:uiPriority w:val="9"/>
    <w:semiHidden/>
    <w:rsid w:val="00486804"/>
    <w:rPr>
      <w:rFonts w:cstheme="minorHAnsi"/>
      <w:i/>
      <w:color w:val="286B5F" w:themeColor="accent1" w:themeShade="7F"/>
      <w:szCs w:val="21"/>
    </w:rPr>
  </w:style>
  <w:style w:type="character" w:customStyle="1" w:styleId="Heading7Char">
    <w:name w:val="Heading 7 Char"/>
    <w:basedOn w:val="DefaultParagraphFont"/>
    <w:link w:val="Heading7"/>
    <w:uiPriority w:val="9"/>
    <w:semiHidden/>
    <w:rsid w:val="00486804"/>
    <w:rPr>
      <w:rFonts w:cstheme="minorHAnsi"/>
      <w:iCs/>
      <w:color w:val="286B5F" w:themeColor="accent1" w:themeShade="7F"/>
      <w:szCs w:val="21"/>
    </w:rPr>
  </w:style>
  <w:style w:type="character" w:customStyle="1" w:styleId="Heading8Char">
    <w:name w:val="Heading 8 Char"/>
    <w:basedOn w:val="DefaultParagraphFont"/>
    <w:link w:val="Heading8"/>
    <w:uiPriority w:val="9"/>
    <w:semiHidden/>
    <w:rsid w:val="00486804"/>
    <w:rPr>
      <w:rFonts w:cstheme="minorHAnsi"/>
      <w:iCs/>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cstheme="minorHAnsi"/>
      <w:i/>
      <w:color w:val="272727" w:themeColor="text1" w:themeTint="D8"/>
      <w:sz w:val="21"/>
      <w:szCs w:val="21"/>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before="0"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qFormat/>
    <w:locked/>
    <w:rsid w:val="00C5182A"/>
    <w:rPr>
      <w:b/>
      <w:sz w:val="20"/>
    </w:rPr>
  </w:style>
  <w:style w:type="paragraph" w:styleId="FootnoteText">
    <w:name w:val="footnote text"/>
    <w:aliases w:val="Footnote Text Char Char Char Char,Footnote Text Char Char,Footnote Text Char1,Char,Char Char Char Char,Char Char Char Char Char Char,ft,Footnote Text Char1 Char Char1,Footnote Text Char Char Char Char1,Footnote Text Char Char1 Char1,fn,f,A"/>
    <w:basedOn w:val="Normal"/>
    <w:link w:val="FootnoteTextChar"/>
    <w:uiPriority w:val="99"/>
    <w:unhideWhenUsed/>
    <w:qFormat/>
    <w:rsid w:val="008C5A0E"/>
    <w:pPr>
      <w:spacing w:before="60" w:after="0" w:line="140" w:lineRule="atLeast"/>
      <w:ind w:left="170" w:hanging="170"/>
    </w:pPr>
    <w:rPr>
      <w:sz w:val="12"/>
      <w:szCs w:val="20"/>
    </w:rPr>
  </w:style>
  <w:style w:type="character" w:customStyle="1" w:styleId="FootnoteTextChar">
    <w:name w:val="Footnote Text Char"/>
    <w:aliases w:val="Footnote Text Char Char Char Char Char,Footnote Text Char Char Char,Footnote Text Char1 Char,Char Char,Char Char Char Char Char,Char Char Char Char Char Char Char,ft Char,Footnote Text Char1 Char Char1 Char,fn Char,f Char,A Char"/>
    <w:basedOn w:val="DefaultParagraphFont"/>
    <w:link w:val="FootnoteText"/>
    <w:uiPriority w:val="99"/>
    <w:qFormat/>
    <w:rsid w:val="008C5A0E"/>
    <w:rPr>
      <w:color w:val="495965" w:themeColor="text2"/>
      <w:sz w:val="12"/>
      <w:szCs w:val="20"/>
    </w:rPr>
  </w:style>
  <w:style w:type="character" w:styleId="FootnoteReference">
    <w:name w:val="footnote reference"/>
    <w:aliases w:val="Normal + Font:9 Point,Superscript 3 Point Times,ftref,16 Point,Superscript 6 Point,BVI fnr,Footnote text,Footnotes refss,Ref,de nota al pie,4_G,Footnote number,Texto de nota al pie,Appel note de bas de page,referencia nota al pie,fr,*"/>
    <w:basedOn w:val="DefaultParagraphFont"/>
    <w:link w:val="referencianotaalpieChar"/>
    <w:uiPriority w:val="99"/>
    <w:unhideWhenUsed/>
    <w:qFormat/>
    <w:rsid w:val="003002C0"/>
    <w:rPr>
      <w:vertAlign w:val="superscript"/>
    </w:rPr>
  </w:style>
  <w:style w:type="paragraph" w:customStyle="1" w:styleId="GreyRoundBoxText">
    <w:name w:val="Grey Round Box Text"/>
    <w:basedOn w:val="Normal"/>
    <w:qFormat/>
    <w:rsid w:val="000D66D6"/>
    <w:pPr>
      <w:spacing w:before="0"/>
    </w:pPr>
    <w:rPr>
      <w:b/>
      <w:caps/>
      <w:color w:val="FFFFFF" w:themeColor="background1"/>
      <w:sz w:val="18"/>
    </w:rPr>
  </w:style>
  <w:style w:type="character" w:customStyle="1" w:styleId="Green">
    <w:name w:val="Green"/>
    <w:basedOn w:val="DefaultParagraphFont"/>
    <w:uiPriority w:val="1"/>
    <w:qFormat/>
    <w:rsid w:val="00961E72"/>
    <w:rPr>
      <w:color w:val="ACD08C" w:themeColor="accent2"/>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897FA2"/>
    <w:pPr>
      <w:spacing w:after="200" w:line="200" w:lineRule="atLeast"/>
      <w:jc w:val="right"/>
    </w:pPr>
    <w:rPr>
      <w:sz w:val="16"/>
    </w:rPr>
  </w:style>
  <w:style w:type="table" w:customStyle="1" w:styleId="DFATTable1">
    <w:name w:val="DFAT Table 1"/>
    <w:basedOn w:val="TableNormal"/>
    <w:uiPriority w:val="99"/>
    <w:rsid w:val="00C06B13"/>
    <w:pPr>
      <w:spacing w:before="60" w:after="60" w:line="260" w:lineRule="atLeast"/>
    </w:pPr>
    <w:rPr>
      <w:rFonts w:ascii="Calibri" w:hAnsi="Calibri"/>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pPr>
    <w:rPr>
      <w:color w:val="495965" w:themeColor="text2"/>
      <w:sz w:val="14"/>
    </w:rPr>
  </w:style>
  <w:style w:type="paragraph" w:customStyle="1" w:styleId="Heading1smallspaceafter">
    <w:name w:val="Heading 1 small space after"/>
    <w:basedOn w:val="Heading1"/>
    <w:qFormat/>
    <w:rsid w:val="00F25A93"/>
    <w:pPr>
      <w:spacing w:after="600"/>
      <w:contextualSpacing w:val="0"/>
    </w:pPr>
  </w:style>
  <w:style w:type="paragraph" w:customStyle="1" w:styleId="TableBullet1">
    <w:name w:val="Table Bullet 1"/>
    <w:basedOn w:val="Bullet1"/>
    <w:qFormat/>
    <w:rsid w:val="00ED2831"/>
    <w:pPr>
      <w:numPr>
        <w:numId w:val="0"/>
      </w:numPr>
      <w:spacing w:before="60" w:line="220" w:lineRule="atLeast"/>
      <w:ind w:left="284" w:hanging="284"/>
    </w:pPr>
    <w:rPr>
      <w:rFonts w:ascii="Calibri" w:hAnsi="Calibri"/>
      <w:sz w:val="18"/>
    </w:rPr>
  </w:style>
  <w:style w:type="paragraph" w:customStyle="1" w:styleId="TableBullet2">
    <w:name w:val="Table Bullet 2"/>
    <w:basedOn w:val="Bullet2"/>
    <w:qFormat/>
    <w:rsid w:val="00ED2831"/>
    <w:pPr>
      <w:numPr>
        <w:ilvl w:val="0"/>
        <w:numId w:val="0"/>
      </w:numPr>
      <w:spacing w:before="60" w:line="220" w:lineRule="atLeast"/>
      <w:ind w:left="568" w:hanging="284"/>
    </w:pPr>
    <w:rPr>
      <w:rFonts w:ascii="Calibri" w:hAnsi="Calibri"/>
      <w:sz w:val="18"/>
    </w:rPr>
  </w:style>
  <w:style w:type="paragraph" w:customStyle="1" w:styleId="TableBullet3">
    <w:name w:val="Table Bullet 3"/>
    <w:basedOn w:val="Bullet3"/>
    <w:qFormat/>
    <w:rsid w:val="00ED2831"/>
    <w:pPr>
      <w:numPr>
        <w:ilvl w:val="0"/>
        <w:numId w:val="0"/>
      </w:numPr>
      <w:spacing w:before="60" w:line="220" w:lineRule="atLeast"/>
      <w:ind w:left="852" w:hanging="284"/>
    </w:pPr>
    <w:rPr>
      <w:rFonts w:ascii="Calibri" w:hAnsi="Calibri"/>
      <w:sz w:val="18"/>
    </w:rPr>
  </w:style>
  <w:style w:type="paragraph" w:customStyle="1" w:styleId="TableHeaderRow">
    <w:name w:val="Table Header Row"/>
    <w:basedOn w:val="Normal"/>
    <w:qFormat/>
    <w:rsid w:val="00C06B13"/>
    <w:pPr>
      <w:framePr w:hSpace="180" w:wrap="around" w:vAnchor="page" w:hAnchor="margin" w:y="5061"/>
      <w:spacing w:before="60"/>
    </w:pPr>
    <w:rPr>
      <w:rFonts w:ascii="Calibri" w:hAnsi="Calibri"/>
      <w:b/>
      <w:szCs w:val="21"/>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ind w:left="851"/>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hanging="284"/>
      <w:contextualSpacing/>
    </w:pPr>
    <w:rPr>
      <w:sz w:val="12"/>
    </w:rPr>
  </w:style>
  <w:style w:type="paragraph" w:customStyle="1" w:styleId="TableTotalRow">
    <w:name w:val="Table Total Row"/>
    <w:basedOn w:val="Normal"/>
    <w:qFormat/>
    <w:rsid w:val="00CF07BA"/>
    <w:pPr>
      <w:spacing w:before="60"/>
    </w:pPr>
    <w:rPr>
      <w:rFonts w:ascii="Calibri" w:hAnsi="Calibri"/>
      <w:b/>
      <w:color w:val="FFFFFF" w:themeColor="background1"/>
    </w:rPr>
  </w:style>
  <w:style w:type="paragraph" w:customStyle="1" w:styleId="BoxHeading">
    <w:name w:val="Box Heading"/>
    <w:basedOn w:val="Heading3"/>
    <w:qFormat/>
    <w:locked/>
    <w:rsid w:val="00ED2831"/>
    <w:pPr>
      <w:spacing w:before="60"/>
    </w:pPr>
  </w:style>
  <w:style w:type="paragraph" w:customStyle="1" w:styleId="QuoteAuthor">
    <w:name w:val="Quote Author"/>
    <w:basedOn w:val="Quote"/>
    <w:qFormat/>
    <w:rsid w:val="00D64BD1"/>
    <w:pPr>
      <w:spacing w:after="60" w:line="200" w:lineRule="atLeast"/>
    </w:pPr>
    <w:rPr>
      <w:sz w:val="16"/>
    </w:rPr>
  </w:style>
  <w:style w:type="paragraph" w:customStyle="1" w:styleId="TableText">
    <w:name w:val="Table Text"/>
    <w:basedOn w:val="Normal"/>
    <w:qFormat/>
    <w:rsid w:val="0080204D"/>
    <w:pPr>
      <w:framePr w:hSpace="180" w:wrap="around" w:vAnchor="page" w:hAnchor="margin" w:y="5061"/>
      <w:spacing w:before="60"/>
    </w:pPr>
    <w:rPr>
      <w:rFonts w:ascii="Calibri" w:hAnsi="Calibri"/>
      <w:szCs w:val="21"/>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locked/>
    <w:rsid w:val="00A61B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B4D"/>
    <w:rPr>
      <w:rFonts w:ascii="Tahoma" w:hAnsi="Tahoma" w:cs="Tahoma"/>
      <w:color w:val="495965" w:themeColor="text2"/>
      <w:sz w:val="16"/>
      <w:szCs w:val="16"/>
      <w:lang w:val="en-GB"/>
    </w:rPr>
  </w:style>
  <w:style w:type="paragraph" w:customStyle="1" w:styleId="SpacebeforeTitle">
    <w:name w:val="Space before Title"/>
    <w:basedOn w:val="Normal"/>
    <w:qFormat/>
    <w:rsid w:val="00B33C0A"/>
    <w:pPr>
      <w:spacing w:after="900"/>
    </w:pPr>
  </w:style>
  <w:style w:type="paragraph" w:customStyle="1" w:styleId="Box1Text">
    <w:name w:val="Box 1 Text"/>
    <w:basedOn w:val="Normal"/>
    <w:qFormat/>
    <w:rsid w:val="00E8296D"/>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rPr>
  </w:style>
  <w:style w:type="paragraph" w:customStyle="1" w:styleId="Box1Heading">
    <w:name w:val="Box 1 Heading"/>
    <w:basedOn w:val="Box1Text"/>
    <w:qFormat/>
    <w:rsid w:val="00E8296D"/>
    <w:pPr>
      <w:keepNext/>
      <w:spacing w:line="300" w:lineRule="atLeast"/>
    </w:pPr>
    <w:rPr>
      <w:b/>
      <w:sz w:val="26"/>
    </w:rPr>
  </w:style>
  <w:style w:type="paragraph" w:customStyle="1" w:styleId="Box2Text">
    <w:name w:val="Box 2 Text"/>
    <w:basedOn w:val="Box1Text"/>
    <w:qFormat/>
    <w:rsid w:val="00522396"/>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E8296D"/>
    <w:pPr>
      <w:keepNext/>
      <w:spacing w:line="300" w:lineRule="atLeast"/>
    </w:pPr>
    <w:rPr>
      <w:b/>
      <w:sz w:val="26"/>
    </w:rPr>
  </w:style>
  <w:style w:type="paragraph" w:customStyle="1" w:styleId="Box1Bullet">
    <w:name w:val="Box 1 Bullet"/>
    <w:basedOn w:val="Box1Text"/>
    <w:qFormat/>
    <w:rsid w:val="00C42541"/>
    <w:pPr>
      <w:numPr>
        <w:numId w:val="11"/>
      </w:numPr>
      <w:ind w:left="454" w:hanging="170"/>
    </w:pPr>
  </w:style>
  <w:style w:type="paragraph" w:customStyle="1" w:styleId="Box2Bullet">
    <w:name w:val="Box 2 Bullet"/>
    <w:basedOn w:val="Box2Text"/>
    <w:qFormat/>
    <w:rsid w:val="00C42541"/>
    <w:pPr>
      <w:numPr>
        <w:numId w:val="12"/>
      </w:numPr>
      <w:ind w:left="454" w:hanging="170"/>
    </w:pPr>
  </w:style>
  <w:style w:type="paragraph" w:styleId="BodyText">
    <w:name w:val="Body Text"/>
    <w:basedOn w:val="Normal"/>
    <w:link w:val="BodyTextChar"/>
    <w:uiPriority w:val="99"/>
    <w:unhideWhenUsed/>
    <w:rsid w:val="000020C1"/>
  </w:style>
  <w:style w:type="character" w:customStyle="1" w:styleId="BodyTextChar">
    <w:name w:val="Body Text Char"/>
    <w:basedOn w:val="DefaultParagraphFont"/>
    <w:link w:val="BodyText"/>
    <w:uiPriority w:val="99"/>
    <w:rsid w:val="000020C1"/>
    <w:rPr>
      <w:color w:val="495965" w:themeColor="text2"/>
      <w:lang w:val="en-GB"/>
    </w:rPr>
  </w:style>
  <w:style w:type="paragraph" w:styleId="BodyText2">
    <w:name w:val="Body Text 2"/>
    <w:basedOn w:val="Normal"/>
    <w:link w:val="BodyText2Char"/>
    <w:uiPriority w:val="99"/>
    <w:semiHidden/>
    <w:unhideWhenUsed/>
    <w:locked/>
    <w:rsid w:val="000020C1"/>
    <w:pPr>
      <w:spacing w:line="480" w:lineRule="auto"/>
    </w:pPr>
  </w:style>
  <w:style w:type="character" w:customStyle="1" w:styleId="BodyText2Char">
    <w:name w:val="Body Text 2 Char"/>
    <w:basedOn w:val="DefaultParagraphFont"/>
    <w:link w:val="BodyText2"/>
    <w:uiPriority w:val="99"/>
    <w:semiHidden/>
    <w:rsid w:val="000020C1"/>
    <w:rPr>
      <w:color w:val="495965" w:themeColor="text2"/>
      <w:lang w:val="en-GB"/>
    </w:rPr>
  </w:style>
  <w:style w:type="paragraph" w:styleId="BodyText3">
    <w:name w:val="Body Text 3"/>
    <w:basedOn w:val="Normal"/>
    <w:link w:val="BodyText3Char"/>
    <w:uiPriority w:val="99"/>
    <w:semiHidden/>
    <w:unhideWhenUsed/>
    <w:locked/>
    <w:rsid w:val="000020C1"/>
    <w:rPr>
      <w:sz w:val="16"/>
      <w:szCs w:val="16"/>
    </w:rPr>
  </w:style>
  <w:style w:type="character" w:customStyle="1" w:styleId="BodyText3Char">
    <w:name w:val="Body Text 3 Char"/>
    <w:basedOn w:val="DefaultParagraphFont"/>
    <w:link w:val="BodyText3"/>
    <w:uiPriority w:val="99"/>
    <w:semiHidden/>
    <w:rsid w:val="000020C1"/>
    <w:rPr>
      <w:color w:val="495965" w:themeColor="text2"/>
      <w:sz w:val="16"/>
      <w:szCs w:val="16"/>
      <w:lang w:val="en-GB"/>
    </w:rPr>
  </w:style>
  <w:style w:type="paragraph" w:styleId="BodyTextFirstIndent">
    <w:name w:val="Body Text First Indent"/>
    <w:basedOn w:val="NormalIndented"/>
    <w:link w:val="BodyTextFirstIndentChar"/>
    <w:uiPriority w:val="99"/>
    <w:unhideWhenUsed/>
    <w:rsid w:val="000020C1"/>
  </w:style>
  <w:style w:type="character" w:customStyle="1" w:styleId="BodyTextFirstIndentChar">
    <w:name w:val="Body Text First Indent Char"/>
    <w:basedOn w:val="BodyTextChar"/>
    <w:link w:val="BodyTextFirstIndent"/>
    <w:uiPriority w:val="99"/>
    <w:rsid w:val="000020C1"/>
    <w:rPr>
      <w:color w:val="495965" w:themeColor="text2"/>
      <w:lang w:val="en-GB"/>
    </w:rPr>
  </w:style>
  <w:style w:type="paragraph" w:styleId="BodyTextIndent">
    <w:name w:val="Body Text Indent"/>
    <w:basedOn w:val="Normal"/>
    <w:link w:val="BodyTextIndentChar"/>
    <w:uiPriority w:val="99"/>
    <w:semiHidden/>
    <w:unhideWhenUsed/>
    <w:locked/>
    <w:rsid w:val="000020C1"/>
    <w:pPr>
      <w:spacing w:after="120"/>
      <w:ind w:left="283"/>
    </w:pPr>
  </w:style>
  <w:style w:type="character" w:customStyle="1" w:styleId="BodyTextIndentChar">
    <w:name w:val="Body Text Indent Char"/>
    <w:basedOn w:val="DefaultParagraphFont"/>
    <w:link w:val="BodyTextIndent"/>
    <w:uiPriority w:val="99"/>
    <w:semiHidden/>
    <w:rsid w:val="000020C1"/>
    <w:rPr>
      <w:color w:val="495965" w:themeColor="text2"/>
      <w:lang w:val="en-GB"/>
    </w:rPr>
  </w:style>
  <w:style w:type="paragraph" w:styleId="BodyTextFirstIndent2">
    <w:name w:val="Body Text First Indent 2"/>
    <w:basedOn w:val="BodyTextIndent"/>
    <w:link w:val="BodyTextFirstIndent2Char"/>
    <w:uiPriority w:val="99"/>
    <w:semiHidden/>
    <w:unhideWhenUsed/>
    <w:locked/>
    <w:rsid w:val="00E8457B"/>
    <w:pPr>
      <w:spacing w:after="60"/>
      <w:ind w:left="567"/>
    </w:pPr>
  </w:style>
  <w:style w:type="character" w:customStyle="1" w:styleId="BodyTextFirstIndent2Char">
    <w:name w:val="Body Text First Indent 2 Char"/>
    <w:basedOn w:val="BodyTextIndentChar"/>
    <w:link w:val="BodyTextFirstIndent2"/>
    <w:uiPriority w:val="99"/>
    <w:semiHidden/>
    <w:rsid w:val="00E8457B"/>
    <w:rPr>
      <w:color w:val="495965" w:themeColor="text2"/>
      <w:lang w:val="en-GB"/>
    </w:rPr>
  </w:style>
  <w:style w:type="paragraph" w:styleId="BlockText">
    <w:name w:val="Block Text"/>
    <w:basedOn w:val="Normal"/>
    <w:uiPriority w:val="99"/>
    <w:unhideWhenUsed/>
    <w:locked/>
    <w:rsid w:val="00E8457B"/>
    <w:pPr>
      <w:pBdr>
        <w:top w:val="single" w:sz="2" w:space="10" w:color="65C5B4" w:themeColor="accent1"/>
        <w:left w:val="single" w:sz="2" w:space="10" w:color="65C5B4" w:themeColor="accent1"/>
        <w:bottom w:val="single" w:sz="2" w:space="10" w:color="65C5B4" w:themeColor="accent1"/>
        <w:right w:val="single" w:sz="2" w:space="10" w:color="65C5B4" w:themeColor="accent1"/>
      </w:pBdr>
      <w:ind w:left="1152" w:right="1152"/>
    </w:pPr>
    <w:rPr>
      <w:rFonts w:eastAsiaTheme="minorEastAsia"/>
      <w:i/>
      <w:iCs/>
      <w:color w:val="65C5B4" w:themeColor="accent1"/>
    </w:rPr>
  </w:style>
  <w:style w:type="table" w:customStyle="1" w:styleId="DFATTable2">
    <w:name w:val="DFAT Table 2"/>
    <w:basedOn w:val="TableNormal"/>
    <w:uiPriority w:val="99"/>
    <w:rsid w:val="00482AE8"/>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style>
  <w:style w:type="character" w:styleId="CommentReference">
    <w:name w:val="annotation reference"/>
    <w:basedOn w:val="DefaultParagraphFont"/>
    <w:uiPriority w:val="99"/>
    <w:semiHidden/>
    <w:unhideWhenUsed/>
    <w:rsid w:val="005204D2"/>
    <w:rPr>
      <w:sz w:val="16"/>
      <w:szCs w:val="16"/>
    </w:rPr>
  </w:style>
  <w:style w:type="paragraph" w:styleId="CommentText">
    <w:name w:val="annotation text"/>
    <w:basedOn w:val="Normal"/>
    <w:link w:val="CommentTextChar"/>
    <w:uiPriority w:val="99"/>
    <w:unhideWhenUsed/>
    <w:rsid w:val="005204D2"/>
    <w:pPr>
      <w:spacing w:line="240" w:lineRule="auto"/>
    </w:pPr>
    <w:rPr>
      <w:sz w:val="20"/>
      <w:szCs w:val="20"/>
    </w:rPr>
  </w:style>
  <w:style w:type="character" w:customStyle="1" w:styleId="CommentTextChar">
    <w:name w:val="Comment Text Char"/>
    <w:basedOn w:val="DefaultParagraphFont"/>
    <w:link w:val="CommentText"/>
    <w:uiPriority w:val="99"/>
    <w:rsid w:val="005204D2"/>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5204D2"/>
    <w:rPr>
      <w:b/>
      <w:bCs/>
    </w:rPr>
  </w:style>
  <w:style w:type="character" w:customStyle="1" w:styleId="CommentSubjectChar">
    <w:name w:val="Comment Subject Char"/>
    <w:basedOn w:val="CommentTextChar"/>
    <w:link w:val="CommentSubject"/>
    <w:uiPriority w:val="99"/>
    <w:semiHidden/>
    <w:rsid w:val="005204D2"/>
    <w:rPr>
      <w:b/>
      <w:bCs/>
      <w:color w:val="495965" w:themeColor="text2"/>
      <w:sz w:val="20"/>
      <w:szCs w:val="20"/>
      <w:lang w:val="en-GB"/>
    </w:rPr>
  </w:style>
  <w:style w:type="character" w:customStyle="1" w:styleId="ColourAccent1">
    <w:name w:val="Colour Accent 1"/>
    <w:basedOn w:val="DefaultParagraphFont"/>
    <w:uiPriority w:val="1"/>
    <w:qFormat/>
    <w:locked/>
    <w:rsid w:val="001214BE"/>
    <w:rPr>
      <w:color w:val="65C5B4" w:themeColor="accent1"/>
    </w:rPr>
  </w:style>
  <w:style w:type="paragraph" w:styleId="ListParagraph">
    <w:name w:val="List Paragraph"/>
    <w:aliases w:val="List Paragraph1,List Paragraph11,List Paragraph2,Bulit List -  Paragraph,Main numbered paragraph,Numbered List Paragraph,bullet 1,Recommendation,L,List Paragraph111,F5 List Paragraph,Dot pt,CV text,Numbered Paragraph,Bulleted Para,列 出 段 落"/>
    <w:basedOn w:val="Normal"/>
    <w:link w:val="ListParagraphChar"/>
    <w:uiPriority w:val="34"/>
    <w:qFormat/>
    <w:locked/>
    <w:rsid w:val="00A32858"/>
    <w:pPr>
      <w:ind w:left="720"/>
      <w:contextualSpacing/>
    </w:pPr>
  </w:style>
  <w:style w:type="paragraph" w:styleId="ListBullet">
    <w:name w:val="List Bullet"/>
    <w:basedOn w:val="BodyText"/>
    <w:qFormat/>
    <w:locked/>
    <w:rsid w:val="00A32858"/>
    <w:pPr>
      <w:numPr>
        <w:numId w:val="13"/>
      </w:numPr>
      <w:tabs>
        <w:tab w:val="left" w:pos="284"/>
      </w:tabs>
      <w:suppressAutoHyphens w:val="0"/>
      <w:spacing w:before="0" w:after="120" w:line="280" w:lineRule="exact"/>
    </w:pPr>
    <w:rPr>
      <w:rFonts w:ascii="Franklin Gothic Book" w:eastAsia="Times New Roman" w:hAnsi="Franklin Gothic Book" w:cs="Times New Roman"/>
      <w:sz w:val="21"/>
      <w:szCs w:val="24"/>
      <w:lang w:eastAsia="en-AU"/>
    </w:rPr>
  </w:style>
  <w:style w:type="table" w:customStyle="1" w:styleId="TableGrid1">
    <w:name w:val="Table Grid1"/>
    <w:basedOn w:val="TableNormal"/>
    <w:next w:val="TableGrid"/>
    <w:uiPriority w:val="39"/>
    <w:locked/>
    <w:rsid w:val="00B22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aliases w:val="Table/Chart Title"/>
    <w:basedOn w:val="Heading2Char"/>
    <w:uiPriority w:val="33"/>
    <w:qFormat/>
    <w:locked/>
    <w:rsid w:val="00B22583"/>
    <w:rPr>
      <w:rFonts w:ascii="Calibri" w:eastAsiaTheme="majorEastAsia" w:hAnsi="Calibri" w:cstheme="majorBidi"/>
      <w:b w:val="0"/>
      <w:bCs/>
      <w:i/>
      <w:caps/>
      <w:color w:val="7C8C88"/>
      <w:sz w:val="26"/>
      <w:szCs w:val="26"/>
      <w:lang w:val="en-GB"/>
    </w:rPr>
  </w:style>
  <w:style w:type="paragraph" w:customStyle="1" w:styleId="Tablecolumnheading">
    <w:name w:val="Table column heading"/>
    <w:basedOn w:val="Normal"/>
    <w:qFormat/>
    <w:rsid w:val="00B22583"/>
    <w:pPr>
      <w:keepNext/>
      <w:suppressAutoHyphens w:val="0"/>
      <w:spacing w:before="57" w:after="57" w:line="220" w:lineRule="atLeast"/>
      <w:ind w:left="96" w:right="96"/>
      <w:jc w:val="center"/>
    </w:pPr>
    <w:rPr>
      <w:rFonts w:eastAsia="Times New Roman" w:cs="Times New Roman"/>
      <w:b/>
      <w:color w:val="FFFFFF" w:themeColor="background1"/>
      <w:sz w:val="20"/>
      <w:szCs w:val="20"/>
    </w:rPr>
  </w:style>
  <w:style w:type="paragraph" w:customStyle="1" w:styleId="BodyTextHanging">
    <w:name w:val="Body Text Hanging"/>
    <w:basedOn w:val="BodyText"/>
    <w:link w:val="BodyTextHangingChar"/>
    <w:qFormat/>
    <w:rsid w:val="00B22583"/>
    <w:pPr>
      <w:spacing w:before="0" w:after="120" w:line="240" w:lineRule="auto"/>
    </w:pPr>
    <w:rPr>
      <w:rFonts w:ascii="Calibri" w:hAnsi="Calibri"/>
      <w:color w:val="000000" w:themeColor="text1"/>
      <w:lang w:eastAsia="en-AU"/>
    </w:rPr>
  </w:style>
  <w:style w:type="character" w:customStyle="1" w:styleId="BodyTextHangingChar">
    <w:name w:val="Body Text Hanging Char"/>
    <w:basedOn w:val="BodyTextChar"/>
    <w:link w:val="BodyTextHanging"/>
    <w:rsid w:val="00B22583"/>
    <w:rPr>
      <w:rFonts w:ascii="Calibri" w:hAnsi="Calibri"/>
      <w:color w:val="000000" w:themeColor="text1"/>
      <w:lang w:val="en-GB" w:eastAsia="en-AU"/>
    </w:rPr>
  </w:style>
  <w:style w:type="table" w:styleId="GridTable1Light">
    <w:name w:val="Grid Table 1 Light"/>
    <w:basedOn w:val="TableNormal"/>
    <w:uiPriority w:val="46"/>
    <w:locked/>
    <w:rsid w:val="0036178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BE6074"/>
    <w:rPr>
      <w:color w:val="800080" w:themeColor="followedHyperlink"/>
      <w:u w:val="single"/>
    </w:rPr>
  </w:style>
  <w:style w:type="paragraph" w:styleId="Revision">
    <w:name w:val="Revision"/>
    <w:hidden/>
    <w:uiPriority w:val="99"/>
    <w:semiHidden/>
    <w:rsid w:val="00A64085"/>
    <w:pPr>
      <w:spacing w:after="0" w:line="240" w:lineRule="auto"/>
    </w:pPr>
    <w:rPr>
      <w:color w:val="495965" w:themeColor="text2"/>
      <w:lang w:val="en-GB"/>
    </w:rPr>
  </w:style>
  <w:style w:type="character" w:customStyle="1" w:styleId="ListParagraphChar">
    <w:name w:val="List Paragraph Char"/>
    <w:aliases w:val="List Paragraph1 Char,List Paragraph11 Char,List Paragraph2 Char,Bulit List -  Paragraph Char,Main numbered paragraph Char,Numbered List Paragraph Char,bullet 1 Char,Recommendation Char,L Char,List Paragraph111 Char,Dot pt Char"/>
    <w:basedOn w:val="DefaultParagraphFont"/>
    <w:link w:val="ListParagraph"/>
    <w:uiPriority w:val="34"/>
    <w:locked/>
    <w:rsid w:val="007A26F1"/>
    <w:rPr>
      <w:color w:val="495965" w:themeColor="text2"/>
      <w:lang w:val="en-GB"/>
    </w:rPr>
  </w:style>
  <w:style w:type="character" w:styleId="UnresolvedMention">
    <w:name w:val="Unresolved Mention"/>
    <w:basedOn w:val="DefaultParagraphFont"/>
    <w:uiPriority w:val="99"/>
    <w:semiHidden/>
    <w:unhideWhenUsed/>
    <w:rsid w:val="002200D9"/>
    <w:rPr>
      <w:color w:val="605E5C"/>
      <w:shd w:val="clear" w:color="auto" w:fill="E1DFDD"/>
    </w:rPr>
  </w:style>
  <w:style w:type="character" w:customStyle="1" w:styleId="normaltextrun">
    <w:name w:val="normaltextrun"/>
    <w:basedOn w:val="DefaultParagraphFont"/>
    <w:rsid w:val="00CA5E15"/>
  </w:style>
  <w:style w:type="character" w:customStyle="1" w:styleId="findhit">
    <w:name w:val="findhit"/>
    <w:basedOn w:val="DefaultParagraphFont"/>
    <w:rsid w:val="00CA5E15"/>
  </w:style>
  <w:style w:type="paragraph" w:customStyle="1" w:styleId="referencianotaalpieChar">
    <w:name w:val="referencia nota al pie Char"/>
    <w:aliases w:val="BVI fnr Char,BVI fnr Car Car Char,BVI fnr Car Char,BVI fnr Car Car Car Car Char Char,BVI fnr Char Char Char Char,BVI fnr Car Car Char Char Char Char,BVI fnr Char Char1,BVI fnr Car Car Char Char1,BVI fnr Car Char Char1"/>
    <w:basedOn w:val="Normal"/>
    <w:link w:val="FootnoteReference"/>
    <w:uiPriority w:val="99"/>
    <w:rsid w:val="003F2C8F"/>
    <w:pPr>
      <w:suppressAutoHyphens w:val="0"/>
      <w:spacing w:before="0" w:after="160" w:line="240" w:lineRule="exact"/>
    </w:pPr>
    <w:rPr>
      <w:color w:val="auto"/>
      <w:vertAlign w:val="superscript"/>
    </w:rPr>
  </w:style>
  <w:style w:type="paragraph" w:customStyle="1" w:styleId="whitespace-normal">
    <w:name w:val="whitespace-normal"/>
    <w:basedOn w:val="Normal"/>
    <w:rsid w:val="00CA3E7C"/>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IDD1">
    <w:name w:val="IDD 1"/>
    <w:basedOn w:val="Normal"/>
    <w:link w:val="IDD1Char"/>
    <w:qFormat/>
    <w:rsid w:val="00873CBE"/>
    <w:pPr>
      <w:numPr>
        <w:numId w:val="1"/>
      </w:numPr>
      <w:pBdr>
        <w:top w:val="single" w:sz="4" w:space="1" w:color="677370" w:themeColor="background2" w:themeShade="80"/>
        <w:left w:val="single" w:sz="4" w:space="4" w:color="677370" w:themeColor="background2" w:themeShade="80"/>
        <w:bottom w:val="single" w:sz="4" w:space="0" w:color="677370" w:themeColor="background2" w:themeShade="80"/>
        <w:right w:val="single" w:sz="4" w:space="4" w:color="677370" w:themeColor="background2" w:themeShade="80"/>
      </w:pBdr>
      <w:shd w:val="clear" w:color="auto" w:fill="E0F3EF" w:themeFill="accent1" w:themeFillTint="33"/>
      <w:spacing w:before="240" w:after="120"/>
    </w:pPr>
    <w:rPr>
      <w:rFonts w:asciiTheme="majorHAnsi" w:hAnsiTheme="majorHAnsi"/>
      <w:b/>
      <w:szCs w:val="21"/>
    </w:rPr>
  </w:style>
  <w:style w:type="character" w:customStyle="1" w:styleId="IDD1Char">
    <w:name w:val="IDD 1 Char"/>
    <w:basedOn w:val="DefaultParagraphFont"/>
    <w:link w:val="IDD1"/>
    <w:rsid w:val="00B76792"/>
    <w:rPr>
      <w:rFonts w:asciiTheme="majorHAnsi" w:hAnsiTheme="majorHAnsi"/>
      <w:b/>
      <w:color w:val="495965" w:themeColor="text2"/>
      <w:szCs w:val="21"/>
      <w:shd w:val="clear" w:color="auto" w:fill="E0F3EF" w:themeFill="accent1" w:themeFillTint="33"/>
    </w:rPr>
  </w:style>
  <w:style w:type="paragraph" w:customStyle="1" w:styleId="IDD2">
    <w:name w:val="IDD 2"/>
    <w:basedOn w:val="Normal"/>
    <w:link w:val="IDD2Char"/>
    <w:qFormat/>
    <w:rsid w:val="00B76792"/>
    <w:rPr>
      <w:b/>
      <w:bCs/>
      <w:i/>
      <w:color w:val="007C89" w:themeColor="accent6"/>
    </w:rPr>
  </w:style>
  <w:style w:type="character" w:customStyle="1" w:styleId="IDD2Char">
    <w:name w:val="IDD 2 Char"/>
    <w:basedOn w:val="DefaultParagraphFont"/>
    <w:link w:val="IDD2"/>
    <w:rsid w:val="00B76792"/>
    <w:rPr>
      <w:b/>
      <w:bCs/>
      <w:i/>
      <w:color w:val="007C89" w:themeColor="accent6"/>
      <w:lang w:val="en-GB"/>
    </w:rPr>
  </w:style>
  <w:style w:type="paragraph" w:styleId="NormalWeb">
    <w:name w:val="Normal (Web)"/>
    <w:basedOn w:val="Normal"/>
    <w:uiPriority w:val="99"/>
    <w:semiHidden/>
    <w:unhideWhenUsed/>
    <w:rsid w:val="001A1256"/>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f0">
    <w:name w:val="pf0"/>
    <w:basedOn w:val="Normal"/>
    <w:rsid w:val="00D6277B"/>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cf01">
    <w:name w:val="cf01"/>
    <w:basedOn w:val="DefaultParagraphFont"/>
    <w:rsid w:val="00D6277B"/>
    <w:rPr>
      <w:rFonts w:ascii="Segoe UI" w:hAnsi="Segoe UI" w:cs="Segoe UI" w:hint="default"/>
      <w:color w:val="495965"/>
      <w:sz w:val="18"/>
      <w:szCs w:val="18"/>
    </w:rPr>
  </w:style>
  <w:style w:type="character" w:styleId="Mention">
    <w:name w:val="Mention"/>
    <w:basedOn w:val="DefaultParagraphFont"/>
    <w:uiPriority w:val="99"/>
    <w:unhideWhenUsed/>
    <w:rsid w:val="00A20A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7810">
      <w:bodyDiv w:val="1"/>
      <w:marLeft w:val="0"/>
      <w:marRight w:val="0"/>
      <w:marTop w:val="0"/>
      <w:marBottom w:val="0"/>
      <w:divBdr>
        <w:top w:val="none" w:sz="0" w:space="0" w:color="auto"/>
        <w:left w:val="none" w:sz="0" w:space="0" w:color="auto"/>
        <w:bottom w:val="none" w:sz="0" w:space="0" w:color="auto"/>
        <w:right w:val="none" w:sz="0" w:space="0" w:color="auto"/>
      </w:divBdr>
    </w:div>
    <w:div w:id="29502927">
      <w:bodyDiv w:val="1"/>
      <w:marLeft w:val="0"/>
      <w:marRight w:val="0"/>
      <w:marTop w:val="0"/>
      <w:marBottom w:val="0"/>
      <w:divBdr>
        <w:top w:val="none" w:sz="0" w:space="0" w:color="auto"/>
        <w:left w:val="none" w:sz="0" w:space="0" w:color="auto"/>
        <w:bottom w:val="none" w:sz="0" w:space="0" w:color="auto"/>
        <w:right w:val="none" w:sz="0" w:space="0" w:color="auto"/>
      </w:divBdr>
    </w:div>
    <w:div w:id="57171129">
      <w:bodyDiv w:val="1"/>
      <w:marLeft w:val="0"/>
      <w:marRight w:val="0"/>
      <w:marTop w:val="0"/>
      <w:marBottom w:val="0"/>
      <w:divBdr>
        <w:top w:val="none" w:sz="0" w:space="0" w:color="auto"/>
        <w:left w:val="none" w:sz="0" w:space="0" w:color="auto"/>
        <w:bottom w:val="none" w:sz="0" w:space="0" w:color="auto"/>
        <w:right w:val="none" w:sz="0" w:space="0" w:color="auto"/>
      </w:divBdr>
    </w:div>
    <w:div w:id="64449846">
      <w:bodyDiv w:val="1"/>
      <w:marLeft w:val="0"/>
      <w:marRight w:val="0"/>
      <w:marTop w:val="0"/>
      <w:marBottom w:val="0"/>
      <w:divBdr>
        <w:top w:val="none" w:sz="0" w:space="0" w:color="auto"/>
        <w:left w:val="none" w:sz="0" w:space="0" w:color="auto"/>
        <w:bottom w:val="none" w:sz="0" w:space="0" w:color="auto"/>
        <w:right w:val="none" w:sz="0" w:space="0" w:color="auto"/>
      </w:divBdr>
    </w:div>
    <w:div w:id="85031608">
      <w:bodyDiv w:val="1"/>
      <w:marLeft w:val="0"/>
      <w:marRight w:val="0"/>
      <w:marTop w:val="0"/>
      <w:marBottom w:val="0"/>
      <w:divBdr>
        <w:top w:val="none" w:sz="0" w:space="0" w:color="auto"/>
        <w:left w:val="none" w:sz="0" w:space="0" w:color="auto"/>
        <w:bottom w:val="none" w:sz="0" w:space="0" w:color="auto"/>
        <w:right w:val="none" w:sz="0" w:space="0" w:color="auto"/>
      </w:divBdr>
    </w:div>
    <w:div w:id="100951278">
      <w:bodyDiv w:val="1"/>
      <w:marLeft w:val="0"/>
      <w:marRight w:val="0"/>
      <w:marTop w:val="0"/>
      <w:marBottom w:val="0"/>
      <w:divBdr>
        <w:top w:val="none" w:sz="0" w:space="0" w:color="auto"/>
        <w:left w:val="none" w:sz="0" w:space="0" w:color="auto"/>
        <w:bottom w:val="none" w:sz="0" w:space="0" w:color="auto"/>
        <w:right w:val="none" w:sz="0" w:space="0" w:color="auto"/>
      </w:divBdr>
    </w:div>
    <w:div w:id="120079536">
      <w:bodyDiv w:val="1"/>
      <w:marLeft w:val="0"/>
      <w:marRight w:val="0"/>
      <w:marTop w:val="0"/>
      <w:marBottom w:val="0"/>
      <w:divBdr>
        <w:top w:val="none" w:sz="0" w:space="0" w:color="auto"/>
        <w:left w:val="none" w:sz="0" w:space="0" w:color="auto"/>
        <w:bottom w:val="none" w:sz="0" w:space="0" w:color="auto"/>
        <w:right w:val="none" w:sz="0" w:space="0" w:color="auto"/>
      </w:divBdr>
    </w:div>
    <w:div w:id="143934542">
      <w:bodyDiv w:val="1"/>
      <w:marLeft w:val="0"/>
      <w:marRight w:val="0"/>
      <w:marTop w:val="0"/>
      <w:marBottom w:val="0"/>
      <w:divBdr>
        <w:top w:val="none" w:sz="0" w:space="0" w:color="auto"/>
        <w:left w:val="none" w:sz="0" w:space="0" w:color="auto"/>
        <w:bottom w:val="none" w:sz="0" w:space="0" w:color="auto"/>
        <w:right w:val="none" w:sz="0" w:space="0" w:color="auto"/>
      </w:divBdr>
    </w:div>
    <w:div w:id="158891413">
      <w:bodyDiv w:val="1"/>
      <w:marLeft w:val="0"/>
      <w:marRight w:val="0"/>
      <w:marTop w:val="0"/>
      <w:marBottom w:val="0"/>
      <w:divBdr>
        <w:top w:val="none" w:sz="0" w:space="0" w:color="auto"/>
        <w:left w:val="none" w:sz="0" w:space="0" w:color="auto"/>
        <w:bottom w:val="none" w:sz="0" w:space="0" w:color="auto"/>
        <w:right w:val="none" w:sz="0" w:space="0" w:color="auto"/>
      </w:divBdr>
    </w:div>
    <w:div w:id="173112540">
      <w:bodyDiv w:val="1"/>
      <w:marLeft w:val="0"/>
      <w:marRight w:val="0"/>
      <w:marTop w:val="0"/>
      <w:marBottom w:val="0"/>
      <w:divBdr>
        <w:top w:val="none" w:sz="0" w:space="0" w:color="auto"/>
        <w:left w:val="none" w:sz="0" w:space="0" w:color="auto"/>
        <w:bottom w:val="none" w:sz="0" w:space="0" w:color="auto"/>
        <w:right w:val="none" w:sz="0" w:space="0" w:color="auto"/>
      </w:divBdr>
    </w:div>
    <w:div w:id="211772242">
      <w:bodyDiv w:val="1"/>
      <w:marLeft w:val="0"/>
      <w:marRight w:val="0"/>
      <w:marTop w:val="0"/>
      <w:marBottom w:val="0"/>
      <w:divBdr>
        <w:top w:val="none" w:sz="0" w:space="0" w:color="auto"/>
        <w:left w:val="none" w:sz="0" w:space="0" w:color="auto"/>
        <w:bottom w:val="none" w:sz="0" w:space="0" w:color="auto"/>
        <w:right w:val="none" w:sz="0" w:space="0" w:color="auto"/>
      </w:divBdr>
    </w:div>
    <w:div w:id="227351603">
      <w:bodyDiv w:val="1"/>
      <w:marLeft w:val="0"/>
      <w:marRight w:val="0"/>
      <w:marTop w:val="0"/>
      <w:marBottom w:val="0"/>
      <w:divBdr>
        <w:top w:val="none" w:sz="0" w:space="0" w:color="auto"/>
        <w:left w:val="none" w:sz="0" w:space="0" w:color="auto"/>
        <w:bottom w:val="none" w:sz="0" w:space="0" w:color="auto"/>
        <w:right w:val="none" w:sz="0" w:space="0" w:color="auto"/>
      </w:divBdr>
    </w:div>
    <w:div w:id="236864963">
      <w:bodyDiv w:val="1"/>
      <w:marLeft w:val="0"/>
      <w:marRight w:val="0"/>
      <w:marTop w:val="0"/>
      <w:marBottom w:val="0"/>
      <w:divBdr>
        <w:top w:val="none" w:sz="0" w:space="0" w:color="auto"/>
        <w:left w:val="none" w:sz="0" w:space="0" w:color="auto"/>
        <w:bottom w:val="none" w:sz="0" w:space="0" w:color="auto"/>
        <w:right w:val="none" w:sz="0" w:space="0" w:color="auto"/>
      </w:divBdr>
    </w:div>
    <w:div w:id="262232222">
      <w:bodyDiv w:val="1"/>
      <w:marLeft w:val="0"/>
      <w:marRight w:val="0"/>
      <w:marTop w:val="0"/>
      <w:marBottom w:val="0"/>
      <w:divBdr>
        <w:top w:val="none" w:sz="0" w:space="0" w:color="auto"/>
        <w:left w:val="none" w:sz="0" w:space="0" w:color="auto"/>
        <w:bottom w:val="none" w:sz="0" w:space="0" w:color="auto"/>
        <w:right w:val="none" w:sz="0" w:space="0" w:color="auto"/>
      </w:divBdr>
    </w:div>
    <w:div w:id="309336456">
      <w:bodyDiv w:val="1"/>
      <w:marLeft w:val="0"/>
      <w:marRight w:val="0"/>
      <w:marTop w:val="0"/>
      <w:marBottom w:val="0"/>
      <w:divBdr>
        <w:top w:val="none" w:sz="0" w:space="0" w:color="auto"/>
        <w:left w:val="none" w:sz="0" w:space="0" w:color="auto"/>
        <w:bottom w:val="none" w:sz="0" w:space="0" w:color="auto"/>
        <w:right w:val="none" w:sz="0" w:space="0" w:color="auto"/>
      </w:divBdr>
    </w:div>
    <w:div w:id="446629526">
      <w:bodyDiv w:val="1"/>
      <w:marLeft w:val="0"/>
      <w:marRight w:val="0"/>
      <w:marTop w:val="0"/>
      <w:marBottom w:val="0"/>
      <w:divBdr>
        <w:top w:val="none" w:sz="0" w:space="0" w:color="auto"/>
        <w:left w:val="none" w:sz="0" w:space="0" w:color="auto"/>
        <w:bottom w:val="none" w:sz="0" w:space="0" w:color="auto"/>
        <w:right w:val="none" w:sz="0" w:space="0" w:color="auto"/>
      </w:divBdr>
    </w:div>
    <w:div w:id="448397317">
      <w:bodyDiv w:val="1"/>
      <w:marLeft w:val="0"/>
      <w:marRight w:val="0"/>
      <w:marTop w:val="0"/>
      <w:marBottom w:val="0"/>
      <w:divBdr>
        <w:top w:val="none" w:sz="0" w:space="0" w:color="auto"/>
        <w:left w:val="none" w:sz="0" w:space="0" w:color="auto"/>
        <w:bottom w:val="none" w:sz="0" w:space="0" w:color="auto"/>
        <w:right w:val="none" w:sz="0" w:space="0" w:color="auto"/>
      </w:divBdr>
    </w:div>
    <w:div w:id="464272157">
      <w:bodyDiv w:val="1"/>
      <w:marLeft w:val="0"/>
      <w:marRight w:val="0"/>
      <w:marTop w:val="0"/>
      <w:marBottom w:val="0"/>
      <w:divBdr>
        <w:top w:val="none" w:sz="0" w:space="0" w:color="auto"/>
        <w:left w:val="none" w:sz="0" w:space="0" w:color="auto"/>
        <w:bottom w:val="none" w:sz="0" w:space="0" w:color="auto"/>
        <w:right w:val="none" w:sz="0" w:space="0" w:color="auto"/>
      </w:divBdr>
    </w:div>
    <w:div w:id="497815938">
      <w:bodyDiv w:val="1"/>
      <w:marLeft w:val="0"/>
      <w:marRight w:val="0"/>
      <w:marTop w:val="0"/>
      <w:marBottom w:val="0"/>
      <w:divBdr>
        <w:top w:val="none" w:sz="0" w:space="0" w:color="auto"/>
        <w:left w:val="none" w:sz="0" w:space="0" w:color="auto"/>
        <w:bottom w:val="none" w:sz="0" w:space="0" w:color="auto"/>
        <w:right w:val="none" w:sz="0" w:space="0" w:color="auto"/>
      </w:divBdr>
    </w:div>
    <w:div w:id="512495614">
      <w:bodyDiv w:val="1"/>
      <w:marLeft w:val="0"/>
      <w:marRight w:val="0"/>
      <w:marTop w:val="0"/>
      <w:marBottom w:val="0"/>
      <w:divBdr>
        <w:top w:val="none" w:sz="0" w:space="0" w:color="auto"/>
        <w:left w:val="none" w:sz="0" w:space="0" w:color="auto"/>
        <w:bottom w:val="none" w:sz="0" w:space="0" w:color="auto"/>
        <w:right w:val="none" w:sz="0" w:space="0" w:color="auto"/>
      </w:divBdr>
    </w:div>
    <w:div w:id="633683184">
      <w:bodyDiv w:val="1"/>
      <w:marLeft w:val="0"/>
      <w:marRight w:val="0"/>
      <w:marTop w:val="0"/>
      <w:marBottom w:val="0"/>
      <w:divBdr>
        <w:top w:val="none" w:sz="0" w:space="0" w:color="auto"/>
        <w:left w:val="none" w:sz="0" w:space="0" w:color="auto"/>
        <w:bottom w:val="none" w:sz="0" w:space="0" w:color="auto"/>
        <w:right w:val="none" w:sz="0" w:space="0" w:color="auto"/>
      </w:divBdr>
    </w:div>
    <w:div w:id="674573042">
      <w:bodyDiv w:val="1"/>
      <w:marLeft w:val="0"/>
      <w:marRight w:val="0"/>
      <w:marTop w:val="0"/>
      <w:marBottom w:val="0"/>
      <w:divBdr>
        <w:top w:val="none" w:sz="0" w:space="0" w:color="auto"/>
        <w:left w:val="none" w:sz="0" w:space="0" w:color="auto"/>
        <w:bottom w:val="none" w:sz="0" w:space="0" w:color="auto"/>
        <w:right w:val="none" w:sz="0" w:space="0" w:color="auto"/>
      </w:divBdr>
    </w:div>
    <w:div w:id="731269796">
      <w:bodyDiv w:val="1"/>
      <w:marLeft w:val="0"/>
      <w:marRight w:val="0"/>
      <w:marTop w:val="0"/>
      <w:marBottom w:val="0"/>
      <w:divBdr>
        <w:top w:val="none" w:sz="0" w:space="0" w:color="auto"/>
        <w:left w:val="none" w:sz="0" w:space="0" w:color="auto"/>
        <w:bottom w:val="none" w:sz="0" w:space="0" w:color="auto"/>
        <w:right w:val="none" w:sz="0" w:space="0" w:color="auto"/>
      </w:divBdr>
      <w:divsChild>
        <w:div w:id="383335626">
          <w:marLeft w:val="0"/>
          <w:marRight w:val="0"/>
          <w:marTop w:val="0"/>
          <w:marBottom w:val="0"/>
          <w:divBdr>
            <w:top w:val="none" w:sz="0" w:space="0" w:color="auto"/>
            <w:left w:val="none" w:sz="0" w:space="0" w:color="auto"/>
            <w:bottom w:val="none" w:sz="0" w:space="0" w:color="auto"/>
            <w:right w:val="none" w:sz="0" w:space="0" w:color="auto"/>
          </w:divBdr>
          <w:divsChild>
            <w:div w:id="227612294">
              <w:marLeft w:val="0"/>
              <w:marRight w:val="0"/>
              <w:marTop w:val="0"/>
              <w:marBottom w:val="0"/>
              <w:divBdr>
                <w:top w:val="none" w:sz="0" w:space="0" w:color="auto"/>
                <w:left w:val="none" w:sz="0" w:space="0" w:color="auto"/>
                <w:bottom w:val="none" w:sz="0" w:space="0" w:color="auto"/>
                <w:right w:val="none" w:sz="0" w:space="0" w:color="auto"/>
              </w:divBdr>
            </w:div>
            <w:div w:id="1191341521">
              <w:marLeft w:val="0"/>
              <w:marRight w:val="0"/>
              <w:marTop w:val="0"/>
              <w:marBottom w:val="0"/>
              <w:divBdr>
                <w:top w:val="none" w:sz="0" w:space="0" w:color="auto"/>
                <w:left w:val="none" w:sz="0" w:space="0" w:color="auto"/>
                <w:bottom w:val="none" w:sz="0" w:space="0" w:color="auto"/>
                <w:right w:val="none" w:sz="0" w:space="0" w:color="auto"/>
              </w:divBdr>
            </w:div>
            <w:div w:id="15761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92202">
      <w:bodyDiv w:val="1"/>
      <w:marLeft w:val="0"/>
      <w:marRight w:val="0"/>
      <w:marTop w:val="0"/>
      <w:marBottom w:val="0"/>
      <w:divBdr>
        <w:top w:val="none" w:sz="0" w:space="0" w:color="auto"/>
        <w:left w:val="none" w:sz="0" w:space="0" w:color="auto"/>
        <w:bottom w:val="none" w:sz="0" w:space="0" w:color="auto"/>
        <w:right w:val="none" w:sz="0" w:space="0" w:color="auto"/>
      </w:divBdr>
    </w:div>
    <w:div w:id="782962159">
      <w:bodyDiv w:val="1"/>
      <w:marLeft w:val="0"/>
      <w:marRight w:val="0"/>
      <w:marTop w:val="0"/>
      <w:marBottom w:val="0"/>
      <w:divBdr>
        <w:top w:val="none" w:sz="0" w:space="0" w:color="auto"/>
        <w:left w:val="none" w:sz="0" w:space="0" w:color="auto"/>
        <w:bottom w:val="none" w:sz="0" w:space="0" w:color="auto"/>
        <w:right w:val="none" w:sz="0" w:space="0" w:color="auto"/>
      </w:divBdr>
    </w:div>
    <w:div w:id="858661612">
      <w:bodyDiv w:val="1"/>
      <w:marLeft w:val="0"/>
      <w:marRight w:val="0"/>
      <w:marTop w:val="0"/>
      <w:marBottom w:val="0"/>
      <w:divBdr>
        <w:top w:val="none" w:sz="0" w:space="0" w:color="auto"/>
        <w:left w:val="none" w:sz="0" w:space="0" w:color="auto"/>
        <w:bottom w:val="none" w:sz="0" w:space="0" w:color="auto"/>
        <w:right w:val="none" w:sz="0" w:space="0" w:color="auto"/>
      </w:divBdr>
    </w:div>
    <w:div w:id="863254245">
      <w:bodyDiv w:val="1"/>
      <w:marLeft w:val="0"/>
      <w:marRight w:val="0"/>
      <w:marTop w:val="0"/>
      <w:marBottom w:val="0"/>
      <w:divBdr>
        <w:top w:val="none" w:sz="0" w:space="0" w:color="auto"/>
        <w:left w:val="none" w:sz="0" w:space="0" w:color="auto"/>
        <w:bottom w:val="none" w:sz="0" w:space="0" w:color="auto"/>
        <w:right w:val="none" w:sz="0" w:space="0" w:color="auto"/>
      </w:divBdr>
    </w:div>
    <w:div w:id="887255195">
      <w:bodyDiv w:val="1"/>
      <w:marLeft w:val="0"/>
      <w:marRight w:val="0"/>
      <w:marTop w:val="0"/>
      <w:marBottom w:val="0"/>
      <w:divBdr>
        <w:top w:val="none" w:sz="0" w:space="0" w:color="auto"/>
        <w:left w:val="none" w:sz="0" w:space="0" w:color="auto"/>
        <w:bottom w:val="none" w:sz="0" w:space="0" w:color="auto"/>
        <w:right w:val="none" w:sz="0" w:space="0" w:color="auto"/>
      </w:divBdr>
    </w:div>
    <w:div w:id="934635073">
      <w:bodyDiv w:val="1"/>
      <w:marLeft w:val="0"/>
      <w:marRight w:val="0"/>
      <w:marTop w:val="0"/>
      <w:marBottom w:val="0"/>
      <w:divBdr>
        <w:top w:val="none" w:sz="0" w:space="0" w:color="auto"/>
        <w:left w:val="none" w:sz="0" w:space="0" w:color="auto"/>
        <w:bottom w:val="none" w:sz="0" w:space="0" w:color="auto"/>
        <w:right w:val="none" w:sz="0" w:space="0" w:color="auto"/>
      </w:divBdr>
    </w:div>
    <w:div w:id="957178690">
      <w:bodyDiv w:val="1"/>
      <w:marLeft w:val="0"/>
      <w:marRight w:val="0"/>
      <w:marTop w:val="0"/>
      <w:marBottom w:val="0"/>
      <w:divBdr>
        <w:top w:val="none" w:sz="0" w:space="0" w:color="auto"/>
        <w:left w:val="none" w:sz="0" w:space="0" w:color="auto"/>
        <w:bottom w:val="none" w:sz="0" w:space="0" w:color="auto"/>
        <w:right w:val="none" w:sz="0" w:space="0" w:color="auto"/>
      </w:divBdr>
    </w:div>
    <w:div w:id="980236165">
      <w:bodyDiv w:val="1"/>
      <w:marLeft w:val="0"/>
      <w:marRight w:val="0"/>
      <w:marTop w:val="0"/>
      <w:marBottom w:val="0"/>
      <w:divBdr>
        <w:top w:val="none" w:sz="0" w:space="0" w:color="auto"/>
        <w:left w:val="none" w:sz="0" w:space="0" w:color="auto"/>
        <w:bottom w:val="none" w:sz="0" w:space="0" w:color="auto"/>
        <w:right w:val="none" w:sz="0" w:space="0" w:color="auto"/>
      </w:divBdr>
    </w:div>
    <w:div w:id="1055424317">
      <w:bodyDiv w:val="1"/>
      <w:marLeft w:val="0"/>
      <w:marRight w:val="0"/>
      <w:marTop w:val="0"/>
      <w:marBottom w:val="0"/>
      <w:divBdr>
        <w:top w:val="none" w:sz="0" w:space="0" w:color="auto"/>
        <w:left w:val="none" w:sz="0" w:space="0" w:color="auto"/>
        <w:bottom w:val="none" w:sz="0" w:space="0" w:color="auto"/>
        <w:right w:val="none" w:sz="0" w:space="0" w:color="auto"/>
      </w:divBdr>
    </w:div>
    <w:div w:id="1093476715">
      <w:bodyDiv w:val="1"/>
      <w:marLeft w:val="0"/>
      <w:marRight w:val="0"/>
      <w:marTop w:val="0"/>
      <w:marBottom w:val="0"/>
      <w:divBdr>
        <w:top w:val="none" w:sz="0" w:space="0" w:color="auto"/>
        <w:left w:val="none" w:sz="0" w:space="0" w:color="auto"/>
        <w:bottom w:val="none" w:sz="0" w:space="0" w:color="auto"/>
        <w:right w:val="none" w:sz="0" w:space="0" w:color="auto"/>
      </w:divBdr>
    </w:div>
    <w:div w:id="1109541327">
      <w:bodyDiv w:val="1"/>
      <w:marLeft w:val="0"/>
      <w:marRight w:val="0"/>
      <w:marTop w:val="0"/>
      <w:marBottom w:val="0"/>
      <w:divBdr>
        <w:top w:val="none" w:sz="0" w:space="0" w:color="auto"/>
        <w:left w:val="none" w:sz="0" w:space="0" w:color="auto"/>
        <w:bottom w:val="none" w:sz="0" w:space="0" w:color="auto"/>
        <w:right w:val="none" w:sz="0" w:space="0" w:color="auto"/>
      </w:divBdr>
    </w:div>
    <w:div w:id="1144739251">
      <w:bodyDiv w:val="1"/>
      <w:marLeft w:val="0"/>
      <w:marRight w:val="0"/>
      <w:marTop w:val="0"/>
      <w:marBottom w:val="0"/>
      <w:divBdr>
        <w:top w:val="none" w:sz="0" w:space="0" w:color="auto"/>
        <w:left w:val="none" w:sz="0" w:space="0" w:color="auto"/>
        <w:bottom w:val="none" w:sz="0" w:space="0" w:color="auto"/>
        <w:right w:val="none" w:sz="0" w:space="0" w:color="auto"/>
      </w:divBdr>
    </w:div>
    <w:div w:id="1151403233">
      <w:bodyDiv w:val="1"/>
      <w:marLeft w:val="0"/>
      <w:marRight w:val="0"/>
      <w:marTop w:val="0"/>
      <w:marBottom w:val="0"/>
      <w:divBdr>
        <w:top w:val="none" w:sz="0" w:space="0" w:color="auto"/>
        <w:left w:val="none" w:sz="0" w:space="0" w:color="auto"/>
        <w:bottom w:val="none" w:sz="0" w:space="0" w:color="auto"/>
        <w:right w:val="none" w:sz="0" w:space="0" w:color="auto"/>
      </w:divBdr>
    </w:div>
    <w:div w:id="1158694722">
      <w:bodyDiv w:val="1"/>
      <w:marLeft w:val="0"/>
      <w:marRight w:val="0"/>
      <w:marTop w:val="0"/>
      <w:marBottom w:val="0"/>
      <w:divBdr>
        <w:top w:val="none" w:sz="0" w:space="0" w:color="auto"/>
        <w:left w:val="none" w:sz="0" w:space="0" w:color="auto"/>
        <w:bottom w:val="none" w:sz="0" w:space="0" w:color="auto"/>
        <w:right w:val="none" w:sz="0" w:space="0" w:color="auto"/>
      </w:divBdr>
    </w:div>
    <w:div w:id="1178615968">
      <w:bodyDiv w:val="1"/>
      <w:marLeft w:val="0"/>
      <w:marRight w:val="0"/>
      <w:marTop w:val="0"/>
      <w:marBottom w:val="0"/>
      <w:divBdr>
        <w:top w:val="none" w:sz="0" w:space="0" w:color="auto"/>
        <w:left w:val="none" w:sz="0" w:space="0" w:color="auto"/>
        <w:bottom w:val="none" w:sz="0" w:space="0" w:color="auto"/>
        <w:right w:val="none" w:sz="0" w:space="0" w:color="auto"/>
      </w:divBdr>
    </w:div>
    <w:div w:id="1187256170">
      <w:bodyDiv w:val="1"/>
      <w:marLeft w:val="0"/>
      <w:marRight w:val="0"/>
      <w:marTop w:val="0"/>
      <w:marBottom w:val="0"/>
      <w:divBdr>
        <w:top w:val="none" w:sz="0" w:space="0" w:color="auto"/>
        <w:left w:val="none" w:sz="0" w:space="0" w:color="auto"/>
        <w:bottom w:val="none" w:sz="0" w:space="0" w:color="auto"/>
        <w:right w:val="none" w:sz="0" w:space="0" w:color="auto"/>
      </w:divBdr>
    </w:div>
    <w:div w:id="1211040616">
      <w:bodyDiv w:val="1"/>
      <w:marLeft w:val="0"/>
      <w:marRight w:val="0"/>
      <w:marTop w:val="0"/>
      <w:marBottom w:val="0"/>
      <w:divBdr>
        <w:top w:val="none" w:sz="0" w:space="0" w:color="auto"/>
        <w:left w:val="none" w:sz="0" w:space="0" w:color="auto"/>
        <w:bottom w:val="none" w:sz="0" w:space="0" w:color="auto"/>
        <w:right w:val="none" w:sz="0" w:space="0" w:color="auto"/>
      </w:divBdr>
    </w:div>
    <w:div w:id="1228611659">
      <w:bodyDiv w:val="1"/>
      <w:marLeft w:val="0"/>
      <w:marRight w:val="0"/>
      <w:marTop w:val="0"/>
      <w:marBottom w:val="0"/>
      <w:divBdr>
        <w:top w:val="none" w:sz="0" w:space="0" w:color="auto"/>
        <w:left w:val="none" w:sz="0" w:space="0" w:color="auto"/>
        <w:bottom w:val="none" w:sz="0" w:space="0" w:color="auto"/>
        <w:right w:val="none" w:sz="0" w:space="0" w:color="auto"/>
      </w:divBdr>
    </w:div>
    <w:div w:id="1320423003">
      <w:bodyDiv w:val="1"/>
      <w:marLeft w:val="0"/>
      <w:marRight w:val="0"/>
      <w:marTop w:val="0"/>
      <w:marBottom w:val="0"/>
      <w:divBdr>
        <w:top w:val="none" w:sz="0" w:space="0" w:color="auto"/>
        <w:left w:val="none" w:sz="0" w:space="0" w:color="auto"/>
        <w:bottom w:val="none" w:sz="0" w:space="0" w:color="auto"/>
        <w:right w:val="none" w:sz="0" w:space="0" w:color="auto"/>
      </w:divBdr>
    </w:div>
    <w:div w:id="1378823522">
      <w:bodyDiv w:val="1"/>
      <w:marLeft w:val="0"/>
      <w:marRight w:val="0"/>
      <w:marTop w:val="0"/>
      <w:marBottom w:val="0"/>
      <w:divBdr>
        <w:top w:val="none" w:sz="0" w:space="0" w:color="auto"/>
        <w:left w:val="none" w:sz="0" w:space="0" w:color="auto"/>
        <w:bottom w:val="none" w:sz="0" w:space="0" w:color="auto"/>
        <w:right w:val="none" w:sz="0" w:space="0" w:color="auto"/>
      </w:divBdr>
    </w:div>
    <w:div w:id="1394307546">
      <w:bodyDiv w:val="1"/>
      <w:marLeft w:val="0"/>
      <w:marRight w:val="0"/>
      <w:marTop w:val="0"/>
      <w:marBottom w:val="0"/>
      <w:divBdr>
        <w:top w:val="none" w:sz="0" w:space="0" w:color="auto"/>
        <w:left w:val="none" w:sz="0" w:space="0" w:color="auto"/>
        <w:bottom w:val="none" w:sz="0" w:space="0" w:color="auto"/>
        <w:right w:val="none" w:sz="0" w:space="0" w:color="auto"/>
      </w:divBdr>
    </w:div>
    <w:div w:id="1394887365">
      <w:bodyDiv w:val="1"/>
      <w:marLeft w:val="0"/>
      <w:marRight w:val="0"/>
      <w:marTop w:val="0"/>
      <w:marBottom w:val="0"/>
      <w:divBdr>
        <w:top w:val="none" w:sz="0" w:space="0" w:color="auto"/>
        <w:left w:val="none" w:sz="0" w:space="0" w:color="auto"/>
        <w:bottom w:val="none" w:sz="0" w:space="0" w:color="auto"/>
        <w:right w:val="none" w:sz="0" w:space="0" w:color="auto"/>
      </w:divBdr>
    </w:div>
    <w:div w:id="1405907158">
      <w:bodyDiv w:val="1"/>
      <w:marLeft w:val="0"/>
      <w:marRight w:val="0"/>
      <w:marTop w:val="0"/>
      <w:marBottom w:val="0"/>
      <w:divBdr>
        <w:top w:val="none" w:sz="0" w:space="0" w:color="auto"/>
        <w:left w:val="none" w:sz="0" w:space="0" w:color="auto"/>
        <w:bottom w:val="none" w:sz="0" w:space="0" w:color="auto"/>
        <w:right w:val="none" w:sz="0" w:space="0" w:color="auto"/>
      </w:divBdr>
    </w:div>
    <w:div w:id="1412586375">
      <w:bodyDiv w:val="1"/>
      <w:marLeft w:val="0"/>
      <w:marRight w:val="0"/>
      <w:marTop w:val="0"/>
      <w:marBottom w:val="0"/>
      <w:divBdr>
        <w:top w:val="none" w:sz="0" w:space="0" w:color="auto"/>
        <w:left w:val="none" w:sz="0" w:space="0" w:color="auto"/>
        <w:bottom w:val="none" w:sz="0" w:space="0" w:color="auto"/>
        <w:right w:val="none" w:sz="0" w:space="0" w:color="auto"/>
      </w:divBdr>
    </w:div>
    <w:div w:id="1413772986">
      <w:bodyDiv w:val="1"/>
      <w:marLeft w:val="0"/>
      <w:marRight w:val="0"/>
      <w:marTop w:val="0"/>
      <w:marBottom w:val="0"/>
      <w:divBdr>
        <w:top w:val="none" w:sz="0" w:space="0" w:color="auto"/>
        <w:left w:val="none" w:sz="0" w:space="0" w:color="auto"/>
        <w:bottom w:val="none" w:sz="0" w:space="0" w:color="auto"/>
        <w:right w:val="none" w:sz="0" w:space="0" w:color="auto"/>
      </w:divBdr>
    </w:div>
    <w:div w:id="1414085226">
      <w:bodyDiv w:val="1"/>
      <w:marLeft w:val="0"/>
      <w:marRight w:val="0"/>
      <w:marTop w:val="0"/>
      <w:marBottom w:val="0"/>
      <w:divBdr>
        <w:top w:val="none" w:sz="0" w:space="0" w:color="auto"/>
        <w:left w:val="none" w:sz="0" w:space="0" w:color="auto"/>
        <w:bottom w:val="none" w:sz="0" w:space="0" w:color="auto"/>
        <w:right w:val="none" w:sz="0" w:space="0" w:color="auto"/>
      </w:divBdr>
      <w:divsChild>
        <w:div w:id="318000157">
          <w:marLeft w:val="0"/>
          <w:marRight w:val="0"/>
          <w:marTop w:val="0"/>
          <w:marBottom w:val="0"/>
          <w:divBdr>
            <w:top w:val="none" w:sz="0" w:space="0" w:color="auto"/>
            <w:left w:val="none" w:sz="0" w:space="0" w:color="auto"/>
            <w:bottom w:val="none" w:sz="0" w:space="0" w:color="auto"/>
            <w:right w:val="none" w:sz="0" w:space="0" w:color="auto"/>
          </w:divBdr>
          <w:divsChild>
            <w:div w:id="781995484">
              <w:marLeft w:val="0"/>
              <w:marRight w:val="0"/>
              <w:marTop w:val="0"/>
              <w:marBottom w:val="0"/>
              <w:divBdr>
                <w:top w:val="none" w:sz="0" w:space="0" w:color="auto"/>
                <w:left w:val="none" w:sz="0" w:space="0" w:color="auto"/>
                <w:bottom w:val="none" w:sz="0" w:space="0" w:color="auto"/>
                <w:right w:val="none" w:sz="0" w:space="0" w:color="auto"/>
              </w:divBdr>
            </w:div>
            <w:div w:id="209927880">
              <w:marLeft w:val="0"/>
              <w:marRight w:val="0"/>
              <w:marTop w:val="0"/>
              <w:marBottom w:val="0"/>
              <w:divBdr>
                <w:top w:val="none" w:sz="0" w:space="0" w:color="auto"/>
                <w:left w:val="none" w:sz="0" w:space="0" w:color="auto"/>
                <w:bottom w:val="none" w:sz="0" w:space="0" w:color="auto"/>
                <w:right w:val="none" w:sz="0" w:space="0" w:color="auto"/>
              </w:divBdr>
            </w:div>
            <w:div w:id="485703349">
              <w:marLeft w:val="0"/>
              <w:marRight w:val="0"/>
              <w:marTop w:val="0"/>
              <w:marBottom w:val="0"/>
              <w:divBdr>
                <w:top w:val="none" w:sz="0" w:space="0" w:color="auto"/>
                <w:left w:val="none" w:sz="0" w:space="0" w:color="auto"/>
                <w:bottom w:val="none" w:sz="0" w:space="0" w:color="auto"/>
                <w:right w:val="none" w:sz="0" w:space="0" w:color="auto"/>
              </w:divBdr>
            </w:div>
            <w:div w:id="806245692">
              <w:marLeft w:val="0"/>
              <w:marRight w:val="0"/>
              <w:marTop w:val="0"/>
              <w:marBottom w:val="0"/>
              <w:divBdr>
                <w:top w:val="none" w:sz="0" w:space="0" w:color="auto"/>
                <w:left w:val="none" w:sz="0" w:space="0" w:color="auto"/>
                <w:bottom w:val="none" w:sz="0" w:space="0" w:color="auto"/>
                <w:right w:val="none" w:sz="0" w:space="0" w:color="auto"/>
              </w:divBdr>
            </w:div>
            <w:div w:id="1098672348">
              <w:marLeft w:val="0"/>
              <w:marRight w:val="0"/>
              <w:marTop w:val="0"/>
              <w:marBottom w:val="0"/>
              <w:divBdr>
                <w:top w:val="none" w:sz="0" w:space="0" w:color="auto"/>
                <w:left w:val="none" w:sz="0" w:space="0" w:color="auto"/>
                <w:bottom w:val="none" w:sz="0" w:space="0" w:color="auto"/>
                <w:right w:val="none" w:sz="0" w:space="0" w:color="auto"/>
              </w:divBdr>
            </w:div>
            <w:div w:id="2075156431">
              <w:marLeft w:val="0"/>
              <w:marRight w:val="0"/>
              <w:marTop w:val="0"/>
              <w:marBottom w:val="0"/>
              <w:divBdr>
                <w:top w:val="none" w:sz="0" w:space="0" w:color="auto"/>
                <w:left w:val="none" w:sz="0" w:space="0" w:color="auto"/>
                <w:bottom w:val="none" w:sz="0" w:space="0" w:color="auto"/>
                <w:right w:val="none" w:sz="0" w:space="0" w:color="auto"/>
              </w:divBdr>
            </w:div>
            <w:div w:id="1691294380">
              <w:marLeft w:val="0"/>
              <w:marRight w:val="0"/>
              <w:marTop w:val="0"/>
              <w:marBottom w:val="0"/>
              <w:divBdr>
                <w:top w:val="none" w:sz="0" w:space="0" w:color="auto"/>
                <w:left w:val="none" w:sz="0" w:space="0" w:color="auto"/>
                <w:bottom w:val="none" w:sz="0" w:space="0" w:color="auto"/>
                <w:right w:val="none" w:sz="0" w:space="0" w:color="auto"/>
              </w:divBdr>
            </w:div>
            <w:div w:id="1500652897">
              <w:marLeft w:val="0"/>
              <w:marRight w:val="0"/>
              <w:marTop w:val="0"/>
              <w:marBottom w:val="0"/>
              <w:divBdr>
                <w:top w:val="none" w:sz="0" w:space="0" w:color="auto"/>
                <w:left w:val="none" w:sz="0" w:space="0" w:color="auto"/>
                <w:bottom w:val="none" w:sz="0" w:space="0" w:color="auto"/>
                <w:right w:val="none" w:sz="0" w:space="0" w:color="auto"/>
              </w:divBdr>
            </w:div>
            <w:div w:id="515507291">
              <w:marLeft w:val="0"/>
              <w:marRight w:val="0"/>
              <w:marTop w:val="0"/>
              <w:marBottom w:val="0"/>
              <w:divBdr>
                <w:top w:val="none" w:sz="0" w:space="0" w:color="auto"/>
                <w:left w:val="none" w:sz="0" w:space="0" w:color="auto"/>
                <w:bottom w:val="none" w:sz="0" w:space="0" w:color="auto"/>
                <w:right w:val="none" w:sz="0" w:space="0" w:color="auto"/>
              </w:divBdr>
            </w:div>
            <w:div w:id="13264716">
              <w:marLeft w:val="0"/>
              <w:marRight w:val="0"/>
              <w:marTop w:val="0"/>
              <w:marBottom w:val="0"/>
              <w:divBdr>
                <w:top w:val="none" w:sz="0" w:space="0" w:color="auto"/>
                <w:left w:val="none" w:sz="0" w:space="0" w:color="auto"/>
                <w:bottom w:val="none" w:sz="0" w:space="0" w:color="auto"/>
                <w:right w:val="none" w:sz="0" w:space="0" w:color="auto"/>
              </w:divBdr>
            </w:div>
            <w:div w:id="535503984">
              <w:marLeft w:val="0"/>
              <w:marRight w:val="0"/>
              <w:marTop w:val="0"/>
              <w:marBottom w:val="0"/>
              <w:divBdr>
                <w:top w:val="none" w:sz="0" w:space="0" w:color="auto"/>
                <w:left w:val="none" w:sz="0" w:space="0" w:color="auto"/>
                <w:bottom w:val="none" w:sz="0" w:space="0" w:color="auto"/>
                <w:right w:val="none" w:sz="0" w:space="0" w:color="auto"/>
              </w:divBdr>
            </w:div>
            <w:div w:id="1496410816">
              <w:marLeft w:val="0"/>
              <w:marRight w:val="0"/>
              <w:marTop w:val="0"/>
              <w:marBottom w:val="0"/>
              <w:divBdr>
                <w:top w:val="none" w:sz="0" w:space="0" w:color="auto"/>
                <w:left w:val="none" w:sz="0" w:space="0" w:color="auto"/>
                <w:bottom w:val="none" w:sz="0" w:space="0" w:color="auto"/>
                <w:right w:val="none" w:sz="0" w:space="0" w:color="auto"/>
              </w:divBdr>
            </w:div>
            <w:div w:id="1791317480">
              <w:marLeft w:val="0"/>
              <w:marRight w:val="0"/>
              <w:marTop w:val="0"/>
              <w:marBottom w:val="0"/>
              <w:divBdr>
                <w:top w:val="none" w:sz="0" w:space="0" w:color="auto"/>
                <w:left w:val="none" w:sz="0" w:space="0" w:color="auto"/>
                <w:bottom w:val="none" w:sz="0" w:space="0" w:color="auto"/>
                <w:right w:val="none" w:sz="0" w:space="0" w:color="auto"/>
              </w:divBdr>
            </w:div>
            <w:div w:id="1417051748">
              <w:marLeft w:val="0"/>
              <w:marRight w:val="0"/>
              <w:marTop w:val="0"/>
              <w:marBottom w:val="0"/>
              <w:divBdr>
                <w:top w:val="none" w:sz="0" w:space="0" w:color="auto"/>
                <w:left w:val="none" w:sz="0" w:space="0" w:color="auto"/>
                <w:bottom w:val="none" w:sz="0" w:space="0" w:color="auto"/>
                <w:right w:val="none" w:sz="0" w:space="0" w:color="auto"/>
              </w:divBdr>
            </w:div>
            <w:div w:id="1809937245">
              <w:marLeft w:val="0"/>
              <w:marRight w:val="0"/>
              <w:marTop w:val="0"/>
              <w:marBottom w:val="0"/>
              <w:divBdr>
                <w:top w:val="none" w:sz="0" w:space="0" w:color="auto"/>
                <w:left w:val="none" w:sz="0" w:space="0" w:color="auto"/>
                <w:bottom w:val="none" w:sz="0" w:space="0" w:color="auto"/>
                <w:right w:val="none" w:sz="0" w:space="0" w:color="auto"/>
              </w:divBdr>
            </w:div>
            <w:div w:id="1706447570">
              <w:marLeft w:val="0"/>
              <w:marRight w:val="0"/>
              <w:marTop w:val="0"/>
              <w:marBottom w:val="0"/>
              <w:divBdr>
                <w:top w:val="none" w:sz="0" w:space="0" w:color="auto"/>
                <w:left w:val="none" w:sz="0" w:space="0" w:color="auto"/>
                <w:bottom w:val="none" w:sz="0" w:space="0" w:color="auto"/>
                <w:right w:val="none" w:sz="0" w:space="0" w:color="auto"/>
              </w:divBdr>
            </w:div>
            <w:div w:id="1945729852">
              <w:marLeft w:val="0"/>
              <w:marRight w:val="0"/>
              <w:marTop w:val="0"/>
              <w:marBottom w:val="0"/>
              <w:divBdr>
                <w:top w:val="none" w:sz="0" w:space="0" w:color="auto"/>
                <w:left w:val="none" w:sz="0" w:space="0" w:color="auto"/>
                <w:bottom w:val="none" w:sz="0" w:space="0" w:color="auto"/>
                <w:right w:val="none" w:sz="0" w:space="0" w:color="auto"/>
              </w:divBdr>
            </w:div>
            <w:div w:id="1719477222">
              <w:marLeft w:val="0"/>
              <w:marRight w:val="0"/>
              <w:marTop w:val="0"/>
              <w:marBottom w:val="0"/>
              <w:divBdr>
                <w:top w:val="none" w:sz="0" w:space="0" w:color="auto"/>
                <w:left w:val="none" w:sz="0" w:space="0" w:color="auto"/>
                <w:bottom w:val="none" w:sz="0" w:space="0" w:color="auto"/>
                <w:right w:val="none" w:sz="0" w:space="0" w:color="auto"/>
              </w:divBdr>
            </w:div>
            <w:div w:id="946429463">
              <w:marLeft w:val="0"/>
              <w:marRight w:val="0"/>
              <w:marTop w:val="0"/>
              <w:marBottom w:val="0"/>
              <w:divBdr>
                <w:top w:val="none" w:sz="0" w:space="0" w:color="auto"/>
                <w:left w:val="none" w:sz="0" w:space="0" w:color="auto"/>
                <w:bottom w:val="none" w:sz="0" w:space="0" w:color="auto"/>
                <w:right w:val="none" w:sz="0" w:space="0" w:color="auto"/>
              </w:divBdr>
            </w:div>
            <w:div w:id="836308440">
              <w:marLeft w:val="0"/>
              <w:marRight w:val="0"/>
              <w:marTop w:val="0"/>
              <w:marBottom w:val="0"/>
              <w:divBdr>
                <w:top w:val="none" w:sz="0" w:space="0" w:color="auto"/>
                <w:left w:val="none" w:sz="0" w:space="0" w:color="auto"/>
                <w:bottom w:val="none" w:sz="0" w:space="0" w:color="auto"/>
                <w:right w:val="none" w:sz="0" w:space="0" w:color="auto"/>
              </w:divBdr>
            </w:div>
          </w:divsChild>
        </w:div>
        <w:div w:id="1996757483">
          <w:marLeft w:val="0"/>
          <w:marRight w:val="0"/>
          <w:marTop w:val="0"/>
          <w:marBottom w:val="0"/>
          <w:divBdr>
            <w:top w:val="none" w:sz="0" w:space="0" w:color="auto"/>
            <w:left w:val="none" w:sz="0" w:space="0" w:color="auto"/>
            <w:bottom w:val="none" w:sz="0" w:space="0" w:color="auto"/>
            <w:right w:val="none" w:sz="0" w:space="0" w:color="auto"/>
          </w:divBdr>
          <w:divsChild>
            <w:div w:id="581451892">
              <w:marLeft w:val="0"/>
              <w:marRight w:val="0"/>
              <w:marTop w:val="0"/>
              <w:marBottom w:val="0"/>
              <w:divBdr>
                <w:top w:val="none" w:sz="0" w:space="0" w:color="auto"/>
                <w:left w:val="none" w:sz="0" w:space="0" w:color="auto"/>
                <w:bottom w:val="none" w:sz="0" w:space="0" w:color="auto"/>
                <w:right w:val="none" w:sz="0" w:space="0" w:color="auto"/>
              </w:divBdr>
            </w:div>
            <w:div w:id="1535459574">
              <w:marLeft w:val="0"/>
              <w:marRight w:val="0"/>
              <w:marTop w:val="0"/>
              <w:marBottom w:val="0"/>
              <w:divBdr>
                <w:top w:val="none" w:sz="0" w:space="0" w:color="auto"/>
                <w:left w:val="none" w:sz="0" w:space="0" w:color="auto"/>
                <w:bottom w:val="none" w:sz="0" w:space="0" w:color="auto"/>
                <w:right w:val="none" w:sz="0" w:space="0" w:color="auto"/>
              </w:divBdr>
            </w:div>
            <w:div w:id="60906339">
              <w:marLeft w:val="0"/>
              <w:marRight w:val="0"/>
              <w:marTop w:val="0"/>
              <w:marBottom w:val="0"/>
              <w:divBdr>
                <w:top w:val="none" w:sz="0" w:space="0" w:color="auto"/>
                <w:left w:val="none" w:sz="0" w:space="0" w:color="auto"/>
                <w:bottom w:val="none" w:sz="0" w:space="0" w:color="auto"/>
                <w:right w:val="none" w:sz="0" w:space="0" w:color="auto"/>
              </w:divBdr>
            </w:div>
            <w:div w:id="1734935564">
              <w:marLeft w:val="0"/>
              <w:marRight w:val="0"/>
              <w:marTop w:val="0"/>
              <w:marBottom w:val="0"/>
              <w:divBdr>
                <w:top w:val="none" w:sz="0" w:space="0" w:color="auto"/>
                <w:left w:val="none" w:sz="0" w:space="0" w:color="auto"/>
                <w:bottom w:val="none" w:sz="0" w:space="0" w:color="auto"/>
                <w:right w:val="none" w:sz="0" w:space="0" w:color="auto"/>
              </w:divBdr>
            </w:div>
            <w:div w:id="1351832534">
              <w:marLeft w:val="0"/>
              <w:marRight w:val="0"/>
              <w:marTop w:val="0"/>
              <w:marBottom w:val="0"/>
              <w:divBdr>
                <w:top w:val="none" w:sz="0" w:space="0" w:color="auto"/>
                <w:left w:val="none" w:sz="0" w:space="0" w:color="auto"/>
                <w:bottom w:val="none" w:sz="0" w:space="0" w:color="auto"/>
                <w:right w:val="none" w:sz="0" w:space="0" w:color="auto"/>
              </w:divBdr>
            </w:div>
            <w:div w:id="1925918294">
              <w:marLeft w:val="0"/>
              <w:marRight w:val="0"/>
              <w:marTop w:val="0"/>
              <w:marBottom w:val="0"/>
              <w:divBdr>
                <w:top w:val="none" w:sz="0" w:space="0" w:color="auto"/>
                <w:left w:val="none" w:sz="0" w:space="0" w:color="auto"/>
                <w:bottom w:val="none" w:sz="0" w:space="0" w:color="auto"/>
                <w:right w:val="none" w:sz="0" w:space="0" w:color="auto"/>
              </w:divBdr>
            </w:div>
            <w:div w:id="354383490">
              <w:marLeft w:val="0"/>
              <w:marRight w:val="0"/>
              <w:marTop w:val="0"/>
              <w:marBottom w:val="0"/>
              <w:divBdr>
                <w:top w:val="none" w:sz="0" w:space="0" w:color="auto"/>
                <w:left w:val="none" w:sz="0" w:space="0" w:color="auto"/>
                <w:bottom w:val="none" w:sz="0" w:space="0" w:color="auto"/>
                <w:right w:val="none" w:sz="0" w:space="0" w:color="auto"/>
              </w:divBdr>
            </w:div>
            <w:div w:id="148638646">
              <w:marLeft w:val="0"/>
              <w:marRight w:val="0"/>
              <w:marTop w:val="0"/>
              <w:marBottom w:val="0"/>
              <w:divBdr>
                <w:top w:val="none" w:sz="0" w:space="0" w:color="auto"/>
                <w:left w:val="none" w:sz="0" w:space="0" w:color="auto"/>
                <w:bottom w:val="none" w:sz="0" w:space="0" w:color="auto"/>
                <w:right w:val="none" w:sz="0" w:space="0" w:color="auto"/>
              </w:divBdr>
            </w:div>
            <w:div w:id="1459029632">
              <w:marLeft w:val="0"/>
              <w:marRight w:val="0"/>
              <w:marTop w:val="0"/>
              <w:marBottom w:val="0"/>
              <w:divBdr>
                <w:top w:val="none" w:sz="0" w:space="0" w:color="auto"/>
                <w:left w:val="none" w:sz="0" w:space="0" w:color="auto"/>
                <w:bottom w:val="none" w:sz="0" w:space="0" w:color="auto"/>
                <w:right w:val="none" w:sz="0" w:space="0" w:color="auto"/>
              </w:divBdr>
            </w:div>
            <w:div w:id="2097363713">
              <w:marLeft w:val="0"/>
              <w:marRight w:val="0"/>
              <w:marTop w:val="0"/>
              <w:marBottom w:val="0"/>
              <w:divBdr>
                <w:top w:val="none" w:sz="0" w:space="0" w:color="auto"/>
                <w:left w:val="none" w:sz="0" w:space="0" w:color="auto"/>
                <w:bottom w:val="none" w:sz="0" w:space="0" w:color="auto"/>
                <w:right w:val="none" w:sz="0" w:space="0" w:color="auto"/>
              </w:divBdr>
            </w:div>
            <w:div w:id="2057116696">
              <w:marLeft w:val="0"/>
              <w:marRight w:val="0"/>
              <w:marTop w:val="0"/>
              <w:marBottom w:val="0"/>
              <w:divBdr>
                <w:top w:val="none" w:sz="0" w:space="0" w:color="auto"/>
                <w:left w:val="none" w:sz="0" w:space="0" w:color="auto"/>
                <w:bottom w:val="none" w:sz="0" w:space="0" w:color="auto"/>
                <w:right w:val="none" w:sz="0" w:space="0" w:color="auto"/>
              </w:divBdr>
            </w:div>
            <w:div w:id="180507482">
              <w:marLeft w:val="0"/>
              <w:marRight w:val="0"/>
              <w:marTop w:val="0"/>
              <w:marBottom w:val="0"/>
              <w:divBdr>
                <w:top w:val="none" w:sz="0" w:space="0" w:color="auto"/>
                <w:left w:val="none" w:sz="0" w:space="0" w:color="auto"/>
                <w:bottom w:val="none" w:sz="0" w:space="0" w:color="auto"/>
                <w:right w:val="none" w:sz="0" w:space="0" w:color="auto"/>
              </w:divBdr>
            </w:div>
            <w:div w:id="1199734773">
              <w:marLeft w:val="0"/>
              <w:marRight w:val="0"/>
              <w:marTop w:val="0"/>
              <w:marBottom w:val="0"/>
              <w:divBdr>
                <w:top w:val="none" w:sz="0" w:space="0" w:color="auto"/>
                <w:left w:val="none" w:sz="0" w:space="0" w:color="auto"/>
                <w:bottom w:val="none" w:sz="0" w:space="0" w:color="auto"/>
                <w:right w:val="none" w:sz="0" w:space="0" w:color="auto"/>
              </w:divBdr>
            </w:div>
            <w:div w:id="175119147">
              <w:marLeft w:val="0"/>
              <w:marRight w:val="0"/>
              <w:marTop w:val="0"/>
              <w:marBottom w:val="0"/>
              <w:divBdr>
                <w:top w:val="none" w:sz="0" w:space="0" w:color="auto"/>
                <w:left w:val="none" w:sz="0" w:space="0" w:color="auto"/>
                <w:bottom w:val="none" w:sz="0" w:space="0" w:color="auto"/>
                <w:right w:val="none" w:sz="0" w:space="0" w:color="auto"/>
              </w:divBdr>
            </w:div>
            <w:div w:id="1409108829">
              <w:marLeft w:val="0"/>
              <w:marRight w:val="0"/>
              <w:marTop w:val="0"/>
              <w:marBottom w:val="0"/>
              <w:divBdr>
                <w:top w:val="none" w:sz="0" w:space="0" w:color="auto"/>
                <w:left w:val="none" w:sz="0" w:space="0" w:color="auto"/>
                <w:bottom w:val="none" w:sz="0" w:space="0" w:color="auto"/>
                <w:right w:val="none" w:sz="0" w:space="0" w:color="auto"/>
              </w:divBdr>
            </w:div>
            <w:div w:id="1953048415">
              <w:marLeft w:val="0"/>
              <w:marRight w:val="0"/>
              <w:marTop w:val="0"/>
              <w:marBottom w:val="0"/>
              <w:divBdr>
                <w:top w:val="none" w:sz="0" w:space="0" w:color="auto"/>
                <w:left w:val="none" w:sz="0" w:space="0" w:color="auto"/>
                <w:bottom w:val="none" w:sz="0" w:space="0" w:color="auto"/>
                <w:right w:val="none" w:sz="0" w:space="0" w:color="auto"/>
              </w:divBdr>
            </w:div>
            <w:div w:id="731732912">
              <w:marLeft w:val="0"/>
              <w:marRight w:val="0"/>
              <w:marTop w:val="0"/>
              <w:marBottom w:val="0"/>
              <w:divBdr>
                <w:top w:val="none" w:sz="0" w:space="0" w:color="auto"/>
                <w:left w:val="none" w:sz="0" w:space="0" w:color="auto"/>
                <w:bottom w:val="none" w:sz="0" w:space="0" w:color="auto"/>
                <w:right w:val="none" w:sz="0" w:space="0" w:color="auto"/>
              </w:divBdr>
            </w:div>
            <w:div w:id="58021196">
              <w:marLeft w:val="0"/>
              <w:marRight w:val="0"/>
              <w:marTop w:val="0"/>
              <w:marBottom w:val="0"/>
              <w:divBdr>
                <w:top w:val="none" w:sz="0" w:space="0" w:color="auto"/>
                <w:left w:val="none" w:sz="0" w:space="0" w:color="auto"/>
                <w:bottom w:val="none" w:sz="0" w:space="0" w:color="auto"/>
                <w:right w:val="none" w:sz="0" w:space="0" w:color="auto"/>
              </w:divBdr>
            </w:div>
            <w:div w:id="823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4623">
      <w:bodyDiv w:val="1"/>
      <w:marLeft w:val="0"/>
      <w:marRight w:val="0"/>
      <w:marTop w:val="0"/>
      <w:marBottom w:val="0"/>
      <w:divBdr>
        <w:top w:val="none" w:sz="0" w:space="0" w:color="auto"/>
        <w:left w:val="none" w:sz="0" w:space="0" w:color="auto"/>
        <w:bottom w:val="none" w:sz="0" w:space="0" w:color="auto"/>
        <w:right w:val="none" w:sz="0" w:space="0" w:color="auto"/>
      </w:divBdr>
    </w:div>
    <w:div w:id="1477991008">
      <w:bodyDiv w:val="1"/>
      <w:marLeft w:val="0"/>
      <w:marRight w:val="0"/>
      <w:marTop w:val="0"/>
      <w:marBottom w:val="0"/>
      <w:divBdr>
        <w:top w:val="none" w:sz="0" w:space="0" w:color="auto"/>
        <w:left w:val="none" w:sz="0" w:space="0" w:color="auto"/>
        <w:bottom w:val="none" w:sz="0" w:space="0" w:color="auto"/>
        <w:right w:val="none" w:sz="0" w:space="0" w:color="auto"/>
      </w:divBdr>
    </w:div>
    <w:div w:id="1485853688">
      <w:bodyDiv w:val="1"/>
      <w:marLeft w:val="0"/>
      <w:marRight w:val="0"/>
      <w:marTop w:val="0"/>
      <w:marBottom w:val="0"/>
      <w:divBdr>
        <w:top w:val="none" w:sz="0" w:space="0" w:color="auto"/>
        <w:left w:val="none" w:sz="0" w:space="0" w:color="auto"/>
        <w:bottom w:val="none" w:sz="0" w:space="0" w:color="auto"/>
        <w:right w:val="none" w:sz="0" w:space="0" w:color="auto"/>
      </w:divBdr>
    </w:div>
    <w:div w:id="1499075605">
      <w:bodyDiv w:val="1"/>
      <w:marLeft w:val="0"/>
      <w:marRight w:val="0"/>
      <w:marTop w:val="0"/>
      <w:marBottom w:val="0"/>
      <w:divBdr>
        <w:top w:val="none" w:sz="0" w:space="0" w:color="auto"/>
        <w:left w:val="none" w:sz="0" w:space="0" w:color="auto"/>
        <w:bottom w:val="none" w:sz="0" w:space="0" w:color="auto"/>
        <w:right w:val="none" w:sz="0" w:space="0" w:color="auto"/>
      </w:divBdr>
    </w:div>
    <w:div w:id="1517035423">
      <w:bodyDiv w:val="1"/>
      <w:marLeft w:val="0"/>
      <w:marRight w:val="0"/>
      <w:marTop w:val="0"/>
      <w:marBottom w:val="0"/>
      <w:divBdr>
        <w:top w:val="none" w:sz="0" w:space="0" w:color="auto"/>
        <w:left w:val="none" w:sz="0" w:space="0" w:color="auto"/>
        <w:bottom w:val="none" w:sz="0" w:space="0" w:color="auto"/>
        <w:right w:val="none" w:sz="0" w:space="0" w:color="auto"/>
      </w:divBdr>
    </w:div>
    <w:div w:id="1520042099">
      <w:bodyDiv w:val="1"/>
      <w:marLeft w:val="0"/>
      <w:marRight w:val="0"/>
      <w:marTop w:val="0"/>
      <w:marBottom w:val="0"/>
      <w:divBdr>
        <w:top w:val="none" w:sz="0" w:space="0" w:color="auto"/>
        <w:left w:val="none" w:sz="0" w:space="0" w:color="auto"/>
        <w:bottom w:val="none" w:sz="0" w:space="0" w:color="auto"/>
        <w:right w:val="none" w:sz="0" w:space="0" w:color="auto"/>
      </w:divBdr>
    </w:div>
    <w:div w:id="1564563155">
      <w:bodyDiv w:val="1"/>
      <w:marLeft w:val="0"/>
      <w:marRight w:val="0"/>
      <w:marTop w:val="0"/>
      <w:marBottom w:val="0"/>
      <w:divBdr>
        <w:top w:val="none" w:sz="0" w:space="0" w:color="auto"/>
        <w:left w:val="none" w:sz="0" w:space="0" w:color="auto"/>
        <w:bottom w:val="none" w:sz="0" w:space="0" w:color="auto"/>
        <w:right w:val="none" w:sz="0" w:space="0" w:color="auto"/>
      </w:divBdr>
    </w:div>
    <w:div w:id="1569998747">
      <w:bodyDiv w:val="1"/>
      <w:marLeft w:val="0"/>
      <w:marRight w:val="0"/>
      <w:marTop w:val="0"/>
      <w:marBottom w:val="0"/>
      <w:divBdr>
        <w:top w:val="none" w:sz="0" w:space="0" w:color="auto"/>
        <w:left w:val="none" w:sz="0" w:space="0" w:color="auto"/>
        <w:bottom w:val="none" w:sz="0" w:space="0" w:color="auto"/>
        <w:right w:val="none" w:sz="0" w:space="0" w:color="auto"/>
      </w:divBdr>
    </w:div>
    <w:div w:id="1633750969">
      <w:bodyDiv w:val="1"/>
      <w:marLeft w:val="0"/>
      <w:marRight w:val="0"/>
      <w:marTop w:val="0"/>
      <w:marBottom w:val="0"/>
      <w:divBdr>
        <w:top w:val="none" w:sz="0" w:space="0" w:color="auto"/>
        <w:left w:val="none" w:sz="0" w:space="0" w:color="auto"/>
        <w:bottom w:val="none" w:sz="0" w:space="0" w:color="auto"/>
        <w:right w:val="none" w:sz="0" w:space="0" w:color="auto"/>
      </w:divBdr>
    </w:div>
    <w:div w:id="1637947465">
      <w:bodyDiv w:val="1"/>
      <w:marLeft w:val="0"/>
      <w:marRight w:val="0"/>
      <w:marTop w:val="0"/>
      <w:marBottom w:val="0"/>
      <w:divBdr>
        <w:top w:val="none" w:sz="0" w:space="0" w:color="auto"/>
        <w:left w:val="none" w:sz="0" w:space="0" w:color="auto"/>
        <w:bottom w:val="none" w:sz="0" w:space="0" w:color="auto"/>
        <w:right w:val="none" w:sz="0" w:space="0" w:color="auto"/>
      </w:divBdr>
    </w:div>
    <w:div w:id="1653216724">
      <w:bodyDiv w:val="1"/>
      <w:marLeft w:val="0"/>
      <w:marRight w:val="0"/>
      <w:marTop w:val="0"/>
      <w:marBottom w:val="0"/>
      <w:divBdr>
        <w:top w:val="none" w:sz="0" w:space="0" w:color="auto"/>
        <w:left w:val="none" w:sz="0" w:space="0" w:color="auto"/>
        <w:bottom w:val="none" w:sz="0" w:space="0" w:color="auto"/>
        <w:right w:val="none" w:sz="0" w:space="0" w:color="auto"/>
      </w:divBdr>
    </w:div>
    <w:div w:id="1654527662">
      <w:bodyDiv w:val="1"/>
      <w:marLeft w:val="0"/>
      <w:marRight w:val="0"/>
      <w:marTop w:val="0"/>
      <w:marBottom w:val="0"/>
      <w:divBdr>
        <w:top w:val="none" w:sz="0" w:space="0" w:color="auto"/>
        <w:left w:val="none" w:sz="0" w:space="0" w:color="auto"/>
        <w:bottom w:val="none" w:sz="0" w:space="0" w:color="auto"/>
        <w:right w:val="none" w:sz="0" w:space="0" w:color="auto"/>
      </w:divBdr>
    </w:div>
    <w:div w:id="1672290716">
      <w:bodyDiv w:val="1"/>
      <w:marLeft w:val="0"/>
      <w:marRight w:val="0"/>
      <w:marTop w:val="0"/>
      <w:marBottom w:val="0"/>
      <w:divBdr>
        <w:top w:val="none" w:sz="0" w:space="0" w:color="auto"/>
        <w:left w:val="none" w:sz="0" w:space="0" w:color="auto"/>
        <w:bottom w:val="none" w:sz="0" w:space="0" w:color="auto"/>
        <w:right w:val="none" w:sz="0" w:space="0" w:color="auto"/>
      </w:divBdr>
    </w:div>
    <w:div w:id="1684436393">
      <w:bodyDiv w:val="1"/>
      <w:marLeft w:val="0"/>
      <w:marRight w:val="0"/>
      <w:marTop w:val="0"/>
      <w:marBottom w:val="0"/>
      <w:divBdr>
        <w:top w:val="none" w:sz="0" w:space="0" w:color="auto"/>
        <w:left w:val="none" w:sz="0" w:space="0" w:color="auto"/>
        <w:bottom w:val="none" w:sz="0" w:space="0" w:color="auto"/>
        <w:right w:val="none" w:sz="0" w:space="0" w:color="auto"/>
      </w:divBdr>
    </w:div>
    <w:div w:id="1744983019">
      <w:bodyDiv w:val="1"/>
      <w:marLeft w:val="0"/>
      <w:marRight w:val="0"/>
      <w:marTop w:val="0"/>
      <w:marBottom w:val="0"/>
      <w:divBdr>
        <w:top w:val="none" w:sz="0" w:space="0" w:color="auto"/>
        <w:left w:val="none" w:sz="0" w:space="0" w:color="auto"/>
        <w:bottom w:val="none" w:sz="0" w:space="0" w:color="auto"/>
        <w:right w:val="none" w:sz="0" w:space="0" w:color="auto"/>
      </w:divBdr>
    </w:div>
    <w:div w:id="1771196521">
      <w:bodyDiv w:val="1"/>
      <w:marLeft w:val="0"/>
      <w:marRight w:val="0"/>
      <w:marTop w:val="0"/>
      <w:marBottom w:val="0"/>
      <w:divBdr>
        <w:top w:val="none" w:sz="0" w:space="0" w:color="auto"/>
        <w:left w:val="none" w:sz="0" w:space="0" w:color="auto"/>
        <w:bottom w:val="none" w:sz="0" w:space="0" w:color="auto"/>
        <w:right w:val="none" w:sz="0" w:space="0" w:color="auto"/>
      </w:divBdr>
    </w:div>
    <w:div w:id="1797484504">
      <w:bodyDiv w:val="1"/>
      <w:marLeft w:val="0"/>
      <w:marRight w:val="0"/>
      <w:marTop w:val="0"/>
      <w:marBottom w:val="0"/>
      <w:divBdr>
        <w:top w:val="none" w:sz="0" w:space="0" w:color="auto"/>
        <w:left w:val="none" w:sz="0" w:space="0" w:color="auto"/>
        <w:bottom w:val="none" w:sz="0" w:space="0" w:color="auto"/>
        <w:right w:val="none" w:sz="0" w:space="0" w:color="auto"/>
      </w:divBdr>
      <w:divsChild>
        <w:div w:id="1954512547">
          <w:marLeft w:val="0"/>
          <w:marRight w:val="0"/>
          <w:marTop w:val="0"/>
          <w:marBottom w:val="0"/>
          <w:divBdr>
            <w:top w:val="none" w:sz="0" w:space="0" w:color="auto"/>
            <w:left w:val="none" w:sz="0" w:space="0" w:color="auto"/>
            <w:bottom w:val="none" w:sz="0" w:space="0" w:color="auto"/>
            <w:right w:val="none" w:sz="0" w:space="0" w:color="auto"/>
          </w:divBdr>
          <w:divsChild>
            <w:div w:id="97797258">
              <w:marLeft w:val="0"/>
              <w:marRight w:val="0"/>
              <w:marTop w:val="0"/>
              <w:marBottom w:val="0"/>
              <w:divBdr>
                <w:top w:val="none" w:sz="0" w:space="0" w:color="auto"/>
                <w:left w:val="none" w:sz="0" w:space="0" w:color="auto"/>
                <w:bottom w:val="none" w:sz="0" w:space="0" w:color="auto"/>
                <w:right w:val="none" w:sz="0" w:space="0" w:color="auto"/>
              </w:divBdr>
            </w:div>
            <w:div w:id="547887012">
              <w:marLeft w:val="0"/>
              <w:marRight w:val="0"/>
              <w:marTop w:val="0"/>
              <w:marBottom w:val="0"/>
              <w:divBdr>
                <w:top w:val="none" w:sz="0" w:space="0" w:color="auto"/>
                <w:left w:val="none" w:sz="0" w:space="0" w:color="auto"/>
                <w:bottom w:val="none" w:sz="0" w:space="0" w:color="auto"/>
                <w:right w:val="none" w:sz="0" w:space="0" w:color="auto"/>
              </w:divBdr>
            </w:div>
            <w:div w:id="18081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9369">
      <w:bodyDiv w:val="1"/>
      <w:marLeft w:val="0"/>
      <w:marRight w:val="0"/>
      <w:marTop w:val="0"/>
      <w:marBottom w:val="0"/>
      <w:divBdr>
        <w:top w:val="none" w:sz="0" w:space="0" w:color="auto"/>
        <w:left w:val="none" w:sz="0" w:space="0" w:color="auto"/>
        <w:bottom w:val="none" w:sz="0" w:space="0" w:color="auto"/>
        <w:right w:val="none" w:sz="0" w:space="0" w:color="auto"/>
      </w:divBdr>
    </w:div>
    <w:div w:id="1831097099">
      <w:bodyDiv w:val="1"/>
      <w:marLeft w:val="0"/>
      <w:marRight w:val="0"/>
      <w:marTop w:val="0"/>
      <w:marBottom w:val="0"/>
      <w:divBdr>
        <w:top w:val="none" w:sz="0" w:space="0" w:color="auto"/>
        <w:left w:val="none" w:sz="0" w:space="0" w:color="auto"/>
        <w:bottom w:val="none" w:sz="0" w:space="0" w:color="auto"/>
        <w:right w:val="none" w:sz="0" w:space="0" w:color="auto"/>
      </w:divBdr>
    </w:div>
    <w:div w:id="1870102416">
      <w:bodyDiv w:val="1"/>
      <w:marLeft w:val="0"/>
      <w:marRight w:val="0"/>
      <w:marTop w:val="0"/>
      <w:marBottom w:val="0"/>
      <w:divBdr>
        <w:top w:val="none" w:sz="0" w:space="0" w:color="auto"/>
        <w:left w:val="none" w:sz="0" w:space="0" w:color="auto"/>
        <w:bottom w:val="none" w:sz="0" w:space="0" w:color="auto"/>
        <w:right w:val="none" w:sz="0" w:space="0" w:color="auto"/>
      </w:divBdr>
    </w:div>
    <w:div w:id="1921059139">
      <w:bodyDiv w:val="1"/>
      <w:marLeft w:val="0"/>
      <w:marRight w:val="0"/>
      <w:marTop w:val="0"/>
      <w:marBottom w:val="0"/>
      <w:divBdr>
        <w:top w:val="none" w:sz="0" w:space="0" w:color="auto"/>
        <w:left w:val="none" w:sz="0" w:space="0" w:color="auto"/>
        <w:bottom w:val="none" w:sz="0" w:space="0" w:color="auto"/>
        <w:right w:val="none" w:sz="0" w:space="0" w:color="auto"/>
      </w:divBdr>
    </w:div>
    <w:div w:id="1951007447">
      <w:bodyDiv w:val="1"/>
      <w:marLeft w:val="0"/>
      <w:marRight w:val="0"/>
      <w:marTop w:val="0"/>
      <w:marBottom w:val="0"/>
      <w:divBdr>
        <w:top w:val="none" w:sz="0" w:space="0" w:color="auto"/>
        <w:left w:val="none" w:sz="0" w:space="0" w:color="auto"/>
        <w:bottom w:val="none" w:sz="0" w:space="0" w:color="auto"/>
        <w:right w:val="none" w:sz="0" w:space="0" w:color="auto"/>
      </w:divBdr>
    </w:div>
    <w:div w:id="1960214129">
      <w:bodyDiv w:val="1"/>
      <w:marLeft w:val="0"/>
      <w:marRight w:val="0"/>
      <w:marTop w:val="0"/>
      <w:marBottom w:val="0"/>
      <w:divBdr>
        <w:top w:val="none" w:sz="0" w:space="0" w:color="auto"/>
        <w:left w:val="none" w:sz="0" w:space="0" w:color="auto"/>
        <w:bottom w:val="none" w:sz="0" w:space="0" w:color="auto"/>
        <w:right w:val="none" w:sz="0" w:space="0" w:color="auto"/>
      </w:divBdr>
    </w:div>
    <w:div w:id="1989282819">
      <w:bodyDiv w:val="1"/>
      <w:marLeft w:val="0"/>
      <w:marRight w:val="0"/>
      <w:marTop w:val="0"/>
      <w:marBottom w:val="0"/>
      <w:divBdr>
        <w:top w:val="none" w:sz="0" w:space="0" w:color="auto"/>
        <w:left w:val="none" w:sz="0" w:space="0" w:color="auto"/>
        <w:bottom w:val="none" w:sz="0" w:space="0" w:color="auto"/>
        <w:right w:val="none" w:sz="0" w:space="0" w:color="auto"/>
      </w:divBdr>
    </w:div>
    <w:div w:id="2030180978">
      <w:bodyDiv w:val="1"/>
      <w:marLeft w:val="0"/>
      <w:marRight w:val="0"/>
      <w:marTop w:val="0"/>
      <w:marBottom w:val="0"/>
      <w:divBdr>
        <w:top w:val="none" w:sz="0" w:space="0" w:color="auto"/>
        <w:left w:val="none" w:sz="0" w:space="0" w:color="auto"/>
        <w:bottom w:val="none" w:sz="0" w:space="0" w:color="auto"/>
        <w:right w:val="none" w:sz="0" w:space="0" w:color="auto"/>
      </w:divBdr>
    </w:div>
    <w:div w:id="2035417782">
      <w:bodyDiv w:val="1"/>
      <w:marLeft w:val="0"/>
      <w:marRight w:val="0"/>
      <w:marTop w:val="0"/>
      <w:marBottom w:val="0"/>
      <w:divBdr>
        <w:top w:val="none" w:sz="0" w:space="0" w:color="auto"/>
        <w:left w:val="none" w:sz="0" w:space="0" w:color="auto"/>
        <w:bottom w:val="none" w:sz="0" w:space="0" w:color="auto"/>
        <w:right w:val="none" w:sz="0" w:space="0" w:color="auto"/>
      </w:divBdr>
    </w:div>
    <w:div w:id="2074892034">
      <w:bodyDiv w:val="1"/>
      <w:marLeft w:val="0"/>
      <w:marRight w:val="0"/>
      <w:marTop w:val="0"/>
      <w:marBottom w:val="0"/>
      <w:divBdr>
        <w:top w:val="none" w:sz="0" w:space="0" w:color="auto"/>
        <w:left w:val="none" w:sz="0" w:space="0" w:color="auto"/>
        <w:bottom w:val="none" w:sz="0" w:space="0" w:color="auto"/>
        <w:right w:val="none" w:sz="0" w:space="0" w:color="auto"/>
      </w:divBdr>
    </w:div>
    <w:div w:id="2093619393">
      <w:bodyDiv w:val="1"/>
      <w:marLeft w:val="0"/>
      <w:marRight w:val="0"/>
      <w:marTop w:val="0"/>
      <w:marBottom w:val="0"/>
      <w:divBdr>
        <w:top w:val="none" w:sz="0" w:space="0" w:color="auto"/>
        <w:left w:val="none" w:sz="0" w:space="0" w:color="auto"/>
        <w:bottom w:val="none" w:sz="0" w:space="0" w:color="auto"/>
        <w:right w:val="none" w:sz="0" w:space="0" w:color="auto"/>
      </w:divBdr>
    </w:div>
    <w:div w:id="2097238852">
      <w:bodyDiv w:val="1"/>
      <w:marLeft w:val="0"/>
      <w:marRight w:val="0"/>
      <w:marTop w:val="0"/>
      <w:marBottom w:val="0"/>
      <w:divBdr>
        <w:top w:val="none" w:sz="0" w:space="0" w:color="auto"/>
        <w:left w:val="none" w:sz="0" w:space="0" w:color="auto"/>
        <w:bottom w:val="none" w:sz="0" w:space="0" w:color="auto"/>
        <w:right w:val="none" w:sz="0" w:space="0" w:color="auto"/>
      </w:divBdr>
    </w:div>
    <w:div w:id="2113813872">
      <w:bodyDiv w:val="1"/>
      <w:marLeft w:val="0"/>
      <w:marRight w:val="0"/>
      <w:marTop w:val="0"/>
      <w:marBottom w:val="0"/>
      <w:divBdr>
        <w:top w:val="none" w:sz="0" w:space="0" w:color="auto"/>
        <w:left w:val="none" w:sz="0" w:space="0" w:color="auto"/>
        <w:bottom w:val="none" w:sz="0" w:space="0" w:color="auto"/>
        <w:right w:val="none" w:sz="0" w:space="0" w:color="auto"/>
      </w:divBdr>
      <w:divsChild>
        <w:div w:id="1717853212">
          <w:marLeft w:val="0"/>
          <w:marRight w:val="0"/>
          <w:marTop w:val="0"/>
          <w:marBottom w:val="0"/>
          <w:divBdr>
            <w:top w:val="none" w:sz="0" w:space="0" w:color="auto"/>
            <w:left w:val="none" w:sz="0" w:space="0" w:color="auto"/>
            <w:bottom w:val="none" w:sz="0" w:space="0" w:color="auto"/>
            <w:right w:val="none" w:sz="0" w:space="0" w:color="auto"/>
          </w:divBdr>
          <w:divsChild>
            <w:div w:id="2091274914">
              <w:marLeft w:val="0"/>
              <w:marRight w:val="0"/>
              <w:marTop w:val="0"/>
              <w:marBottom w:val="0"/>
              <w:divBdr>
                <w:top w:val="none" w:sz="0" w:space="0" w:color="auto"/>
                <w:left w:val="none" w:sz="0" w:space="0" w:color="auto"/>
                <w:bottom w:val="none" w:sz="0" w:space="0" w:color="auto"/>
                <w:right w:val="none" w:sz="0" w:space="0" w:color="auto"/>
              </w:divBdr>
            </w:div>
            <w:div w:id="809706552">
              <w:marLeft w:val="0"/>
              <w:marRight w:val="0"/>
              <w:marTop w:val="0"/>
              <w:marBottom w:val="0"/>
              <w:divBdr>
                <w:top w:val="none" w:sz="0" w:space="0" w:color="auto"/>
                <w:left w:val="none" w:sz="0" w:space="0" w:color="auto"/>
                <w:bottom w:val="none" w:sz="0" w:space="0" w:color="auto"/>
                <w:right w:val="none" w:sz="0" w:space="0" w:color="auto"/>
              </w:divBdr>
            </w:div>
            <w:div w:id="476606017">
              <w:marLeft w:val="0"/>
              <w:marRight w:val="0"/>
              <w:marTop w:val="0"/>
              <w:marBottom w:val="0"/>
              <w:divBdr>
                <w:top w:val="none" w:sz="0" w:space="0" w:color="auto"/>
                <w:left w:val="none" w:sz="0" w:space="0" w:color="auto"/>
                <w:bottom w:val="none" w:sz="0" w:space="0" w:color="auto"/>
                <w:right w:val="none" w:sz="0" w:space="0" w:color="auto"/>
              </w:divBdr>
            </w:div>
            <w:div w:id="1514421838">
              <w:marLeft w:val="0"/>
              <w:marRight w:val="0"/>
              <w:marTop w:val="0"/>
              <w:marBottom w:val="0"/>
              <w:divBdr>
                <w:top w:val="none" w:sz="0" w:space="0" w:color="auto"/>
                <w:left w:val="none" w:sz="0" w:space="0" w:color="auto"/>
                <w:bottom w:val="none" w:sz="0" w:space="0" w:color="auto"/>
                <w:right w:val="none" w:sz="0" w:space="0" w:color="auto"/>
              </w:divBdr>
            </w:div>
            <w:div w:id="705717182">
              <w:marLeft w:val="0"/>
              <w:marRight w:val="0"/>
              <w:marTop w:val="0"/>
              <w:marBottom w:val="0"/>
              <w:divBdr>
                <w:top w:val="none" w:sz="0" w:space="0" w:color="auto"/>
                <w:left w:val="none" w:sz="0" w:space="0" w:color="auto"/>
                <w:bottom w:val="none" w:sz="0" w:space="0" w:color="auto"/>
                <w:right w:val="none" w:sz="0" w:space="0" w:color="auto"/>
              </w:divBdr>
            </w:div>
            <w:div w:id="601913705">
              <w:marLeft w:val="0"/>
              <w:marRight w:val="0"/>
              <w:marTop w:val="0"/>
              <w:marBottom w:val="0"/>
              <w:divBdr>
                <w:top w:val="none" w:sz="0" w:space="0" w:color="auto"/>
                <w:left w:val="none" w:sz="0" w:space="0" w:color="auto"/>
                <w:bottom w:val="none" w:sz="0" w:space="0" w:color="auto"/>
                <w:right w:val="none" w:sz="0" w:space="0" w:color="auto"/>
              </w:divBdr>
            </w:div>
            <w:div w:id="1666515012">
              <w:marLeft w:val="0"/>
              <w:marRight w:val="0"/>
              <w:marTop w:val="0"/>
              <w:marBottom w:val="0"/>
              <w:divBdr>
                <w:top w:val="none" w:sz="0" w:space="0" w:color="auto"/>
                <w:left w:val="none" w:sz="0" w:space="0" w:color="auto"/>
                <w:bottom w:val="none" w:sz="0" w:space="0" w:color="auto"/>
                <w:right w:val="none" w:sz="0" w:space="0" w:color="auto"/>
              </w:divBdr>
            </w:div>
            <w:div w:id="1002315858">
              <w:marLeft w:val="0"/>
              <w:marRight w:val="0"/>
              <w:marTop w:val="0"/>
              <w:marBottom w:val="0"/>
              <w:divBdr>
                <w:top w:val="none" w:sz="0" w:space="0" w:color="auto"/>
                <w:left w:val="none" w:sz="0" w:space="0" w:color="auto"/>
                <w:bottom w:val="none" w:sz="0" w:space="0" w:color="auto"/>
                <w:right w:val="none" w:sz="0" w:space="0" w:color="auto"/>
              </w:divBdr>
            </w:div>
            <w:div w:id="1924144370">
              <w:marLeft w:val="0"/>
              <w:marRight w:val="0"/>
              <w:marTop w:val="0"/>
              <w:marBottom w:val="0"/>
              <w:divBdr>
                <w:top w:val="none" w:sz="0" w:space="0" w:color="auto"/>
                <w:left w:val="none" w:sz="0" w:space="0" w:color="auto"/>
                <w:bottom w:val="none" w:sz="0" w:space="0" w:color="auto"/>
                <w:right w:val="none" w:sz="0" w:space="0" w:color="auto"/>
              </w:divBdr>
            </w:div>
            <w:div w:id="1251160221">
              <w:marLeft w:val="0"/>
              <w:marRight w:val="0"/>
              <w:marTop w:val="0"/>
              <w:marBottom w:val="0"/>
              <w:divBdr>
                <w:top w:val="none" w:sz="0" w:space="0" w:color="auto"/>
                <w:left w:val="none" w:sz="0" w:space="0" w:color="auto"/>
                <w:bottom w:val="none" w:sz="0" w:space="0" w:color="auto"/>
                <w:right w:val="none" w:sz="0" w:space="0" w:color="auto"/>
              </w:divBdr>
            </w:div>
            <w:div w:id="1916087221">
              <w:marLeft w:val="0"/>
              <w:marRight w:val="0"/>
              <w:marTop w:val="0"/>
              <w:marBottom w:val="0"/>
              <w:divBdr>
                <w:top w:val="none" w:sz="0" w:space="0" w:color="auto"/>
                <w:left w:val="none" w:sz="0" w:space="0" w:color="auto"/>
                <w:bottom w:val="none" w:sz="0" w:space="0" w:color="auto"/>
                <w:right w:val="none" w:sz="0" w:space="0" w:color="auto"/>
              </w:divBdr>
            </w:div>
            <w:div w:id="1481769898">
              <w:marLeft w:val="0"/>
              <w:marRight w:val="0"/>
              <w:marTop w:val="0"/>
              <w:marBottom w:val="0"/>
              <w:divBdr>
                <w:top w:val="none" w:sz="0" w:space="0" w:color="auto"/>
                <w:left w:val="none" w:sz="0" w:space="0" w:color="auto"/>
                <w:bottom w:val="none" w:sz="0" w:space="0" w:color="auto"/>
                <w:right w:val="none" w:sz="0" w:space="0" w:color="auto"/>
              </w:divBdr>
            </w:div>
            <w:div w:id="463082260">
              <w:marLeft w:val="0"/>
              <w:marRight w:val="0"/>
              <w:marTop w:val="0"/>
              <w:marBottom w:val="0"/>
              <w:divBdr>
                <w:top w:val="none" w:sz="0" w:space="0" w:color="auto"/>
                <w:left w:val="none" w:sz="0" w:space="0" w:color="auto"/>
                <w:bottom w:val="none" w:sz="0" w:space="0" w:color="auto"/>
                <w:right w:val="none" w:sz="0" w:space="0" w:color="auto"/>
              </w:divBdr>
            </w:div>
            <w:div w:id="2052994849">
              <w:marLeft w:val="0"/>
              <w:marRight w:val="0"/>
              <w:marTop w:val="0"/>
              <w:marBottom w:val="0"/>
              <w:divBdr>
                <w:top w:val="none" w:sz="0" w:space="0" w:color="auto"/>
                <w:left w:val="none" w:sz="0" w:space="0" w:color="auto"/>
                <w:bottom w:val="none" w:sz="0" w:space="0" w:color="auto"/>
                <w:right w:val="none" w:sz="0" w:space="0" w:color="auto"/>
              </w:divBdr>
            </w:div>
            <w:div w:id="2006975425">
              <w:marLeft w:val="0"/>
              <w:marRight w:val="0"/>
              <w:marTop w:val="0"/>
              <w:marBottom w:val="0"/>
              <w:divBdr>
                <w:top w:val="none" w:sz="0" w:space="0" w:color="auto"/>
                <w:left w:val="none" w:sz="0" w:space="0" w:color="auto"/>
                <w:bottom w:val="none" w:sz="0" w:space="0" w:color="auto"/>
                <w:right w:val="none" w:sz="0" w:space="0" w:color="auto"/>
              </w:divBdr>
            </w:div>
            <w:div w:id="135804469">
              <w:marLeft w:val="0"/>
              <w:marRight w:val="0"/>
              <w:marTop w:val="0"/>
              <w:marBottom w:val="0"/>
              <w:divBdr>
                <w:top w:val="none" w:sz="0" w:space="0" w:color="auto"/>
                <w:left w:val="none" w:sz="0" w:space="0" w:color="auto"/>
                <w:bottom w:val="none" w:sz="0" w:space="0" w:color="auto"/>
                <w:right w:val="none" w:sz="0" w:space="0" w:color="auto"/>
              </w:divBdr>
            </w:div>
            <w:div w:id="900796408">
              <w:marLeft w:val="0"/>
              <w:marRight w:val="0"/>
              <w:marTop w:val="0"/>
              <w:marBottom w:val="0"/>
              <w:divBdr>
                <w:top w:val="none" w:sz="0" w:space="0" w:color="auto"/>
                <w:left w:val="none" w:sz="0" w:space="0" w:color="auto"/>
                <w:bottom w:val="none" w:sz="0" w:space="0" w:color="auto"/>
                <w:right w:val="none" w:sz="0" w:space="0" w:color="auto"/>
              </w:divBdr>
            </w:div>
            <w:div w:id="963923757">
              <w:marLeft w:val="0"/>
              <w:marRight w:val="0"/>
              <w:marTop w:val="0"/>
              <w:marBottom w:val="0"/>
              <w:divBdr>
                <w:top w:val="none" w:sz="0" w:space="0" w:color="auto"/>
                <w:left w:val="none" w:sz="0" w:space="0" w:color="auto"/>
                <w:bottom w:val="none" w:sz="0" w:space="0" w:color="auto"/>
                <w:right w:val="none" w:sz="0" w:space="0" w:color="auto"/>
              </w:divBdr>
            </w:div>
            <w:div w:id="594364153">
              <w:marLeft w:val="0"/>
              <w:marRight w:val="0"/>
              <w:marTop w:val="0"/>
              <w:marBottom w:val="0"/>
              <w:divBdr>
                <w:top w:val="none" w:sz="0" w:space="0" w:color="auto"/>
                <w:left w:val="none" w:sz="0" w:space="0" w:color="auto"/>
                <w:bottom w:val="none" w:sz="0" w:space="0" w:color="auto"/>
                <w:right w:val="none" w:sz="0" w:space="0" w:color="auto"/>
              </w:divBdr>
            </w:div>
            <w:div w:id="1315796436">
              <w:marLeft w:val="0"/>
              <w:marRight w:val="0"/>
              <w:marTop w:val="0"/>
              <w:marBottom w:val="0"/>
              <w:divBdr>
                <w:top w:val="none" w:sz="0" w:space="0" w:color="auto"/>
                <w:left w:val="none" w:sz="0" w:space="0" w:color="auto"/>
                <w:bottom w:val="none" w:sz="0" w:space="0" w:color="auto"/>
                <w:right w:val="none" w:sz="0" w:space="0" w:color="auto"/>
              </w:divBdr>
            </w:div>
          </w:divsChild>
        </w:div>
        <w:div w:id="1502817310">
          <w:marLeft w:val="0"/>
          <w:marRight w:val="0"/>
          <w:marTop w:val="0"/>
          <w:marBottom w:val="0"/>
          <w:divBdr>
            <w:top w:val="none" w:sz="0" w:space="0" w:color="auto"/>
            <w:left w:val="none" w:sz="0" w:space="0" w:color="auto"/>
            <w:bottom w:val="none" w:sz="0" w:space="0" w:color="auto"/>
            <w:right w:val="none" w:sz="0" w:space="0" w:color="auto"/>
          </w:divBdr>
          <w:divsChild>
            <w:div w:id="1197547870">
              <w:marLeft w:val="0"/>
              <w:marRight w:val="0"/>
              <w:marTop w:val="0"/>
              <w:marBottom w:val="0"/>
              <w:divBdr>
                <w:top w:val="none" w:sz="0" w:space="0" w:color="auto"/>
                <w:left w:val="none" w:sz="0" w:space="0" w:color="auto"/>
                <w:bottom w:val="none" w:sz="0" w:space="0" w:color="auto"/>
                <w:right w:val="none" w:sz="0" w:space="0" w:color="auto"/>
              </w:divBdr>
            </w:div>
            <w:div w:id="1096514166">
              <w:marLeft w:val="0"/>
              <w:marRight w:val="0"/>
              <w:marTop w:val="0"/>
              <w:marBottom w:val="0"/>
              <w:divBdr>
                <w:top w:val="none" w:sz="0" w:space="0" w:color="auto"/>
                <w:left w:val="none" w:sz="0" w:space="0" w:color="auto"/>
                <w:bottom w:val="none" w:sz="0" w:space="0" w:color="auto"/>
                <w:right w:val="none" w:sz="0" w:space="0" w:color="auto"/>
              </w:divBdr>
            </w:div>
            <w:div w:id="950623533">
              <w:marLeft w:val="0"/>
              <w:marRight w:val="0"/>
              <w:marTop w:val="0"/>
              <w:marBottom w:val="0"/>
              <w:divBdr>
                <w:top w:val="none" w:sz="0" w:space="0" w:color="auto"/>
                <w:left w:val="none" w:sz="0" w:space="0" w:color="auto"/>
                <w:bottom w:val="none" w:sz="0" w:space="0" w:color="auto"/>
                <w:right w:val="none" w:sz="0" w:space="0" w:color="auto"/>
              </w:divBdr>
            </w:div>
            <w:div w:id="1966809860">
              <w:marLeft w:val="0"/>
              <w:marRight w:val="0"/>
              <w:marTop w:val="0"/>
              <w:marBottom w:val="0"/>
              <w:divBdr>
                <w:top w:val="none" w:sz="0" w:space="0" w:color="auto"/>
                <w:left w:val="none" w:sz="0" w:space="0" w:color="auto"/>
                <w:bottom w:val="none" w:sz="0" w:space="0" w:color="auto"/>
                <w:right w:val="none" w:sz="0" w:space="0" w:color="auto"/>
              </w:divBdr>
            </w:div>
            <w:div w:id="1210143805">
              <w:marLeft w:val="0"/>
              <w:marRight w:val="0"/>
              <w:marTop w:val="0"/>
              <w:marBottom w:val="0"/>
              <w:divBdr>
                <w:top w:val="none" w:sz="0" w:space="0" w:color="auto"/>
                <w:left w:val="none" w:sz="0" w:space="0" w:color="auto"/>
                <w:bottom w:val="none" w:sz="0" w:space="0" w:color="auto"/>
                <w:right w:val="none" w:sz="0" w:space="0" w:color="auto"/>
              </w:divBdr>
            </w:div>
            <w:div w:id="1526093470">
              <w:marLeft w:val="0"/>
              <w:marRight w:val="0"/>
              <w:marTop w:val="0"/>
              <w:marBottom w:val="0"/>
              <w:divBdr>
                <w:top w:val="none" w:sz="0" w:space="0" w:color="auto"/>
                <w:left w:val="none" w:sz="0" w:space="0" w:color="auto"/>
                <w:bottom w:val="none" w:sz="0" w:space="0" w:color="auto"/>
                <w:right w:val="none" w:sz="0" w:space="0" w:color="auto"/>
              </w:divBdr>
            </w:div>
            <w:div w:id="681203129">
              <w:marLeft w:val="0"/>
              <w:marRight w:val="0"/>
              <w:marTop w:val="0"/>
              <w:marBottom w:val="0"/>
              <w:divBdr>
                <w:top w:val="none" w:sz="0" w:space="0" w:color="auto"/>
                <w:left w:val="none" w:sz="0" w:space="0" w:color="auto"/>
                <w:bottom w:val="none" w:sz="0" w:space="0" w:color="auto"/>
                <w:right w:val="none" w:sz="0" w:space="0" w:color="auto"/>
              </w:divBdr>
            </w:div>
            <w:div w:id="1075319621">
              <w:marLeft w:val="0"/>
              <w:marRight w:val="0"/>
              <w:marTop w:val="0"/>
              <w:marBottom w:val="0"/>
              <w:divBdr>
                <w:top w:val="none" w:sz="0" w:space="0" w:color="auto"/>
                <w:left w:val="none" w:sz="0" w:space="0" w:color="auto"/>
                <w:bottom w:val="none" w:sz="0" w:space="0" w:color="auto"/>
                <w:right w:val="none" w:sz="0" w:space="0" w:color="auto"/>
              </w:divBdr>
            </w:div>
            <w:div w:id="1926646420">
              <w:marLeft w:val="0"/>
              <w:marRight w:val="0"/>
              <w:marTop w:val="0"/>
              <w:marBottom w:val="0"/>
              <w:divBdr>
                <w:top w:val="none" w:sz="0" w:space="0" w:color="auto"/>
                <w:left w:val="none" w:sz="0" w:space="0" w:color="auto"/>
                <w:bottom w:val="none" w:sz="0" w:space="0" w:color="auto"/>
                <w:right w:val="none" w:sz="0" w:space="0" w:color="auto"/>
              </w:divBdr>
            </w:div>
            <w:div w:id="523831693">
              <w:marLeft w:val="0"/>
              <w:marRight w:val="0"/>
              <w:marTop w:val="0"/>
              <w:marBottom w:val="0"/>
              <w:divBdr>
                <w:top w:val="none" w:sz="0" w:space="0" w:color="auto"/>
                <w:left w:val="none" w:sz="0" w:space="0" w:color="auto"/>
                <w:bottom w:val="none" w:sz="0" w:space="0" w:color="auto"/>
                <w:right w:val="none" w:sz="0" w:space="0" w:color="auto"/>
              </w:divBdr>
            </w:div>
            <w:div w:id="1306082704">
              <w:marLeft w:val="0"/>
              <w:marRight w:val="0"/>
              <w:marTop w:val="0"/>
              <w:marBottom w:val="0"/>
              <w:divBdr>
                <w:top w:val="none" w:sz="0" w:space="0" w:color="auto"/>
                <w:left w:val="none" w:sz="0" w:space="0" w:color="auto"/>
                <w:bottom w:val="none" w:sz="0" w:space="0" w:color="auto"/>
                <w:right w:val="none" w:sz="0" w:space="0" w:color="auto"/>
              </w:divBdr>
            </w:div>
            <w:div w:id="1903976722">
              <w:marLeft w:val="0"/>
              <w:marRight w:val="0"/>
              <w:marTop w:val="0"/>
              <w:marBottom w:val="0"/>
              <w:divBdr>
                <w:top w:val="none" w:sz="0" w:space="0" w:color="auto"/>
                <w:left w:val="none" w:sz="0" w:space="0" w:color="auto"/>
                <w:bottom w:val="none" w:sz="0" w:space="0" w:color="auto"/>
                <w:right w:val="none" w:sz="0" w:space="0" w:color="auto"/>
              </w:divBdr>
            </w:div>
            <w:div w:id="643003093">
              <w:marLeft w:val="0"/>
              <w:marRight w:val="0"/>
              <w:marTop w:val="0"/>
              <w:marBottom w:val="0"/>
              <w:divBdr>
                <w:top w:val="none" w:sz="0" w:space="0" w:color="auto"/>
                <w:left w:val="none" w:sz="0" w:space="0" w:color="auto"/>
                <w:bottom w:val="none" w:sz="0" w:space="0" w:color="auto"/>
                <w:right w:val="none" w:sz="0" w:space="0" w:color="auto"/>
              </w:divBdr>
            </w:div>
            <w:div w:id="127358926">
              <w:marLeft w:val="0"/>
              <w:marRight w:val="0"/>
              <w:marTop w:val="0"/>
              <w:marBottom w:val="0"/>
              <w:divBdr>
                <w:top w:val="none" w:sz="0" w:space="0" w:color="auto"/>
                <w:left w:val="none" w:sz="0" w:space="0" w:color="auto"/>
                <w:bottom w:val="none" w:sz="0" w:space="0" w:color="auto"/>
                <w:right w:val="none" w:sz="0" w:space="0" w:color="auto"/>
              </w:divBdr>
            </w:div>
            <w:div w:id="2139906823">
              <w:marLeft w:val="0"/>
              <w:marRight w:val="0"/>
              <w:marTop w:val="0"/>
              <w:marBottom w:val="0"/>
              <w:divBdr>
                <w:top w:val="none" w:sz="0" w:space="0" w:color="auto"/>
                <w:left w:val="none" w:sz="0" w:space="0" w:color="auto"/>
                <w:bottom w:val="none" w:sz="0" w:space="0" w:color="auto"/>
                <w:right w:val="none" w:sz="0" w:space="0" w:color="auto"/>
              </w:divBdr>
            </w:div>
            <w:div w:id="112526434">
              <w:marLeft w:val="0"/>
              <w:marRight w:val="0"/>
              <w:marTop w:val="0"/>
              <w:marBottom w:val="0"/>
              <w:divBdr>
                <w:top w:val="none" w:sz="0" w:space="0" w:color="auto"/>
                <w:left w:val="none" w:sz="0" w:space="0" w:color="auto"/>
                <w:bottom w:val="none" w:sz="0" w:space="0" w:color="auto"/>
                <w:right w:val="none" w:sz="0" w:space="0" w:color="auto"/>
              </w:divBdr>
            </w:div>
            <w:div w:id="1817382110">
              <w:marLeft w:val="0"/>
              <w:marRight w:val="0"/>
              <w:marTop w:val="0"/>
              <w:marBottom w:val="0"/>
              <w:divBdr>
                <w:top w:val="none" w:sz="0" w:space="0" w:color="auto"/>
                <w:left w:val="none" w:sz="0" w:space="0" w:color="auto"/>
                <w:bottom w:val="none" w:sz="0" w:space="0" w:color="auto"/>
                <w:right w:val="none" w:sz="0" w:space="0" w:color="auto"/>
              </w:divBdr>
            </w:div>
            <w:div w:id="479809237">
              <w:marLeft w:val="0"/>
              <w:marRight w:val="0"/>
              <w:marTop w:val="0"/>
              <w:marBottom w:val="0"/>
              <w:divBdr>
                <w:top w:val="none" w:sz="0" w:space="0" w:color="auto"/>
                <w:left w:val="none" w:sz="0" w:space="0" w:color="auto"/>
                <w:bottom w:val="none" w:sz="0" w:space="0" w:color="auto"/>
                <w:right w:val="none" w:sz="0" w:space="0" w:color="auto"/>
              </w:divBdr>
            </w:div>
            <w:div w:id="111352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govasia.com/2025/01/25/ai-and-indonesias-path-to-golden-indonesia-2045/" TargetMode="External"/><Relationship Id="rId2" Type="http://schemas.openxmlformats.org/officeDocument/2006/relationships/hyperlink" Target="http://www.focus-economics.com" TargetMode="External"/><Relationship Id="rId1" Type="http://schemas.openxmlformats.org/officeDocument/2006/relationships/hyperlink" Target="https://financing.desa.un.org/ffd4" TargetMode="External"/><Relationship Id="rId4" Type="http://schemas.openxmlformats.org/officeDocument/2006/relationships/hyperlink" Target="https://www.dfat.gov.au/sites/default/files/child-protection-risk-assessment-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f53c1d-3426-4032-9bdb-84c3ea6fc01e" xsi:nil="true"/>
    <About xmlns="416d98e1-ff00-40e2-a2c0-d475b3a7e942" xsi:nil="true"/>
    <lcf76f155ced4ddcb4097134ff3c332f xmlns="416d98e1-ff00-40e2-a2c0-d475b3a7e9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952AF08EF54743B6A9A7912E2C3EF6" ma:contentTypeVersion="19" ma:contentTypeDescription="Create a new document." ma:contentTypeScope="" ma:versionID="b708a2b683b04393bf07dc6f4da291ee">
  <xsd:schema xmlns:xsd="http://www.w3.org/2001/XMLSchema" xmlns:xs="http://www.w3.org/2001/XMLSchema" xmlns:p="http://schemas.microsoft.com/office/2006/metadata/properties" xmlns:ns2="416d98e1-ff00-40e2-a2c0-d475b3a7e942" xmlns:ns3="fdf53c1d-3426-4032-9bdb-84c3ea6fc01e" targetNamespace="http://schemas.microsoft.com/office/2006/metadata/properties" ma:root="true" ma:fieldsID="680a0b145ff0adfe87f142274be4631f" ns2:_="" ns3:_="">
    <xsd:import namespace="416d98e1-ff00-40e2-a2c0-d475b3a7e942"/>
    <xsd:import namespace="fdf53c1d-3426-4032-9bdb-84c3ea6fc0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element ref="ns2:MediaLengthInSeconds" minOccurs="0"/>
                <xsd:element ref="ns2:MediaServiceLocation" minOccurs="0"/>
                <xsd:element ref="ns2:Abou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d98e1-ff00-40e2-a2c0-d475b3a7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About" ma:index="25" nillable="true" ma:displayName="About" ma:description="List of reports &amp; reviews, strategies, and implementation guidance produced by KIAT." ma:format="Dropdown" ma:internalName="About">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53c1d-3426-4032-9bdb-84c3ea6fc0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1dafab1-059f-491e-8fba-74eb1acdd239}" ma:internalName="TaxCatchAll" ma:showField="CatchAllData" ma:web="fdf53c1d-3426-4032-9bdb-84c3ea6fc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66320-78A2-43A0-B5A8-42DB208143B6}">
  <ds:schemaRefs>
    <ds:schemaRef ds:uri="http://schemas.microsoft.com/office/2006/metadata/properties"/>
    <ds:schemaRef ds:uri="http://schemas.microsoft.com/office/infopath/2007/PartnerControls"/>
    <ds:schemaRef ds:uri="fdf53c1d-3426-4032-9bdb-84c3ea6fc01e"/>
    <ds:schemaRef ds:uri="416d98e1-ff00-40e2-a2c0-d475b3a7e942"/>
  </ds:schemaRefs>
</ds:datastoreItem>
</file>

<file path=customXml/itemProps2.xml><?xml version="1.0" encoding="utf-8"?>
<ds:datastoreItem xmlns:ds="http://schemas.openxmlformats.org/officeDocument/2006/customXml" ds:itemID="{1646C378-F66F-464F-ADAA-9EF07A05A021}">
  <ds:schemaRefs>
    <ds:schemaRef ds:uri="http://schemas.openxmlformats.org/officeDocument/2006/bibliography"/>
  </ds:schemaRefs>
</ds:datastoreItem>
</file>

<file path=customXml/itemProps3.xml><?xml version="1.0" encoding="utf-8"?>
<ds:datastoreItem xmlns:ds="http://schemas.openxmlformats.org/officeDocument/2006/customXml" ds:itemID="{E002DF0C-2FF2-4626-A6E0-79516FB0F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d98e1-ff00-40e2-a2c0-d475b3a7e942"/>
    <ds:schemaRef ds:uri="fdf53c1d-3426-4032-9bdb-84c3ea6fc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20451-B399-4959-AF64-592D35C3A885}">
  <ds:schemaRefs>
    <ds:schemaRef ds:uri="http://schemas.microsoft.com/sharepoint/v3/contenttype/forms"/>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66</TotalTime>
  <Pages>78</Pages>
  <Words>29700</Words>
  <Characters>189851</Characters>
  <Application>Microsoft Office Word</Application>
  <DocSecurity>0</DocSecurity>
  <Lines>3803</Lines>
  <Paragraphs>1417</Paragraphs>
  <ScaleCrop>false</ScaleCrop>
  <HeadingPairs>
    <vt:vector size="2" baseType="variant">
      <vt:variant>
        <vt:lpstr>Title</vt:lpstr>
      </vt:variant>
      <vt:variant>
        <vt:i4>1</vt:i4>
      </vt:variant>
    </vt:vector>
  </HeadingPairs>
  <TitlesOfParts>
    <vt:vector size="1" baseType="lpstr">
      <vt:lpstr>DFAT-led design - Investment design template</vt:lpstr>
    </vt:vector>
  </TitlesOfParts>
  <Company/>
  <LinksUpToDate>false</LinksUpToDate>
  <CharactersWithSpaces>218727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DFAT-led design - Investment design template</dc:title>
  <dc:subject/>
  <dc:creator>Tanya McQueen</dc:creator>
  <cp:keywords>[SEC=OFFICIAL]</cp:keywords>
  <dc:description/>
  <cp:lastModifiedBy>Rachmi Anindita</cp:lastModifiedBy>
  <cp:revision>45</cp:revision>
  <cp:lastPrinted>2025-09-18T08:21:00Z</cp:lastPrinted>
  <dcterms:created xsi:type="dcterms:W3CDTF">2025-12-17T04:15:00Z</dcterms:created>
  <dcterms:modified xsi:type="dcterms:W3CDTF">2025-12-24T02:55:00Z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MinimumSecurityClassification">
    <vt:lpwstr>OFFICIAL</vt:lpwstr>
  </property>
  <property fmtid="{D5CDD505-2E9C-101B-9397-08002B2CF9AE}" pid="3" name="PM_SecurityClassification">
    <vt:lpwstr>OFFICIAL</vt:lpwstr>
  </property>
  <property fmtid="{D5CDD505-2E9C-101B-9397-08002B2CF9AE}" pid="4" name="PMHMAC">
    <vt:lpwstr>v=2022.1;a=SHA256;h=3126C23D9ECBF1E921E6EDD439D2D66F3B9AD62D4440B067E866E14FF57131F8</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6BA1DF2AF66876B3B4A8E4CAB4D091CA224B57C5</vt:lpwstr>
  </property>
  <property fmtid="{D5CDD505-2E9C-101B-9397-08002B2CF9AE}" pid="9" name="PM_Originating_FileId">
    <vt:lpwstr>1FF7E5DC14D444DAA887E4DA98360471</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2023-04-27T04:56:04Z</vt:lpwstr>
  </property>
  <property fmtid="{D5CDD505-2E9C-101B-9397-08002B2CF9AE}" pid="13" name="PM_ProtectiveMarkingImage_Header">
    <vt:lpwstr>C:\Program Files\Common Files\janusNET Shared\janusSEAL\Images\DocumentSlashBlue.png</vt:lpwstr>
  </property>
  <property fmtid="{D5CDD505-2E9C-101B-9397-08002B2CF9AE}" pid="14" name="PM_ProtectiveMarkingImage_Footer">
    <vt:lpwstr>C:\Program Files\Common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2022.1</vt:lpwstr>
  </property>
  <property fmtid="{D5CDD505-2E9C-101B-9397-08002B2CF9AE}" pid="20" name="PM_Hash_Salt_Prev">
    <vt:lpwstr>41F667EB43B63C8BE32CF7F02088F996</vt:lpwstr>
  </property>
  <property fmtid="{D5CDD505-2E9C-101B-9397-08002B2CF9AE}" pid="21" name="PM_Hash_Salt">
    <vt:lpwstr>90DF3629CAD1341B12FE2596D4E48FDE</vt:lpwstr>
  </property>
  <property fmtid="{D5CDD505-2E9C-101B-9397-08002B2CF9AE}" pid="22" name="PM_Hash_SHA1">
    <vt:lpwstr>A469B34E9D5F6F0B1A51E4D7B23BC3A4AB655476</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PM_Display">
    <vt:lpwstr>OFFICIAL</vt:lpwstr>
  </property>
  <property fmtid="{D5CDD505-2E9C-101B-9397-08002B2CF9AE}" pid="26" name="PMUuid">
    <vt:lpwstr>v=2022.2;d=gov.au;g=46DD6D7C-8107-577B-BC6E-F348953B2E44</vt:lpwstr>
  </property>
  <property fmtid="{D5CDD505-2E9C-101B-9397-08002B2CF9AE}" pid="27" name="PM_OriginatorUserAccountName_SHA256">
    <vt:lpwstr>B757FE953EB3717E2DBC2124CAF829CE3B791527530097253FA741D450A2F941</vt:lpwstr>
  </property>
  <property fmtid="{D5CDD505-2E9C-101B-9397-08002B2CF9AE}" pid="28" name="PM_OriginatorDomainName_SHA256">
    <vt:lpwstr>6F3591835F3B2A8A025B00B5BA6418010DA3A17C9C26EA9C049FFD28039489A2</vt:lpwstr>
  </property>
  <property fmtid="{D5CDD505-2E9C-101B-9397-08002B2CF9AE}" pid="29" name="PM_Caveats_Count">
    <vt:lpwstr>0</vt:lpwstr>
  </property>
  <property fmtid="{D5CDD505-2E9C-101B-9397-08002B2CF9AE}" pid="30" name="GrammarlyDocumentId">
    <vt:lpwstr>8e192a23-5d86-4a7d-8ddf-68d4a2bb98b4</vt:lpwstr>
  </property>
  <property fmtid="{D5CDD505-2E9C-101B-9397-08002B2CF9AE}" pid="31" name="ContentTypeId">
    <vt:lpwstr>0x01010037952AF08EF54743B6A9A7912E2C3EF6</vt:lpwstr>
  </property>
  <property fmtid="{D5CDD505-2E9C-101B-9397-08002B2CF9AE}" pid="32" name="MediaServiceImageTags">
    <vt:lpwstr/>
  </property>
  <property fmtid="{D5CDD505-2E9C-101B-9397-08002B2CF9AE}" pid="33" name="PM_Expires">
    <vt:lpwstr/>
  </property>
  <property fmtid="{D5CDD505-2E9C-101B-9397-08002B2CF9AE}" pid="34" name="PM_DownTo">
    <vt:lpwstr/>
  </property>
</Properties>
</file>