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9C9B0" w14:textId="145B2723" w:rsidR="0010709B" w:rsidRDefault="00A54B35" w:rsidP="0010709B">
      <w:pPr>
        <w:pStyle w:val="Heading1"/>
        <w:jc w:val="both"/>
      </w:pPr>
      <w:r>
        <w:br/>
      </w:r>
      <w:r w:rsidR="0010709B" w:rsidRPr="001C4E89">
        <w:t>Management Response to the Evaluation of the Kiribati Australia Skills for Employment Partnership (KASfEP)</w:t>
      </w:r>
    </w:p>
    <w:p w14:paraId="2740974D" w14:textId="77777777" w:rsidR="00A54B35" w:rsidRDefault="00A54B35" w:rsidP="0010709B">
      <w:pPr>
        <w:rPr>
          <w:rFonts w:ascii="Calibri Light" w:hAnsi="Calibri Light" w:cs="Calibri Light"/>
          <w:color w:val="495965"/>
          <w:sz w:val="22"/>
          <w:szCs w:val="22"/>
          <w:lang w:val="en-US" w:eastAsia="en-US"/>
        </w:rPr>
      </w:pPr>
    </w:p>
    <w:p w14:paraId="215BA550" w14:textId="520354B3" w:rsidR="0010709B" w:rsidRPr="00D06270" w:rsidRDefault="0010709B" w:rsidP="0010709B">
      <w:pPr>
        <w:rPr>
          <w:rFonts w:ascii="Calibri Light" w:hAnsi="Calibri Light" w:cs="Calibri Light"/>
          <w:color w:val="495965"/>
          <w:sz w:val="22"/>
          <w:szCs w:val="22"/>
          <w:lang w:val="en-US" w:eastAsia="en-US"/>
        </w:rPr>
      </w:pPr>
      <w:r w:rsidRPr="004E71EF">
        <w:rPr>
          <w:rFonts w:ascii="Calibri Light" w:hAnsi="Calibri Light" w:cs="Calibri Light"/>
          <w:color w:val="495965"/>
          <w:sz w:val="22"/>
          <w:szCs w:val="22"/>
          <w:lang w:val="en-US" w:eastAsia="en-US"/>
        </w:rPr>
        <w:t xml:space="preserve">This document </w:t>
      </w:r>
      <w:r>
        <w:rPr>
          <w:rFonts w:ascii="Calibri Light" w:hAnsi="Calibri Light" w:cs="Calibri Light"/>
          <w:color w:val="495965"/>
          <w:sz w:val="22"/>
          <w:szCs w:val="22"/>
          <w:lang w:val="en-US" w:eastAsia="en-US"/>
        </w:rPr>
        <w:t xml:space="preserve">provides a management response to the 2025 Evaluation of the Kiribati Australia Skills for Employment Partnership (KASfEP). </w:t>
      </w:r>
    </w:p>
    <w:tbl>
      <w:tblPr>
        <w:tblStyle w:val="TableGrid"/>
        <w:tblW w:w="5462" w:type="pct"/>
        <w:tblInd w:w="-572" w:type="dxa"/>
        <w:tblLook w:val="04A0" w:firstRow="1" w:lastRow="0" w:firstColumn="1" w:lastColumn="0" w:noHBand="0" w:noVBand="1"/>
      </w:tblPr>
      <w:tblGrid>
        <w:gridCol w:w="4529"/>
        <w:gridCol w:w="1185"/>
        <w:gridCol w:w="945"/>
        <w:gridCol w:w="4161"/>
        <w:gridCol w:w="4775"/>
      </w:tblGrid>
      <w:tr w:rsidR="0010709B" w:rsidRPr="00602ABE" w14:paraId="16700DF7" w14:textId="77777777" w:rsidTr="00D17EB7">
        <w:tc>
          <w:tcPr>
            <w:tcW w:w="1452" w:type="pct"/>
            <w:shd w:val="clear" w:color="auto" w:fill="D9D9D9" w:themeFill="background1" w:themeFillShade="D9"/>
          </w:tcPr>
          <w:p w14:paraId="53E1A62F" w14:textId="77777777" w:rsidR="0010709B" w:rsidRPr="00D06270" w:rsidRDefault="0010709B" w:rsidP="00890356">
            <w:pPr>
              <w:tabs>
                <w:tab w:val="left" w:pos="891"/>
              </w:tabs>
              <w:spacing w:before="60" w:after="60"/>
              <w:rPr>
                <w:rFonts w:ascii="Calibri Light" w:hAnsi="Calibri Light" w:cs="Calibri Light"/>
                <w:b/>
                <w:bCs/>
                <w:color w:val="495965"/>
                <w:sz w:val="22"/>
                <w:szCs w:val="22"/>
              </w:rPr>
            </w:pPr>
            <w:r w:rsidRPr="00D06270">
              <w:rPr>
                <w:rFonts w:ascii="Calibri Light" w:hAnsi="Calibri Light" w:cs="Calibri Light"/>
                <w:b/>
                <w:bCs/>
                <w:color w:val="495965"/>
                <w:sz w:val="22"/>
                <w:szCs w:val="22"/>
              </w:rPr>
              <w:t>Recommendations for Design mission and procurement</w:t>
            </w:r>
          </w:p>
        </w:tc>
        <w:tc>
          <w:tcPr>
            <w:tcW w:w="380" w:type="pct"/>
            <w:shd w:val="clear" w:color="auto" w:fill="D9D9D9" w:themeFill="background1" w:themeFillShade="D9"/>
          </w:tcPr>
          <w:p w14:paraId="12B134CA" w14:textId="77777777" w:rsidR="0010709B" w:rsidRPr="00D06270" w:rsidRDefault="0010709B" w:rsidP="00890356">
            <w:pPr>
              <w:tabs>
                <w:tab w:val="left" w:pos="891"/>
              </w:tabs>
              <w:spacing w:before="60" w:after="60"/>
              <w:rPr>
                <w:rFonts w:ascii="Calibri Light" w:hAnsi="Calibri Light" w:cs="Calibri Light"/>
                <w:b/>
                <w:bCs/>
                <w:color w:val="495965"/>
                <w:sz w:val="22"/>
                <w:szCs w:val="22"/>
              </w:rPr>
            </w:pPr>
            <w:r w:rsidRPr="00D06270">
              <w:rPr>
                <w:rFonts w:ascii="Calibri Light" w:hAnsi="Calibri Light" w:cs="Calibri Light"/>
                <w:b/>
                <w:bCs/>
                <w:color w:val="495965"/>
                <w:sz w:val="22"/>
                <w:szCs w:val="22"/>
              </w:rPr>
              <w:t>Timeframe</w:t>
            </w:r>
          </w:p>
        </w:tc>
        <w:tc>
          <w:tcPr>
            <w:tcW w:w="303" w:type="pct"/>
            <w:shd w:val="clear" w:color="auto" w:fill="D9D9D9" w:themeFill="background1" w:themeFillShade="D9"/>
          </w:tcPr>
          <w:p w14:paraId="3342E973" w14:textId="77777777" w:rsidR="0010709B" w:rsidRPr="00D06270" w:rsidRDefault="0010709B" w:rsidP="00890356">
            <w:pPr>
              <w:tabs>
                <w:tab w:val="left" w:pos="891"/>
              </w:tabs>
              <w:spacing w:before="60" w:after="60"/>
              <w:rPr>
                <w:rFonts w:ascii="Calibri Light" w:hAnsi="Calibri Light" w:cs="Calibri Light"/>
                <w:b/>
                <w:bCs/>
                <w:color w:val="495965"/>
                <w:sz w:val="22"/>
                <w:szCs w:val="22"/>
              </w:rPr>
            </w:pPr>
            <w:r w:rsidRPr="00D06270">
              <w:rPr>
                <w:rFonts w:ascii="Calibri Light" w:hAnsi="Calibri Light" w:cs="Calibri Light"/>
                <w:b/>
                <w:bCs/>
                <w:color w:val="495965"/>
                <w:sz w:val="22"/>
                <w:szCs w:val="22"/>
              </w:rPr>
              <w:t>Status</w:t>
            </w:r>
          </w:p>
        </w:tc>
        <w:tc>
          <w:tcPr>
            <w:tcW w:w="1334" w:type="pct"/>
            <w:shd w:val="clear" w:color="auto" w:fill="D9D9D9" w:themeFill="background1" w:themeFillShade="D9"/>
          </w:tcPr>
          <w:p w14:paraId="29029FDE" w14:textId="77777777" w:rsidR="0010709B" w:rsidRPr="00D06270" w:rsidRDefault="0010709B" w:rsidP="00890356">
            <w:pPr>
              <w:tabs>
                <w:tab w:val="left" w:pos="891"/>
              </w:tabs>
              <w:spacing w:before="60" w:after="60"/>
              <w:rPr>
                <w:rFonts w:ascii="Calibri Light" w:hAnsi="Calibri Light" w:cs="Calibri Light"/>
                <w:b/>
                <w:bCs/>
                <w:color w:val="495965"/>
                <w:sz w:val="22"/>
                <w:szCs w:val="22"/>
              </w:rPr>
            </w:pPr>
            <w:r w:rsidRPr="00D06270">
              <w:rPr>
                <w:rFonts w:ascii="Calibri Light" w:hAnsi="Calibri Light" w:cs="Calibri Light"/>
                <w:b/>
                <w:bCs/>
                <w:color w:val="495965"/>
                <w:sz w:val="22"/>
                <w:szCs w:val="22"/>
              </w:rPr>
              <w:t>Explanation</w:t>
            </w:r>
          </w:p>
        </w:tc>
        <w:tc>
          <w:tcPr>
            <w:tcW w:w="1531" w:type="pct"/>
            <w:shd w:val="clear" w:color="auto" w:fill="D9D9D9" w:themeFill="background1" w:themeFillShade="D9"/>
          </w:tcPr>
          <w:p w14:paraId="64BBDF3D" w14:textId="77777777" w:rsidR="0010709B" w:rsidRPr="00D06270" w:rsidRDefault="0010709B" w:rsidP="00890356">
            <w:pPr>
              <w:tabs>
                <w:tab w:val="left" w:pos="891"/>
              </w:tabs>
              <w:spacing w:before="60" w:after="60"/>
              <w:rPr>
                <w:rFonts w:ascii="Calibri Light" w:hAnsi="Calibri Light" w:cs="Calibri Light"/>
                <w:b/>
                <w:bCs/>
                <w:color w:val="495965"/>
                <w:sz w:val="22"/>
                <w:szCs w:val="22"/>
              </w:rPr>
            </w:pPr>
            <w:r w:rsidRPr="00D06270">
              <w:rPr>
                <w:rFonts w:ascii="Calibri Light" w:hAnsi="Calibri Light" w:cs="Calibri Light"/>
                <w:b/>
                <w:bCs/>
                <w:color w:val="495965"/>
                <w:sz w:val="22"/>
                <w:szCs w:val="22"/>
              </w:rPr>
              <w:t>Action Plan</w:t>
            </w:r>
          </w:p>
        </w:tc>
      </w:tr>
      <w:tr w:rsidR="0010709B" w:rsidRPr="00602ABE" w14:paraId="7B071E40" w14:textId="77777777" w:rsidTr="00D17EB7">
        <w:tc>
          <w:tcPr>
            <w:tcW w:w="1452" w:type="pct"/>
          </w:tcPr>
          <w:p w14:paraId="63D4784C" w14:textId="77777777" w:rsidR="0010709B" w:rsidRDefault="0010709B" w:rsidP="00890356">
            <w:pPr>
              <w:tabs>
                <w:tab w:val="left" w:pos="891"/>
              </w:tabs>
              <w:spacing w:before="60" w:after="60"/>
              <w:rPr>
                <w:rFonts w:ascii="Calibri Light" w:hAnsi="Calibri Light" w:cs="Calibri Light"/>
                <w:color w:val="495965"/>
                <w:sz w:val="22"/>
                <w:szCs w:val="22"/>
              </w:rPr>
            </w:pPr>
            <w:r w:rsidRPr="00602ABE">
              <w:rPr>
                <w:rFonts w:ascii="Calibri Light" w:hAnsi="Calibri Light" w:cs="Calibri Light"/>
                <w:color w:val="495965"/>
                <w:sz w:val="22"/>
                <w:szCs w:val="22"/>
              </w:rPr>
              <w:t>1. Design of the new program must be timely, with contracting of the management contractor for the successor program completed by the end of 2025 to enable early activities in Q1 2026</w:t>
            </w:r>
          </w:p>
          <w:p w14:paraId="6917E4F5" w14:textId="77777777" w:rsidR="0010709B" w:rsidRPr="00602ABE" w:rsidRDefault="0010709B" w:rsidP="00890356">
            <w:pPr>
              <w:tabs>
                <w:tab w:val="left" w:pos="891"/>
              </w:tabs>
              <w:spacing w:before="60" w:after="60"/>
              <w:rPr>
                <w:rFonts w:ascii="Calibri Light" w:hAnsi="Calibri Light" w:cs="Calibri Light"/>
                <w:color w:val="495965"/>
                <w:sz w:val="22"/>
                <w:szCs w:val="22"/>
              </w:rPr>
            </w:pPr>
          </w:p>
        </w:tc>
        <w:tc>
          <w:tcPr>
            <w:tcW w:w="380" w:type="pct"/>
          </w:tcPr>
          <w:p w14:paraId="54B773AE" w14:textId="77777777" w:rsidR="0010709B" w:rsidRPr="00602ABE" w:rsidRDefault="0010709B" w:rsidP="00890356">
            <w:pPr>
              <w:tabs>
                <w:tab w:val="left" w:pos="891"/>
              </w:tabs>
              <w:spacing w:before="60" w:after="60"/>
              <w:rPr>
                <w:rFonts w:ascii="Calibri Light" w:hAnsi="Calibri Light" w:cs="Calibri Light"/>
                <w:color w:val="495965"/>
                <w:sz w:val="22"/>
                <w:szCs w:val="22"/>
              </w:rPr>
            </w:pPr>
            <w:r w:rsidRPr="00602ABE">
              <w:rPr>
                <w:rFonts w:ascii="Calibri Light" w:hAnsi="Calibri Light" w:cs="Calibri Light"/>
                <w:color w:val="495965"/>
                <w:sz w:val="22"/>
                <w:szCs w:val="22"/>
              </w:rPr>
              <w:t>2025</w:t>
            </w:r>
          </w:p>
        </w:tc>
        <w:tc>
          <w:tcPr>
            <w:tcW w:w="303" w:type="pct"/>
          </w:tcPr>
          <w:p w14:paraId="1CDDAA89" w14:textId="77777777" w:rsidR="0010709B" w:rsidRPr="00602ABE" w:rsidRDefault="0010709B" w:rsidP="00890356">
            <w:pPr>
              <w:tabs>
                <w:tab w:val="left" w:pos="891"/>
              </w:tabs>
              <w:spacing w:before="60" w:after="60"/>
              <w:rPr>
                <w:rFonts w:ascii="Calibri Light" w:hAnsi="Calibri Light" w:cs="Calibri Light"/>
                <w:color w:val="495965"/>
                <w:sz w:val="22"/>
                <w:szCs w:val="22"/>
              </w:rPr>
            </w:pPr>
            <w:r w:rsidRPr="00602ABE">
              <w:rPr>
                <w:rFonts w:ascii="Calibri Light" w:hAnsi="Calibri Light" w:cs="Calibri Light"/>
                <w:color w:val="495965"/>
                <w:sz w:val="22"/>
                <w:szCs w:val="22"/>
              </w:rPr>
              <w:t>Agree</w:t>
            </w:r>
          </w:p>
        </w:tc>
        <w:tc>
          <w:tcPr>
            <w:tcW w:w="1334" w:type="pct"/>
          </w:tcPr>
          <w:p w14:paraId="7EE418D1" w14:textId="77777777" w:rsidR="0010709B" w:rsidRPr="00602ABE" w:rsidRDefault="0010709B" w:rsidP="00890356">
            <w:pPr>
              <w:tabs>
                <w:tab w:val="left" w:pos="891"/>
              </w:tabs>
              <w:spacing w:before="60" w:after="60"/>
              <w:rPr>
                <w:rFonts w:ascii="Calibri Light" w:hAnsi="Calibri Light" w:cs="Calibri Light"/>
                <w:color w:val="495965"/>
                <w:sz w:val="22"/>
                <w:szCs w:val="22"/>
              </w:rPr>
            </w:pPr>
            <w:r w:rsidRPr="00602ABE">
              <w:rPr>
                <w:rFonts w:ascii="Calibri Light" w:hAnsi="Calibri Light" w:cs="Calibri Light"/>
                <w:color w:val="495965"/>
                <w:sz w:val="22"/>
                <w:szCs w:val="22"/>
              </w:rPr>
              <w:t xml:space="preserve">DFAT agrees that it is important for the design of the new skills program to be timely to ensure that there is minimal impact during the transition period. </w:t>
            </w:r>
          </w:p>
        </w:tc>
        <w:tc>
          <w:tcPr>
            <w:tcW w:w="1531" w:type="pct"/>
          </w:tcPr>
          <w:p w14:paraId="0F98FBF8" w14:textId="77777777" w:rsidR="0010709B" w:rsidRPr="00602ABE" w:rsidRDefault="0010709B" w:rsidP="00890356">
            <w:pPr>
              <w:tabs>
                <w:tab w:val="left" w:pos="891"/>
              </w:tabs>
              <w:spacing w:before="60" w:after="60"/>
              <w:rPr>
                <w:rFonts w:ascii="Calibri Light" w:hAnsi="Calibri Light" w:cs="Calibri Light"/>
                <w:color w:val="495965"/>
                <w:sz w:val="22"/>
                <w:szCs w:val="22"/>
              </w:rPr>
            </w:pPr>
            <w:r w:rsidRPr="00602ABE">
              <w:rPr>
                <w:rFonts w:ascii="Calibri Light" w:hAnsi="Calibri Light" w:cs="Calibri Light"/>
                <w:color w:val="495965"/>
                <w:sz w:val="22"/>
                <w:szCs w:val="22"/>
              </w:rPr>
              <w:t>DFAT has commenced the design of the new skills program and will complete procurement</w:t>
            </w:r>
            <w:r>
              <w:rPr>
                <w:rFonts w:ascii="Calibri Light" w:hAnsi="Calibri Light" w:cs="Calibri Light"/>
                <w:color w:val="495965"/>
                <w:sz w:val="22"/>
                <w:szCs w:val="22"/>
              </w:rPr>
              <w:t xml:space="preserve"> in the second half of 2025. </w:t>
            </w:r>
          </w:p>
        </w:tc>
      </w:tr>
      <w:tr w:rsidR="0010709B" w:rsidRPr="00602ABE" w14:paraId="2A36EEF0" w14:textId="77777777" w:rsidTr="00D17EB7">
        <w:tc>
          <w:tcPr>
            <w:tcW w:w="1452" w:type="pct"/>
          </w:tcPr>
          <w:p w14:paraId="5B207030" w14:textId="77777777" w:rsidR="0010709B" w:rsidRPr="00602ABE" w:rsidRDefault="0010709B" w:rsidP="00890356">
            <w:pPr>
              <w:tabs>
                <w:tab w:val="left" w:pos="891"/>
              </w:tabs>
              <w:spacing w:before="60" w:after="60"/>
              <w:rPr>
                <w:rFonts w:ascii="Calibri Light" w:hAnsi="Calibri Light" w:cs="Calibri Light"/>
                <w:color w:val="495965"/>
                <w:sz w:val="22"/>
                <w:szCs w:val="22"/>
              </w:rPr>
            </w:pPr>
            <w:r w:rsidRPr="00602ABE">
              <w:rPr>
                <w:rFonts w:ascii="Calibri Light" w:hAnsi="Calibri Light" w:cs="Calibri Light"/>
                <w:color w:val="495965"/>
                <w:sz w:val="22"/>
                <w:szCs w:val="22"/>
              </w:rPr>
              <w:t>2. The design shall include a co-design workshop with SPAG to co-design key program elements that strengthen program ownership and ensure local alignment</w:t>
            </w:r>
          </w:p>
        </w:tc>
        <w:tc>
          <w:tcPr>
            <w:tcW w:w="380" w:type="pct"/>
          </w:tcPr>
          <w:p w14:paraId="067CD3DB" w14:textId="77777777" w:rsidR="0010709B" w:rsidRPr="00602ABE" w:rsidRDefault="0010709B" w:rsidP="00890356">
            <w:pPr>
              <w:tabs>
                <w:tab w:val="left" w:pos="891"/>
              </w:tabs>
              <w:spacing w:before="60" w:after="60"/>
              <w:rPr>
                <w:rFonts w:ascii="Calibri Light" w:hAnsi="Calibri Light" w:cs="Calibri Light"/>
                <w:color w:val="495965"/>
                <w:sz w:val="22"/>
                <w:szCs w:val="22"/>
              </w:rPr>
            </w:pPr>
            <w:r w:rsidRPr="00602ABE">
              <w:rPr>
                <w:rFonts w:ascii="Calibri Light" w:hAnsi="Calibri Light" w:cs="Calibri Light"/>
                <w:color w:val="495965"/>
                <w:sz w:val="22"/>
                <w:szCs w:val="22"/>
              </w:rPr>
              <w:t>Q1 2025</w:t>
            </w:r>
          </w:p>
        </w:tc>
        <w:tc>
          <w:tcPr>
            <w:tcW w:w="303" w:type="pct"/>
          </w:tcPr>
          <w:p w14:paraId="7DD83A0B" w14:textId="77777777" w:rsidR="0010709B" w:rsidRPr="00602ABE" w:rsidRDefault="0010709B" w:rsidP="00890356">
            <w:pPr>
              <w:tabs>
                <w:tab w:val="left" w:pos="891"/>
              </w:tabs>
              <w:spacing w:before="60" w:after="60"/>
              <w:rPr>
                <w:rFonts w:ascii="Calibri Light" w:hAnsi="Calibri Light" w:cs="Calibri Light"/>
                <w:color w:val="495965"/>
                <w:sz w:val="22"/>
                <w:szCs w:val="22"/>
              </w:rPr>
            </w:pPr>
            <w:r w:rsidRPr="00602ABE">
              <w:rPr>
                <w:rFonts w:ascii="Calibri Light" w:hAnsi="Calibri Light" w:cs="Calibri Light"/>
                <w:color w:val="495965"/>
                <w:sz w:val="22"/>
                <w:szCs w:val="22"/>
              </w:rPr>
              <w:t>Partially Agree</w:t>
            </w:r>
          </w:p>
        </w:tc>
        <w:tc>
          <w:tcPr>
            <w:tcW w:w="1334" w:type="pct"/>
          </w:tcPr>
          <w:p w14:paraId="6B37AEC1" w14:textId="77777777" w:rsidR="0010709B" w:rsidRDefault="0010709B" w:rsidP="00890356">
            <w:pPr>
              <w:tabs>
                <w:tab w:val="left" w:pos="891"/>
              </w:tabs>
              <w:spacing w:before="60" w:after="60"/>
              <w:rPr>
                <w:rFonts w:ascii="Calibri Light" w:hAnsi="Calibri Light" w:cs="Calibri Light"/>
                <w:color w:val="495965"/>
                <w:sz w:val="22"/>
                <w:szCs w:val="22"/>
              </w:rPr>
            </w:pPr>
            <w:r w:rsidRPr="00602ABE">
              <w:rPr>
                <w:rFonts w:ascii="Calibri Light" w:hAnsi="Calibri Light" w:cs="Calibri Light"/>
                <w:color w:val="495965"/>
                <w:sz w:val="22"/>
                <w:szCs w:val="22"/>
              </w:rPr>
              <w:t xml:space="preserve">DFAT recognises that ownership and local alignment are essential for the next bilateral skills investment and will encourage engagement with MEHR to plan for future governance of KIT. The design of the next bilateral skills program will not </w:t>
            </w:r>
            <w:r>
              <w:rPr>
                <w:rFonts w:ascii="Calibri Light" w:hAnsi="Calibri Light" w:cs="Calibri Light"/>
                <w:color w:val="495965"/>
                <w:sz w:val="22"/>
                <w:szCs w:val="22"/>
              </w:rPr>
              <w:t>include</w:t>
            </w:r>
            <w:r w:rsidRPr="00602ABE">
              <w:rPr>
                <w:rFonts w:ascii="Calibri Light" w:hAnsi="Calibri Light" w:cs="Calibri Light"/>
                <w:color w:val="495965"/>
                <w:sz w:val="22"/>
                <w:szCs w:val="22"/>
              </w:rPr>
              <w:t xml:space="preserve"> a co-design workshop. However, SPAG stakeholders will be involved in the design of the new bilateral skills via consultations and meetings.  </w:t>
            </w:r>
          </w:p>
          <w:p w14:paraId="52381E92" w14:textId="77777777" w:rsidR="0010709B" w:rsidRPr="00602ABE" w:rsidRDefault="0010709B" w:rsidP="00890356">
            <w:pPr>
              <w:tabs>
                <w:tab w:val="left" w:pos="891"/>
              </w:tabs>
              <w:spacing w:before="60" w:after="60"/>
              <w:rPr>
                <w:rFonts w:ascii="Calibri Light" w:hAnsi="Calibri Light" w:cs="Calibri Light"/>
                <w:color w:val="495965"/>
                <w:sz w:val="22"/>
                <w:szCs w:val="22"/>
              </w:rPr>
            </w:pPr>
          </w:p>
        </w:tc>
        <w:tc>
          <w:tcPr>
            <w:tcW w:w="1531" w:type="pct"/>
          </w:tcPr>
          <w:p w14:paraId="4DF995A3" w14:textId="77777777" w:rsidR="0010709B" w:rsidRPr="00602ABE" w:rsidRDefault="0010709B" w:rsidP="00890356">
            <w:pPr>
              <w:tabs>
                <w:tab w:val="left" w:pos="891"/>
              </w:tabs>
              <w:spacing w:before="60" w:after="60"/>
              <w:rPr>
                <w:rFonts w:ascii="Calibri Light" w:hAnsi="Calibri Light" w:cs="Calibri Light"/>
                <w:color w:val="495965"/>
                <w:sz w:val="22"/>
                <w:szCs w:val="22"/>
              </w:rPr>
            </w:pPr>
            <w:r w:rsidRPr="00602ABE">
              <w:rPr>
                <w:rFonts w:ascii="Calibri Light" w:hAnsi="Calibri Light" w:cs="Calibri Light"/>
                <w:color w:val="495965"/>
                <w:sz w:val="22"/>
                <w:szCs w:val="22"/>
              </w:rPr>
              <w:t xml:space="preserve">DFAT will ensure close engagement with SPAG stakeholders during the design process. </w:t>
            </w:r>
          </w:p>
          <w:p w14:paraId="7AEE7CCE" w14:textId="77777777" w:rsidR="0010709B" w:rsidRPr="00602ABE" w:rsidRDefault="0010709B" w:rsidP="00890356">
            <w:pPr>
              <w:tabs>
                <w:tab w:val="left" w:pos="891"/>
              </w:tabs>
              <w:spacing w:before="60" w:after="60"/>
              <w:rPr>
                <w:rFonts w:ascii="Calibri Light" w:hAnsi="Calibri Light" w:cs="Calibri Light"/>
                <w:color w:val="495965"/>
                <w:sz w:val="22"/>
                <w:szCs w:val="22"/>
              </w:rPr>
            </w:pPr>
          </w:p>
        </w:tc>
      </w:tr>
    </w:tbl>
    <w:p w14:paraId="004E2700" w14:textId="77777777" w:rsidR="00D17EB7" w:rsidRDefault="00D17EB7" w:rsidP="0010709B">
      <w:pPr>
        <w:rPr>
          <w:rFonts w:ascii="Calibri Light" w:hAnsi="Calibri Light" w:cs="Calibri Light"/>
          <w:color w:val="495965"/>
          <w:sz w:val="22"/>
          <w:szCs w:val="22"/>
        </w:rPr>
      </w:pPr>
    </w:p>
    <w:p w14:paraId="0836D3C3" w14:textId="77777777" w:rsidR="00AB5905" w:rsidRDefault="00AB5905" w:rsidP="0010709B">
      <w:pPr>
        <w:rPr>
          <w:rFonts w:ascii="Calibri Light" w:hAnsi="Calibri Light" w:cs="Calibri Light"/>
          <w:color w:val="495965"/>
          <w:sz w:val="22"/>
          <w:szCs w:val="22"/>
        </w:rPr>
      </w:pPr>
    </w:p>
    <w:p w14:paraId="0D64CE22" w14:textId="77777777" w:rsidR="00AB5905" w:rsidRDefault="00AB5905" w:rsidP="0010709B">
      <w:pPr>
        <w:rPr>
          <w:rFonts w:ascii="Calibri Light" w:hAnsi="Calibri Light" w:cs="Calibri Light"/>
          <w:color w:val="495965"/>
          <w:sz w:val="22"/>
          <w:szCs w:val="22"/>
        </w:rPr>
      </w:pPr>
    </w:p>
    <w:tbl>
      <w:tblPr>
        <w:tblW w:w="15660" w:type="dxa"/>
        <w:tblInd w:w="-640" w:type="dxa"/>
        <w:tblLook w:val="04A0" w:firstRow="1" w:lastRow="0" w:firstColumn="1" w:lastColumn="0" w:noHBand="0" w:noVBand="1"/>
      </w:tblPr>
      <w:tblGrid>
        <w:gridCol w:w="4660"/>
        <w:gridCol w:w="1239"/>
        <w:gridCol w:w="927"/>
        <w:gridCol w:w="3968"/>
        <w:gridCol w:w="4866"/>
      </w:tblGrid>
      <w:tr w:rsidR="000F3984" w14:paraId="27E1C2E8" w14:textId="77777777" w:rsidTr="000F3984">
        <w:trPr>
          <w:trHeight w:val="870"/>
        </w:trPr>
        <w:tc>
          <w:tcPr>
            <w:tcW w:w="466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59ABA13" w14:textId="77777777" w:rsidR="000F3984" w:rsidRDefault="000F3984">
            <w:pPr>
              <w:spacing w:before="0" w:after="0"/>
              <w:rPr>
                <w:rFonts w:ascii="Calibri Light" w:eastAsia="Times New Roman" w:hAnsi="Calibri Light" w:cs="Calibri Light"/>
                <w:b/>
                <w:bCs/>
                <w:color w:val="495965"/>
                <w:sz w:val="22"/>
                <w:szCs w:val="22"/>
              </w:rPr>
            </w:pPr>
            <w:r>
              <w:rPr>
                <w:rFonts w:ascii="Calibri Light" w:hAnsi="Calibri Light" w:cs="Calibri Light"/>
                <w:b/>
                <w:bCs/>
                <w:color w:val="495965"/>
                <w:sz w:val="22"/>
                <w:szCs w:val="22"/>
              </w:rPr>
              <w:lastRenderedPageBreak/>
              <w:t xml:space="preserve">Recommendations for </w:t>
            </w:r>
            <w:proofErr w:type="spellStart"/>
            <w:r>
              <w:rPr>
                <w:rFonts w:ascii="Calibri Light" w:hAnsi="Calibri Light" w:cs="Calibri Light"/>
                <w:b/>
                <w:bCs/>
                <w:color w:val="495965"/>
                <w:sz w:val="22"/>
                <w:szCs w:val="22"/>
              </w:rPr>
              <w:t>KASfEP’s</w:t>
            </w:r>
            <w:proofErr w:type="spellEnd"/>
            <w:r>
              <w:rPr>
                <w:rFonts w:ascii="Calibri Light" w:hAnsi="Calibri Light" w:cs="Calibri Light"/>
                <w:b/>
                <w:bCs/>
                <w:color w:val="495965"/>
                <w:sz w:val="22"/>
                <w:szCs w:val="22"/>
              </w:rPr>
              <w:t xml:space="preserve"> remaining duration </w:t>
            </w:r>
          </w:p>
        </w:tc>
        <w:tc>
          <w:tcPr>
            <w:tcW w:w="1239" w:type="dxa"/>
            <w:tcBorders>
              <w:top w:val="single" w:sz="8" w:space="0" w:color="auto"/>
              <w:left w:val="nil"/>
              <w:bottom w:val="single" w:sz="8" w:space="0" w:color="auto"/>
              <w:right w:val="single" w:sz="8" w:space="0" w:color="auto"/>
            </w:tcBorders>
            <w:shd w:val="clear" w:color="000000" w:fill="D9D9D9"/>
            <w:vAlign w:val="center"/>
            <w:hideMark/>
          </w:tcPr>
          <w:p w14:paraId="0BE13BD4" w14:textId="77777777" w:rsidR="000F3984" w:rsidRDefault="000F3984">
            <w:pPr>
              <w:rPr>
                <w:rFonts w:ascii="Calibri Light" w:hAnsi="Calibri Light" w:cs="Calibri Light"/>
                <w:b/>
                <w:bCs/>
                <w:color w:val="495965"/>
                <w:sz w:val="22"/>
                <w:szCs w:val="22"/>
              </w:rPr>
            </w:pPr>
            <w:r>
              <w:rPr>
                <w:rFonts w:ascii="Calibri Light" w:hAnsi="Calibri Light" w:cs="Calibri Light"/>
                <w:b/>
                <w:bCs/>
                <w:color w:val="495965"/>
                <w:sz w:val="22"/>
                <w:szCs w:val="22"/>
              </w:rPr>
              <w:t>Timeframe</w:t>
            </w:r>
          </w:p>
        </w:tc>
        <w:tc>
          <w:tcPr>
            <w:tcW w:w="927" w:type="dxa"/>
            <w:tcBorders>
              <w:top w:val="single" w:sz="8" w:space="0" w:color="auto"/>
              <w:left w:val="nil"/>
              <w:bottom w:val="single" w:sz="8" w:space="0" w:color="auto"/>
              <w:right w:val="single" w:sz="8" w:space="0" w:color="auto"/>
            </w:tcBorders>
            <w:shd w:val="clear" w:color="000000" w:fill="D9D9D9"/>
            <w:vAlign w:val="center"/>
            <w:hideMark/>
          </w:tcPr>
          <w:p w14:paraId="5AC0EE15" w14:textId="77777777" w:rsidR="000F3984" w:rsidRDefault="000F3984">
            <w:pPr>
              <w:rPr>
                <w:rFonts w:ascii="Calibri Light" w:hAnsi="Calibri Light" w:cs="Calibri Light"/>
                <w:b/>
                <w:bCs/>
                <w:color w:val="495965"/>
                <w:sz w:val="22"/>
                <w:szCs w:val="22"/>
              </w:rPr>
            </w:pPr>
            <w:r>
              <w:rPr>
                <w:rFonts w:ascii="Calibri Light" w:hAnsi="Calibri Light" w:cs="Calibri Light"/>
                <w:b/>
                <w:bCs/>
                <w:color w:val="495965"/>
                <w:sz w:val="22"/>
                <w:szCs w:val="22"/>
              </w:rPr>
              <w:t>Status</w:t>
            </w:r>
          </w:p>
        </w:tc>
        <w:tc>
          <w:tcPr>
            <w:tcW w:w="3968" w:type="dxa"/>
            <w:tcBorders>
              <w:top w:val="single" w:sz="8" w:space="0" w:color="auto"/>
              <w:left w:val="nil"/>
              <w:bottom w:val="single" w:sz="8" w:space="0" w:color="auto"/>
              <w:right w:val="single" w:sz="8" w:space="0" w:color="auto"/>
            </w:tcBorders>
            <w:shd w:val="clear" w:color="000000" w:fill="D9D9D9"/>
            <w:vAlign w:val="center"/>
            <w:hideMark/>
          </w:tcPr>
          <w:p w14:paraId="367A9311" w14:textId="77777777" w:rsidR="000F3984" w:rsidRDefault="000F3984">
            <w:pPr>
              <w:rPr>
                <w:rFonts w:ascii="Calibri Light" w:hAnsi="Calibri Light" w:cs="Calibri Light"/>
                <w:b/>
                <w:bCs/>
                <w:color w:val="495965"/>
                <w:sz w:val="22"/>
                <w:szCs w:val="22"/>
              </w:rPr>
            </w:pPr>
            <w:r>
              <w:rPr>
                <w:rFonts w:ascii="Calibri Light" w:hAnsi="Calibri Light" w:cs="Calibri Light"/>
                <w:b/>
                <w:bCs/>
                <w:color w:val="495965"/>
                <w:sz w:val="22"/>
                <w:szCs w:val="22"/>
              </w:rPr>
              <w:t>Explanation</w:t>
            </w:r>
          </w:p>
        </w:tc>
        <w:tc>
          <w:tcPr>
            <w:tcW w:w="4866" w:type="dxa"/>
            <w:tcBorders>
              <w:top w:val="single" w:sz="8" w:space="0" w:color="auto"/>
              <w:left w:val="nil"/>
              <w:bottom w:val="single" w:sz="8" w:space="0" w:color="auto"/>
              <w:right w:val="single" w:sz="8" w:space="0" w:color="auto"/>
            </w:tcBorders>
            <w:shd w:val="clear" w:color="000000" w:fill="D9D9D9"/>
            <w:vAlign w:val="center"/>
            <w:hideMark/>
          </w:tcPr>
          <w:p w14:paraId="1768BB2F" w14:textId="77777777" w:rsidR="000F3984" w:rsidRDefault="000F3984">
            <w:pPr>
              <w:rPr>
                <w:rFonts w:ascii="Calibri Light" w:hAnsi="Calibri Light" w:cs="Calibri Light"/>
                <w:b/>
                <w:bCs/>
                <w:color w:val="495965"/>
                <w:sz w:val="22"/>
                <w:szCs w:val="22"/>
              </w:rPr>
            </w:pPr>
            <w:r>
              <w:rPr>
                <w:rFonts w:ascii="Calibri Light" w:hAnsi="Calibri Light" w:cs="Calibri Light"/>
                <w:b/>
                <w:bCs/>
                <w:color w:val="495965"/>
                <w:sz w:val="22"/>
                <w:szCs w:val="22"/>
              </w:rPr>
              <w:t xml:space="preserve">Action Plan </w:t>
            </w:r>
          </w:p>
        </w:tc>
      </w:tr>
      <w:tr w:rsidR="000F3984" w14:paraId="7A3A7708" w14:textId="77777777" w:rsidTr="000F3984">
        <w:trPr>
          <w:trHeight w:val="990"/>
        </w:trPr>
        <w:tc>
          <w:tcPr>
            <w:tcW w:w="4660" w:type="dxa"/>
            <w:tcBorders>
              <w:top w:val="nil"/>
              <w:left w:val="single" w:sz="8" w:space="0" w:color="auto"/>
              <w:bottom w:val="nil"/>
              <w:right w:val="single" w:sz="8" w:space="0" w:color="auto"/>
            </w:tcBorders>
            <w:shd w:val="clear" w:color="auto" w:fill="auto"/>
            <w:vAlign w:val="center"/>
            <w:hideMark/>
          </w:tcPr>
          <w:p w14:paraId="1AFF070A"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P1. Initiate planning between KASfEP and KIT for leadership transition within KIT</w:t>
            </w:r>
          </w:p>
        </w:tc>
        <w:tc>
          <w:tcPr>
            <w:tcW w:w="1239" w:type="dxa"/>
            <w:tcBorders>
              <w:top w:val="nil"/>
              <w:left w:val="nil"/>
              <w:bottom w:val="nil"/>
              <w:right w:val="single" w:sz="8" w:space="0" w:color="auto"/>
            </w:tcBorders>
            <w:shd w:val="clear" w:color="auto" w:fill="auto"/>
            <w:vAlign w:val="center"/>
            <w:hideMark/>
          </w:tcPr>
          <w:p w14:paraId="44BDCC6B"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2025–2026</w:t>
            </w:r>
          </w:p>
        </w:tc>
        <w:tc>
          <w:tcPr>
            <w:tcW w:w="927" w:type="dxa"/>
            <w:tcBorders>
              <w:top w:val="nil"/>
              <w:left w:val="nil"/>
              <w:bottom w:val="nil"/>
              <w:right w:val="single" w:sz="8" w:space="0" w:color="auto"/>
            </w:tcBorders>
            <w:shd w:val="clear" w:color="auto" w:fill="auto"/>
            <w:vAlign w:val="center"/>
            <w:hideMark/>
          </w:tcPr>
          <w:p w14:paraId="40581125"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Agree</w:t>
            </w:r>
          </w:p>
        </w:tc>
        <w:tc>
          <w:tcPr>
            <w:tcW w:w="3968" w:type="dxa"/>
            <w:tcBorders>
              <w:top w:val="nil"/>
              <w:left w:val="nil"/>
              <w:bottom w:val="nil"/>
              <w:right w:val="single" w:sz="8" w:space="0" w:color="auto"/>
            </w:tcBorders>
            <w:shd w:val="clear" w:color="auto" w:fill="auto"/>
            <w:vAlign w:val="center"/>
            <w:hideMark/>
          </w:tcPr>
          <w:p w14:paraId="0D967DFA"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 xml:space="preserve">DFAT agrees that it will be important for the success of the new program to commence early planning on leadership arrangements. </w:t>
            </w:r>
          </w:p>
        </w:tc>
        <w:tc>
          <w:tcPr>
            <w:tcW w:w="4866" w:type="dxa"/>
            <w:tcBorders>
              <w:top w:val="nil"/>
              <w:left w:val="nil"/>
              <w:bottom w:val="nil"/>
              <w:right w:val="single" w:sz="8" w:space="0" w:color="auto"/>
            </w:tcBorders>
            <w:shd w:val="clear" w:color="auto" w:fill="auto"/>
            <w:vAlign w:val="center"/>
            <w:hideMark/>
          </w:tcPr>
          <w:p w14:paraId="616BA8E0"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DFAT will work closely with Palladium and the KIT leadership team to initiate planning discussions around leadership arrangements.</w:t>
            </w:r>
          </w:p>
        </w:tc>
      </w:tr>
      <w:tr w:rsidR="000F3984" w14:paraId="547B17DD" w14:textId="77777777" w:rsidTr="000F3984">
        <w:trPr>
          <w:trHeight w:val="915"/>
        </w:trPr>
        <w:tc>
          <w:tcPr>
            <w:tcW w:w="4660" w:type="dxa"/>
            <w:tcBorders>
              <w:top w:val="single" w:sz="8" w:space="0" w:color="auto"/>
              <w:left w:val="single" w:sz="8" w:space="0" w:color="auto"/>
              <w:bottom w:val="nil"/>
              <w:right w:val="single" w:sz="8" w:space="0" w:color="auto"/>
            </w:tcBorders>
            <w:shd w:val="clear" w:color="auto" w:fill="auto"/>
            <w:vAlign w:val="center"/>
            <w:hideMark/>
          </w:tcPr>
          <w:p w14:paraId="2FF5700F"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P2. Prioritise identifying and providing mentoring support to emerging KIT leaders – particularly at Head of School level</w:t>
            </w:r>
          </w:p>
        </w:tc>
        <w:tc>
          <w:tcPr>
            <w:tcW w:w="1239" w:type="dxa"/>
            <w:tcBorders>
              <w:top w:val="single" w:sz="8" w:space="0" w:color="auto"/>
              <w:left w:val="nil"/>
              <w:bottom w:val="nil"/>
              <w:right w:val="single" w:sz="8" w:space="0" w:color="auto"/>
            </w:tcBorders>
            <w:shd w:val="clear" w:color="auto" w:fill="auto"/>
            <w:vAlign w:val="center"/>
            <w:hideMark/>
          </w:tcPr>
          <w:p w14:paraId="75D8B68E"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2025–2026</w:t>
            </w:r>
          </w:p>
        </w:tc>
        <w:tc>
          <w:tcPr>
            <w:tcW w:w="927" w:type="dxa"/>
            <w:tcBorders>
              <w:top w:val="single" w:sz="8" w:space="0" w:color="auto"/>
              <w:left w:val="nil"/>
              <w:bottom w:val="nil"/>
              <w:right w:val="single" w:sz="8" w:space="0" w:color="auto"/>
            </w:tcBorders>
            <w:shd w:val="clear" w:color="auto" w:fill="auto"/>
            <w:vAlign w:val="center"/>
            <w:hideMark/>
          </w:tcPr>
          <w:p w14:paraId="15E04DE4"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Agree</w:t>
            </w:r>
          </w:p>
        </w:tc>
        <w:tc>
          <w:tcPr>
            <w:tcW w:w="3968" w:type="dxa"/>
            <w:tcBorders>
              <w:top w:val="single" w:sz="8" w:space="0" w:color="auto"/>
              <w:left w:val="nil"/>
              <w:bottom w:val="nil"/>
              <w:right w:val="single" w:sz="8" w:space="0" w:color="auto"/>
            </w:tcBorders>
            <w:shd w:val="clear" w:color="auto" w:fill="auto"/>
            <w:vAlign w:val="center"/>
            <w:hideMark/>
          </w:tcPr>
          <w:p w14:paraId="5918D14F"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 xml:space="preserve">DFAT agrees that succession planning, including mentoring, is important for the remaining duration of </w:t>
            </w:r>
            <w:proofErr w:type="spellStart"/>
            <w:r>
              <w:rPr>
                <w:rFonts w:ascii="Calibri Light" w:hAnsi="Calibri Light" w:cs="Calibri Light"/>
                <w:color w:val="495965"/>
                <w:sz w:val="22"/>
                <w:szCs w:val="22"/>
              </w:rPr>
              <w:t>KasfEP</w:t>
            </w:r>
            <w:proofErr w:type="spellEnd"/>
            <w:r>
              <w:rPr>
                <w:rFonts w:ascii="Calibri Light" w:hAnsi="Calibri Light" w:cs="Calibri Light"/>
                <w:color w:val="495965"/>
                <w:sz w:val="22"/>
                <w:szCs w:val="22"/>
              </w:rPr>
              <w:t xml:space="preserve">. </w:t>
            </w:r>
          </w:p>
        </w:tc>
        <w:tc>
          <w:tcPr>
            <w:tcW w:w="4866" w:type="dxa"/>
            <w:tcBorders>
              <w:top w:val="single" w:sz="8" w:space="0" w:color="auto"/>
              <w:left w:val="nil"/>
              <w:bottom w:val="nil"/>
              <w:right w:val="single" w:sz="8" w:space="0" w:color="auto"/>
            </w:tcBorders>
            <w:shd w:val="clear" w:color="auto" w:fill="auto"/>
            <w:vAlign w:val="center"/>
            <w:hideMark/>
          </w:tcPr>
          <w:p w14:paraId="2822A75B"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 xml:space="preserve">DFAT accepts this recommendation and will continue to work closely with Palladium to ensure that KIT leadership has strong succession planning. </w:t>
            </w:r>
          </w:p>
        </w:tc>
      </w:tr>
      <w:tr w:rsidR="000F3984" w14:paraId="1B6A2CA8" w14:textId="77777777" w:rsidTr="000F3984">
        <w:trPr>
          <w:trHeight w:val="1215"/>
        </w:trPr>
        <w:tc>
          <w:tcPr>
            <w:tcW w:w="4660" w:type="dxa"/>
            <w:tcBorders>
              <w:top w:val="single" w:sz="8" w:space="0" w:color="auto"/>
              <w:left w:val="single" w:sz="8" w:space="0" w:color="auto"/>
              <w:bottom w:val="nil"/>
              <w:right w:val="single" w:sz="8" w:space="0" w:color="auto"/>
            </w:tcBorders>
            <w:shd w:val="clear" w:color="auto" w:fill="auto"/>
            <w:vAlign w:val="center"/>
            <w:hideMark/>
          </w:tcPr>
          <w:p w14:paraId="114F4FE8"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P3. Support KIT to develop maintenance plan and work with MEHR to influence budget decision to include sufficient operations and maintenance (O&amp;M) budget</w:t>
            </w:r>
          </w:p>
        </w:tc>
        <w:tc>
          <w:tcPr>
            <w:tcW w:w="1239" w:type="dxa"/>
            <w:tcBorders>
              <w:top w:val="single" w:sz="8" w:space="0" w:color="auto"/>
              <w:left w:val="nil"/>
              <w:bottom w:val="nil"/>
              <w:right w:val="single" w:sz="8" w:space="0" w:color="auto"/>
            </w:tcBorders>
            <w:shd w:val="clear" w:color="auto" w:fill="auto"/>
            <w:vAlign w:val="center"/>
            <w:hideMark/>
          </w:tcPr>
          <w:p w14:paraId="2AB929DC"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2025–2026</w:t>
            </w:r>
          </w:p>
        </w:tc>
        <w:tc>
          <w:tcPr>
            <w:tcW w:w="927" w:type="dxa"/>
            <w:tcBorders>
              <w:top w:val="single" w:sz="8" w:space="0" w:color="auto"/>
              <w:left w:val="nil"/>
              <w:bottom w:val="nil"/>
              <w:right w:val="single" w:sz="8" w:space="0" w:color="auto"/>
            </w:tcBorders>
            <w:shd w:val="clear" w:color="auto" w:fill="auto"/>
            <w:vAlign w:val="center"/>
            <w:hideMark/>
          </w:tcPr>
          <w:p w14:paraId="1C87A7B4"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Agree</w:t>
            </w:r>
          </w:p>
        </w:tc>
        <w:tc>
          <w:tcPr>
            <w:tcW w:w="3968" w:type="dxa"/>
            <w:tcBorders>
              <w:top w:val="single" w:sz="8" w:space="0" w:color="auto"/>
              <w:left w:val="nil"/>
              <w:bottom w:val="nil"/>
              <w:right w:val="single" w:sz="8" w:space="0" w:color="auto"/>
            </w:tcBorders>
            <w:shd w:val="clear" w:color="auto" w:fill="auto"/>
            <w:vAlign w:val="center"/>
            <w:hideMark/>
          </w:tcPr>
          <w:p w14:paraId="1B396282"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 xml:space="preserve">DFAT agrees on the importance of engaging with MEHR, as the responsible ministry to develop a maintenance plan. </w:t>
            </w:r>
          </w:p>
        </w:tc>
        <w:tc>
          <w:tcPr>
            <w:tcW w:w="4866" w:type="dxa"/>
            <w:tcBorders>
              <w:top w:val="single" w:sz="8" w:space="0" w:color="auto"/>
              <w:left w:val="nil"/>
              <w:bottom w:val="single" w:sz="4" w:space="0" w:color="auto"/>
              <w:right w:val="single" w:sz="8" w:space="0" w:color="auto"/>
            </w:tcBorders>
            <w:shd w:val="clear" w:color="auto" w:fill="auto"/>
            <w:vAlign w:val="center"/>
            <w:hideMark/>
          </w:tcPr>
          <w:p w14:paraId="0384DEF6"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 xml:space="preserve">DFAT will consider this recommendation in the development of its transition plan and advise Palladium to add this recommendation in </w:t>
            </w:r>
            <w:proofErr w:type="spellStart"/>
            <w:r>
              <w:rPr>
                <w:rFonts w:ascii="Calibri Light" w:hAnsi="Calibri Light" w:cs="Calibri Light"/>
                <w:color w:val="495965"/>
                <w:sz w:val="22"/>
                <w:szCs w:val="22"/>
              </w:rPr>
              <w:t>KASfEP’s</w:t>
            </w:r>
            <w:proofErr w:type="spellEnd"/>
            <w:r>
              <w:rPr>
                <w:rFonts w:ascii="Calibri Light" w:hAnsi="Calibri Light" w:cs="Calibri Light"/>
                <w:color w:val="495965"/>
                <w:sz w:val="22"/>
                <w:szCs w:val="22"/>
              </w:rPr>
              <w:t xml:space="preserve"> transition plan.  </w:t>
            </w:r>
          </w:p>
        </w:tc>
      </w:tr>
      <w:tr w:rsidR="000F3984" w14:paraId="60F6AE34" w14:textId="77777777" w:rsidTr="000F3984">
        <w:trPr>
          <w:trHeight w:val="1215"/>
        </w:trPr>
        <w:tc>
          <w:tcPr>
            <w:tcW w:w="46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33FDFBA"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P4. Develop a joint transition plan (DFAT–</w:t>
            </w:r>
            <w:proofErr w:type="spellStart"/>
            <w:r>
              <w:rPr>
                <w:rFonts w:ascii="Calibri Light" w:hAnsi="Calibri Light" w:cs="Calibri Light"/>
                <w:color w:val="495965"/>
                <w:sz w:val="22"/>
                <w:szCs w:val="22"/>
              </w:rPr>
              <w:t>GoK</w:t>
            </w:r>
            <w:proofErr w:type="spellEnd"/>
            <w:r>
              <w:rPr>
                <w:rFonts w:ascii="Calibri Light" w:hAnsi="Calibri Light" w:cs="Calibri Light"/>
                <w:color w:val="495965"/>
                <w:sz w:val="22"/>
                <w:szCs w:val="22"/>
              </w:rPr>
              <w:t xml:space="preserve">) for KIT staff financing and leadership (e.g., </w:t>
            </w:r>
            <w:proofErr w:type="spellStart"/>
            <w:r>
              <w:rPr>
                <w:rFonts w:ascii="Calibri Light" w:hAnsi="Calibri Light" w:cs="Calibri Light"/>
                <w:color w:val="495965"/>
                <w:sz w:val="22"/>
                <w:szCs w:val="22"/>
              </w:rPr>
              <w:t>i-Kiribati</w:t>
            </w:r>
            <w:proofErr w:type="spellEnd"/>
            <w:r>
              <w:rPr>
                <w:rFonts w:ascii="Calibri Light" w:hAnsi="Calibri Light" w:cs="Calibri Light"/>
                <w:color w:val="495965"/>
                <w:sz w:val="22"/>
                <w:szCs w:val="22"/>
              </w:rPr>
              <w:t xml:space="preserve"> Director by a set date), including succession planning for senior positions in KIT</w:t>
            </w:r>
          </w:p>
        </w:tc>
        <w:tc>
          <w:tcPr>
            <w:tcW w:w="1239" w:type="dxa"/>
            <w:tcBorders>
              <w:top w:val="single" w:sz="8" w:space="0" w:color="auto"/>
              <w:left w:val="nil"/>
              <w:bottom w:val="single" w:sz="4" w:space="0" w:color="auto"/>
              <w:right w:val="single" w:sz="8" w:space="0" w:color="auto"/>
            </w:tcBorders>
            <w:shd w:val="clear" w:color="auto" w:fill="auto"/>
            <w:vAlign w:val="center"/>
            <w:hideMark/>
          </w:tcPr>
          <w:p w14:paraId="5476D356"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2025–2026</w:t>
            </w:r>
          </w:p>
        </w:tc>
        <w:tc>
          <w:tcPr>
            <w:tcW w:w="927" w:type="dxa"/>
            <w:tcBorders>
              <w:top w:val="single" w:sz="8" w:space="0" w:color="auto"/>
              <w:left w:val="nil"/>
              <w:bottom w:val="single" w:sz="4" w:space="0" w:color="auto"/>
              <w:right w:val="single" w:sz="8" w:space="0" w:color="auto"/>
            </w:tcBorders>
            <w:shd w:val="clear" w:color="auto" w:fill="auto"/>
            <w:vAlign w:val="center"/>
            <w:hideMark/>
          </w:tcPr>
          <w:p w14:paraId="6D96723D"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Agree</w:t>
            </w:r>
          </w:p>
        </w:tc>
        <w:tc>
          <w:tcPr>
            <w:tcW w:w="3968" w:type="dxa"/>
            <w:tcBorders>
              <w:top w:val="single" w:sz="8" w:space="0" w:color="auto"/>
              <w:left w:val="nil"/>
              <w:bottom w:val="single" w:sz="4" w:space="0" w:color="auto"/>
              <w:right w:val="single" w:sz="4" w:space="0" w:color="auto"/>
            </w:tcBorders>
            <w:shd w:val="clear" w:color="auto" w:fill="auto"/>
            <w:vAlign w:val="center"/>
            <w:hideMark/>
          </w:tcPr>
          <w:p w14:paraId="3FA992DC"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 xml:space="preserve">DFAT agrees that it is important to develop a leadership transition plan (see recommendations P1 and P2). </w:t>
            </w:r>
          </w:p>
        </w:tc>
        <w:tc>
          <w:tcPr>
            <w:tcW w:w="4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3CFC5"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 xml:space="preserve">DFAT will engage all partners – MEHR, KASfEP and KIT to discuss the proposal for a joint transition plan and succession planning for senior positions in KIT. </w:t>
            </w:r>
          </w:p>
        </w:tc>
      </w:tr>
      <w:tr w:rsidR="000F3984" w14:paraId="49F64DB5" w14:textId="77777777" w:rsidTr="000F3984">
        <w:trPr>
          <w:trHeight w:val="1515"/>
        </w:trPr>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5E178"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P5. Consider opportunities to strengthen KIT’s student management information system, or put in place transition plan for next investment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7BDF8"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2025–2026</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F92DC"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Agree</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1CB80"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DFAT agrees that a strengthened student management information system at KIT will greatly improve the efficiency of data management at KIT. Palladium is currently working on this recommendation.</w:t>
            </w:r>
          </w:p>
        </w:tc>
        <w:tc>
          <w:tcPr>
            <w:tcW w:w="4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8D594"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 xml:space="preserve">Palladium is currently working with the KIT leadership team to explore opportunities to implement an improved student management information system. </w:t>
            </w:r>
          </w:p>
        </w:tc>
      </w:tr>
      <w:tr w:rsidR="000F3984" w14:paraId="5C4EB7EE" w14:textId="77777777" w:rsidTr="000F3984">
        <w:trPr>
          <w:trHeight w:val="915"/>
        </w:trPr>
        <w:tc>
          <w:tcPr>
            <w:tcW w:w="4660" w:type="dxa"/>
            <w:tcBorders>
              <w:top w:val="single" w:sz="4" w:space="0" w:color="auto"/>
              <w:left w:val="single" w:sz="8" w:space="0" w:color="auto"/>
              <w:bottom w:val="nil"/>
              <w:right w:val="single" w:sz="8" w:space="0" w:color="auto"/>
            </w:tcBorders>
            <w:shd w:val="clear" w:color="auto" w:fill="auto"/>
            <w:vAlign w:val="center"/>
            <w:hideMark/>
          </w:tcPr>
          <w:p w14:paraId="090FE269"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P6. Increase efforts to support MEHR’s coordination of the skills sector through SPAG, particularly given SPAG’s expanded mandate to include labour mobility</w:t>
            </w:r>
          </w:p>
        </w:tc>
        <w:tc>
          <w:tcPr>
            <w:tcW w:w="1239" w:type="dxa"/>
            <w:tcBorders>
              <w:top w:val="single" w:sz="4" w:space="0" w:color="auto"/>
              <w:left w:val="nil"/>
              <w:bottom w:val="nil"/>
              <w:right w:val="single" w:sz="8" w:space="0" w:color="auto"/>
            </w:tcBorders>
            <w:shd w:val="clear" w:color="auto" w:fill="auto"/>
            <w:vAlign w:val="center"/>
            <w:hideMark/>
          </w:tcPr>
          <w:p w14:paraId="416D9ED3"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2025–2026</w:t>
            </w:r>
          </w:p>
        </w:tc>
        <w:tc>
          <w:tcPr>
            <w:tcW w:w="927" w:type="dxa"/>
            <w:tcBorders>
              <w:top w:val="single" w:sz="4" w:space="0" w:color="auto"/>
              <w:left w:val="nil"/>
              <w:bottom w:val="nil"/>
              <w:right w:val="single" w:sz="8" w:space="0" w:color="auto"/>
            </w:tcBorders>
            <w:shd w:val="clear" w:color="auto" w:fill="auto"/>
            <w:vAlign w:val="center"/>
            <w:hideMark/>
          </w:tcPr>
          <w:p w14:paraId="2572E5D6"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Agree</w:t>
            </w:r>
          </w:p>
        </w:tc>
        <w:tc>
          <w:tcPr>
            <w:tcW w:w="3968" w:type="dxa"/>
            <w:tcBorders>
              <w:top w:val="single" w:sz="4" w:space="0" w:color="auto"/>
              <w:left w:val="nil"/>
              <w:bottom w:val="nil"/>
              <w:right w:val="single" w:sz="8" w:space="0" w:color="auto"/>
            </w:tcBorders>
            <w:shd w:val="clear" w:color="auto" w:fill="auto"/>
            <w:vAlign w:val="center"/>
            <w:hideMark/>
          </w:tcPr>
          <w:p w14:paraId="43E80CC5"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 xml:space="preserve">DFAT agrees that increased government coordination and collaboration, currently managed through SPAG, is important. </w:t>
            </w:r>
          </w:p>
        </w:tc>
        <w:tc>
          <w:tcPr>
            <w:tcW w:w="4866" w:type="dxa"/>
            <w:tcBorders>
              <w:top w:val="single" w:sz="4" w:space="0" w:color="auto"/>
              <w:left w:val="nil"/>
              <w:bottom w:val="nil"/>
              <w:right w:val="single" w:sz="8" w:space="0" w:color="auto"/>
            </w:tcBorders>
            <w:shd w:val="clear" w:color="auto" w:fill="auto"/>
            <w:vAlign w:val="center"/>
            <w:hideMark/>
          </w:tcPr>
          <w:p w14:paraId="383ECD17"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Palladium and DFAT will continue to advocate to MEHR to continue SPAG discussions for the remainder of 2025.</w:t>
            </w:r>
          </w:p>
        </w:tc>
      </w:tr>
      <w:tr w:rsidR="000F3984" w14:paraId="615E0ECA" w14:textId="77777777" w:rsidTr="000F3984">
        <w:trPr>
          <w:trHeight w:val="1815"/>
        </w:trPr>
        <w:tc>
          <w:tcPr>
            <w:tcW w:w="4660" w:type="dxa"/>
            <w:tcBorders>
              <w:top w:val="single" w:sz="8" w:space="0" w:color="auto"/>
              <w:left w:val="single" w:sz="8" w:space="0" w:color="auto"/>
              <w:bottom w:val="nil"/>
              <w:right w:val="single" w:sz="8" w:space="0" w:color="auto"/>
            </w:tcBorders>
            <w:shd w:val="clear" w:color="auto" w:fill="auto"/>
            <w:vAlign w:val="center"/>
            <w:hideMark/>
          </w:tcPr>
          <w:p w14:paraId="52F317BA"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lastRenderedPageBreak/>
              <w:t>P7. Re-engage MEHR to identify high-level policy dialogue incentives and preferences on skills and labour mobility governance</w:t>
            </w:r>
          </w:p>
        </w:tc>
        <w:tc>
          <w:tcPr>
            <w:tcW w:w="1239" w:type="dxa"/>
            <w:tcBorders>
              <w:top w:val="single" w:sz="8" w:space="0" w:color="auto"/>
              <w:left w:val="nil"/>
              <w:bottom w:val="nil"/>
              <w:right w:val="single" w:sz="8" w:space="0" w:color="auto"/>
            </w:tcBorders>
            <w:shd w:val="clear" w:color="auto" w:fill="auto"/>
            <w:vAlign w:val="center"/>
            <w:hideMark/>
          </w:tcPr>
          <w:p w14:paraId="52E2147C"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2025–2026</w:t>
            </w:r>
          </w:p>
        </w:tc>
        <w:tc>
          <w:tcPr>
            <w:tcW w:w="927" w:type="dxa"/>
            <w:tcBorders>
              <w:top w:val="single" w:sz="8" w:space="0" w:color="auto"/>
              <w:left w:val="nil"/>
              <w:bottom w:val="nil"/>
              <w:right w:val="single" w:sz="8" w:space="0" w:color="auto"/>
            </w:tcBorders>
            <w:shd w:val="clear" w:color="auto" w:fill="auto"/>
            <w:vAlign w:val="center"/>
            <w:hideMark/>
          </w:tcPr>
          <w:p w14:paraId="4638B1B0"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Agree</w:t>
            </w:r>
          </w:p>
        </w:tc>
        <w:tc>
          <w:tcPr>
            <w:tcW w:w="3968" w:type="dxa"/>
            <w:tcBorders>
              <w:top w:val="single" w:sz="8" w:space="0" w:color="auto"/>
              <w:left w:val="nil"/>
              <w:bottom w:val="nil"/>
              <w:right w:val="single" w:sz="8" w:space="0" w:color="auto"/>
            </w:tcBorders>
            <w:shd w:val="clear" w:color="auto" w:fill="auto"/>
            <w:vAlign w:val="center"/>
            <w:hideMark/>
          </w:tcPr>
          <w:p w14:paraId="08058236"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 xml:space="preserve">DFAT agrees that continuing to engage with MEHR will be important in the remaining months of KASfEP, </w:t>
            </w:r>
            <w:proofErr w:type="gramStart"/>
            <w:r>
              <w:rPr>
                <w:rFonts w:ascii="Calibri Light" w:hAnsi="Calibri Light" w:cs="Calibri Light"/>
                <w:color w:val="495965"/>
                <w:sz w:val="22"/>
                <w:szCs w:val="22"/>
              </w:rPr>
              <w:t>in order to</w:t>
            </w:r>
            <w:proofErr w:type="gramEnd"/>
            <w:r>
              <w:rPr>
                <w:rFonts w:ascii="Calibri Light" w:hAnsi="Calibri Light" w:cs="Calibri Light"/>
                <w:color w:val="495965"/>
                <w:sz w:val="22"/>
                <w:szCs w:val="22"/>
              </w:rPr>
              <w:t xml:space="preserve"> seek their input on the direction and scope of future skills and labour mobility governance arrangements. </w:t>
            </w:r>
          </w:p>
        </w:tc>
        <w:tc>
          <w:tcPr>
            <w:tcW w:w="4866" w:type="dxa"/>
            <w:tcBorders>
              <w:top w:val="single" w:sz="8" w:space="0" w:color="auto"/>
              <w:left w:val="nil"/>
              <w:bottom w:val="nil"/>
              <w:right w:val="single" w:sz="8" w:space="0" w:color="auto"/>
            </w:tcBorders>
            <w:shd w:val="clear" w:color="auto" w:fill="auto"/>
            <w:vAlign w:val="center"/>
            <w:hideMark/>
          </w:tcPr>
          <w:p w14:paraId="5660F9DA"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 xml:space="preserve">DFAT will re-engage with MEHR, at the senior leadership level, to better understand their ambitions for skills and labour mobility, including on governance arrangements. </w:t>
            </w:r>
          </w:p>
        </w:tc>
      </w:tr>
      <w:tr w:rsidR="000F3984" w14:paraId="4FE14E50" w14:textId="77777777" w:rsidTr="000F3984">
        <w:trPr>
          <w:trHeight w:val="1215"/>
        </w:trPr>
        <w:tc>
          <w:tcPr>
            <w:tcW w:w="4660" w:type="dxa"/>
            <w:tcBorders>
              <w:top w:val="single" w:sz="8" w:space="0" w:color="auto"/>
              <w:left w:val="single" w:sz="8" w:space="0" w:color="auto"/>
              <w:bottom w:val="nil"/>
              <w:right w:val="single" w:sz="8" w:space="0" w:color="auto"/>
            </w:tcBorders>
            <w:shd w:val="clear" w:color="auto" w:fill="auto"/>
            <w:vAlign w:val="center"/>
            <w:hideMark/>
          </w:tcPr>
          <w:p w14:paraId="706A391E"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P8. Continue to classify the risk that KIT may not be fully led or administered by MEHR at the conclusion of KASfEP as "high risk" in the Risk Register and manage accordingly</w:t>
            </w:r>
          </w:p>
        </w:tc>
        <w:tc>
          <w:tcPr>
            <w:tcW w:w="1239" w:type="dxa"/>
            <w:tcBorders>
              <w:top w:val="single" w:sz="8" w:space="0" w:color="auto"/>
              <w:left w:val="nil"/>
              <w:bottom w:val="nil"/>
              <w:right w:val="single" w:sz="8" w:space="0" w:color="auto"/>
            </w:tcBorders>
            <w:shd w:val="clear" w:color="auto" w:fill="auto"/>
            <w:vAlign w:val="center"/>
            <w:hideMark/>
          </w:tcPr>
          <w:p w14:paraId="361E16A8"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2025–2026</w:t>
            </w:r>
          </w:p>
        </w:tc>
        <w:tc>
          <w:tcPr>
            <w:tcW w:w="927" w:type="dxa"/>
            <w:tcBorders>
              <w:top w:val="single" w:sz="8" w:space="0" w:color="auto"/>
              <w:left w:val="nil"/>
              <w:bottom w:val="nil"/>
              <w:right w:val="single" w:sz="8" w:space="0" w:color="auto"/>
            </w:tcBorders>
            <w:shd w:val="clear" w:color="auto" w:fill="auto"/>
            <w:vAlign w:val="center"/>
            <w:hideMark/>
          </w:tcPr>
          <w:p w14:paraId="3B57EE18"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Agree</w:t>
            </w:r>
          </w:p>
        </w:tc>
        <w:tc>
          <w:tcPr>
            <w:tcW w:w="3968" w:type="dxa"/>
            <w:tcBorders>
              <w:top w:val="single" w:sz="8" w:space="0" w:color="auto"/>
              <w:left w:val="nil"/>
              <w:bottom w:val="nil"/>
              <w:right w:val="single" w:sz="8" w:space="0" w:color="auto"/>
            </w:tcBorders>
            <w:shd w:val="clear" w:color="auto" w:fill="auto"/>
            <w:vAlign w:val="center"/>
            <w:hideMark/>
          </w:tcPr>
          <w:p w14:paraId="3755D800"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 xml:space="preserve">DFAT agrees that there is a significant risk that KIT will not be fully led/administered by MEHR at the conclusion of KASfEP. </w:t>
            </w:r>
          </w:p>
        </w:tc>
        <w:tc>
          <w:tcPr>
            <w:tcW w:w="4866" w:type="dxa"/>
            <w:tcBorders>
              <w:top w:val="single" w:sz="8" w:space="0" w:color="auto"/>
              <w:left w:val="nil"/>
              <w:bottom w:val="nil"/>
              <w:right w:val="single" w:sz="8" w:space="0" w:color="auto"/>
            </w:tcBorders>
            <w:shd w:val="clear" w:color="auto" w:fill="auto"/>
            <w:vAlign w:val="center"/>
            <w:hideMark/>
          </w:tcPr>
          <w:p w14:paraId="734C4433"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 xml:space="preserve">DFAT recognises the impact of the risk on sustainability of KIT. DFAT will continue to engage closely with MEHR to discuss options for future administration arrangements for KIT.   </w:t>
            </w:r>
          </w:p>
        </w:tc>
      </w:tr>
      <w:tr w:rsidR="000F3984" w14:paraId="59CF4D09" w14:textId="77777777" w:rsidTr="000F3984">
        <w:trPr>
          <w:trHeight w:val="1905"/>
        </w:trPr>
        <w:tc>
          <w:tcPr>
            <w:tcW w:w="46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1864196"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 xml:space="preserve">P9. Explore options to strengthen KIT’s English language training for labour mobility </w:t>
            </w:r>
          </w:p>
        </w:tc>
        <w:tc>
          <w:tcPr>
            <w:tcW w:w="1239" w:type="dxa"/>
            <w:tcBorders>
              <w:top w:val="single" w:sz="8" w:space="0" w:color="auto"/>
              <w:left w:val="nil"/>
              <w:bottom w:val="single" w:sz="4" w:space="0" w:color="auto"/>
              <w:right w:val="single" w:sz="8" w:space="0" w:color="auto"/>
            </w:tcBorders>
            <w:shd w:val="clear" w:color="auto" w:fill="auto"/>
            <w:vAlign w:val="center"/>
            <w:hideMark/>
          </w:tcPr>
          <w:p w14:paraId="668EC7E5"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2025–2026</w:t>
            </w:r>
          </w:p>
        </w:tc>
        <w:tc>
          <w:tcPr>
            <w:tcW w:w="927" w:type="dxa"/>
            <w:tcBorders>
              <w:top w:val="single" w:sz="8" w:space="0" w:color="auto"/>
              <w:left w:val="nil"/>
              <w:bottom w:val="single" w:sz="4" w:space="0" w:color="auto"/>
              <w:right w:val="single" w:sz="8" w:space="0" w:color="auto"/>
            </w:tcBorders>
            <w:shd w:val="clear" w:color="auto" w:fill="auto"/>
            <w:vAlign w:val="center"/>
            <w:hideMark/>
          </w:tcPr>
          <w:p w14:paraId="0E978312"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Partially Agree</w:t>
            </w:r>
          </w:p>
        </w:tc>
        <w:tc>
          <w:tcPr>
            <w:tcW w:w="3968" w:type="dxa"/>
            <w:tcBorders>
              <w:top w:val="single" w:sz="8" w:space="0" w:color="auto"/>
              <w:left w:val="nil"/>
              <w:bottom w:val="single" w:sz="4" w:space="0" w:color="auto"/>
              <w:right w:val="single" w:sz="8" w:space="0" w:color="auto"/>
            </w:tcBorders>
            <w:shd w:val="clear" w:color="auto" w:fill="auto"/>
            <w:vAlign w:val="center"/>
            <w:hideMark/>
          </w:tcPr>
          <w:p w14:paraId="658C0C13"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 xml:space="preserve">KASfEP already provides English language training to labour mobility cohorts. Strengthening KIT’s English language training to labour mobility workers should be discussed via the MEHR as they are the responsible ministry for labour mobility. </w:t>
            </w:r>
          </w:p>
        </w:tc>
        <w:tc>
          <w:tcPr>
            <w:tcW w:w="4866" w:type="dxa"/>
            <w:tcBorders>
              <w:top w:val="single" w:sz="8" w:space="0" w:color="auto"/>
              <w:left w:val="nil"/>
              <w:bottom w:val="single" w:sz="4" w:space="0" w:color="auto"/>
              <w:right w:val="single" w:sz="8" w:space="0" w:color="auto"/>
            </w:tcBorders>
            <w:shd w:val="clear" w:color="auto" w:fill="auto"/>
            <w:vAlign w:val="center"/>
            <w:hideMark/>
          </w:tcPr>
          <w:p w14:paraId="48B81A21"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 xml:space="preserve">DFAT will consider this recommendation for future collaborations with MEHR to ensure that PALM cohorts receive adequate English skills prior to mobilization subject to program capacity and MEHR recommendation. </w:t>
            </w:r>
          </w:p>
        </w:tc>
      </w:tr>
      <w:tr w:rsidR="000F3984" w14:paraId="1B1D4687" w14:textId="77777777" w:rsidTr="000F3984">
        <w:trPr>
          <w:trHeight w:val="1500"/>
        </w:trPr>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B4570"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 xml:space="preserve">P10. Consider opportunities to enhance and strategically align Australia–New Zealand coordination in the skills sector. </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39422"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2025–2026</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6A9E8"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Agree</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0E830"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DFAT agrees that there is opportunity to better align Australia’s support in the skills sector, with NZ-funded programming. New Zealand and Australia are both members of the SPAG.</w:t>
            </w:r>
          </w:p>
        </w:tc>
        <w:tc>
          <w:tcPr>
            <w:tcW w:w="4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82C6D" w14:textId="77777777" w:rsidR="000F3984" w:rsidRDefault="000F3984">
            <w:pPr>
              <w:rPr>
                <w:rFonts w:ascii="Calibri Light" w:hAnsi="Calibri Light" w:cs="Calibri Light"/>
                <w:color w:val="495965"/>
                <w:sz w:val="22"/>
                <w:szCs w:val="22"/>
              </w:rPr>
            </w:pPr>
            <w:r>
              <w:rPr>
                <w:rFonts w:ascii="Calibri Light" w:hAnsi="Calibri Light" w:cs="Calibri Light"/>
                <w:color w:val="495965"/>
                <w:sz w:val="22"/>
                <w:szCs w:val="22"/>
              </w:rPr>
              <w:t xml:space="preserve">DFAT will consider this recommendation in the design of the next bilateral skills program. We will discuss future coordination opportunities with New Zealand during the design consultations. </w:t>
            </w:r>
          </w:p>
        </w:tc>
      </w:tr>
    </w:tbl>
    <w:p w14:paraId="5F38A021" w14:textId="77777777" w:rsidR="00D17EB7" w:rsidRPr="00D17EB7" w:rsidRDefault="00D17EB7" w:rsidP="0010709B">
      <w:pPr>
        <w:rPr>
          <w:rFonts w:ascii="Calibri Light" w:hAnsi="Calibri Light" w:cs="Calibri Light"/>
          <w:color w:val="495965"/>
          <w:sz w:val="22"/>
          <w:szCs w:val="22"/>
        </w:rPr>
      </w:pPr>
    </w:p>
    <w:p w14:paraId="37E551D4" w14:textId="24698CE0" w:rsidR="0010709B" w:rsidRPr="003B04E9" w:rsidRDefault="0010709B" w:rsidP="0010709B">
      <w:pPr>
        <w:rPr>
          <w:rFonts w:ascii="Calibri Light" w:hAnsi="Calibri Light" w:cs="Calibri Light"/>
          <w:i/>
          <w:iCs/>
          <w:color w:val="495965"/>
          <w:sz w:val="22"/>
          <w:szCs w:val="22"/>
        </w:rPr>
      </w:pPr>
      <w:r w:rsidRPr="003B04E9">
        <w:rPr>
          <w:rFonts w:ascii="Calibri Light" w:hAnsi="Calibri Light" w:cs="Calibri Light"/>
          <w:i/>
          <w:iCs/>
          <w:color w:val="495965"/>
          <w:sz w:val="22"/>
          <w:szCs w:val="22"/>
        </w:rPr>
        <w:t>Note: Design considerations D1-D22 in the evaluation will be considered as part of the design for the next bilateral skills program.</w:t>
      </w:r>
    </w:p>
    <w:p w14:paraId="21370E33" w14:textId="77706619" w:rsidR="007F6492" w:rsidRPr="0010709B" w:rsidRDefault="007F6492" w:rsidP="0010709B"/>
    <w:sectPr w:rsidR="007F6492" w:rsidRPr="0010709B" w:rsidSect="00E72D7F">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418" w:right="1418" w:bottom="1276" w:left="1134"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1A666" w14:textId="77777777" w:rsidR="00841C83" w:rsidRDefault="00841C83" w:rsidP="00EE32FE">
      <w:pPr>
        <w:spacing w:after="0"/>
      </w:pPr>
      <w:r>
        <w:separator/>
      </w:r>
    </w:p>
  </w:endnote>
  <w:endnote w:type="continuationSeparator" w:id="0">
    <w:p w14:paraId="48131B49" w14:textId="77777777" w:rsidR="00841C83" w:rsidRDefault="00841C83" w:rsidP="00EE32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D1FEF" w14:textId="77777777" w:rsidR="003B0553" w:rsidRDefault="003B0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10483" w14:textId="77777777" w:rsidR="001869DB" w:rsidRPr="00645E5F" w:rsidRDefault="00D52554" w:rsidP="007F6492">
    <w:pPr>
      <w:pStyle w:val="Footer"/>
      <w:rPr>
        <w:color w:val="313E48"/>
      </w:rPr>
    </w:pPr>
    <w:r w:rsidRPr="007F6492">
      <w:rPr>
        <w:noProof/>
        <w:color w:val="FFFFFF" w:themeColor="background1"/>
      </w:rPr>
      <w:drawing>
        <wp:anchor distT="0" distB="0" distL="114300" distR="114300" simplePos="0" relativeHeight="251672576" behindDoc="1" locked="0" layoutInCell="1" allowOverlap="1" wp14:anchorId="6FEE99A6" wp14:editId="2F896374">
          <wp:simplePos x="0" y="0"/>
          <wp:positionH relativeFrom="page">
            <wp:posOffset>0</wp:posOffset>
          </wp:positionH>
          <wp:positionV relativeFrom="paragraph">
            <wp:posOffset>-271780</wp:posOffset>
          </wp:positionV>
          <wp:extent cx="10687484" cy="718998"/>
          <wp:effectExtent l="0" t="0" r="0" b="5080"/>
          <wp:wrapNone/>
          <wp:docPr id="303" name="Picture 3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Picture 3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87484" cy="718998"/>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color w:val="313E48"/>
        </w:rPr>
      </w:sdtEndPr>
      <w:sdtContent>
        <w:r w:rsidR="007F6492" w:rsidRPr="00645E5F">
          <w:rPr>
            <w:color w:val="313E48"/>
          </w:rPr>
          <w:fldChar w:fldCharType="begin"/>
        </w:r>
        <w:r w:rsidR="007F6492" w:rsidRPr="00645E5F">
          <w:rPr>
            <w:color w:val="313E48"/>
          </w:rPr>
          <w:instrText xml:space="preserve"> PAGE   \* MERGEFORMAT </w:instrText>
        </w:r>
        <w:r w:rsidR="007F6492" w:rsidRPr="00645E5F">
          <w:rPr>
            <w:color w:val="313E48"/>
          </w:rPr>
          <w:fldChar w:fldCharType="separate"/>
        </w:r>
        <w:r w:rsidR="007F6492" w:rsidRPr="00645E5F">
          <w:rPr>
            <w:noProof/>
            <w:color w:val="313E48"/>
          </w:rPr>
          <w:t>2</w:t>
        </w:r>
        <w:r w:rsidR="007F6492" w:rsidRPr="00645E5F">
          <w:rPr>
            <w:noProof/>
            <w:color w:val="313E4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980232"/>
      <w:docPartObj>
        <w:docPartGallery w:val="Page Numbers (Bottom of Page)"/>
        <w:docPartUnique/>
      </w:docPartObj>
    </w:sdtPr>
    <w:sdtEndPr>
      <w:rPr>
        <w:noProof/>
        <w:color w:val="313E48"/>
      </w:rPr>
    </w:sdtEndPr>
    <w:sdtContent>
      <w:p w14:paraId="4EE9B8C9" w14:textId="77777777" w:rsidR="00F74B5D" w:rsidRPr="00645E5F" w:rsidRDefault="00F74B5D">
        <w:pPr>
          <w:pStyle w:val="Footer"/>
          <w:rPr>
            <w:color w:val="313E48"/>
          </w:rPr>
        </w:pPr>
        <w:r w:rsidRPr="00645E5F">
          <w:rPr>
            <w:noProof/>
            <w:color w:val="313E48"/>
          </w:rPr>
          <w:drawing>
            <wp:anchor distT="0" distB="0" distL="114300" distR="114300" simplePos="0" relativeHeight="251670528" behindDoc="1" locked="0" layoutInCell="1" allowOverlap="1" wp14:anchorId="29AF542D" wp14:editId="463D1239">
              <wp:simplePos x="0" y="0"/>
              <wp:positionH relativeFrom="page">
                <wp:posOffset>0</wp:posOffset>
              </wp:positionH>
              <wp:positionV relativeFrom="paragraph">
                <wp:posOffset>-271780</wp:posOffset>
              </wp:positionV>
              <wp:extent cx="10687484" cy="718998"/>
              <wp:effectExtent l="0" t="0" r="0" b="5080"/>
              <wp:wrapNone/>
              <wp:docPr id="302" name="Picture 3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Picture 30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87484" cy="718998"/>
                      </a:xfrm>
                      <a:prstGeom prst="rect">
                        <a:avLst/>
                      </a:prstGeom>
                    </pic:spPr>
                  </pic:pic>
                </a:graphicData>
              </a:graphic>
              <wp14:sizeRelH relativeFrom="margin">
                <wp14:pctWidth>0</wp14:pctWidth>
              </wp14:sizeRelH>
              <wp14:sizeRelV relativeFrom="margin">
                <wp14:pctHeight>0</wp14:pctHeight>
              </wp14:sizeRelV>
            </wp:anchor>
          </w:drawing>
        </w:r>
        <w:r w:rsidRPr="00645E5F">
          <w:rPr>
            <w:color w:val="313E48"/>
          </w:rPr>
          <w:fldChar w:fldCharType="begin"/>
        </w:r>
        <w:r w:rsidRPr="00645E5F">
          <w:rPr>
            <w:color w:val="313E48"/>
          </w:rPr>
          <w:instrText xml:space="preserve"> PAGE   \* MERGEFORMAT </w:instrText>
        </w:r>
        <w:r w:rsidRPr="00645E5F">
          <w:rPr>
            <w:color w:val="313E48"/>
          </w:rPr>
          <w:fldChar w:fldCharType="separate"/>
        </w:r>
        <w:r w:rsidRPr="00645E5F">
          <w:rPr>
            <w:noProof/>
            <w:color w:val="313E48"/>
          </w:rPr>
          <w:t>2</w:t>
        </w:r>
        <w:r w:rsidRPr="00645E5F">
          <w:rPr>
            <w:noProof/>
            <w:color w:val="313E4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77AFB" w14:textId="77777777" w:rsidR="00841C83" w:rsidRDefault="00841C83" w:rsidP="00EE32FE">
      <w:pPr>
        <w:spacing w:after="0"/>
      </w:pPr>
      <w:bookmarkStart w:id="0" w:name="_Hlk127364773"/>
      <w:bookmarkEnd w:id="0"/>
      <w:r>
        <w:separator/>
      </w:r>
    </w:p>
  </w:footnote>
  <w:footnote w:type="continuationSeparator" w:id="0">
    <w:p w14:paraId="0B3EB15D" w14:textId="77777777" w:rsidR="00841C83" w:rsidRDefault="00841C83" w:rsidP="00EE32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C3B68" w14:textId="77777777" w:rsidR="003B0553" w:rsidRDefault="003B0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C228F" w14:textId="77777777" w:rsidR="001D29C1" w:rsidRDefault="00D52554" w:rsidP="004D1D85">
    <w:pPr>
      <w:pStyle w:val="Header"/>
      <w:tabs>
        <w:tab w:val="clear" w:pos="4513"/>
        <w:tab w:val="clear" w:pos="9026"/>
        <w:tab w:val="center" w:pos="5102"/>
      </w:tabs>
    </w:pPr>
    <w:r>
      <w:rPr>
        <w:noProof/>
      </w:rPr>
      <w:drawing>
        <wp:anchor distT="0" distB="0" distL="114300" distR="114300" simplePos="0" relativeHeight="251659263" behindDoc="0" locked="0" layoutInCell="1" allowOverlap="1" wp14:anchorId="26FF2FD3" wp14:editId="26DA758A">
          <wp:simplePos x="0" y="0"/>
          <wp:positionH relativeFrom="page">
            <wp:posOffset>0</wp:posOffset>
          </wp:positionH>
          <wp:positionV relativeFrom="paragraph">
            <wp:posOffset>-540385</wp:posOffset>
          </wp:positionV>
          <wp:extent cx="10687040" cy="1261241"/>
          <wp:effectExtent l="0" t="0" r="635" b="0"/>
          <wp:wrapNone/>
          <wp:docPr id="299" name="Picture 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29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87040" cy="1261241"/>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67456" behindDoc="0" locked="1" layoutInCell="0" allowOverlap="1" wp14:anchorId="25DBF857" wp14:editId="3C8ED786">
              <wp:simplePos x="0" y="0"/>
              <wp:positionH relativeFrom="margin">
                <wp:align>center</wp:align>
              </wp:positionH>
              <wp:positionV relativeFrom="topMargin">
                <wp:align>center</wp:align>
              </wp:positionV>
              <wp:extent cx="892175" cy="388620"/>
              <wp:effectExtent l="0" t="0" r="0" b="0"/>
              <wp:wrapNone/>
              <wp:docPr id="4"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0E050" w14:textId="10577C06" w:rsidR="00F74B5D" w:rsidRPr="007F6492" w:rsidRDefault="007F6492" w:rsidP="003B0553">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3E2D4A">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5DBF857" id="_x0000_t202" coordsize="21600,21600" o:spt="202" path="m,l,21600r21600,l21600,xe">
              <v:stroke joinstyle="miter"/>
              <v:path gradientshapeok="t" o:connecttype="rect"/>
            </v:shapetype>
            <v:shape id="janusSEAL SC Header" o:spid="_x0000_s1026" type="#_x0000_t202" alt="&quot;&quot;" style="position:absolute;margin-left:0;margin-top:0;width:70.25pt;height:30.6pt;z-index:25166745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2FF0E050" w14:textId="10577C06" w:rsidR="00F74B5D" w:rsidRPr="007F6492" w:rsidRDefault="007F6492" w:rsidP="003B0553">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3E2D4A">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4D1D8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F5DAD" w14:textId="77777777" w:rsidR="0007092D" w:rsidRDefault="000771C5">
    <w:pPr>
      <w:pStyle w:val="Header"/>
    </w:pPr>
    <w:r>
      <w:rPr>
        <w:noProof/>
      </w:rPr>
      <w:drawing>
        <wp:anchor distT="0" distB="0" distL="114300" distR="114300" simplePos="0" relativeHeight="251661312" behindDoc="0" locked="0" layoutInCell="1" allowOverlap="1" wp14:anchorId="44B92425" wp14:editId="0DAC7277">
          <wp:simplePos x="0" y="0"/>
          <wp:positionH relativeFrom="page">
            <wp:posOffset>15240</wp:posOffset>
          </wp:positionH>
          <wp:positionV relativeFrom="paragraph">
            <wp:posOffset>-540385</wp:posOffset>
          </wp:positionV>
          <wp:extent cx="10654030" cy="1257300"/>
          <wp:effectExtent l="0" t="0" r="0" b="0"/>
          <wp:wrapNone/>
          <wp:docPr id="301" name="Picture 3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Picture 3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54030" cy="1257300"/>
                  </a:xfrm>
                  <a:prstGeom prst="rect">
                    <a:avLst/>
                  </a:prstGeom>
                </pic:spPr>
              </pic:pic>
            </a:graphicData>
          </a:graphic>
          <wp14:sizeRelH relativeFrom="margin">
            <wp14:pctWidth>0</wp14:pctWidth>
          </wp14:sizeRelH>
          <wp14:sizeRelV relativeFrom="margin">
            <wp14:pctHeight>0</wp14:pctHeight>
          </wp14:sizeRelV>
        </wp:anchor>
      </w:drawing>
    </w:r>
    <w:r w:rsidR="001D6666">
      <w:rPr>
        <w:noProof/>
      </w:rPr>
      <w:drawing>
        <wp:anchor distT="0" distB="0" distL="114300" distR="114300" simplePos="0" relativeHeight="251673600" behindDoc="0" locked="0" layoutInCell="1" allowOverlap="1" wp14:anchorId="2BAFFC99" wp14:editId="197A4A5B">
          <wp:simplePos x="0" y="0"/>
          <wp:positionH relativeFrom="margin">
            <wp:posOffset>-317391</wp:posOffset>
          </wp:positionH>
          <wp:positionV relativeFrom="paragraph">
            <wp:posOffset>-336550</wp:posOffset>
          </wp:positionV>
          <wp:extent cx="2538248" cy="444193"/>
          <wp:effectExtent l="0" t="0" r="0" b="0"/>
          <wp:wrapNone/>
          <wp:docPr id="304" name="Picture 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Picture 30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538248" cy="444193"/>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68480" behindDoc="0" locked="1" layoutInCell="0" allowOverlap="1" wp14:anchorId="0383578F" wp14:editId="7B2D8BEF">
              <wp:simplePos x="0" y="0"/>
              <wp:positionH relativeFrom="margin">
                <wp:align>center</wp:align>
              </wp:positionH>
              <wp:positionV relativeFrom="topMargin">
                <wp:align>center</wp:align>
              </wp:positionV>
              <wp:extent cx="892175" cy="280035"/>
              <wp:effectExtent l="0" t="0" r="0" b="0"/>
              <wp:wrapNone/>
              <wp:docPr id="5" name="janusSEAL SC H_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2800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4E9D92" w14:textId="6170C211" w:rsidR="00F74B5D" w:rsidRPr="007F6492" w:rsidRDefault="007F6492" w:rsidP="003B0553">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3E2D4A">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383578F" id="_x0000_t202" coordsize="21600,21600" o:spt="202" path="m,l,21600r21600,l21600,xe">
              <v:stroke joinstyle="miter"/>
              <v:path gradientshapeok="t" o:connecttype="rect"/>
            </v:shapetype>
            <v:shape id="janusSEAL SC H_FirstPage" o:spid="_x0000_s1027" type="#_x0000_t202" alt="&quot;&quot;" style="position:absolute;margin-left:0;margin-top:0;width:70.25pt;height:22.05pt;z-index:25166848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" o:allowincell="f" filled="f" stroked="f" strokeweight=".5pt">
              <v:textbox style="mso-fit-shape-to-text:t">
                <w:txbxContent>
                  <w:p w14:paraId="384E9D92" w14:textId="6170C211" w:rsidR="00F74B5D" w:rsidRPr="007F6492" w:rsidRDefault="007F6492" w:rsidP="003B0553">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3E2D4A">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5018136">
    <w:abstractNumId w:val="1"/>
  </w:num>
  <w:num w:numId="2" w16cid:durableId="1317297596">
    <w:abstractNumId w:val="1"/>
    <w:lvlOverride w:ilvl="0">
      <w:startOverride w:val="1"/>
    </w:lvlOverride>
  </w:num>
  <w:num w:numId="3" w16cid:durableId="557127076">
    <w:abstractNumId w:val="1"/>
    <w:lvlOverride w:ilvl="0">
      <w:startOverride w:val="1"/>
    </w:lvlOverride>
  </w:num>
  <w:num w:numId="4" w16cid:durableId="163861226">
    <w:abstractNumId w:val="2"/>
  </w:num>
  <w:num w:numId="5" w16cid:durableId="426077595">
    <w:abstractNumId w:val="0"/>
  </w:num>
  <w:num w:numId="6" w16cid:durableId="1128209084">
    <w:abstractNumId w:val="1"/>
    <w:lvlOverride w:ilvl="0">
      <w:startOverride w:val="1"/>
    </w:lvlOverride>
  </w:num>
  <w:num w:numId="7" w16cid:durableId="198786913">
    <w:abstractNumId w:val="1"/>
    <w:lvlOverride w:ilvl="0">
      <w:startOverride w:val="1"/>
    </w:lvlOverride>
  </w:num>
  <w:num w:numId="8" w16cid:durableId="57135795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09B"/>
    <w:rsid w:val="00025428"/>
    <w:rsid w:val="00030679"/>
    <w:rsid w:val="0007092D"/>
    <w:rsid w:val="000771C5"/>
    <w:rsid w:val="00096B7A"/>
    <w:rsid w:val="000F0F89"/>
    <w:rsid w:val="000F1407"/>
    <w:rsid w:val="000F3984"/>
    <w:rsid w:val="0010709B"/>
    <w:rsid w:val="001405B7"/>
    <w:rsid w:val="001669B4"/>
    <w:rsid w:val="001869DB"/>
    <w:rsid w:val="0019463F"/>
    <w:rsid w:val="001D29C1"/>
    <w:rsid w:val="001D6666"/>
    <w:rsid w:val="0021791D"/>
    <w:rsid w:val="00232F10"/>
    <w:rsid w:val="00246196"/>
    <w:rsid w:val="002903BA"/>
    <w:rsid w:val="002923D5"/>
    <w:rsid w:val="002965B1"/>
    <w:rsid w:val="002C1236"/>
    <w:rsid w:val="00343F6F"/>
    <w:rsid w:val="003B0553"/>
    <w:rsid w:val="003E2D4A"/>
    <w:rsid w:val="004041C7"/>
    <w:rsid w:val="004D1D85"/>
    <w:rsid w:val="0051162E"/>
    <w:rsid w:val="00592E1A"/>
    <w:rsid w:val="00595180"/>
    <w:rsid w:val="005A4153"/>
    <w:rsid w:val="005B6C7F"/>
    <w:rsid w:val="005D5B93"/>
    <w:rsid w:val="005F7B84"/>
    <w:rsid w:val="00645E5F"/>
    <w:rsid w:val="00661961"/>
    <w:rsid w:val="00671161"/>
    <w:rsid w:val="006B1B6F"/>
    <w:rsid w:val="006C13E7"/>
    <w:rsid w:val="00705433"/>
    <w:rsid w:val="007332ED"/>
    <w:rsid w:val="007519EA"/>
    <w:rsid w:val="00770A0E"/>
    <w:rsid w:val="00790F87"/>
    <w:rsid w:val="00791418"/>
    <w:rsid w:val="0079728E"/>
    <w:rsid w:val="007C5166"/>
    <w:rsid w:val="007F6492"/>
    <w:rsid w:val="00841C83"/>
    <w:rsid w:val="00845374"/>
    <w:rsid w:val="008A226C"/>
    <w:rsid w:val="009317C3"/>
    <w:rsid w:val="00945CB5"/>
    <w:rsid w:val="00953FA5"/>
    <w:rsid w:val="009570EE"/>
    <w:rsid w:val="00A01D6E"/>
    <w:rsid w:val="00A022EF"/>
    <w:rsid w:val="00A4001E"/>
    <w:rsid w:val="00A54B35"/>
    <w:rsid w:val="00AA6ACC"/>
    <w:rsid w:val="00AB5905"/>
    <w:rsid w:val="00AF688E"/>
    <w:rsid w:val="00AF7C26"/>
    <w:rsid w:val="00B4057D"/>
    <w:rsid w:val="00C02DDF"/>
    <w:rsid w:val="00C40760"/>
    <w:rsid w:val="00C60EBF"/>
    <w:rsid w:val="00C86452"/>
    <w:rsid w:val="00CF14DB"/>
    <w:rsid w:val="00D17EB7"/>
    <w:rsid w:val="00D52554"/>
    <w:rsid w:val="00D6113C"/>
    <w:rsid w:val="00D700C8"/>
    <w:rsid w:val="00DA6024"/>
    <w:rsid w:val="00DF79EE"/>
    <w:rsid w:val="00E156E8"/>
    <w:rsid w:val="00E363E8"/>
    <w:rsid w:val="00E72D7F"/>
    <w:rsid w:val="00EC1229"/>
    <w:rsid w:val="00EE32FE"/>
    <w:rsid w:val="00F119EF"/>
    <w:rsid w:val="00F63247"/>
    <w:rsid w:val="00F74B5D"/>
    <w:rsid w:val="00F959D5"/>
    <w:rsid w:val="00FF4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17693"/>
  <w15:chartTrackingRefBased/>
  <w15:docId w15:val="{86300870-1F81-442A-86E7-9BD7E35E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10709B"/>
    <w:pPr>
      <w:spacing w:before="120" w:after="120"/>
      <w:jc w:val="both"/>
    </w:pPr>
    <w:rPr>
      <w:rFonts w:asciiTheme="minorHAnsi" w:eastAsia="Arial" w:hAnsiTheme="minorHAnsi" w:cs="Calibri"/>
      <w:color w:val="313E48" w:themeColor="text1"/>
      <w:szCs w:val="24"/>
    </w:rPr>
  </w:style>
  <w:style w:type="paragraph" w:styleId="Heading1">
    <w:name w:val="heading 1"/>
    <w:basedOn w:val="Normal"/>
    <w:next w:val="Normal"/>
    <w:link w:val="Heading1Char"/>
    <w:uiPriority w:val="9"/>
    <w:qFormat/>
    <w:rsid w:val="004D1D85"/>
    <w:pPr>
      <w:keepNext/>
      <w:keepLines/>
      <w:spacing w:before="240" w:after="0" w:line="259" w:lineRule="auto"/>
      <w:jc w:val="left"/>
      <w:outlineLvl w:val="0"/>
    </w:pPr>
    <w:rPr>
      <w:rFonts w:asciiTheme="majorHAnsi" w:eastAsiaTheme="majorEastAsia" w:hAnsiTheme="majorHAnsi" w:cstheme="majorBidi"/>
      <w:color w:val="00615B" w:themeColor="accent1" w:themeShade="BF"/>
      <w:sz w:val="32"/>
      <w:szCs w:val="32"/>
      <w:lang w:eastAsia="en-US"/>
    </w:rPr>
  </w:style>
  <w:style w:type="paragraph" w:styleId="Heading2">
    <w:name w:val="heading 2"/>
    <w:basedOn w:val="Normal"/>
    <w:next w:val="Normal"/>
    <w:link w:val="Heading2Char"/>
    <w:uiPriority w:val="9"/>
    <w:semiHidden/>
    <w:unhideWhenUsed/>
    <w:qFormat/>
    <w:rsid w:val="004D1D85"/>
    <w:pPr>
      <w:keepNext/>
      <w:keepLines/>
      <w:spacing w:before="40" w:after="0" w:line="259" w:lineRule="auto"/>
      <w:jc w:val="left"/>
      <w:outlineLvl w:val="1"/>
    </w:pPr>
    <w:rPr>
      <w:rFonts w:asciiTheme="majorHAnsi" w:eastAsiaTheme="majorEastAsia" w:hAnsiTheme="majorHAnsi" w:cstheme="majorBidi"/>
      <w:color w:val="00615B" w:themeColor="accent1" w:themeShade="BF"/>
      <w:sz w:val="26"/>
      <w:szCs w:val="26"/>
      <w:lang w:eastAsia="en-US"/>
    </w:rPr>
  </w:style>
  <w:style w:type="paragraph" w:styleId="Heading3">
    <w:name w:val="heading 3"/>
    <w:basedOn w:val="Normal"/>
    <w:next w:val="Normal"/>
    <w:link w:val="Heading3Char"/>
    <w:uiPriority w:val="9"/>
    <w:semiHidden/>
    <w:unhideWhenUsed/>
    <w:qFormat/>
    <w:rsid w:val="004D1D85"/>
    <w:pPr>
      <w:keepNext/>
      <w:keepLines/>
      <w:spacing w:before="40" w:after="0" w:line="259" w:lineRule="auto"/>
      <w:jc w:val="left"/>
      <w:outlineLvl w:val="2"/>
    </w:pPr>
    <w:rPr>
      <w:rFonts w:asciiTheme="majorHAnsi" w:eastAsiaTheme="majorEastAsia" w:hAnsiTheme="majorHAnsi" w:cstheme="majorBidi"/>
      <w:color w:val="00403D" w:themeColor="accent1" w:themeShade="7F"/>
      <w:sz w:val="24"/>
      <w:lang w:eastAsia="en-US"/>
    </w:rPr>
  </w:style>
  <w:style w:type="paragraph" w:styleId="Heading4">
    <w:name w:val="heading 4"/>
    <w:basedOn w:val="Normal"/>
    <w:next w:val="Normal"/>
    <w:link w:val="Heading4Char"/>
    <w:uiPriority w:val="9"/>
    <w:semiHidden/>
    <w:unhideWhenUsed/>
    <w:qFormat/>
    <w:rsid w:val="004D1D85"/>
    <w:pPr>
      <w:keepNext/>
      <w:keepLines/>
      <w:spacing w:before="40" w:after="0" w:line="259" w:lineRule="auto"/>
      <w:jc w:val="left"/>
      <w:outlineLvl w:val="3"/>
    </w:pPr>
    <w:rPr>
      <w:rFonts w:asciiTheme="majorHAnsi" w:eastAsiaTheme="majorEastAsia" w:hAnsiTheme="majorHAnsi" w:cstheme="majorBidi"/>
      <w:i/>
      <w:iCs/>
      <w:color w:val="00615B"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qFormat/>
    <w:rsid w:val="00F959D5"/>
    <w:pPr>
      <w:spacing w:before="480"/>
      <w:jc w:val="center"/>
    </w:pPr>
    <w:rPr>
      <w:rFonts w:asciiTheme="minorHAnsi" w:hAnsiTheme="minorHAnsi" w:cstheme="minorHAnsi"/>
      <w:b/>
      <w:bCs/>
      <w:caps/>
      <w:color w:val="313E48"/>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Heading2"/>
    <w:next w:val="BodyCopy"/>
    <w:qFormat/>
    <w:rsid w:val="00AF7C26"/>
    <w:pPr>
      <w:spacing w:before="240"/>
    </w:pPr>
    <w:rPr>
      <w:rFonts w:cstheme="majorHAnsi"/>
      <w:b/>
      <w:bCs/>
      <w:caps/>
      <w:color w:val="313E48"/>
      <w:sz w:val="32"/>
      <w:szCs w:val="32"/>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770A0E"/>
    <w:pPr>
      <w:numPr>
        <w:numId w:val="1"/>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770A0E"/>
    <w:pPr>
      <w:numPr>
        <w:numId w:val="4"/>
      </w:numPr>
      <w:ind w:left="624"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pacing w:before="0" w:after="0"/>
      <w:jc w:val="left"/>
    </w:pPr>
    <w:rPr>
      <w:rFonts w:ascii="Calibri" w:eastAsia="Calibri" w:hAnsi="Calibri" w:cs="Times New Roman"/>
      <w:color w:val="auto"/>
      <w:sz w:val="22"/>
      <w:szCs w:val="22"/>
      <w:lang w:eastAsia="en-US"/>
    </w:r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before="0" w:after="0"/>
      <w:jc w:val="left"/>
    </w:pPr>
    <w:rPr>
      <w:rFonts w:ascii="Calibri" w:eastAsia="Calibri" w:hAnsi="Calibri" w:cs="Times New Roman"/>
      <w:color w:val="auto"/>
      <w:sz w:val="22"/>
      <w:szCs w:val="22"/>
      <w:lang w:eastAsia="en-US"/>
    </w:r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48763B"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00615B"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00615B"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00403D"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00615B"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00827B"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48327">
      <w:bodyDiv w:val="1"/>
      <w:marLeft w:val="0"/>
      <w:marRight w:val="0"/>
      <w:marTop w:val="0"/>
      <w:marBottom w:val="0"/>
      <w:divBdr>
        <w:top w:val="none" w:sz="0" w:space="0" w:color="auto"/>
        <w:left w:val="none" w:sz="0" w:space="0" w:color="auto"/>
        <w:bottom w:val="none" w:sz="0" w:space="0" w:color="auto"/>
        <w:right w:val="none" w:sz="0" w:space="0" w:color="auto"/>
      </w:divBdr>
    </w:div>
    <w:div w:id="354884269">
      <w:bodyDiv w:val="1"/>
      <w:marLeft w:val="0"/>
      <w:marRight w:val="0"/>
      <w:marTop w:val="0"/>
      <w:marBottom w:val="0"/>
      <w:divBdr>
        <w:top w:val="none" w:sz="0" w:space="0" w:color="auto"/>
        <w:left w:val="none" w:sz="0" w:space="0" w:color="auto"/>
        <w:bottom w:val="none" w:sz="0" w:space="0" w:color="auto"/>
        <w:right w:val="none" w:sz="0" w:space="0" w:color="auto"/>
      </w:divBdr>
    </w:div>
    <w:div w:id="835266890">
      <w:bodyDiv w:val="1"/>
      <w:marLeft w:val="0"/>
      <w:marRight w:val="0"/>
      <w:marTop w:val="0"/>
      <w:marBottom w:val="0"/>
      <w:divBdr>
        <w:top w:val="none" w:sz="0" w:space="0" w:color="auto"/>
        <w:left w:val="none" w:sz="0" w:space="0" w:color="auto"/>
        <w:bottom w:val="none" w:sz="0" w:space="0" w:color="auto"/>
        <w:right w:val="none" w:sz="0" w:space="0" w:color="auto"/>
      </w:divBdr>
    </w:div>
    <w:div w:id="193077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roth\Downloads\factsheet-template-landscape-bluegum.dotx" TargetMode="External"/></Relationships>
</file>

<file path=word/theme/theme1.xml><?xml version="1.0" encoding="utf-8"?>
<a:theme xmlns:a="http://schemas.openxmlformats.org/drawingml/2006/main" name="Office Theme">
  <a:themeElements>
    <a:clrScheme name="DFAT">
      <a:dk1>
        <a:srgbClr val="313E48"/>
      </a:dk1>
      <a:lt1>
        <a:sysClr val="window" lastClr="FFFFFF"/>
      </a:lt1>
      <a:dk2>
        <a:srgbClr val="2E5B73"/>
      </a:dk2>
      <a:lt2>
        <a:srgbClr val="CED2D3"/>
      </a:lt2>
      <a:accent1>
        <a:srgbClr val="00827B"/>
      </a:accent1>
      <a:accent2>
        <a:srgbClr val="48763B"/>
      </a:accent2>
      <a:accent3>
        <a:srgbClr val="993921"/>
      </a:accent3>
      <a:accent4>
        <a:srgbClr val="F4B223"/>
      </a:accent4>
      <a:accent5>
        <a:srgbClr val="124734"/>
      </a:accent5>
      <a:accent6>
        <a:srgbClr val="06515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DC9A5A0920A40994B8B08CBAED85F" ma:contentTypeVersion="14" ma:contentTypeDescription="Create a new document." ma:contentTypeScope="" ma:versionID="644a43a343d15c2479e8cb3eecfb82f6">
  <xsd:schema xmlns:xsd="http://www.w3.org/2001/XMLSchema" xmlns:xs="http://www.w3.org/2001/XMLSchema" xmlns:p="http://schemas.microsoft.com/office/2006/metadata/properties" xmlns:ns1="http://schemas.microsoft.com/sharepoint/v3" targetNamespace="http://schemas.microsoft.com/office/2006/metadata/properties" ma:root="true" ma:fieldsID="e787c7aed9671d064665d600559955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4A206-3F3F-43D7-9730-92C300FD6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3DF40D-BCF2-4639-9C58-C82784D93A1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5A10C9C-2057-49E2-9F84-8A81108DA37B}">
  <ds:schemaRefs>
    <ds:schemaRef ds:uri="http://schemas.microsoft.com/sharepoint/v3/contenttype/forms"/>
  </ds:schemaRefs>
</ds:datastoreItem>
</file>

<file path=customXml/itemProps4.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factsheet-template-landscape-bluegum</Template>
  <TotalTime>2</TotalTime>
  <Pages>3</Pages>
  <Words>960</Words>
  <Characters>5418</Characters>
  <Application>Microsoft Office Word</Application>
  <DocSecurity>0</DocSecurity>
  <Lines>193</Lines>
  <Paragraphs>86</Paragraphs>
  <ScaleCrop>false</ScaleCrop>
  <HeadingPairs>
    <vt:vector size="2" baseType="variant">
      <vt:variant>
        <vt:lpstr>Title</vt:lpstr>
      </vt:variant>
      <vt:variant>
        <vt:i4>1</vt:i4>
      </vt:variant>
    </vt:vector>
  </HeadingPairs>
  <TitlesOfParts>
    <vt:vector size="1" baseType="lpstr">
      <vt:lpstr>Factsheet template - landscape - Bluegum</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 - landscape - Bluegum</dc:title>
  <dc:subject/>
  <dc:creator>Roth, Nicola A</dc:creator>
  <cp:keywords>[SEC=OFFICIAL]</cp:keywords>
  <dc:description/>
  <cp:lastModifiedBy>Timaio Nauto</cp:lastModifiedBy>
  <cp:revision>3</cp:revision>
  <cp:lastPrinted>2025-06-30T04:52:00Z</cp:lastPrinted>
  <dcterms:created xsi:type="dcterms:W3CDTF">2025-06-30T04:49:00Z</dcterms:created>
  <dcterms:modified xsi:type="dcterms:W3CDTF">2025-06-30T04:52:00Z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A04407B03FB3406E91B16F76B50D491D</vt:lpwstr>
  </property>
  <property fmtid="{D5CDD505-2E9C-101B-9397-08002B2CF9AE}" pid="9" name="PM_ProtectiveMarkingValue_Footer">
    <vt:lpwstr>OFFICIAL</vt:lpwstr>
  </property>
  <property fmtid="{D5CDD505-2E9C-101B-9397-08002B2CF9AE}" pid="10" name="PM_Originator_Hash_SHA1">
    <vt:lpwstr>9D0A66494F5E99DFD6F9B770481458C2D6E2ECBF</vt:lpwstr>
  </property>
  <property fmtid="{D5CDD505-2E9C-101B-9397-08002B2CF9AE}" pid="11" name="PM_OriginationTimeStamp">
    <vt:lpwstr>2023-02-22T05:42:01Z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206D5CE4E417EC732F0BCC85F24887A7</vt:lpwstr>
  </property>
  <property fmtid="{D5CDD505-2E9C-101B-9397-08002B2CF9AE}" pid="20" name="PM_Hash_Salt">
    <vt:lpwstr>8D00F73F1A3AE04DD073C274C0BCC2A7</vt:lpwstr>
  </property>
  <property fmtid="{D5CDD505-2E9C-101B-9397-08002B2CF9AE}" pid="21" name="PM_Hash_SHA1">
    <vt:lpwstr>03BB2797FA1E71463A6A3BE993E1262C8C6B6FBC</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FB1A283E93142801A1EA46F04CB567DE82968363B200A553C32EE784E5D2C3CA</vt:lpwstr>
  </property>
  <property fmtid="{D5CDD505-2E9C-101B-9397-08002B2CF9AE}" pid="27" name="PM_OriginatorDomainName_SHA256">
    <vt:lpwstr>6F3591835F3B2A8A025B00B5BA6418010DA3A17C9C26EA9C049FFD28039489A2</vt:lpwstr>
  </property>
  <property fmtid="{D5CDD505-2E9C-101B-9397-08002B2CF9AE}" pid="28" name="ContentTypeId">
    <vt:lpwstr>0x010100C1DDC9A5A0920A40994B8B08CBAED85F</vt:lpwstr>
  </property>
  <property fmtid="{D5CDD505-2E9C-101B-9397-08002B2CF9AE}" pid="29" name="PMHMAC">
    <vt:lpwstr>v=2022.1;a=SHA256;h=FF45308962F00DBBA37102B2DB75E629C34BFCAAD4C289D6602FC1BEC73A46E3</vt:lpwstr>
  </property>
</Properties>
</file>