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ED" w:rsidRPr="00224F2A" w:rsidRDefault="00BC45ED" w:rsidP="00BC45ED">
      <w:pPr>
        <w:tabs>
          <w:tab w:val="left" w:pos="567"/>
        </w:tabs>
        <w:adjustRightInd w:val="0"/>
        <w:snapToGrid w:val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224F2A">
        <w:rPr>
          <w:rFonts w:ascii="Times New Roman" w:hAnsi="Times New Roman"/>
          <w:sz w:val="24"/>
        </w:rPr>
        <w:t xml:space="preserve">Annex </w:t>
      </w:r>
      <w:r w:rsidR="00B95E28" w:rsidRPr="00224F2A">
        <w:rPr>
          <w:rFonts w:ascii="Times New Roman" w:hAnsi="Times New Roman"/>
          <w:sz w:val="24"/>
        </w:rPr>
        <w:t>4</w:t>
      </w:r>
    </w:p>
    <w:p w:rsidR="00BC45ED" w:rsidRPr="00224F2A" w:rsidRDefault="00BC45ED" w:rsidP="00BC45ED">
      <w:pPr>
        <w:tabs>
          <w:tab w:val="left" w:pos="567"/>
        </w:tabs>
        <w:adjustRightInd w:val="0"/>
        <w:snapToGrid w:val="0"/>
        <w:jc w:val="center"/>
        <w:rPr>
          <w:rFonts w:ascii="Times New Roman" w:hAnsi="Times New Roman"/>
          <w:sz w:val="24"/>
        </w:rPr>
      </w:pPr>
      <w:r w:rsidRPr="00224F2A">
        <w:rPr>
          <w:rFonts w:ascii="Times New Roman" w:hAnsi="Times New Roman"/>
          <w:sz w:val="24"/>
        </w:rPr>
        <w:t>Referred to in Chapter 7 (Food Supply)</w:t>
      </w:r>
    </w:p>
    <w:p w:rsidR="00BC45ED" w:rsidRPr="00224F2A" w:rsidRDefault="00BC45ED" w:rsidP="00BC45ED">
      <w:pPr>
        <w:tabs>
          <w:tab w:val="left" w:pos="567"/>
        </w:tabs>
        <w:adjustRightInd w:val="0"/>
        <w:snapToGrid w:val="0"/>
        <w:jc w:val="left"/>
        <w:rPr>
          <w:rFonts w:ascii="Times New Roman" w:hAnsi="Times New Roman"/>
          <w:sz w:val="24"/>
        </w:rPr>
      </w:pPr>
    </w:p>
    <w:p w:rsidR="00BC45ED" w:rsidRPr="00224F2A" w:rsidRDefault="00BC45ED" w:rsidP="00BC45ED">
      <w:pPr>
        <w:tabs>
          <w:tab w:val="left" w:pos="567"/>
        </w:tabs>
        <w:adjustRightInd w:val="0"/>
        <w:snapToGrid w:val="0"/>
        <w:jc w:val="center"/>
        <w:rPr>
          <w:rFonts w:ascii="Times New Roman" w:hAnsi="Times New Roman"/>
          <w:sz w:val="24"/>
        </w:rPr>
      </w:pPr>
      <w:r w:rsidRPr="00224F2A">
        <w:rPr>
          <w:rFonts w:ascii="Times New Roman" w:hAnsi="Times New Roman"/>
          <w:sz w:val="24"/>
        </w:rPr>
        <w:t>LIST OF ESSENTIAL FOOD</w:t>
      </w:r>
    </w:p>
    <w:p w:rsidR="00BC45ED" w:rsidRPr="00224F2A" w:rsidRDefault="00BC45ED" w:rsidP="00BC45ED">
      <w:pPr>
        <w:tabs>
          <w:tab w:val="left" w:pos="567"/>
        </w:tabs>
        <w:adjustRightInd w:val="0"/>
        <w:snapToGrid w:val="0"/>
        <w:jc w:val="left"/>
        <w:rPr>
          <w:rFonts w:ascii="Times New Roman" w:hAnsi="Times New Roman"/>
          <w:sz w:val="24"/>
        </w:rPr>
      </w:pPr>
    </w:p>
    <w:p w:rsidR="00BC45ED" w:rsidRPr="00224F2A" w:rsidRDefault="00BC45ED" w:rsidP="00BC45ED">
      <w:pPr>
        <w:tabs>
          <w:tab w:val="left" w:pos="567"/>
        </w:tabs>
        <w:adjustRightInd w:val="0"/>
        <w:snapToGrid w:val="0"/>
        <w:ind w:left="840" w:hanging="840"/>
        <w:jc w:val="left"/>
        <w:rPr>
          <w:rFonts w:ascii="Times New Roman" w:hAnsi="Times New Roman"/>
          <w:sz w:val="24"/>
        </w:rPr>
      </w:pPr>
      <w:r w:rsidRPr="00224F2A">
        <w:rPr>
          <w:rFonts w:ascii="Times New Roman" w:hAnsi="Times New Roman"/>
          <w:sz w:val="24"/>
        </w:rPr>
        <w:t>Note:</w:t>
      </w:r>
      <w:r w:rsidRPr="00224F2A">
        <w:rPr>
          <w:rFonts w:ascii="Times New Roman" w:hAnsi="Times New Roman"/>
          <w:sz w:val="24"/>
        </w:rPr>
        <w:tab/>
        <w:t>This Annex is based on the Harmonized System, as amended on 1 January 2012.</w:t>
      </w:r>
    </w:p>
    <w:p w:rsidR="00BC45ED" w:rsidRPr="00DA779E" w:rsidRDefault="00BC45ED" w:rsidP="00BC45ED">
      <w:pPr>
        <w:tabs>
          <w:tab w:val="left" w:pos="567"/>
        </w:tabs>
        <w:adjustRightInd w:val="0"/>
        <w:snapToGrid w:val="0"/>
        <w:ind w:left="840" w:hanging="840"/>
        <w:jc w:val="left"/>
        <w:rPr>
          <w:rFonts w:ascii="Courier New" w:hAnsi="Courier New" w:cs="Courier New"/>
          <w:sz w:val="24"/>
        </w:rPr>
      </w:pPr>
    </w:p>
    <w:p w:rsidR="00BC45ED" w:rsidRPr="00224F2A" w:rsidRDefault="00BC45ED" w:rsidP="00BC45ED">
      <w:pPr>
        <w:tabs>
          <w:tab w:val="left" w:pos="567"/>
        </w:tabs>
        <w:adjustRightInd w:val="0"/>
        <w:snapToGrid w:val="0"/>
        <w:ind w:left="840" w:hanging="840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 xml:space="preserve">Tariff 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 xml:space="preserve">item 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number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Description of Goods</w:t>
            </w: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02.01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Meat of bovine animals, fresh or chilled</w:t>
            </w: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02.02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Meat of bovine animals, frozen</w:t>
            </w: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0206.10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Edible offal of bovine animals, swine, sheep, goats, horses, asses, mules or hinnies, fresh, chilled or frozen: Of bovine animals, fresh or chilled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0206.21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Edible offal of bovine animals, swine, sheep, goats, horses, asses, mules or hinnies, fresh, chilled or frozen: Of bovine animals, frozen: Tongues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0206.22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Edible offal of bovine animals, swine, sheep, goats, horses, asses, mules or hinnies, fresh, chilled or frozen: Of bovine animals, frozen: Livers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0206.29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Edible offal of bovine animals, swine, sheep, goats, horses, asses, mules or hinnies, fresh, chilled or frozen: Of bovine animals, frozen: Other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04.02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Milk and cream, concentrated or containing added sugar or other sweetening matter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 xml:space="preserve">Buttermilk, curdled milk and cream, yogurt, </w:t>
            </w:r>
            <w:proofErr w:type="spellStart"/>
            <w:r w:rsidRPr="00224F2A">
              <w:rPr>
                <w:rFonts w:ascii="Times New Roman" w:hAnsi="Times New Roman"/>
                <w:sz w:val="20"/>
                <w:szCs w:val="20"/>
              </w:rPr>
              <w:t>kephir</w:t>
            </w:r>
            <w:proofErr w:type="spellEnd"/>
            <w:r w:rsidRPr="00224F2A">
              <w:rPr>
                <w:rFonts w:ascii="Times New Roman" w:hAnsi="Times New Roman"/>
                <w:sz w:val="20"/>
                <w:szCs w:val="20"/>
              </w:rPr>
              <w:t xml:space="preserve"> and other fermented or acidified milk and cream, whether or not concentrated or containing added sugar or other sweetening matter or </w:t>
            </w:r>
            <w:proofErr w:type="spellStart"/>
            <w:r w:rsidRPr="00224F2A">
              <w:rPr>
                <w:rFonts w:ascii="Times New Roman" w:hAnsi="Times New Roman"/>
                <w:sz w:val="20"/>
                <w:szCs w:val="20"/>
              </w:rPr>
              <w:t>flavoured</w:t>
            </w:r>
            <w:proofErr w:type="spellEnd"/>
            <w:r w:rsidRPr="00224F2A">
              <w:rPr>
                <w:rFonts w:ascii="Times New Roman" w:hAnsi="Times New Roman"/>
                <w:sz w:val="20"/>
                <w:szCs w:val="20"/>
              </w:rPr>
              <w:t xml:space="preserve"> or containing added fruit, nuts or cocoa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Whey, whether or not concentrated or containing added sugar or other sweetening matter; products consisting of natural milk constituents, whether or not containing added sugar or other sweetening matter, not elsewhere specified or included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04.05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Butter and other fats and oils derived from milk; dairy spreads</w:t>
            </w: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04.06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Cheese and curd</w:t>
            </w: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10.01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 xml:space="preserve">Wheat and </w:t>
            </w:r>
            <w:proofErr w:type="spellStart"/>
            <w:r w:rsidRPr="00224F2A">
              <w:rPr>
                <w:rFonts w:ascii="Times New Roman" w:hAnsi="Times New Roman"/>
                <w:sz w:val="20"/>
                <w:szCs w:val="20"/>
              </w:rPr>
              <w:t>meslin</w:t>
            </w:r>
            <w:proofErr w:type="spellEnd"/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10.03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Barley</w:t>
            </w:r>
          </w:p>
        </w:tc>
      </w:tr>
      <w:tr w:rsidR="00BC45ED" w:rsidRPr="00224F2A" w:rsidTr="00BC45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C45ED" w:rsidRPr="00224F2A" w:rsidRDefault="00BC45ED">
            <w:pPr>
              <w:tabs>
                <w:tab w:val="left" w:pos="567"/>
              </w:tabs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F2A">
              <w:rPr>
                <w:rFonts w:ascii="Times New Roman" w:hAnsi="Times New Roman"/>
                <w:sz w:val="20"/>
                <w:szCs w:val="20"/>
              </w:rPr>
              <w:t>Cane or beet sugar and chemically pure sucrose, in solid form</w:t>
            </w:r>
          </w:p>
        </w:tc>
      </w:tr>
    </w:tbl>
    <w:p w:rsidR="00BC45ED" w:rsidRPr="00224F2A" w:rsidRDefault="00BC45ED" w:rsidP="00BC45ED">
      <w:pPr>
        <w:tabs>
          <w:tab w:val="left" w:pos="567"/>
        </w:tabs>
        <w:adjustRightInd w:val="0"/>
        <w:snapToGrid w:val="0"/>
        <w:ind w:left="840" w:hanging="840"/>
        <w:jc w:val="left"/>
        <w:rPr>
          <w:rFonts w:ascii="Times New Roman" w:hAnsi="Times New Roman"/>
          <w:sz w:val="20"/>
          <w:szCs w:val="20"/>
        </w:rPr>
      </w:pPr>
    </w:p>
    <w:p w:rsidR="00913F38" w:rsidRPr="00BC45ED" w:rsidRDefault="00913F38">
      <w:pPr>
        <w:rPr>
          <w:rFonts w:ascii="Courier New" w:hAnsi="Courier New" w:cs="Courier New"/>
        </w:rPr>
      </w:pPr>
    </w:p>
    <w:sectPr w:rsidR="00913F38" w:rsidRPr="00BC45ED" w:rsidSect="000F3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708" w:footer="708" w:gutter="0"/>
      <w:pgNumType w:start="9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9E" w:rsidRDefault="00DA779E" w:rsidP="00DA779E">
      <w:r>
        <w:separator/>
      </w:r>
    </w:p>
  </w:endnote>
  <w:endnote w:type="continuationSeparator" w:id="0">
    <w:p w:rsidR="00DA779E" w:rsidRDefault="00DA779E" w:rsidP="00DA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7" w:rsidRDefault="00C03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6610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DA779E" w:rsidRPr="00224F2A" w:rsidRDefault="00DA779E">
        <w:pPr>
          <w:pStyle w:val="Footer"/>
          <w:jc w:val="center"/>
          <w:rPr>
            <w:rFonts w:ascii="Times New Roman" w:hAnsi="Times New Roman"/>
            <w:sz w:val="24"/>
          </w:rPr>
        </w:pPr>
        <w:r w:rsidRPr="00224F2A">
          <w:rPr>
            <w:rFonts w:ascii="Times New Roman" w:hAnsi="Times New Roman"/>
            <w:sz w:val="24"/>
          </w:rPr>
          <w:fldChar w:fldCharType="begin"/>
        </w:r>
        <w:r w:rsidRPr="00224F2A">
          <w:rPr>
            <w:rFonts w:ascii="Times New Roman" w:hAnsi="Times New Roman"/>
            <w:sz w:val="24"/>
          </w:rPr>
          <w:instrText xml:space="preserve"> PAGE   \* MERGEFORMAT </w:instrText>
        </w:r>
        <w:r w:rsidRPr="00224F2A">
          <w:rPr>
            <w:rFonts w:ascii="Times New Roman" w:hAnsi="Times New Roman"/>
            <w:sz w:val="24"/>
          </w:rPr>
          <w:fldChar w:fldCharType="separate"/>
        </w:r>
        <w:r w:rsidR="000F32E4">
          <w:rPr>
            <w:rFonts w:ascii="Times New Roman" w:hAnsi="Times New Roman"/>
            <w:noProof/>
            <w:sz w:val="24"/>
          </w:rPr>
          <w:t>911</w:t>
        </w:r>
        <w:r w:rsidRPr="00224F2A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7" w:rsidRDefault="00C03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9E" w:rsidRDefault="00DA779E" w:rsidP="00DA779E">
      <w:r>
        <w:separator/>
      </w:r>
    </w:p>
  </w:footnote>
  <w:footnote w:type="continuationSeparator" w:id="0">
    <w:p w:rsidR="00DA779E" w:rsidRDefault="00DA779E" w:rsidP="00DA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7" w:rsidRDefault="00C03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7" w:rsidRDefault="00C03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7" w:rsidRDefault="00C03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ED"/>
    <w:rsid w:val="0006767D"/>
    <w:rsid w:val="000E7AD0"/>
    <w:rsid w:val="000F32E4"/>
    <w:rsid w:val="00143A3D"/>
    <w:rsid w:val="00224F2A"/>
    <w:rsid w:val="00344A74"/>
    <w:rsid w:val="003C6DD3"/>
    <w:rsid w:val="004213DA"/>
    <w:rsid w:val="004F121D"/>
    <w:rsid w:val="00536998"/>
    <w:rsid w:val="0055749F"/>
    <w:rsid w:val="005C3D38"/>
    <w:rsid w:val="00614E2E"/>
    <w:rsid w:val="007F5ADA"/>
    <w:rsid w:val="00824BFB"/>
    <w:rsid w:val="00867168"/>
    <w:rsid w:val="00911D03"/>
    <w:rsid w:val="00913F38"/>
    <w:rsid w:val="00952ED4"/>
    <w:rsid w:val="00983E53"/>
    <w:rsid w:val="00A14383"/>
    <w:rsid w:val="00A63BFB"/>
    <w:rsid w:val="00A97EE1"/>
    <w:rsid w:val="00B62778"/>
    <w:rsid w:val="00B95E28"/>
    <w:rsid w:val="00BC45ED"/>
    <w:rsid w:val="00BC56F2"/>
    <w:rsid w:val="00C03927"/>
    <w:rsid w:val="00C17DEB"/>
    <w:rsid w:val="00C5592D"/>
    <w:rsid w:val="00C63A5F"/>
    <w:rsid w:val="00D03DA8"/>
    <w:rsid w:val="00D64185"/>
    <w:rsid w:val="00DA779E"/>
    <w:rsid w:val="00E10682"/>
    <w:rsid w:val="00EC7B79"/>
    <w:rsid w:val="00FF048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5ED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ED"/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A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779E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DA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79E"/>
    <w:rPr>
      <w:rFonts w:ascii="Century" w:eastAsia="MS Mincho" w:hAnsi="Century"/>
      <w:kern w:val="2"/>
      <w:sz w:val="21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5ED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ED"/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A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779E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DA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79E"/>
    <w:rPr>
      <w:rFonts w:ascii="Century" w:eastAsia="MS Mincho" w:hAnsi="Century"/>
      <w:kern w:val="2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857669A53844A9EF3AF2F64556CD2" ma:contentTypeVersion="1" ma:contentTypeDescription="Create a new document." ma:contentTypeScope="" ma:versionID="d44869f35cd5719eee5fc4b77f4ed6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34FA89-7AB7-47F5-8BA9-7BB851809717}"/>
</file>

<file path=customXml/itemProps2.xml><?xml version="1.0" encoding="utf-8"?>
<ds:datastoreItem xmlns:ds="http://schemas.openxmlformats.org/officeDocument/2006/customXml" ds:itemID="{EEB3A752-8403-4299-8709-9CB51AD5C4D0}"/>
</file>

<file path=customXml/itemProps3.xml><?xml version="1.0" encoding="utf-8"?>
<ds:datastoreItem xmlns:ds="http://schemas.openxmlformats.org/officeDocument/2006/customXml" ds:itemID="{39E80379-A6CD-425D-8646-0E2A7AE2E3A7}"/>
</file>

<file path=docProps/app.xml><?xml version="1.0" encoding="utf-8"?>
<Properties xmlns="http://schemas.openxmlformats.org/officeDocument/2006/extended-properties" xmlns:vt="http://schemas.openxmlformats.org/officeDocument/2006/docPropsVTypes">
  <Template>CE53F2EF</Template>
  <TotalTime>0</TotalTime>
  <Pages>2</Pages>
  <Words>260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2014-07-01T00:55:00Z</dcterms:created>
  <dcterms:modified xsi:type="dcterms:W3CDTF">2014-07-02T00:54:00Z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0x0101003A5857669A53844A9EF3AF2F64556CD2</vt:lpwstr>
  </property>
  <property fmtid="{D5CDD505-2E9C-101B-9397-08002B2CF9AE}" pid="3" name="Order">
    <vt:r8>4100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