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FBFB0" w14:textId="2904605C" w:rsidR="00D32F4F" w:rsidRPr="00D32F4F" w:rsidRDefault="00984CD4" w:rsidP="00D32F4F">
      <w:pPr>
        <w:rPr>
          <w:lang w:val="en-AU"/>
        </w:rPr>
      </w:pPr>
      <w:r w:rsidRPr="00943730">
        <w:rPr>
          <w:noProof/>
          <w:lang w:val="en-AU" w:eastAsia="zh-CN"/>
        </w:rPr>
        <w:drawing>
          <wp:inline distT="0" distB="0" distL="0" distR="0" wp14:anchorId="62BC0333" wp14:editId="61D3A121">
            <wp:extent cx="3166920" cy="554400"/>
            <wp:effectExtent l="0" t="0" r="0" b="0"/>
            <wp:docPr id="3" name="Picture 3"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Pr>
          <w:lang w:val="en-AU"/>
        </w:rPr>
        <w:tab/>
      </w:r>
      <w:r>
        <w:rPr>
          <w:lang w:val="en-AU"/>
        </w:rPr>
        <w:tab/>
      </w:r>
      <w:r>
        <w:rPr>
          <w:lang w:val="en-AU"/>
        </w:rPr>
        <w:tab/>
      </w:r>
      <w:r>
        <w:rPr>
          <w:lang w:val="en-AU"/>
        </w:rPr>
        <w:tab/>
      </w:r>
      <w:r w:rsidRPr="00252C04">
        <w:rPr>
          <w:noProof/>
          <w:lang w:val="en-AU" w:eastAsia="zh-CN"/>
        </w:rPr>
        <w:drawing>
          <wp:inline distT="0" distB="0" distL="0" distR="0" wp14:anchorId="07D1B028" wp14:editId="125FB09F">
            <wp:extent cx="1115640" cy="512640"/>
            <wp:effectExtent l="0" t="0" r="8890" b="1905"/>
            <wp:docPr id="2" name="Picture 2"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inline>
        </w:drawing>
      </w:r>
    </w:p>
    <w:p w14:paraId="549FBCFE" w14:textId="77777777" w:rsidR="00CA217D" w:rsidRDefault="00CA217D" w:rsidP="00D37B04">
      <w:pPr>
        <w:pStyle w:val="Title"/>
        <w:rPr>
          <w:rFonts w:asciiTheme="minorHAnsi" w:hAnsiTheme="minorHAnsi" w:cstheme="minorHAnsi"/>
          <w:lang w:val="en-AU"/>
        </w:rPr>
      </w:pPr>
    </w:p>
    <w:p w14:paraId="0F2232D2" w14:textId="77777777" w:rsidR="009A62C7" w:rsidRPr="009A62C7" w:rsidRDefault="009A62C7" w:rsidP="009A62C7">
      <w:pPr>
        <w:rPr>
          <w:lang w:val="en-AU"/>
        </w:rPr>
      </w:pPr>
    </w:p>
    <w:p w14:paraId="762D3F74" w14:textId="584461EE" w:rsidR="00992C76" w:rsidRPr="00AC356B" w:rsidRDefault="009272AC" w:rsidP="002609D3">
      <w:pPr>
        <w:pStyle w:val="Title"/>
        <w:spacing w:before="120"/>
        <w:rPr>
          <w:rFonts w:asciiTheme="minorHAnsi" w:hAnsiTheme="minorHAnsi" w:cstheme="minorHAnsi"/>
          <w:color w:val="000000" w:themeColor="text1"/>
          <w:lang w:val="en-AU"/>
        </w:rPr>
      </w:pPr>
      <w:r w:rsidRPr="00AC356B">
        <w:rPr>
          <w:rFonts w:asciiTheme="minorHAnsi" w:hAnsiTheme="minorHAnsi" w:cstheme="minorHAnsi"/>
          <w:color w:val="000000" w:themeColor="text1"/>
          <w:lang w:val="en-AU"/>
        </w:rPr>
        <w:t>review</w:t>
      </w:r>
      <w:r w:rsidR="00FD3E2F" w:rsidRPr="00AC356B">
        <w:rPr>
          <w:rFonts w:asciiTheme="minorHAnsi" w:hAnsiTheme="minorHAnsi" w:cstheme="minorHAnsi"/>
          <w:color w:val="000000" w:themeColor="text1"/>
          <w:lang w:val="en-AU"/>
        </w:rPr>
        <w:t xml:space="preserve"> </w:t>
      </w:r>
      <w:r w:rsidR="00F64CE6" w:rsidRPr="00AC356B">
        <w:rPr>
          <w:rFonts w:asciiTheme="minorHAnsi" w:hAnsiTheme="minorHAnsi" w:cstheme="minorHAnsi"/>
          <w:color w:val="000000" w:themeColor="text1"/>
          <w:lang w:val="en-AU"/>
        </w:rPr>
        <w:t xml:space="preserve">of </w:t>
      </w:r>
      <w:r w:rsidR="006A75BE" w:rsidRPr="00AC356B">
        <w:rPr>
          <w:rFonts w:asciiTheme="minorHAnsi" w:hAnsiTheme="minorHAnsi" w:cstheme="minorHAnsi"/>
          <w:color w:val="000000" w:themeColor="text1"/>
          <w:lang w:val="en-AU"/>
        </w:rPr>
        <w:t xml:space="preserve">the </w:t>
      </w:r>
      <w:r w:rsidRPr="00AC356B">
        <w:rPr>
          <w:rFonts w:asciiTheme="minorHAnsi" w:hAnsiTheme="minorHAnsi" w:cstheme="minorHAnsi"/>
          <w:color w:val="000000" w:themeColor="text1"/>
          <w:lang w:val="en-AU"/>
        </w:rPr>
        <w:t>iraq</w:t>
      </w:r>
      <w:r w:rsidR="006A75BE" w:rsidRPr="00AC356B">
        <w:rPr>
          <w:rFonts w:asciiTheme="minorHAnsi" w:hAnsiTheme="minorHAnsi" w:cstheme="minorHAnsi"/>
          <w:color w:val="000000" w:themeColor="text1"/>
          <w:lang w:val="en-AU"/>
        </w:rPr>
        <w:t xml:space="preserve"> Humanitarian and </w:t>
      </w:r>
      <w:r w:rsidRPr="00AC356B">
        <w:rPr>
          <w:rFonts w:asciiTheme="minorHAnsi" w:hAnsiTheme="minorHAnsi" w:cstheme="minorHAnsi"/>
          <w:color w:val="000000" w:themeColor="text1"/>
          <w:lang w:val="en-AU"/>
        </w:rPr>
        <w:t>stabilisation package (2018</w:t>
      </w:r>
      <w:r w:rsidR="006A75BE" w:rsidRPr="00AC356B">
        <w:rPr>
          <w:rFonts w:asciiTheme="minorHAnsi" w:hAnsiTheme="minorHAnsi" w:cstheme="minorHAnsi"/>
          <w:color w:val="000000" w:themeColor="text1"/>
          <w:lang w:val="en-AU"/>
        </w:rPr>
        <w:t>-20</w:t>
      </w:r>
      <w:r w:rsidRPr="00AC356B">
        <w:rPr>
          <w:rFonts w:asciiTheme="minorHAnsi" w:hAnsiTheme="minorHAnsi" w:cstheme="minorHAnsi"/>
          <w:color w:val="000000" w:themeColor="text1"/>
          <w:lang w:val="en-AU"/>
        </w:rPr>
        <w:t>20</w:t>
      </w:r>
      <w:r w:rsidR="006A75BE" w:rsidRPr="00AC356B">
        <w:rPr>
          <w:rFonts w:asciiTheme="minorHAnsi" w:hAnsiTheme="minorHAnsi" w:cstheme="minorHAnsi"/>
          <w:color w:val="000000" w:themeColor="text1"/>
          <w:lang w:val="en-AU"/>
        </w:rPr>
        <w:t xml:space="preserve">) </w:t>
      </w:r>
    </w:p>
    <w:p w14:paraId="40E8293F" w14:textId="77777777" w:rsidR="00CD0E4B" w:rsidRPr="00AC356B" w:rsidRDefault="00F64CE6" w:rsidP="002609D3">
      <w:pPr>
        <w:pStyle w:val="Subtitle"/>
        <w:spacing w:before="120" w:after="0"/>
        <w:rPr>
          <w:rFonts w:cstheme="minorHAnsi"/>
          <w:color w:val="000000" w:themeColor="text1"/>
          <w:sz w:val="36"/>
          <w:szCs w:val="36"/>
          <w:lang w:val="en-AU"/>
        </w:rPr>
      </w:pPr>
      <w:r w:rsidRPr="00AC356B">
        <w:rPr>
          <w:rFonts w:cstheme="minorHAnsi"/>
          <w:caps w:val="0"/>
          <w:color w:val="000000" w:themeColor="text1"/>
          <w:sz w:val="36"/>
          <w:szCs w:val="36"/>
          <w:lang w:val="en-AU"/>
        </w:rPr>
        <w:t>DFAT</w:t>
      </w:r>
      <w:r w:rsidR="00FD3E2F" w:rsidRPr="00AC356B">
        <w:rPr>
          <w:rFonts w:cstheme="minorHAnsi"/>
          <w:color w:val="000000" w:themeColor="text1"/>
          <w:sz w:val="36"/>
          <w:szCs w:val="36"/>
          <w:lang w:val="en-AU"/>
        </w:rPr>
        <w:t xml:space="preserve"> </w:t>
      </w:r>
      <w:r w:rsidRPr="00AC356B">
        <w:rPr>
          <w:rFonts w:cstheme="minorHAnsi"/>
          <w:color w:val="000000" w:themeColor="text1"/>
          <w:sz w:val="36"/>
          <w:szCs w:val="36"/>
          <w:lang w:val="en-AU"/>
        </w:rPr>
        <w:t>Management R</w:t>
      </w:r>
      <w:r w:rsidR="00FD3E2F" w:rsidRPr="00AC356B">
        <w:rPr>
          <w:rFonts w:cstheme="minorHAnsi"/>
          <w:color w:val="000000" w:themeColor="text1"/>
          <w:sz w:val="36"/>
          <w:szCs w:val="36"/>
          <w:lang w:val="en-AU"/>
        </w:rPr>
        <w:t>esponse</w:t>
      </w:r>
    </w:p>
    <w:p w14:paraId="25832324" w14:textId="77777777" w:rsidR="00AE293E" w:rsidRPr="00F74A0E" w:rsidRDefault="00AE293E" w:rsidP="00F74A0E">
      <w:pPr>
        <w:pStyle w:val="Style2"/>
        <w:rPr>
          <w:rStyle w:val="Strong"/>
          <w:b/>
          <w:bCs w:val="0"/>
          <w:u w:val="single"/>
        </w:rPr>
      </w:pPr>
      <w:r w:rsidRPr="00F74A0E">
        <w:rPr>
          <w:rStyle w:val="Strong"/>
          <w:b/>
          <w:bCs w:val="0"/>
          <w:u w:val="single"/>
        </w:rPr>
        <w:t>Program Overview</w:t>
      </w:r>
    </w:p>
    <w:p w14:paraId="524A6054" w14:textId="74A7DDEB" w:rsidR="006A6675" w:rsidRPr="00AC356B" w:rsidRDefault="00091C1E" w:rsidP="00A279EC">
      <w:pPr>
        <w:spacing w:after="120"/>
        <w:rPr>
          <w:color w:val="000000" w:themeColor="text1"/>
        </w:rPr>
      </w:pPr>
      <w:r w:rsidRPr="00AC356B">
        <w:rPr>
          <w:color w:val="000000" w:themeColor="text1"/>
        </w:rPr>
        <w:t>On 25 April</w:t>
      </w:r>
      <w:r w:rsidR="00612F6F" w:rsidRPr="00AC356B">
        <w:rPr>
          <w:color w:val="000000" w:themeColor="text1"/>
        </w:rPr>
        <w:t xml:space="preserve"> 2017 </w:t>
      </w:r>
      <w:r w:rsidRPr="00AC356B">
        <w:rPr>
          <w:color w:val="000000" w:themeColor="text1"/>
        </w:rPr>
        <w:t>the Australian Government announced a three-year</w:t>
      </w:r>
      <w:r w:rsidR="00612F6F" w:rsidRPr="00AC356B">
        <w:rPr>
          <w:color w:val="000000" w:themeColor="text1"/>
        </w:rPr>
        <w:t xml:space="preserve"> $100 million Iraq Humanitarian and Stabilisation Package</w:t>
      </w:r>
      <w:r w:rsidRPr="00AC356B">
        <w:rPr>
          <w:color w:val="000000" w:themeColor="text1"/>
        </w:rPr>
        <w:t xml:space="preserve"> </w:t>
      </w:r>
      <w:r w:rsidR="00AE6720" w:rsidRPr="00AC356B">
        <w:rPr>
          <w:color w:val="000000" w:themeColor="text1"/>
        </w:rPr>
        <w:t>(the Package)</w:t>
      </w:r>
      <w:r w:rsidRPr="00AC356B">
        <w:rPr>
          <w:color w:val="000000" w:themeColor="text1"/>
        </w:rPr>
        <w:t>. This was</w:t>
      </w:r>
      <w:r w:rsidR="007A583C" w:rsidRPr="00AC356B">
        <w:rPr>
          <w:color w:val="000000" w:themeColor="text1"/>
        </w:rPr>
        <w:t xml:space="preserve"> Australia’s</w:t>
      </w:r>
      <w:r w:rsidRPr="00AC356B">
        <w:rPr>
          <w:color w:val="000000" w:themeColor="text1"/>
        </w:rPr>
        <w:t xml:space="preserve"> second multi-year</w:t>
      </w:r>
      <w:r w:rsidR="007A583C" w:rsidRPr="00AC356B">
        <w:rPr>
          <w:color w:val="000000" w:themeColor="text1"/>
        </w:rPr>
        <w:t xml:space="preserve"> humanitarian</w:t>
      </w:r>
      <w:r w:rsidRPr="00AC356B">
        <w:rPr>
          <w:color w:val="000000" w:themeColor="text1"/>
        </w:rPr>
        <w:t xml:space="preserve"> package</w:t>
      </w:r>
      <w:r w:rsidR="00B84848" w:rsidRPr="00AC356B">
        <w:rPr>
          <w:color w:val="000000" w:themeColor="text1"/>
        </w:rPr>
        <w:t xml:space="preserve"> in response to a protracted cris</w:t>
      </w:r>
      <w:r w:rsidR="00993BE0" w:rsidRPr="00AC356B">
        <w:rPr>
          <w:color w:val="000000" w:themeColor="text1"/>
        </w:rPr>
        <w:t>i</w:t>
      </w:r>
      <w:r w:rsidR="00B84848" w:rsidRPr="00AC356B">
        <w:rPr>
          <w:color w:val="000000" w:themeColor="text1"/>
        </w:rPr>
        <w:t>s. Th</w:t>
      </w:r>
      <w:r w:rsidR="00464C0B" w:rsidRPr="00AC356B">
        <w:rPr>
          <w:color w:val="000000" w:themeColor="text1"/>
        </w:rPr>
        <w:t>e</w:t>
      </w:r>
      <w:r w:rsidRPr="00AC356B">
        <w:rPr>
          <w:color w:val="000000" w:themeColor="text1"/>
        </w:rPr>
        <w:t xml:space="preserve"> design drew </w:t>
      </w:r>
      <w:r w:rsidR="00BC44F3" w:rsidRPr="00AC356B">
        <w:rPr>
          <w:color w:val="000000" w:themeColor="text1"/>
        </w:rPr>
        <w:t>on</w:t>
      </w:r>
      <w:r w:rsidRPr="00AC356B">
        <w:rPr>
          <w:color w:val="000000" w:themeColor="text1"/>
        </w:rPr>
        <w:t xml:space="preserve"> the lessons learned from the </w:t>
      </w:r>
      <w:r w:rsidR="00612F6F" w:rsidRPr="00AC356B">
        <w:rPr>
          <w:color w:val="000000" w:themeColor="text1"/>
        </w:rPr>
        <w:t>Syria</w:t>
      </w:r>
      <w:r w:rsidRPr="00AC356B">
        <w:rPr>
          <w:color w:val="000000" w:themeColor="text1"/>
        </w:rPr>
        <w:t xml:space="preserve"> H</w:t>
      </w:r>
      <w:r w:rsidR="00612F6F" w:rsidRPr="00AC356B">
        <w:rPr>
          <w:color w:val="000000" w:themeColor="text1"/>
        </w:rPr>
        <w:t xml:space="preserve">umanitarian and </w:t>
      </w:r>
      <w:r w:rsidRPr="00AC356B">
        <w:rPr>
          <w:color w:val="000000" w:themeColor="text1"/>
        </w:rPr>
        <w:t>R</w:t>
      </w:r>
      <w:r w:rsidR="00612F6F" w:rsidRPr="00AC356B">
        <w:rPr>
          <w:color w:val="000000" w:themeColor="text1"/>
        </w:rPr>
        <w:t xml:space="preserve">esilience </w:t>
      </w:r>
      <w:r w:rsidRPr="00AC356B">
        <w:rPr>
          <w:color w:val="000000" w:themeColor="text1"/>
        </w:rPr>
        <w:t>P</w:t>
      </w:r>
      <w:r w:rsidR="00612F6F" w:rsidRPr="00AC356B">
        <w:rPr>
          <w:color w:val="000000" w:themeColor="text1"/>
        </w:rPr>
        <w:t>ackage.</w:t>
      </w:r>
      <w:r w:rsidRPr="00AC356B">
        <w:rPr>
          <w:color w:val="000000" w:themeColor="text1"/>
        </w:rPr>
        <w:t xml:space="preserve"> The Iraq Package was divided into three pillars (humanitarian, stabilisation and social cohesion)</w:t>
      </w:r>
      <w:r w:rsidR="00BC44F3" w:rsidRPr="00AC356B">
        <w:rPr>
          <w:color w:val="000000" w:themeColor="text1"/>
        </w:rPr>
        <w:t>.</w:t>
      </w:r>
      <w:r w:rsidRPr="00AC356B">
        <w:rPr>
          <w:color w:val="000000" w:themeColor="text1"/>
        </w:rPr>
        <w:t xml:space="preserve"> </w:t>
      </w:r>
      <w:r w:rsidR="00BC44F3" w:rsidRPr="00AC356B">
        <w:rPr>
          <w:color w:val="000000" w:themeColor="text1"/>
        </w:rPr>
        <w:t>S</w:t>
      </w:r>
      <w:r w:rsidRPr="00AC356B">
        <w:rPr>
          <w:color w:val="000000" w:themeColor="text1"/>
        </w:rPr>
        <w:t>upport</w:t>
      </w:r>
      <w:r w:rsidR="00BC44F3" w:rsidRPr="00AC356B">
        <w:rPr>
          <w:color w:val="000000" w:themeColor="text1"/>
        </w:rPr>
        <w:t xml:space="preserve"> was</w:t>
      </w:r>
      <w:r w:rsidR="007A583C" w:rsidRPr="00AC356B">
        <w:rPr>
          <w:color w:val="000000" w:themeColor="text1"/>
        </w:rPr>
        <w:t xml:space="preserve"> </w:t>
      </w:r>
      <w:r w:rsidR="0061121B" w:rsidRPr="00AC356B">
        <w:rPr>
          <w:color w:val="000000" w:themeColor="text1"/>
        </w:rPr>
        <w:t>initially</w:t>
      </w:r>
      <w:r w:rsidRPr="00AC356B">
        <w:rPr>
          <w:color w:val="000000" w:themeColor="text1"/>
        </w:rPr>
        <w:t xml:space="preserve"> provided to five partners, with three more </w:t>
      </w:r>
      <w:r w:rsidR="00993BE0" w:rsidRPr="00AC356B">
        <w:rPr>
          <w:color w:val="000000" w:themeColor="text1"/>
        </w:rPr>
        <w:t>engaged</w:t>
      </w:r>
      <w:r w:rsidRPr="00AC356B">
        <w:rPr>
          <w:color w:val="000000" w:themeColor="text1"/>
        </w:rPr>
        <w:t xml:space="preserve"> over the course of the program.</w:t>
      </w:r>
      <w:r w:rsidRPr="00AC356B">
        <w:rPr>
          <w:rStyle w:val="FootnoteReference"/>
          <w:color w:val="000000" w:themeColor="text1"/>
        </w:rPr>
        <w:footnoteReference w:id="2"/>
      </w:r>
      <w:r w:rsidRPr="00AC356B">
        <w:rPr>
          <w:color w:val="000000" w:themeColor="text1"/>
        </w:rPr>
        <w:t xml:space="preserve"> </w:t>
      </w:r>
    </w:p>
    <w:p w14:paraId="3ACC86FA" w14:textId="4748B22E" w:rsidR="006A6675" w:rsidRPr="00AC356B" w:rsidRDefault="006A6675" w:rsidP="00A279EC">
      <w:pPr>
        <w:spacing w:after="120"/>
        <w:rPr>
          <w:color w:val="000000" w:themeColor="text1"/>
        </w:rPr>
      </w:pPr>
      <w:r w:rsidRPr="00AC356B">
        <w:rPr>
          <w:color w:val="000000" w:themeColor="text1"/>
        </w:rPr>
        <w:t xml:space="preserve">The Package was designed with two key objectives: </w:t>
      </w:r>
    </w:p>
    <w:p w14:paraId="3D0274DD" w14:textId="77777777" w:rsidR="006A6675" w:rsidRPr="00AC356B" w:rsidRDefault="006A6675" w:rsidP="006A6675">
      <w:pPr>
        <w:pStyle w:val="ListParagraph"/>
        <w:numPr>
          <w:ilvl w:val="0"/>
          <w:numId w:val="14"/>
        </w:numPr>
        <w:spacing w:after="120"/>
        <w:rPr>
          <w:color w:val="000000" w:themeColor="text1"/>
          <w:lang w:val="en-AU"/>
        </w:rPr>
      </w:pPr>
      <w:r w:rsidRPr="00AC356B">
        <w:rPr>
          <w:color w:val="000000" w:themeColor="text1"/>
          <w:lang w:val="en-AU"/>
        </w:rPr>
        <w:t xml:space="preserve">Vulnerable people in Iraq affected by the crisis receive inclusive humanitarian assistance and have greater access to protection services; and </w:t>
      </w:r>
    </w:p>
    <w:p w14:paraId="224A0499" w14:textId="537FC769" w:rsidR="006A6675" w:rsidRPr="00AC356B" w:rsidRDefault="006A6675" w:rsidP="006A6675">
      <w:pPr>
        <w:pStyle w:val="ListParagraph"/>
        <w:numPr>
          <w:ilvl w:val="0"/>
          <w:numId w:val="14"/>
        </w:numPr>
        <w:spacing w:after="120"/>
        <w:rPr>
          <w:color w:val="000000" w:themeColor="text1"/>
          <w:lang w:val="en-AU"/>
        </w:rPr>
      </w:pPr>
      <w:r w:rsidRPr="00AC356B">
        <w:rPr>
          <w:color w:val="000000" w:themeColor="text1"/>
          <w:lang w:val="en-AU"/>
        </w:rPr>
        <w:t>Institutions, infrastructure and social conditions</w:t>
      </w:r>
      <w:r w:rsidR="007A583C" w:rsidRPr="00AC356B">
        <w:rPr>
          <w:color w:val="000000" w:themeColor="text1"/>
          <w:lang w:val="en-AU"/>
        </w:rPr>
        <w:t xml:space="preserve"> are</w:t>
      </w:r>
      <w:r w:rsidRPr="00AC356B">
        <w:rPr>
          <w:color w:val="000000" w:themeColor="text1"/>
          <w:lang w:val="en-AU"/>
        </w:rPr>
        <w:t xml:space="preserve"> improved for conflict affected populations to recover and build resilience in a stable environment. </w:t>
      </w:r>
    </w:p>
    <w:p w14:paraId="524A52D2" w14:textId="13375EF1" w:rsidR="003A2C06" w:rsidRPr="00AC356B" w:rsidRDefault="007A583C" w:rsidP="00A279EC">
      <w:pPr>
        <w:spacing w:after="120"/>
        <w:rPr>
          <w:color w:val="000000" w:themeColor="text1"/>
        </w:rPr>
      </w:pPr>
      <w:r w:rsidRPr="00AC356B">
        <w:rPr>
          <w:color w:val="000000" w:themeColor="text1"/>
        </w:rPr>
        <w:t>T</w:t>
      </w:r>
      <w:r w:rsidR="006A6675" w:rsidRPr="00AC356B">
        <w:rPr>
          <w:color w:val="000000" w:themeColor="text1"/>
        </w:rPr>
        <w:t xml:space="preserve">he thematic priorities of the Australian </w:t>
      </w:r>
      <w:r w:rsidR="003954B0" w:rsidRPr="00AC356B">
        <w:rPr>
          <w:color w:val="000000" w:themeColor="text1"/>
        </w:rPr>
        <w:t>humanitarian</w:t>
      </w:r>
      <w:r w:rsidR="006A6675" w:rsidRPr="00AC356B">
        <w:rPr>
          <w:color w:val="000000" w:themeColor="text1"/>
        </w:rPr>
        <w:t xml:space="preserve"> program – disability, protection and gender equality – were mainstreamed across all partners</w:t>
      </w:r>
      <w:r w:rsidR="00FE6353" w:rsidRPr="00AC356B">
        <w:rPr>
          <w:color w:val="000000" w:themeColor="text1"/>
        </w:rPr>
        <w:t>’</w:t>
      </w:r>
      <w:r w:rsidR="006A6675" w:rsidRPr="00AC356B">
        <w:rPr>
          <w:color w:val="000000" w:themeColor="text1"/>
        </w:rPr>
        <w:t xml:space="preserve"> activities. </w:t>
      </w:r>
      <w:r w:rsidR="00091C1E" w:rsidRPr="00AC356B">
        <w:rPr>
          <w:color w:val="000000" w:themeColor="text1"/>
        </w:rPr>
        <w:t xml:space="preserve">The package </w:t>
      </w:r>
      <w:r w:rsidR="0095087B" w:rsidRPr="00AC356B">
        <w:rPr>
          <w:color w:val="000000" w:themeColor="text1"/>
        </w:rPr>
        <w:t>started</w:t>
      </w:r>
      <w:r w:rsidR="00091C1E" w:rsidRPr="00AC356B">
        <w:rPr>
          <w:color w:val="000000" w:themeColor="text1"/>
        </w:rPr>
        <w:t xml:space="preserve"> in April 2018. </w:t>
      </w:r>
    </w:p>
    <w:p w14:paraId="162BD3FF" w14:textId="2E879406" w:rsidR="00C16A30" w:rsidRPr="00AC356B" w:rsidRDefault="00F47305" w:rsidP="00A279EC">
      <w:pPr>
        <w:spacing w:after="120"/>
        <w:rPr>
          <w:color w:val="000000" w:themeColor="text1"/>
        </w:rPr>
      </w:pPr>
      <w:r w:rsidRPr="00AC356B">
        <w:rPr>
          <w:rFonts w:cstheme="minorHAnsi"/>
          <w:color w:val="000000" w:themeColor="text1"/>
          <w:lang w:val="en-AU"/>
        </w:rPr>
        <w:t>The multi</w:t>
      </w:r>
      <w:r w:rsidR="00993BE0" w:rsidRPr="00AC356B">
        <w:rPr>
          <w:rFonts w:cstheme="minorHAnsi"/>
          <w:color w:val="000000" w:themeColor="text1"/>
          <w:lang w:val="en-AU"/>
        </w:rPr>
        <w:t>-</w:t>
      </w:r>
      <w:r w:rsidRPr="00AC356B">
        <w:rPr>
          <w:rFonts w:cstheme="minorHAnsi"/>
          <w:color w:val="000000" w:themeColor="text1"/>
          <w:lang w:val="en-AU"/>
        </w:rPr>
        <w:t xml:space="preserve">year </w:t>
      </w:r>
      <w:r w:rsidR="00C16A30" w:rsidRPr="00AC356B">
        <w:rPr>
          <w:rFonts w:cstheme="minorHAnsi"/>
          <w:color w:val="000000" w:themeColor="text1"/>
          <w:lang w:val="en-AU"/>
        </w:rPr>
        <w:t>approach</w:t>
      </w:r>
      <w:r w:rsidR="006A6675" w:rsidRPr="00AC356B">
        <w:rPr>
          <w:rFonts w:cstheme="minorHAnsi"/>
          <w:color w:val="000000" w:themeColor="text1"/>
          <w:lang w:val="en-AU"/>
        </w:rPr>
        <w:t xml:space="preserve"> </w:t>
      </w:r>
      <w:r w:rsidR="00C16A30" w:rsidRPr="00AC356B">
        <w:rPr>
          <w:rFonts w:cstheme="minorHAnsi"/>
          <w:color w:val="000000" w:themeColor="text1"/>
          <w:lang w:val="en-AU"/>
        </w:rPr>
        <w:t xml:space="preserve">was </w:t>
      </w:r>
      <w:r w:rsidR="006A6675" w:rsidRPr="00AC356B">
        <w:rPr>
          <w:rFonts w:cstheme="minorHAnsi"/>
          <w:color w:val="000000" w:themeColor="text1"/>
          <w:lang w:val="en-AU"/>
        </w:rPr>
        <w:t xml:space="preserve">a </w:t>
      </w:r>
      <w:r w:rsidR="00C16A30" w:rsidRPr="00AC356B">
        <w:rPr>
          <w:rFonts w:cstheme="minorHAnsi"/>
          <w:color w:val="000000" w:themeColor="text1"/>
          <w:lang w:val="en-AU"/>
        </w:rPr>
        <w:t xml:space="preserve">recommendation of the </w:t>
      </w:r>
      <w:bookmarkStart w:id="0" w:name="_Hlk9496638"/>
      <w:r w:rsidRPr="00AC356B">
        <w:rPr>
          <w:color w:val="000000" w:themeColor="text1"/>
        </w:rPr>
        <w:t xml:space="preserve">Office of Development Effectiveness (ODE) </w:t>
      </w:r>
      <w:bookmarkEnd w:id="0"/>
      <w:r w:rsidR="006A6675" w:rsidRPr="00AC356B">
        <w:rPr>
          <w:color w:val="000000" w:themeColor="text1"/>
        </w:rPr>
        <w:t xml:space="preserve">2014 </w:t>
      </w:r>
      <w:r w:rsidRPr="00AC356B">
        <w:rPr>
          <w:color w:val="000000" w:themeColor="text1"/>
        </w:rPr>
        <w:t>evaluation</w:t>
      </w:r>
      <w:r w:rsidR="006D1FA6" w:rsidRPr="00AC356B">
        <w:rPr>
          <w:color w:val="000000" w:themeColor="text1"/>
        </w:rPr>
        <w:t xml:space="preserve"> of Australia’s response to the </w:t>
      </w:r>
      <w:r w:rsidR="006A6675" w:rsidRPr="00AC356B">
        <w:rPr>
          <w:color w:val="000000" w:themeColor="text1"/>
        </w:rPr>
        <w:t xml:space="preserve">regional </w:t>
      </w:r>
      <w:r w:rsidR="006D1FA6" w:rsidRPr="00AC356B">
        <w:rPr>
          <w:color w:val="000000" w:themeColor="text1"/>
        </w:rPr>
        <w:t xml:space="preserve">Syria </w:t>
      </w:r>
      <w:r w:rsidR="006A6675" w:rsidRPr="00AC356B">
        <w:rPr>
          <w:color w:val="000000" w:themeColor="text1"/>
        </w:rPr>
        <w:t>crisis</w:t>
      </w:r>
      <w:r w:rsidR="00C16A30" w:rsidRPr="00AC356B">
        <w:rPr>
          <w:color w:val="000000" w:themeColor="text1"/>
        </w:rPr>
        <w:t xml:space="preserve">. </w:t>
      </w:r>
      <w:r w:rsidR="006A6675" w:rsidRPr="00AC356B">
        <w:rPr>
          <w:color w:val="000000" w:themeColor="text1"/>
        </w:rPr>
        <w:t>This approach</w:t>
      </w:r>
      <w:r w:rsidR="006A0313" w:rsidRPr="00AC356B">
        <w:rPr>
          <w:color w:val="000000" w:themeColor="text1"/>
        </w:rPr>
        <w:t xml:space="preserve"> </w:t>
      </w:r>
      <w:r w:rsidR="00C16A30" w:rsidRPr="00AC356B">
        <w:rPr>
          <w:color w:val="000000" w:themeColor="text1"/>
        </w:rPr>
        <w:t xml:space="preserve">also supported Australia’s </w:t>
      </w:r>
      <w:r w:rsidR="006A6675" w:rsidRPr="00AC356B">
        <w:rPr>
          <w:color w:val="000000" w:themeColor="text1"/>
        </w:rPr>
        <w:t xml:space="preserve">2016 World Humanitarian Summit </w:t>
      </w:r>
      <w:r w:rsidR="00C16A30" w:rsidRPr="00AC356B">
        <w:rPr>
          <w:color w:val="000000" w:themeColor="text1"/>
        </w:rPr>
        <w:t>reform commitments</w:t>
      </w:r>
      <w:r w:rsidR="006A6675" w:rsidRPr="00AC356B">
        <w:rPr>
          <w:color w:val="000000" w:themeColor="text1"/>
        </w:rPr>
        <w:t xml:space="preserve"> to multi</w:t>
      </w:r>
      <w:r w:rsidR="00993BE0" w:rsidRPr="00AC356B">
        <w:rPr>
          <w:color w:val="000000" w:themeColor="text1"/>
        </w:rPr>
        <w:t>-</w:t>
      </w:r>
      <w:r w:rsidR="006A6675" w:rsidRPr="00AC356B">
        <w:rPr>
          <w:color w:val="000000" w:themeColor="text1"/>
        </w:rPr>
        <w:t>year funding, greater localisation, provi</w:t>
      </w:r>
      <w:r w:rsidR="00993BE0" w:rsidRPr="00AC356B">
        <w:rPr>
          <w:color w:val="000000" w:themeColor="text1"/>
        </w:rPr>
        <w:t>ding</w:t>
      </w:r>
      <w:r w:rsidR="006A6675" w:rsidRPr="00AC356B">
        <w:rPr>
          <w:color w:val="000000" w:themeColor="text1"/>
        </w:rPr>
        <w:t xml:space="preserve"> unearmarked funding, and </w:t>
      </w:r>
      <w:r w:rsidR="006A0313" w:rsidRPr="00AC356B">
        <w:rPr>
          <w:color w:val="000000" w:themeColor="text1"/>
        </w:rPr>
        <w:t>addressing the immediate and longer-term needs of affected population</w:t>
      </w:r>
      <w:r w:rsidR="0095087B" w:rsidRPr="00AC356B">
        <w:rPr>
          <w:color w:val="000000" w:themeColor="text1"/>
        </w:rPr>
        <w:t>s</w:t>
      </w:r>
      <w:r w:rsidR="00107F72" w:rsidRPr="00AC356B">
        <w:rPr>
          <w:color w:val="000000" w:themeColor="text1"/>
        </w:rPr>
        <w:t xml:space="preserve"> (the Grand Bargain)</w:t>
      </w:r>
      <w:r w:rsidR="00C16A30" w:rsidRPr="00AC356B">
        <w:rPr>
          <w:color w:val="000000" w:themeColor="text1"/>
        </w:rPr>
        <w:t>.</w:t>
      </w:r>
    </w:p>
    <w:p w14:paraId="21E4D1D6" w14:textId="1C87F1E7" w:rsidR="00284E84" w:rsidRPr="00AC356B" w:rsidRDefault="004B3E8B">
      <w:pPr>
        <w:spacing w:after="120"/>
        <w:rPr>
          <w:color w:val="000000" w:themeColor="text1"/>
          <w:lang w:val="en-AU"/>
        </w:rPr>
      </w:pPr>
      <w:r w:rsidRPr="00AC356B">
        <w:rPr>
          <w:color w:val="000000" w:themeColor="text1"/>
        </w:rPr>
        <w:t xml:space="preserve">Since 2014, Australia has provided more than $180 million in response to the humanitarian and stabilisation crises in Iraq. </w:t>
      </w:r>
      <w:r w:rsidR="003607E2" w:rsidRPr="00AC356B">
        <w:rPr>
          <w:color w:val="000000" w:themeColor="text1"/>
          <w:lang w:val="en-AU"/>
        </w:rPr>
        <w:t>Australia’s contribution is commensurate with our status as a mid</w:t>
      </w:r>
      <w:r w:rsidR="003607E2" w:rsidRPr="00AC356B">
        <w:rPr>
          <w:color w:val="000000" w:themeColor="text1"/>
          <w:lang w:val="en-AU"/>
        </w:rPr>
        <w:noBreakHyphen/>
        <w:t>sized donor with a</w:t>
      </w:r>
      <w:r w:rsidR="00993BE0" w:rsidRPr="00AC356B">
        <w:rPr>
          <w:color w:val="000000" w:themeColor="text1"/>
          <w:lang w:val="en-AU"/>
        </w:rPr>
        <w:t xml:space="preserve"> development</w:t>
      </w:r>
      <w:r w:rsidR="003607E2" w:rsidRPr="00AC356B">
        <w:rPr>
          <w:color w:val="000000" w:themeColor="text1"/>
          <w:lang w:val="en-AU"/>
        </w:rPr>
        <w:t xml:space="preserve"> program primarily focused on the Indo-Pacific.</w:t>
      </w:r>
    </w:p>
    <w:p w14:paraId="2A709768" w14:textId="25F6B247" w:rsidR="00C85FEC" w:rsidRPr="00F74A0E" w:rsidRDefault="00477C01" w:rsidP="00F74A0E">
      <w:pPr>
        <w:pStyle w:val="Style2"/>
        <w:rPr>
          <w:rStyle w:val="Strong"/>
          <w:b/>
          <w:bCs w:val="0"/>
          <w:u w:val="single"/>
        </w:rPr>
      </w:pPr>
      <w:r w:rsidRPr="00F74A0E">
        <w:rPr>
          <w:rStyle w:val="Strong"/>
          <w:b/>
          <w:bCs w:val="0"/>
          <w:u w:val="single"/>
        </w:rPr>
        <w:t>Review</w:t>
      </w:r>
      <w:r w:rsidR="00C85FEC" w:rsidRPr="00F74A0E">
        <w:rPr>
          <w:rStyle w:val="Strong"/>
          <w:b/>
          <w:bCs w:val="0"/>
          <w:u w:val="single"/>
        </w:rPr>
        <w:t xml:space="preserve"> </w:t>
      </w:r>
      <w:r w:rsidR="00A30C38" w:rsidRPr="00F74A0E">
        <w:rPr>
          <w:rStyle w:val="Strong"/>
          <w:b/>
          <w:bCs w:val="0"/>
          <w:u w:val="single"/>
        </w:rPr>
        <w:t>P</w:t>
      </w:r>
      <w:r w:rsidR="00C85FEC" w:rsidRPr="00F74A0E">
        <w:rPr>
          <w:rStyle w:val="Strong"/>
          <w:b/>
          <w:bCs w:val="0"/>
          <w:u w:val="single"/>
        </w:rPr>
        <w:t>urpose</w:t>
      </w:r>
    </w:p>
    <w:p w14:paraId="3C6D4C58" w14:textId="7ABF48BD" w:rsidR="00C85FEC" w:rsidRPr="00AC356B" w:rsidRDefault="00C85FEC" w:rsidP="002609D3">
      <w:pPr>
        <w:pStyle w:val="BodyText"/>
        <w:spacing w:after="120" w:line="240" w:lineRule="auto"/>
        <w:ind w:right="-82"/>
        <w:rPr>
          <w:rFonts w:cstheme="minorHAnsi"/>
          <w:color w:val="000000" w:themeColor="text1"/>
          <w:lang w:val="en-AU"/>
        </w:rPr>
      </w:pPr>
      <w:r w:rsidRPr="00AC356B">
        <w:rPr>
          <w:rFonts w:cstheme="minorHAnsi"/>
          <w:color w:val="000000" w:themeColor="text1"/>
          <w:lang w:val="en-AU"/>
        </w:rPr>
        <w:t xml:space="preserve">Through the </w:t>
      </w:r>
      <w:r w:rsidR="00477C01" w:rsidRPr="00AC356B">
        <w:rPr>
          <w:rFonts w:cstheme="minorHAnsi"/>
          <w:color w:val="000000" w:themeColor="text1"/>
          <w:lang w:val="en-AU"/>
        </w:rPr>
        <w:t>review</w:t>
      </w:r>
      <w:r w:rsidRPr="00AC356B">
        <w:rPr>
          <w:rFonts w:cstheme="minorHAnsi"/>
          <w:color w:val="000000" w:themeColor="text1"/>
          <w:lang w:val="en-AU"/>
        </w:rPr>
        <w:t xml:space="preserve">, </w:t>
      </w:r>
      <w:r w:rsidRPr="00AC356B">
        <w:rPr>
          <w:rFonts w:cstheme="minorHAnsi"/>
          <w:bCs/>
          <w:color w:val="000000" w:themeColor="text1"/>
          <w:lang w:val="en-AU"/>
        </w:rPr>
        <w:t>DFAT sought to:</w:t>
      </w:r>
    </w:p>
    <w:p w14:paraId="5B213B36" w14:textId="2657F5D9" w:rsidR="00477C01" w:rsidRPr="00AC356B" w:rsidRDefault="00477C01" w:rsidP="00477C01">
      <w:pPr>
        <w:pStyle w:val="ListParagraph"/>
        <w:numPr>
          <w:ilvl w:val="0"/>
          <w:numId w:val="12"/>
        </w:numPr>
        <w:suppressAutoHyphens w:val="0"/>
        <w:spacing w:before="0" w:after="0" w:line="240" w:lineRule="auto"/>
        <w:rPr>
          <w:color w:val="000000" w:themeColor="text1"/>
        </w:rPr>
      </w:pPr>
      <w:r w:rsidRPr="00AC356B">
        <w:rPr>
          <w:color w:val="000000" w:themeColor="text1"/>
        </w:rPr>
        <w:t xml:space="preserve">assess the relevance, effectiveness and efficiency of the package and make recommendations for future </w:t>
      </w:r>
      <w:proofErr w:type="gramStart"/>
      <w:r w:rsidRPr="00AC356B">
        <w:rPr>
          <w:color w:val="000000" w:themeColor="text1"/>
        </w:rPr>
        <w:t>programming;</w:t>
      </w:r>
      <w:proofErr w:type="gramEnd"/>
      <w:r w:rsidRPr="00AC356B">
        <w:rPr>
          <w:color w:val="000000" w:themeColor="text1"/>
        </w:rPr>
        <w:t xml:space="preserve"> </w:t>
      </w:r>
    </w:p>
    <w:p w14:paraId="24E96F25" w14:textId="4D308B0A" w:rsidR="00477C01" w:rsidRPr="00AC356B" w:rsidRDefault="00477C01" w:rsidP="00477C01">
      <w:pPr>
        <w:pStyle w:val="ListParagraph"/>
        <w:numPr>
          <w:ilvl w:val="0"/>
          <w:numId w:val="12"/>
        </w:numPr>
        <w:suppressAutoHyphens w:val="0"/>
        <w:spacing w:before="0" w:after="0" w:line="240" w:lineRule="auto"/>
        <w:rPr>
          <w:color w:val="000000" w:themeColor="text1"/>
        </w:rPr>
      </w:pPr>
      <w:r w:rsidRPr="00AC356B">
        <w:rPr>
          <w:color w:val="000000" w:themeColor="text1"/>
        </w:rPr>
        <w:t>assess the extent to which the Package meets the needs of those most vulnerable</w:t>
      </w:r>
      <w:r w:rsidR="0095087B" w:rsidRPr="00AC356B">
        <w:rPr>
          <w:color w:val="000000" w:themeColor="text1"/>
        </w:rPr>
        <w:t xml:space="preserve"> </w:t>
      </w:r>
      <w:r w:rsidRPr="00AC356B">
        <w:rPr>
          <w:color w:val="000000" w:themeColor="text1"/>
        </w:rPr>
        <w:t>and protects the safety, dignity and rights of affected people</w:t>
      </w:r>
      <w:r w:rsidR="009B3F23" w:rsidRPr="00AC356B">
        <w:rPr>
          <w:color w:val="000000" w:themeColor="text1"/>
        </w:rPr>
        <w:t xml:space="preserve"> (</w:t>
      </w:r>
      <w:r w:rsidR="0095087B" w:rsidRPr="00AC356B">
        <w:rPr>
          <w:color w:val="000000" w:themeColor="text1"/>
        </w:rPr>
        <w:t>with a particular focus on women and girls and people with a disability</w:t>
      </w:r>
      <w:proofErr w:type="gramStart"/>
      <w:r w:rsidR="009B3F23" w:rsidRPr="00AC356B">
        <w:rPr>
          <w:color w:val="000000" w:themeColor="text1"/>
        </w:rPr>
        <w:t>)</w:t>
      </w:r>
      <w:r w:rsidRPr="00AC356B">
        <w:rPr>
          <w:color w:val="000000" w:themeColor="text1"/>
        </w:rPr>
        <w:t>;</w:t>
      </w:r>
      <w:proofErr w:type="gramEnd"/>
    </w:p>
    <w:p w14:paraId="7AB187D3" w14:textId="5A52D4A6" w:rsidR="0095087B" w:rsidRPr="00AC356B" w:rsidRDefault="00477C01" w:rsidP="00477C01">
      <w:pPr>
        <w:pStyle w:val="ListParagraph"/>
        <w:numPr>
          <w:ilvl w:val="0"/>
          <w:numId w:val="12"/>
        </w:numPr>
        <w:suppressAutoHyphens w:val="0"/>
        <w:spacing w:before="0" w:after="0" w:line="240" w:lineRule="auto"/>
        <w:rPr>
          <w:color w:val="000000" w:themeColor="text1"/>
        </w:rPr>
      </w:pPr>
      <w:r w:rsidRPr="00AC356B">
        <w:rPr>
          <w:color w:val="000000" w:themeColor="text1"/>
        </w:rPr>
        <w:t xml:space="preserve">assess whether the Package was delivered in a way which reinforced local capacity and supported recovery, resilience and long-term </w:t>
      </w:r>
      <w:proofErr w:type="gramStart"/>
      <w:r w:rsidRPr="00AC356B">
        <w:rPr>
          <w:color w:val="000000" w:themeColor="text1"/>
        </w:rPr>
        <w:t>development;</w:t>
      </w:r>
      <w:proofErr w:type="gramEnd"/>
    </w:p>
    <w:p w14:paraId="32DF63CD" w14:textId="7475E76A" w:rsidR="00107F72" w:rsidRPr="00AC356B" w:rsidRDefault="00802FB4">
      <w:pPr>
        <w:pStyle w:val="ListParagraph"/>
        <w:numPr>
          <w:ilvl w:val="0"/>
          <w:numId w:val="12"/>
        </w:numPr>
        <w:suppressAutoHyphens w:val="0"/>
        <w:spacing w:before="0" w:after="0" w:line="240" w:lineRule="auto"/>
        <w:rPr>
          <w:color w:val="000000" w:themeColor="text1"/>
        </w:rPr>
      </w:pPr>
      <w:r w:rsidRPr="00AC356B">
        <w:rPr>
          <w:color w:val="000000" w:themeColor="text1"/>
        </w:rPr>
        <w:t xml:space="preserve">assess </w:t>
      </w:r>
      <w:r w:rsidR="00477C01" w:rsidRPr="00AC356B">
        <w:rPr>
          <w:color w:val="000000" w:themeColor="text1"/>
        </w:rPr>
        <w:t>the extent to which Australia’s approach was coordinated</w:t>
      </w:r>
      <w:r w:rsidR="003954B0" w:rsidRPr="00AC356B">
        <w:rPr>
          <w:color w:val="000000" w:themeColor="text1"/>
        </w:rPr>
        <w:t xml:space="preserve"> with</w:t>
      </w:r>
      <w:r w:rsidR="00477C01" w:rsidRPr="00AC356B">
        <w:rPr>
          <w:color w:val="000000" w:themeColor="text1"/>
        </w:rPr>
        <w:t xml:space="preserve"> and complementary to efforts of other actors, the extent to which Australia engaged with and influenced the international humanitarian system, and how the program contributes to Australia’s national interests.</w:t>
      </w:r>
    </w:p>
    <w:p w14:paraId="430DD210" w14:textId="063EB71F" w:rsidR="00E41245" w:rsidRPr="00AC356B" w:rsidRDefault="00E41245" w:rsidP="00E40992">
      <w:pPr>
        <w:rPr>
          <w:color w:val="000000" w:themeColor="text1"/>
          <w:highlight w:val="yellow"/>
        </w:rPr>
      </w:pPr>
    </w:p>
    <w:p w14:paraId="2F03CA13" w14:textId="77777777" w:rsidR="00E41245" w:rsidRPr="00AC356B" w:rsidRDefault="00E41245" w:rsidP="00E40992">
      <w:pPr>
        <w:rPr>
          <w:color w:val="000000" w:themeColor="text1"/>
          <w:highlight w:val="yellow"/>
        </w:rPr>
      </w:pPr>
    </w:p>
    <w:p w14:paraId="2998D10E" w14:textId="77777777" w:rsidR="00F47305" w:rsidRPr="00F74A0E" w:rsidRDefault="00F47305" w:rsidP="00F74A0E">
      <w:pPr>
        <w:pStyle w:val="Style2"/>
        <w:rPr>
          <w:rStyle w:val="Strong"/>
          <w:b/>
          <w:bCs w:val="0"/>
          <w:u w:val="single"/>
        </w:rPr>
      </w:pPr>
      <w:r w:rsidRPr="00F74A0E">
        <w:rPr>
          <w:rStyle w:val="Strong"/>
          <w:b/>
          <w:bCs w:val="0"/>
          <w:u w:val="single"/>
        </w:rPr>
        <w:t xml:space="preserve">Key </w:t>
      </w:r>
      <w:r w:rsidR="00A30C38" w:rsidRPr="00F74A0E">
        <w:rPr>
          <w:rStyle w:val="Strong"/>
          <w:b/>
          <w:bCs w:val="0"/>
          <w:u w:val="single"/>
        </w:rPr>
        <w:t>F</w:t>
      </w:r>
      <w:r w:rsidRPr="00F74A0E">
        <w:rPr>
          <w:rStyle w:val="Strong"/>
          <w:b/>
          <w:bCs w:val="0"/>
          <w:u w:val="single"/>
        </w:rPr>
        <w:t>indings</w:t>
      </w:r>
    </w:p>
    <w:p w14:paraId="18BE0CA4" w14:textId="315A38D5" w:rsidR="00B62B41" w:rsidRPr="00AC356B" w:rsidRDefault="00322A3F" w:rsidP="002609D3">
      <w:pPr>
        <w:spacing w:after="120"/>
        <w:rPr>
          <w:color w:val="000000" w:themeColor="text1"/>
          <w:lang w:val="en-AU"/>
        </w:rPr>
      </w:pPr>
      <w:r w:rsidRPr="00AC356B">
        <w:rPr>
          <w:color w:val="000000" w:themeColor="text1"/>
          <w:lang w:val="en-AU"/>
        </w:rPr>
        <w:t xml:space="preserve">The review found that the Iraq Package was appropriately conceived and effective in responding to a highly complex operating environment and cross section of needs. </w:t>
      </w:r>
    </w:p>
    <w:p w14:paraId="4ED0AC0C" w14:textId="4C671E5A" w:rsidR="00322A3F" w:rsidRPr="00AC356B" w:rsidRDefault="00B437BC" w:rsidP="00FF1E99">
      <w:pPr>
        <w:spacing w:after="120"/>
        <w:rPr>
          <w:color w:val="000000" w:themeColor="text1"/>
          <w:lang w:val="en-AU"/>
        </w:rPr>
      </w:pPr>
      <w:r w:rsidRPr="00AC356B">
        <w:rPr>
          <w:color w:val="000000" w:themeColor="text1"/>
          <w:lang w:val="en-AU"/>
        </w:rPr>
        <w:t xml:space="preserve">The Package has remained relevant due to </w:t>
      </w:r>
      <w:r w:rsidR="004B3E8B" w:rsidRPr="00AC356B">
        <w:rPr>
          <w:color w:val="000000" w:themeColor="text1"/>
          <w:lang w:val="en-AU"/>
        </w:rPr>
        <w:t xml:space="preserve">its </w:t>
      </w:r>
      <w:r w:rsidRPr="00AC356B">
        <w:rPr>
          <w:color w:val="000000" w:themeColor="text1"/>
          <w:lang w:val="en-AU"/>
        </w:rPr>
        <w:t>built-in flexibility to adapt to change and respond to emerging priorities</w:t>
      </w:r>
      <w:r w:rsidR="00527839" w:rsidRPr="00AC356B">
        <w:rPr>
          <w:color w:val="000000" w:themeColor="text1"/>
          <w:lang w:val="en-AU"/>
        </w:rPr>
        <w:t xml:space="preserve">. This capacity was used over the Package life to respond to social cohesion challenges, the sexual and reproductive health needs of Yazidis and Syrian refugees, and </w:t>
      </w:r>
      <w:r w:rsidRPr="00AC356B">
        <w:rPr>
          <w:color w:val="000000" w:themeColor="text1"/>
          <w:lang w:val="en-AU"/>
        </w:rPr>
        <w:t>urgent water and sanitation needs in Central and Southern Iraq.</w:t>
      </w:r>
    </w:p>
    <w:p w14:paraId="51103A83" w14:textId="78C24823" w:rsidR="00527839" w:rsidRPr="00AC356B" w:rsidRDefault="00527839" w:rsidP="002609D3">
      <w:pPr>
        <w:spacing w:after="120"/>
        <w:rPr>
          <w:color w:val="000000" w:themeColor="text1"/>
          <w:lang w:val="en-AU"/>
        </w:rPr>
      </w:pPr>
      <w:r w:rsidRPr="00AC356B">
        <w:rPr>
          <w:color w:val="000000" w:themeColor="text1"/>
          <w:lang w:val="en-AU"/>
        </w:rPr>
        <w:t>Working through trusted partners, the</w:t>
      </w:r>
      <w:r w:rsidR="00B437BC" w:rsidRPr="00AC356B">
        <w:rPr>
          <w:color w:val="000000" w:themeColor="text1"/>
          <w:lang w:val="en-AU"/>
        </w:rPr>
        <w:t xml:space="preserve"> Package delivered </w:t>
      </w:r>
      <w:r w:rsidR="005379F2" w:rsidRPr="00AC356B">
        <w:rPr>
          <w:color w:val="000000" w:themeColor="text1"/>
          <w:lang w:val="en-AU"/>
        </w:rPr>
        <w:t xml:space="preserve">strong </w:t>
      </w:r>
      <w:r w:rsidR="00B437BC" w:rsidRPr="00AC356B">
        <w:rPr>
          <w:color w:val="000000" w:themeColor="text1"/>
          <w:lang w:val="en-AU"/>
        </w:rPr>
        <w:t xml:space="preserve">results under </w:t>
      </w:r>
      <w:r w:rsidRPr="00AC356B">
        <w:rPr>
          <w:color w:val="000000" w:themeColor="text1"/>
          <w:lang w:val="en-AU"/>
        </w:rPr>
        <w:t xml:space="preserve">the </w:t>
      </w:r>
      <w:r w:rsidR="00B437BC" w:rsidRPr="00AC356B">
        <w:rPr>
          <w:color w:val="000000" w:themeColor="text1"/>
          <w:lang w:val="en-AU"/>
        </w:rPr>
        <w:t>humanitarian</w:t>
      </w:r>
      <w:r w:rsidRPr="00AC356B">
        <w:rPr>
          <w:color w:val="000000" w:themeColor="text1"/>
          <w:lang w:val="en-AU"/>
        </w:rPr>
        <w:t xml:space="preserve">, </w:t>
      </w:r>
      <w:r w:rsidR="00B437BC" w:rsidRPr="00AC356B">
        <w:rPr>
          <w:color w:val="000000" w:themeColor="text1"/>
          <w:lang w:val="en-AU"/>
        </w:rPr>
        <w:t>stabilisation</w:t>
      </w:r>
      <w:r w:rsidR="008E17BB" w:rsidRPr="00AC356B">
        <w:rPr>
          <w:color w:val="000000" w:themeColor="text1"/>
          <w:lang w:val="en-AU"/>
        </w:rPr>
        <w:t xml:space="preserve"> </w:t>
      </w:r>
      <w:r w:rsidRPr="00AC356B">
        <w:rPr>
          <w:color w:val="000000" w:themeColor="text1"/>
          <w:lang w:val="en-AU"/>
        </w:rPr>
        <w:t xml:space="preserve">and social cohesion </w:t>
      </w:r>
      <w:r w:rsidR="005379F2" w:rsidRPr="00AC356B">
        <w:rPr>
          <w:color w:val="000000" w:themeColor="text1"/>
          <w:lang w:val="en-AU"/>
        </w:rPr>
        <w:t>pillars</w:t>
      </w:r>
      <w:r w:rsidRPr="00AC356B">
        <w:rPr>
          <w:color w:val="000000" w:themeColor="text1"/>
          <w:lang w:val="en-AU"/>
        </w:rPr>
        <w:t>. Further,</w:t>
      </w:r>
      <w:r w:rsidR="005379F2" w:rsidRPr="00AC356B">
        <w:rPr>
          <w:color w:val="000000" w:themeColor="text1"/>
          <w:lang w:val="en-AU"/>
        </w:rPr>
        <w:t xml:space="preserve"> </w:t>
      </w:r>
      <w:r w:rsidRPr="00AC356B">
        <w:rPr>
          <w:color w:val="000000" w:themeColor="text1"/>
          <w:lang w:val="en-AU"/>
        </w:rPr>
        <w:t>s</w:t>
      </w:r>
      <w:r w:rsidR="005379F2" w:rsidRPr="00AC356B">
        <w:rPr>
          <w:color w:val="000000" w:themeColor="text1"/>
          <w:lang w:val="en-AU"/>
        </w:rPr>
        <w:t xml:space="preserve">ignificant progress was made on thematic priorities such as </w:t>
      </w:r>
      <w:r w:rsidR="00BB6EE4" w:rsidRPr="00AC356B">
        <w:rPr>
          <w:color w:val="000000" w:themeColor="text1"/>
          <w:lang w:val="en-AU"/>
        </w:rPr>
        <w:t>gender</w:t>
      </w:r>
      <w:r w:rsidR="008E17BB" w:rsidRPr="00AC356B">
        <w:rPr>
          <w:color w:val="000000" w:themeColor="text1"/>
          <w:lang w:val="en-AU"/>
        </w:rPr>
        <w:t xml:space="preserve"> and disability inclusion. </w:t>
      </w:r>
    </w:p>
    <w:p w14:paraId="055A0D0E" w14:textId="0039F97A" w:rsidR="00322A3F" w:rsidRPr="00AC356B" w:rsidRDefault="008E17BB" w:rsidP="002609D3">
      <w:pPr>
        <w:spacing w:after="120"/>
        <w:rPr>
          <w:color w:val="000000" w:themeColor="text1"/>
          <w:lang w:val="en-AU"/>
        </w:rPr>
      </w:pPr>
      <w:r w:rsidRPr="00AC356B">
        <w:rPr>
          <w:color w:val="000000" w:themeColor="text1"/>
          <w:lang w:val="en-AU"/>
        </w:rPr>
        <w:t>The review</w:t>
      </w:r>
      <w:r w:rsidR="00BB6EE4" w:rsidRPr="00AC356B">
        <w:rPr>
          <w:color w:val="000000" w:themeColor="text1"/>
          <w:lang w:val="en-AU"/>
        </w:rPr>
        <w:t xml:space="preserve"> </w:t>
      </w:r>
      <w:r w:rsidR="00527839" w:rsidRPr="00AC356B">
        <w:rPr>
          <w:color w:val="000000" w:themeColor="text1"/>
          <w:lang w:val="en-AU"/>
        </w:rPr>
        <w:t>highlighted the importance of integrating conflict analysis in any new package to ensure the package logic and design sustains its relevanc</w:t>
      </w:r>
      <w:r w:rsidR="0095087B" w:rsidRPr="00AC356B">
        <w:rPr>
          <w:color w:val="000000" w:themeColor="text1"/>
          <w:lang w:val="en-AU"/>
        </w:rPr>
        <w:t>e</w:t>
      </w:r>
      <w:r w:rsidR="00527839" w:rsidRPr="00AC356B">
        <w:rPr>
          <w:color w:val="000000" w:themeColor="text1"/>
          <w:lang w:val="en-AU"/>
        </w:rPr>
        <w:t xml:space="preserve">, and to improve alignment with </w:t>
      </w:r>
      <w:r w:rsidRPr="00AC356B">
        <w:rPr>
          <w:color w:val="000000" w:themeColor="text1"/>
          <w:lang w:val="en-AU"/>
        </w:rPr>
        <w:t>the Inter Agency Standing Committee (IASC) protection standards</w:t>
      </w:r>
      <w:r w:rsidR="00657D6F" w:rsidRPr="00AC356B">
        <w:rPr>
          <w:color w:val="000000" w:themeColor="text1"/>
          <w:lang w:val="en-AU"/>
        </w:rPr>
        <w:t xml:space="preserve">. </w:t>
      </w:r>
      <w:r w:rsidR="00527839" w:rsidRPr="00AC356B">
        <w:rPr>
          <w:color w:val="000000" w:themeColor="text1"/>
          <w:lang w:val="en-AU"/>
        </w:rPr>
        <w:t>The review also recommended t</w:t>
      </w:r>
      <w:r w:rsidR="00657D6F" w:rsidRPr="00AC356B">
        <w:rPr>
          <w:color w:val="000000" w:themeColor="text1"/>
          <w:lang w:val="en-AU"/>
        </w:rPr>
        <w:t xml:space="preserve">hird </w:t>
      </w:r>
      <w:r w:rsidR="00527839" w:rsidRPr="00AC356B">
        <w:rPr>
          <w:color w:val="000000" w:themeColor="text1"/>
          <w:lang w:val="en-AU"/>
        </w:rPr>
        <w:t>p</w:t>
      </w:r>
      <w:r w:rsidR="00657D6F" w:rsidRPr="00AC356B">
        <w:rPr>
          <w:color w:val="000000" w:themeColor="text1"/>
          <w:lang w:val="en-AU"/>
        </w:rPr>
        <w:t xml:space="preserve">arty </w:t>
      </w:r>
      <w:r w:rsidR="00527839" w:rsidRPr="00AC356B">
        <w:rPr>
          <w:color w:val="000000" w:themeColor="text1"/>
          <w:lang w:val="en-AU"/>
        </w:rPr>
        <w:t>m</w:t>
      </w:r>
      <w:r w:rsidR="00657D6F" w:rsidRPr="00AC356B">
        <w:rPr>
          <w:color w:val="000000" w:themeColor="text1"/>
          <w:lang w:val="en-AU"/>
        </w:rPr>
        <w:t xml:space="preserve">onitoring and improved methods of data collection </w:t>
      </w:r>
      <w:r w:rsidR="00527839" w:rsidRPr="00AC356B">
        <w:rPr>
          <w:color w:val="000000" w:themeColor="text1"/>
          <w:lang w:val="en-AU"/>
        </w:rPr>
        <w:t>to improve</w:t>
      </w:r>
      <w:r w:rsidR="00657D6F" w:rsidRPr="00AC356B">
        <w:rPr>
          <w:color w:val="000000" w:themeColor="text1"/>
          <w:lang w:val="en-AU"/>
        </w:rPr>
        <w:t xml:space="preserve"> </w:t>
      </w:r>
      <w:r w:rsidR="00527839" w:rsidRPr="00AC356B">
        <w:rPr>
          <w:color w:val="000000" w:themeColor="text1"/>
          <w:lang w:val="en-AU"/>
        </w:rPr>
        <w:t>a</w:t>
      </w:r>
      <w:r w:rsidR="00657D6F" w:rsidRPr="00AC356B">
        <w:rPr>
          <w:color w:val="000000" w:themeColor="text1"/>
          <w:lang w:val="en-AU"/>
        </w:rPr>
        <w:t xml:space="preserve">ccountability to </w:t>
      </w:r>
      <w:r w:rsidR="00527839" w:rsidRPr="00AC356B">
        <w:rPr>
          <w:color w:val="000000" w:themeColor="text1"/>
          <w:lang w:val="en-AU"/>
        </w:rPr>
        <w:t>a</w:t>
      </w:r>
      <w:r w:rsidR="00657D6F" w:rsidRPr="00AC356B">
        <w:rPr>
          <w:color w:val="000000" w:themeColor="text1"/>
          <w:lang w:val="en-AU"/>
        </w:rPr>
        <w:t xml:space="preserve">ffected </w:t>
      </w:r>
      <w:r w:rsidR="00527839" w:rsidRPr="00AC356B">
        <w:rPr>
          <w:color w:val="000000" w:themeColor="text1"/>
          <w:lang w:val="en-AU"/>
        </w:rPr>
        <w:t>p</w:t>
      </w:r>
      <w:r w:rsidR="00657D6F" w:rsidRPr="00AC356B">
        <w:rPr>
          <w:color w:val="000000" w:themeColor="text1"/>
          <w:lang w:val="en-AU"/>
        </w:rPr>
        <w:t>opulations</w:t>
      </w:r>
      <w:r w:rsidR="00527839" w:rsidRPr="00AC356B">
        <w:rPr>
          <w:color w:val="000000" w:themeColor="text1"/>
          <w:lang w:val="en-AU"/>
        </w:rPr>
        <w:t>.</w:t>
      </w:r>
    </w:p>
    <w:p w14:paraId="0DD6E6AF" w14:textId="3900FB54" w:rsidR="00C85FEC" w:rsidRPr="00F74A0E" w:rsidRDefault="00C85FEC" w:rsidP="00F74A0E">
      <w:pPr>
        <w:pStyle w:val="Style2"/>
        <w:rPr>
          <w:rStyle w:val="Strong"/>
          <w:b/>
          <w:bCs w:val="0"/>
          <w:u w:val="single"/>
        </w:rPr>
      </w:pPr>
      <w:r w:rsidRPr="00F74A0E">
        <w:rPr>
          <w:rStyle w:val="Strong"/>
          <w:b/>
          <w:bCs w:val="0"/>
          <w:u w:val="single"/>
        </w:rPr>
        <w:t xml:space="preserve">Reflections on the </w:t>
      </w:r>
      <w:r w:rsidR="008C2D90" w:rsidRPr="00F74A0E">
        <w:rPr>
          <w:rStyle w:val="Strong"/>
          <w:b/>
          <w:bCs w:val="0"/>
          <w:u w:val="single"/>
        </w:rPr>
        <w:t>Review</w:t>
      </w:r>
      <w:r w:rsidRPr="00F74A0E">
        <w:rPr>
          <w:rStyle w:val="Strong"/>
          <w:b/>
          <w:bCs w:val="0"/>
          <w:u w:val="single"/>
        </w:rPr>
        <w:t xml:space="preserve"> </w:t>
      </w:r>
    </w:p>
    <w:p w14:paraId="085C7FC6" w14:textId="1C07BAE4" w:rsidR="00C85FEC" w:rsidRPr="00AC356B" w:rsidRDefault="00C85FEC" w:rsidP="002609D3">
      <w:pPr>
        <w:pStyle w:val="BodyText"/>
        <w:spacing w:after="120" w:line="240" w:lineRule="auto"/>
        <w:ind w:right="-262"/>
        <w:rPr>
          <w:rFonts w:cstheme="minorHAnsi"/>
          <w:color w:val="000000" w:themeColor="text1"/>
          <w:lang w:val="en-AU"/>
        </w:rPr>
      </w:pPr>
      <w:r w:rsidRPr="00AC356B">
        <w:rPr>
          <w:rFonts w:cstheme="minorHAnsi"/>
          <w:color w:val="000000" w:themeColor="text1"/>
          <w:lang w:val="en-AU"/>
        </w:rPr>
        <w:t xml:space="preserve">DFAT thanks the </w:t>
      </w:r>
      <w:r w:rsidR="008C2D90" w:rsidRPr="00AC356B">
        <w:rPr>
          <w:rFonts w:cstheme="minorHAnsi"/>
          <w:color w:val="000000" w:themeColor="text1"/>
          <w:lang w:val="en-AU"/>
        </w:rPr>
        <w:t>review</w:t>
      </w:r>
      <w:r w:rsidR="004E29F2" w:rsidRPr="00AC356B">
        <w:rPr>
          <w:rFonts w:cstheme="minorHAnsi"/>
          <w:color w:val="000000" w:themeColor="text1"/>
          <w:lang w:val="en-AU"/>
        </w:rPr>
        <w:t xml:space="preserve"> team for the professionalism and expertise they brought to this</w:t>
      </w:r>
      <w:r w:rsidR="00EA658C" w:rsidRPr="00AC356B">
        <w:rPr>
          <w:rFonts w:cstheme="minorHAnsi"/>
          <w:color w:val="000000" w:themeColor="text1"/>
          <w:lang w:val="en-AU"/>
        </w:rPr>
        <w:t xml:space="preserve"> </w:t>
      </w:r>
      <w:r w:rsidR="009B3F23" w:rsidRPr="00AC356B">
        <w:rPr>
          <w:rFonts w:cstheme="minorHAnsi"/>
          <w:color w:val="000000" w:themeColor="text1"/>
          <w:lang w:val="en-AU"/>
        </w:rPr>
        <w:t>review</w:t>
      </w:r>
      <w:r w:rsidR="00EA658C" w:rsidRPr="00AC356B">
        <w:rPr>
          <w:rFonts w:cstheme="minorHAnsi"/>
          <w:color w:val="000000" w:themeColor="text1"/>
          <w:lang w:val="en-AU"/>
        </w:rPr>
        <w:t xml:space="preserve">. DFAT </w:t>
      </w:r>
      <w:r w:rsidR="00993BE0" w:rsidRPr="00AC356B">
        <w:rPr>
          <w:rFonts w:cstheme="minorHAnsi"/>
          <w:color w:val="000000" w:themeColor="text1"/>
          <w:lang w:val="en-AU"/>
        </w:rPr>
        <w:t xml:space="preserve">is grateful to all those who participated in consultations for sharing their insights. </w:t>
      </w:r>
      <w:r w:rsidR="00252550" w:rsidRPr="00AC356B">
        <w:rPr>
          <w:rFonts w:cstheme="minorHAnsi"/>
          <w:color w:val="000000" w:themeColor="text1"/>
          <w:lang w:val="en-AU"/>
        </w:rPr>
        <w:t xml:space="preserve">We appreciate the ongoing dedication of our implementing </w:t>
      </w:r>
      <w:r w:rsidR="00993BE0" w:rsidRPr="00AC356B">
        <w:rPr>
          <w:noProof/>
          <w:color w:val="000000" w:themeColor="text1"/>
        </w:rPr>
        <w:t xml:space="preserve">partners and the Humanitarian Advisory Group </w:t>
      </w:r>
      <w:r w:rsidR="00252550" w:rsidRPr="00AC356B">
        <w:rPr>
          <w:noProof/>
          <w:color w:val="000000" w:themeColor="text1"/>
        </w:rPr>
        <w:t xml:space="preserve">in </w:t>
      </w:r>
      <w:r w:rsidR="00993BE0" w:rsidRPr="00AC356B">
        <w:rPr>
          <w:noProof/>
          <w:color w:val="000000" w:themeColor="text1"/>
        </w:rPr>
        <w:t xml:space="preserve">delivering and supporting humanitarian efforts in Iraq, particularly in light of the </w:t>
      </w:r>
      <w:r w:rsidR="00252550" w:rsidRPr="00AC356B">
        <w:rPr>
          <w:noProof/>
          <w:color w:val="000000" w:themeColor="text1"/>
        </w:rPr>
        <w:t xml:space="preserve">heightened </w:t>
      </w:r>
      <w:r w:rsidR="00993BE0" w:rsidRPr="00AC356B">
        <w:rPr>
          <w:noProof/>
          <w:color w:val="000000" w:themeColor="text1"/>
        </w:rPr>
        <w:t>operating challenges in 2020.</w:t>
      </w:r>
      <w:r w:rsidR="00252550" w:rsidRPr="00AC356B">
        <w:rPr>
          <w:noProof/>
          <w:color w:val="000000" w:themeColor="text1"/>
        </w:rPr>
        <w:t xml:space="preserve"> </w:t>
      </w:r>
      <w:r w:rsidR="00B84848" w:rsidRPr="00AC356B">
        <w:rPr>
          <w:rFonts w:cstheme="minorHAnsi"/>
          <w:color w:val="000000" w:themeColor="text1"/>
          <w:lang w:val="en-AU"/>
        </w:rPr>
        <w:t>DFAT also recognises the limitations of a desk</w:t>
      </w:r>
      <w:r w:rsidR="006178B4" w:rsidRPr="00AC356B">
        <w:rPr>
          <w:rFonts w:cstheme="minorHAnsi"/>
          <w:color w:val="000000" w:themeColor="text1"/>
          <w:lang w:val="en-AU"/>
        </w:rPr>
        <w:t>top</w:t>
      </w:r>
      <w:r w:rsidR="00B84848" w:rsidRPr="00AC356B">
        <w:rPr>
          <w:rFonts w:cstheme="minorHAnsi"/>
          <w:color w:val="000000" w:themeColor="text1"/>
          <w:lang w:val="en-AU"/>
        </w:rPr>
        <w:t xml:space="preserve"> review and the absence of consultation with local communities and the Government of Iraq. </w:t>
      </w:r>
    </w:p>
    <w:p w14:paraId="37401A3A" w14:textId="58F08AC8" w:rsidR="0061121B" w:rsidRPr="00AC356B" w:rsidRDefault="0061121B" w:rsidP="00AA5F73">
      <w:pPr>
        <w:pStyle w:val="BodyText"/>
        <w:spacing w:after="120" w:line="240" w:lineRule="auto"/>
        <w:ind w:right="-262"/>
        <w:rPr>
          <w:rFonts w:cstheme="minorHAnsi"/>
          <w:color w:val="000000" w:themeColor="text1"/>
          <w:lang w:val="en-AU"/>
        </w:rPr>
      </w:pPr>
      <w:r w:rsidRPr="00AC356B">
        <w:rPr>
          <w:rFonts w:cstheme="minorHAnsi"/>
          <w:color w:val="000000" w:themeColor="text1"/>
          <w:lang w:val="en-AU"/>
        </w:rPr>
        <w:t>Australia has assisted 2.3 million people by responding to the humanitarian needs of Iraq’s most vulnerable conflict-affected populations and support</w:t>
      </w:r>
      <w:r w:rsidR="00AA5F73" w:rsidRPr="00AC356B">
        <w:rPr>
          <w:rFonts w:cstheme="minorHAnsi"/>
          <w:color w:val="000000" w:themeColor="text1"/>
          <w:lang w:val="en-AU"/>
        </w:rPr>
        <w:t>ed</w:t>
      </w:r>
      <w:r w:rsidRPr="00AC356B">
        <w:rPr>
          <w:rFonts w:cstheme="minorHAnsi"/>
          <w:color w:val="000000" w:themeColor="text1"/>
          <w:lang w:val="en-AU"/>
        </w:rPr>
        <w:t xml:space="preserve"> Iraqi communities on a path toward greater resilience, cohesion and stability. </w:t>
      </w:r>
    </w:p>
    <w:p w14:paraId="313AF62B" w14:textId="77777777" w:rsidR="0061121B" w:rsidRPr="00AC356B" w:rsidRDefault="0061121B" w:rsidP="0061121B">
      <w:pPr>
        <w:pStyle w:val="BodyText"/>
        <w:spacing w:after="120" w:line="240" w:lineRule="auto"/>
        <w:ind w:right="-262"/>
        <w:rPr>
          <w:rFonts w:cstheme="minorHAnsi"/>
          <w:color w:val="000000" w:themeColor="text1"/>
          <w:lang w:val="en-AU"/>
        </w:rPr>
      </w:pPr>
      <w:r w:rsidRPr="00AC356B">
        <w:rPr>
          <w:rFonts w:cstheme="minorHAnsi"/>
          <w:color w:val="000000" w:themeColor="text1"/>
          <w:lang w:val="en-AU"/>
        </w:rPr>
        <w:t>The review provides solid evidence demonstrating the effectiveness of implementing through trusted partners. It also highlights limitations of specific multilateral partner reporting efforts. Balancing our Grand Bargain Commitments for limited project specific reporting while ensuring our information needs are met is a key consideration for future monitoring and evaluation frameworks and partnership agreements.</w:t>
      </w:r>
    </w:p>
    <w:p w14:paraId="5F9E8B3F" w14:textId="7887F932" w:rsidR="004E29F2" w:rsidRPr="00AC356B" w:rsidRDefault="0061121B" w:rsidP="002609D3">
      <w:pPr>
        <w:pStyle w:val="BodyText"/>
        <w:spacing w:after="120" w:line="240" w:lineRule="auto"/>
        <w:ind w:right="-262"/>
        <w:rPr>
          <w:rFonts w:cstheme="minorHAnsi"/>
          <w:color w:val="000000" w:themeColor="text1"/>
          <w:lang w:val="en-AU"/>
        </w:rPr>
      </w:pPr>
      <w:r w:rsidRPr="00AC356B">
        <w:rPr>
          <w:rFonts w:cstheme="minorHAnsi"/>
          <w:color w:val="000000" w:themeColor="text1"/>
          <w:lang w:val="en-AU"/>
        </w:rPr>
        <w:t>The review offers useful recommendations on how DFAT can improve its monitoring and evaluation systems by integrating international standards such as IASC protection standards and considering third party monitoring.</w:t>
      </w:r>
      <w:r w:rsidR="00291680" w:rsidRPr="00AC356B">
        <w:rPr>
          <w:rFonts w:cstheme="minorHAnsi"/>
          <w:color w:val="000000" w:themeColor="text1"/>
          <w:lang w:val="en-AU"/>
        </w:rPr>
        <w:t xml:space="preserve"> </w:t>
      </w:r>
      <w:r w:rsidR="0095087B" w:rsidRPr="00AC356B">
        <w:rPr>
          <w:rFonts w:cstheme="minorHAnsi"/>
          <w:color w:val="000000" w:themeColor="text1"/>
          <w:lang w:val="en-AU"/>
        </w:rPr>
        <w:t>The</w:t>
      </w:r>
      <w:r w:rsidR="004E29F2" w:rsidRPr="00AC356B">
        <w:rPr>
          <w:rFonts w:cstheme="minorHAnsi"/>
          <w:color w:val="000000" w:themeColor="text1"/>
          <w:lang w:val="en-AU"/>
        </w:rPr>
        <w:t xml:space="preserve"> </w:t>
      </w:r>
      <w:r w:rsidR="00252550" w:rsidRPr="00AC356B">
        <w:rPr>
          <w:rFonts w:cstheme="minorHAnsi"/>
          <w:color w:val="000000" w:themeColor="text1"/>
          <w:lang w:val="en-AU"/>
        </w:rPr>
        <w:t>r</w:t>
      </w:r>
      <w:r w:rsidR="008C2D90" w:rsidRPr="00AC356B">
        <w:rPr>
          <w:rFonts w:cstheme="minorHAnsi"/>
          <w:color w:val="000000" w:themeColor="text1"/>
          <w:lang w:val="en-AU"/>
        </w:rPr>
        <w:t>eview</w:t>
      </w:r>
      <w:r w:rsidR="004E29F2" w:rsidRPr="00AC356B">
        <w:rPr>
          <w:rFonts w:cstheme="minorHAnsi"/>
          <w:color w:val="000000" w:themeColor="text1"/>
          <w:lang w:val="en-AU"/>
        </w:rPr>
        <w:t xml:space="preserve"> provides </w:t>
      </w:r>
      <w:r w:rsidR="00C50708" w:rsidRPr="00AC356B">
        <w:rPr>
          <w:rFonts w:cstheme="minorHAnsi"/>
          <w:color w:val="000000" w:themeColor="text1"/>
          <w:lang w:val="en-AU"/>
        </w:rPr>
        <w:t xml:space="preserve">informed </w:t>
      </w:r>
      <w:r w:rsidR="00B876C7" w:rsidRPr="00AC356B">
        <w:rPr>
          <w:rFonts w:cstheme="minorHAnsi"/>
          <w:color w:val="000000" w:themeColor="text1"/>
          <w:lang w:val="en-AU"/>
        </w:rPr>
        <w:t xml:space="preserve">findings </w:t>
      </w:r>
      <w:r w:rsidR="00C50708" w:rsidRPr="00AC356B">
        <w:rPr>
          <w:rFonts w:cstheme="minorHAnsi"/>
          <w:color w:val="000000" w:themeColor="text1"/>
          <w:lang w:val="en-AU"/>
        </w:rPr>
        <w:t xml:space="preserve">and </w:t>
      </w:r>
      <w:r w:rsidR="004E29F2" w:rsidRPr="00AC356B">
        <w:rPr>
          <w:rFonts w:cstheme="minorHAnsi"/>
          <w:color w:val="000000" w:themeColor="text1"/>
          <w:lang w:val="en-AU"/>
        </w:rPr>
        <w:t>well-considered</w:t>
      </w:r>
      <w:r w:rsidR="00C50708" w:rsidRPr="00AC356B">
        <w:rPr>
          <w:rFonts w:cstheme="minorHAnsi"/>
          <w:color w:val="000000" w:themeColor="text1"/>
          <w:lang w:val="en-AU"/>
        </w:rPr>
        <w:t xml:space="preserve"> recommendations for </w:t>
      </w:r>
      <w:r w:rsidR="0095087B" w:rsidRPr="00AC356B">
        <w:rPr>
          <w:rFonts w:cstheme="minorHAnsi"/>
          <w:color w:val="000000" w:themeColor="text1"/>
          <w:lang w:val="en-AU"/>
        </w:rPr>
        <w:t xml:space="preserve">Australia’s </w:t>
      </w:r>
      <w:r w:rsidR="00B876C7" w:rsidRPr="00AC356B">
        <w:rPr>
          <w:rFonts w:cstheme="minorHAnsi"/>
          <w:color w:val="000000" w:themeColor="text1"/>
          <w:lang w:val="en-AU"/>
        </w:rPr>
        <w:t xml:space="preserve">response to the </w:t>
      </w:r>
      <w:r w:rsidR="008C2D90" w:rsidRPr="00AC356B">
        <w:rPr>
          <w:rFonts w:cstheme="minorHAnsi"/>
          <w:color w:val="000000" w:themeColor="text1"/>
          <w:lang w:val="en-AU"/>
        </w:rPr>
        <w:t>Iraq</w:t>
      </w:r>
      <w:r w:rsidR="00B876C7" w:rsidRPr="00AC356B">
        <w:rPr>
          <w:rFonts w:cstheme="minorHAnsi"/>
          <w:color w:val="000000" w:themeColor="text1"/>
          <w:lang w:val="en-AU"/>
        </w:rPr>
        <w:t xml:space="preserve"> conflict</w:t>
      </w:r>
      <w:r w:rsidR="00B02561" w:rsidRPr="00AC356B">
        <w:rPr>
          <w:rFonts w:cstheme="minorHAnsi"/>
          <w:color w:val="000000" w:themeColor="text1"/>
          <w:lang w:val="en-AU"/>
        </w:rPr>
        <w:t xml:space="preserve"> and to humanitarian crises more broadly</w:t>
      </w:r>
      <w:r w:rsidR="00C50708" w:rsidRPr="00AC356B">
        <w:rPr>
          <w:rFonts w:cstheme="minorHAnsi"/>
          <w:color w:val="000000" w:themeColor="text1"/>
          <w:lang w:val="en-AU"/>
        </w:rPr>
        <w:t xml:space="preserve">. </w:t>
      </w:r>
      <w:r w:rsidR="00242347" w:rsidRPr="00AC356B">
        <w:rPr>
          <w:rFonts w:cstheme="minorHAnsi"/>
          <w:color w:val="000000" w:themeColor="text1"/>
          <w:lang w:val="en-AU"/>
        </w:rPr>
        <w:t xml:space="preserve">The </w:t>
      </w:r>
      <w:r w:rsidR="000936AB" w:rsidRPr="00AC356B">
        <w:rPr>
          <w:rFonts w:cstheme="minorHAnsi"/>
          <w:color w:val="000000" w:themeColor="text1"/>
          <w:lang w:val="en-AU"/>
        </w:rPr>
        <w:t>r</w:t>
      </w:r>
      <w:r w:rsidR="008C2D90" w:rsidRPr="00AC356B">
        <w:rPr>
          <w:rFonts w:cstheme="minorHAnsi"/>
          <w:color w:val="000000" w:themeColor="text1"/>
          <w:lang w:val="en-AU"/>
        </w:rPr>
        <w:t>eview</w:t>
      </w:r>
      <w:r w:rsidR="00242347" w:rsidRPr="00AC356B">
        <w:rPr>
          <w:rFonts w:cstheme="minorHAnsi"/>
          <w:color w:val="000000" w:themeColor="text1"/>
          <w:lang w:val="en-AU"/>
        </w:rPr>
        <w:t xml:space="preserve"> </w:t>
      </w:r>
      <w:r w:rsidR="008C2D90" w:rsidRPr="00AC356B">
        <w:rPr>
          <w:rFonts w:cstheme="minorHAnsi"/>
          <w:color w:val="000000" w:themeColor="text1"/>
          <w:lang w:val="en-AU"/>
        </w:rPr>
        <w:t>collates</w:t>
      </w:r>
      <w:r w:rsidR="006D4586" w:rsidRPr="00AC356B">
        <w:rPr>
          <w:rFonts w:cstheme="minorHAnsi"/>
          <w:color w:val="000000" w:themeColor="text1"/>
          <w:lang w:val="en-AU"/>
        </w:rPr>
        <w:t xml:space="preserve"> valuable evidence and captures lessons that will inform </w:t>
      </w:r>
      <w:r w:rsidR="00242347" w:rsidRPr="00AC356B">
        <w:rPr>
          <w:rFonts w:cstheme="minorHAnsi"/>
          <w:color w:val="000000" w:themeColor="text1"/>
          <w:lang w:val="en-AU"/>
        </w:rPr>
        <w:t>Australia’s policy and programmatic approach to protracted crises and our global humanitarian reform commitments.</w:t>
      </w:r>
    </w:p>
    <w:p w14:paraId="0FBE3961" w14:textId="6B2FA966" w:rsidR="009F0D5F" w:rsidRPr="00AC356B" w:rsidRDefault="009761DA" w:rsidP="002609D3">
      <w:pPr>
        <w:pStyle w:val="BodyText"/>
        <w:spacing w:after="120" w:line="240" w:lineRule="auto"/>
        <w:ind w:right="-262"/>
        <w:rPr>
          <w:rFonts w:cstheme="minorHAnsi"/>
          <w:color w:val="000000" w:themeColor="text1"/>
          <w:lang w:val="en-AU"/>
        </w:rPr>
      </w:pPr>
      <w:r w:rsidRPr="00AC356B">
        <w:rPr>
          <w:rFonts w:cstheme="minorHAnsi"/>
          <w:color w:val="000000" w:themeColor="text1"/>
          <w:lang w:val="en-AU"/>
        </w:rPr>
        <w:t>The review come</w:t>
      </w:r>
      <w:r w:rsidR="00904902" w:rsidRPr="00AC356B">
        <w:rPr>
          <w:rFonts w:cstheme="minorHAnsi"/>
          <w:color w:val="000000" w:themeColor="text1"/>
          <w:lang w:val="en-AU"/>
        </w:rPr>
        <w:t>s at an important juncture</w:t>
      </w:r>
      <w:r w:rsidR="008A6782" w:rsidRPr="00AC356B">
        <w:rPr>
          <w:rFonts w:cstheme="minorHAnsi"/>
          <w:color w:val="000000" w:themeColor="text1"/>
          <w:lang w:val="en-AU"/>
        </w:rPr>
        <w:t xml:space="preserve">. </w:t>
      </w:r>
      <w:r w:rsidR="00235560" w:rsidRPr="00AC356B">
        <w:rPr>
          <w:rFonts w:cstheme="minorHAnsi"/>
          <w:color w:val="000000" w:themeColor="text1"/>
          <w:lang w:val="en-AU"/>
        </w:rPr>
        <w:t>COVID-19</w:t>
      </w:r>
      <w:r w:rsidRPr="00AC356B">
        <w:rPr>
          <w:rFonts w:cstheme="minorHAnsi"/>
          <w:color w:val="000000" w:themeColor="text1"/>
          <w:lang w:val="en-AU"/>
        </w:rPr>
        <w:t xml:space="preserve"> is impacting aid priorities and all aspects of </w:t>
      </w:r>
      <w:r w:rsidR="00904902" w:rsidRPr="00AC356B">
        <w:rPr>
          <w:rFonts w:cstheme="minorHAnsi"/>
          <w:color w:val="000000" w:themeColor="text1"/>
          <w:lang w:val="en-AU"/>
        </w:rPr>
        <w:t>global humanitarian and stabilisation efforts</w:t>
      </w:r>
      <w:r w:rsidR="004D080C" w:rsidRPr="00AC356B">
        <w:rPr>
          <w:rFonts w:cstheme="minorHAnsi"/>
          <w:color w:val="000000" w:themeColor="text1"/>
          <w:lang w:val="en-AU"/>
        </w:rPr>
        <w:t xml:space="preserve">. </w:t>
      </w:r>
      <w:r w:rsidR="009B3F23" w:rsidRPr="00AC356B">
        <w:rPr>
          <w:rFonts w:cstheme="minorHAnsi"/>
          <w:color w:val="000000" w:themeColor="text1"/>
          <w:lang w:val="en-AU"/>
        </w:rPr>
        <w:t>In 2020, some of Australia’s</w:t>
      </w:r>
      <w:r w:rsidR="00107F72" w:rsidRPr="00AC356B">
        <w:rPr>
          <w:rFonts w:cstheme="minorHAnsi"/>
          <w:color w:val="000000" w:themeColor="text1"/>
          <w:lang w:val="en-AU"/>
        </w:rPr>
        <w:t xml:space="preserve"> partners </w:t>
      </w:r>
      <w:r w:rsidR="009B3F23" w:rsidRPr="00AC356B">
        <w:rPr>
          <w:rFonts w:cstheme="minorHAnsi"/>
          <w:color w:val="000000" w:themeColor="text1"/>
          <w:lang w:val="en-AU"/>
        </w:rPr>
        <w:t>adapted</w:t>
      </w:r>
      <w:r w:rsidR="00107F72" w:rsidRPr="00AC356B">
        <w:rPr>
          <w:rFonts w:cstheme="minorHAnsi"/>
          <w:color w:val="000000" w:themeColor="text1"/>
          <w:lang w:val="en-AU"/>
        </w:rPr>
        <w:t xml:space="preserve"> their activities to respond to the primary and secondary effects of</w:t>
      </w:r>
      <w:r w:rsidRPr="00AC356B">
        <w:rPr>
          <w:rFonts w:cstheme="minorHAnsi"/>
          <w:color w:val="000000" w:themeColor="text1"/>
          <w:lang w:val="en-AU"/>
        </w:rPr>
        <w:t xml:space="preserve"> </w:t>
      </w:r>
      <w:r w:rsidR="00235560" w:rsidRPr="00AC356B">
        <w:rPr>
          <w:rFonts w:cstheme="minorHAnsi"/>
          <w:color w:val="000000" w:themeColor="text1"/>
          <w:lang w:val="en-AU"/>
        </w:rPr>
        <w:t>COVID-19</w:t>
      </w:r>
      <w:r w:rsidR="009B3F23" w:rsidRPr="00AC356B">
        <w:rPr>
          <w:rFonts w:cstheme="minorHAnsi"/>
          <w:color w:val="000000" w:themeColor="text1"/>
          <w:lang w:val="en-AU"/>
        </w:rPr>
        <w:t xml:space="preserve"> in Iraq</w:t>
      </w:r>
      <w:r w:rsidR="00904902" w:rsidRPr="00AC356B">
        <w:rPr>
          <w:rFonts w:cstheme="minorHAnsi"/>
          <w:color w:val="000000" w:themeColor="text1"/>
          <w:lang w:val="en-AU"/>
        </w:rPr>
        <w:t>.</w:t>
      </w:r>
      <w:r w:rsidR="004D080C" w:rsidRPr="00AC356B">
        <w:rPr>
          <w:rFonts w:cstheme="minorHAnsi"/>
          <w:color w:val="000000" w:themeColor="text1"/>
          <w:lang w:val="en-AU"/>
        </w:rPr>
        <w:t xml:space="preserve"> </w:t>
      </w:r>
      <w:r w:rsidR="0095087B" w:rsidRPr="00AC356B">
        <w:rPr>
          <w:rFonts w:cstheme="minorHAnsi"/>
          <w:color w:val="000000" w:themeColor="text1"/>
          <w:lang w:val="en-AU"/>
        </w:rPr>
        <w:t>Australia’s</w:t>
      </w:r>
      <w:r w:rsidR="00107F72" w:rsidRPr="00AC356B">
        <w:rPr>
          <w:rFonts w:cstheme="minorHAnsi"/>
          <w:color w:val="000000" w:themeColor="text1"/>
          <w:lang w:val="en-AU"/>
        </w:rPr>
        <w:t xml:space="preserve"> </w:t>
      </w:r>
      <w:r w:rsidR="00235560" w:rsidRPr="00AC356B">
        <w:rPr>
          <w:rFonts w:cstheme="minorHAnsi"/>
          <w:color w:val="000000" w:themeColor="text1"/>
          <w:lang w:val="en-AU"/>
        </w:rPr>
        <w:t>COVID-19</w:t>
      </w:r>
      <w:r w:rsidR="00107F72" w:rsidRPr="00AC356B">
        <w:rPr>
          <w:rFonts w:cstheme="minorHAnsi"/>
          <w:color w:val="000000" w:themeColor="text1"/>
          <w:lang w:val="en-AU"/>
        </w:rPr>
        <w:t xml:space="preserve"> </w:t>
      </w:r>
      <w:r w:rsidR="00487CFD" w:rsidRPr="00AC356B">
        <w:rPr>
          <w:rFonts w:cstheme="minorHAnsi"/>
          <w:color w:val="000000" w:themeColor="text1"/>
          <w:lang w:val="en-AU"/>
        </w:rPr>
        <w:t>response</w:t>
      </w:r>
      <w:r w:rsidR="00107F72" w:rsidRPr="00AC356B">
        <w:rPr>
          <w:rFonts w:cstheme="minorHAnsi"/>
          <w:color w:val="000000" w:themeColor="text1"/>
          <w:lang w:val="en-AU"/>
        </w:rPr>
        <w:t xml:space="preserve"> is informed and guided by </w:t>
      </w:r>
      <w:r w:rsidR="009B3F23" w:rsidRPr="00AC356B">
        <w:rPr>
          <w:rFonts w:cstheme="minorHAnsi"/>
          <w:color w:val="000000" w:themeColor="text1"/>
          <w:lang w:val="en-AU"/>
        </w:rPr>
        <w:t xml:space="preserve">priorities outlined in </w:t>
      </w:r>
      <w:r w:rsidR="00904902" w:rsidRPr="00AC356B">
        <w:rPr>
          <w:rFonts w:cstheme="minorHAnsi"/>
          <w:i/>
          <w:iCs/>
          <w:color w:val="000000" w:themeColor="text1"/>
          <w:lang w:val="en-AU"/>
        </w:rPr>
        <w:t>Partnerships for Recovery</w:t>
      </w:r>
      <w:r w:rsidR="000936AB" w:rsidRPr="00AC356B">
        <w:rPr>
          <w:rFonts w:cstheme="minorHAnsi"/>
          <w:i/>
          <w:iCs/>
          <w:color w:val="000000" w:themeColor="text1"/>
          <w:lang w:val="en-AU"/>
        </w:rPr>
        <w:t xml:space="preserve">: </w:t>
      </w:r>
      <w:r w:rsidR="00904902" w:rsidRPr="00AC356B">
        <w:rPr>
          <w:rFonts w:cstheme="minorHAnsi"/>
          <w:i/>
          <w:iCs/>
          <w:color w:val="000000" w:themeColor="text1"/>
          <w:lang w:val="en-AU"/>
        </w:rPr>
        <w:t xml:space="preserve">Australia’s </w:t>
      </w:r>
      <w:r w:rsidR="00235560" w:rsidRPr="00AC356B">
        <w:rPr>
          <w:rFonts w:cstheme="minorHAnsi"/>
          <w:i/>
          <w:iCs/>
          <w:color w:val="000000" w:themeColor="text1"/>
          <w:lang w:val="en-AU"/>
        </w:rPr>
        <w:t>COVID-19</w:t>
      </w:r>
      <w:r w:rsidR="00904902" w:rsidRPr="00AC356B">
        <w:rPr>
          <w:rFonts w:cstheme="minorHAnsi"/>
          <w:i/>
          <w:iCs/>
          <w:color w:val="000000" w:themeColor="text1"/>
          <w:lang w:val="en-AU"/>
        </w:rPr>
        <w:t xml:space="preserve"> Development Response</w:t>
      </w:r>
      <w:r w:rsidR="00291680" w:rsidRPr="00AC356B">
        <w:rPr>
          <w:rFonts w:cstheme="minorHAnsi"/>
          <w:i/>
          <w:iCs/>
          <w:color w:val="000000" w:themeColor="text1"/>
          <w:lang w:val="en-AU"/>
        </w:rPr>
        <w:t xml:space="preserve">. </w:t>
      </w:r>
      <w:r w:rsidR="0095087B" w:rsidRPr="00AC356B">
        <w:rPr>
          <w:rFonts w:cstheme="minorHAnsi"/>
          <w:color w:val="000000" w:themeColor="text1"/>
          <w:lang w:val="en-AU"/>
        </w:rPr>
        <w:t>Australia’s</w:t>
      </w:r>
      <w:r w:rsidR="00107F72" w:rsidRPr="00AC356B">
        <w:rPr>
          <w:rFonts w:cstheme="minorHAnsi"/>
          <w:color w:val="000000" w:themeColor="text1"/>
          <w:lang w:val="en-AU"/>
        </w:rPr>
        <w:t xml:space="preserve"> focus on the Indo-Pacific and the </w:t>
      </w:r>
      <w:r w:rsidRPr="00AC356B">
        <w:rPr>
          <w:rFonts w:cstheme="minorHAnsi"/>
          <w:color w:val="000000" w:themeColor="text1"/>
          <w:lang w:val="en-AU"/>
        </w:rPr>
        <w:t xml:space="preserve">global pandemic </w:t>
      </w:r>
      <w:r w:rsidR="0095087B" w:rsidRPr="00AC356B">
        <w:rPr>
          <w:rFonts w:cstheme="minorHAnsi"/>
          <w:color w:val="000000" w:themeColor="text1"/>
          <w:lang w:val="en-AU"/>
        </w:rPr>
        <w:t xml:space="preserve">may constrain </w:t>
      </w:r>
      <w:r w:rsidR="00107F72" w:rsidRPr="00AC356B">
        <w:rPr>
          <w:rFonts w:cstheme="minorHAnsi"/>
          <w:color w:val="000000" w:themeColor="text1"/>
          <w:lang w:val="en-AU"/>
        </w:rPr>
        <w:t xml:space="preserve">DFAT’s </w:t>
      </w:r>
      <w:r w:rsidRPr="00AC356B">
        <w:rPr>
          <w:rFonts w:cstheme="minorHAnsi"/>
          <w:color w:val="000000" w:themeColor="text1"/>
          <w:lang w:val="en-AU"/>
        </w:rPr>
        <w:t>ability to address all the review</w:t>
      </w:r>
      <w:r w:rsidR="006178B4" w:rsidRPr="00AC356B">
        <w:rPr>
          <w:rFonts w:cstheme="minorHAnsi"/>
          <w:color w:val="000000" w:themeColor="text1"/>
          <w:lang w:val="en-AU"/>
        </w:rPr>
        <w:t>’</w:t>
      </w:r>
      <w:r w:rsidRPr="00AC356B">
        <w:rPr>
          <w:rFonts w:cstheme="minorHAnsi"/>
          <w:color w:val="000000" w:themeColor="text1"/>
          <w:lang w:val="en-AU"/>
        </w:rPr>
        <w:t>s recommendations</w:t>
      </w:r>
      <w:r w:rsidR="009F0D5F" w:rsidRPr="00AC356B">
        <w:rPr>
          <w:rFonts w:cstheme="minorHAnsi"/>
          <w:color w:val="000000" w:themeColor="text1"/>
          <w:lang w:val="en-AU"/>
        </w:rPr>
        <w:t xml:space="preserve"> in full.</w:t>
      </w:r>
      <w:r w:rsidRPr="00AC356B">
        <w:rPr>
          <w:rFonts w:cstheme="minorHAnsi"/>
          <w:color w:val="000000" w:themeColor="text1"/>
          <w:lang w:val="en-AU"/>
        </w:rPr>
        <w:t xml:space="preserve"> </w:t>
      </w:r>
    </w:p>
    <w:p w14:paraId="4657E325" w14:textId="77777777" w:rsidR="00C85FEC" w:rsidRPr="00AC356B" w:rsidRDefault="00C85FEC" w:rsidP="004022A0">
      <w:pPr>
        <w:pStyle w:val="Heading4"/>
        <w:spacing w:before="120" w:after="0" w:line="240" w:lineRule="auto"/>
        <w:contextualSpacing w:val="0"/>
        <w:rPr>
          <w:rFonts w:asciiTheme="minorHAnsi" w:hAnsiTheme="minorHAnsi" w:cstheme="minorHAnsi"/>
          <w:b/>
          <w:color w:val="000000" w:themeColor="text1"/>
          <w:u w:val="single"/>
          <w:lang w:val="en-AU"/>
        </w:rPr>
      </w:pPr>
      <w:r w:rsidRPr="00AC356B">
        <w:rPr>
          <w:rFonts w:asciiTheme="minorHAnsi" w:hAnsiTheme="minorHAnsi" w:cstheme="minorHAnsi"/>
          <w:b/>
          <w:color w:val="000000" w:themeColor="text1"/>
          <w:u w:val="single"/>
          <w:lang w:val="en-AU"/>
        </w:rPr>
        <w:t xml:space="preserve">DFAT’s </w:t>
      </w:r>
      <w:r w:rsidR="00A30C38" w:rsidRPr="00AC356B">
        <w:rPr>
          <w:rFonts w:asciiTheme="minorHAnsi" w:hAnsiTheme="minorHAnsi" w:cstheme="minorHAnsi"/>
          <w:b/>
          <w:color w:val="000000" w:themeColor="text1"/>
          <w:u w:val="single"/>
          <w:lang w:val="en-AU"/>
        </w:rPr>
        <w:t>A</w:t>
      </w:r>
      <w:r w:rsidRPr="00AC356B">
        <w:rPr>
          <w:rFonts w:asciiTheme="minorHAnsi" w:hAnsiTheme="minorHAnsi" w:cstheme="minorHAnsi"/>
          <w:b/>
          <w:color w:val="000000" w:themeColor="text1"/>
          <w:u w:val="single"/>
          <w:lang w:val="en-AU"/>
        </w:rPr>
        <w:t xml:space="preserve">ction </w:t>
      </w:r>
      <w:r w:rsidR="00A30C38" w:rsidRPr="00AC356B">
        <w:rPr>
          <w:rFonts w:asciiTheme="minorHAnsi" w:hAnsiTheme="minorHAnsi" w:cstheme="minorHAnsi"/>
          <w:b/>
          <w:color w:val="000000" w:themeColor="text1"/>
          <w:u w:val="single"/>
          <w:lang w:val="en-AU"/>
        </w:rPr>
        <w:t>P</w:t>
      </w:r>
      <w:r w:rsidRPr="00AC356B">
        <w:rPr>
          <w:rFonts w:asciiTheme="minorHAnsi" w:hAnsiTheme="minorHAnsi" w:cstheme="minorHAnsi"/>
          <w:b/>
          <w:color w:val="000000" w:themeColor="text1"/>
          <w:u w:val="single"/>
          <w:lang w:val="en-AU"/>
        </w:rPr>
        <w:t>lan</w:t>
      </w:r>
    </w:p>
    <w:p w14:paraId="09D0A1E3" w14:textId="1FD1EE4D" w:rsidR="008A6782" w:rsidRPr="00AC356B" w:rsidRDefault="00C85FEC" w:rsidP="00AA7B18">
      <w:pPr>
        <w:pStyle w:val="BodyText"/>
        <w:spacing w:after="120" w:line="240" w:lineRule="auto"/>
        <w:ind w:right="-262"/>
        <w:rPr>
          <w:rFonts w:cstheme="minorHAnsi"/>
          <w:color w:val="000000" w:themeColor="text1"/>
          <w:lang w:val="en-AU"/>
        </w:rPr>
      </w:pPr>
      <w:r w:rsidRPr="00AC356B">
        <w:rPr>
          <w:rFonts w:cstheme="minorHAnsi"/>
          <w:color w:val="000000" w:themeColor="text1"/>
          <w:lang w:val="en-AU"/>
        </w:rPr>
        <w:t xml:space="preserve">DFAT agrees with the evaluation’s </w:t>
      </w:r>
      <w:r w:rsidR="00D966AD" w:rsidRPr="00AC356B">
        <w:rPr>
          <w:rFonts w:cstheme="minorHAnsi"/>
          <w:color w:val="000000" w:themeColor="text1"/>
          <w:lang w:val="en-AU"/>
        </w:rPr>
        <w:t>five</w:t>
      </w:r>
      <w:r w:rsidRPr="00AC356B">
        <w:rPr>
          <w:rFonts w:cstheme="minorHAnsi"/>
          <w:color w:val="000000" w:themeColor="text1"/>
          <w:lang w:val="en-AU"/>
        </w:rPr>
        <w:t xml:space="preserve"> </w:t>
      </w:r>
      <w:r w:rsidR="00D966AD" w:rsidRPr="00AC356B">
        <w:rPr>
          <w:rFonts w:cstheme="minorHAnsi"/>
          <w:color w:val="000000" w:themeColor="text1"/>
          <w:lang w:val="en-AU"/>
        </w:rPr>
        <w:t>overarching</w:t>
      </w:r>
      <w:r w:rsidRPr="00AC356B">
        <w:rPr>
          <w:rFonts w:cstheme="minorHAnsi"/>
          <w:color w:val="000000" w:themeColor="text1"/>
          <w:lang w:val="en-AU"/>
        </w:rPr>
        <w:t xml:space="preserve"> recommendations in full or in part. Justification</w:t>
      </w:r>
      <w:r w:rsidR="00BE704C" w:rsidRPr="00AC356B">
        <w:rPr>
          <w:rFonts w:cstheme="minorHAnsi"/>
          <w:color w:val="000000" w:themeColor="text1"/>
          <w:lang w:val="en-AU"/>
        </w:rPr>
        <w:t>s</w:t>
      </w:r>
      <w:r w:rsidRPr="00AC356B">
        <w:rPr>
          <w:rFonts w:cstheme="minorHAnsi"/>
          <w:color w:val="000000" w:themeColor="text1"/>
          <w:lang w:val="en-AU"/>
        </w:rPr>
        <w:t xml:space="preserve"> for our responses are summarised in the following table. </w:t>
      </w:r>
      <w:r w:rsidR="00EA658C" w:rsidRPr="00AC356B">
        <w:rPr>
          <w:rFonts w:cstheme="minorHAnsi"/>
          <w:color w:val="000000" w:themeColor="text1"/>
          <w:lang w:val="en-AU"/>
        </w:rPr>
        <w:t>In developing the action plan</w:t>
      </w:r>
      <w:r w:rsidR="006A317C" w:rsidRPr="00AC356B">
        <w:rPr>
          <w:rFonts w:cstheme="minorHAnsi"/>
          <w:color w:val="000000" w:themeColor="text1"/>
          <w:lang w:val="en-AU"/>
        </w:rPr>
        <w:t>,</w:t>
      </w:r>
      <w:r w:rsidR="00EA658C" w:rsidRPr="00AC356B">
        <w:rPr>
          <w:rFonts w:cstheme="minorHAnsi"/>
          <w:color w:val="000000" w:themeColor="text1"/>
          <w:lang w:val="en-AU"/>
        </w:rPr>
        <w:t xml:space="preserve"> consideration was given to the</w:t>
      </w:r>
      <w:r w:rsidR="00B02561" w:rsidRPr="00AC356B">
        <w:rPr>
          <w:rFonts w:cstheme="minorHAnsi"/>
          <w:color w:val="000000" w:themeColor="text1"/>
          <w:lang w:val="en-AU"/>
        </w:rPr>
        <w:t xml:space="preserve"> COVID-19 context and shift in strategic priorities for the aid program outlined in the </w:t>
      </w:r>
      <w:hyperlink r:id="rId10" w:tooltip="Partnerships for Recovery: Australia’s COVID-19 Development Response" w:history="1">
        <w:r w:rsidR="000936AB" w:rsidRPr="00AC356B">
          <w:rPr>
            <w:rStyle w:val="Hyperlink"/>
            <w:rFonts w:cstheme="minorHAnsi"/>
            <w:i/>
            <w:iCs/>
            <w:color w:val="000000" w:themeColor="text1"/>
            <w:u w:val="none"/>
          </w:rPr>
          <w:t xml:space="preserve">Partnerships for Recovery: </w:t>
        </w:r>
        <w:r w:rsidR="000936AB" w:rsidRPr="00AC356B">
          <w:rPr>
            <w:rStyle w:val="Hyperlink"/>
            <w:rFonts w:cstheme="minorHAnsi"/>
            <w:i/>
            <w:iCs/>
            <w:color w:val="000000" w:themeColor="text1"/>
            <w:u w:val="none"/>
          </w:rPr>
          <w:lastRenderedPageBreak/>
          <w:t>Australia’s COVID-19 Development Response</w:t>
        </w:r>
      </w:hyperlink>
      <w:r w:rsidR="000936AB" w:rsidRPr="00AC356B">
        <w:rPr>
          <w:rFonts w:cstheme="minorHAnsi"/>
          <w:color w:val="000000" w:themeColor="text1"/>
        </w:rPr>
        <w:t>.</w:t>
      </w:r>
      <w:r w:rsidR="000936AB" w:rsidRPr="00AC356B">
        <w:rPr>
          <w:rFonts w:cstheme="minorHAnsi"/>
          <w:color w:val="000000" w:themeColor="text1"/>
          <w:lang w:val="en-AU"/>
        </w:rPr>
        <w:t xml:space="preserve"> We will seek to apply these actions both in our Iraq programs and in other protracted crisis programs, as appropriate.</w:t>
      </w:r>
    </w:p>
    <w:p w14:paraId="27DDB680" w14:textId="4AE5287E" w:rsidR="00BF29DE" w:rsidRPr="0061121B" w:rsidRDefault="00BF29DE" w:rsidP="00AA7B18">
      <w:pPr>
        <w:pStyle w:val="BodyText"/>
        <w:spacing w:after="120" w:line="240" w:lineRule="auto"/>
        <w:ind w:right="-262"/>
        <w:rPr>
          <w:rFonts w:cstheme="minorHAnsi"/>
          <w:lang w:val="en-AU"/>
        </w:rPr>
        <w:sectPr w:rsidR="00BF29DE" w:rsidRPr="0061121B" w:rsidSect="002609D3">
          <w:footerReference w:type="default" r:id="rId11"/>
          <w:headerReference w:type="first" r:id="rId12"/>
          <w:footerReference w:type="first" r:id="rId13"/>
          <w:pgSz w:w="11906" w:h="16838" w:code="9"/>
          <w:pgMar w:top="1135" w:right="1134" w:bottom="1418" w:left="1134" w:header="425" w:footer="493" w:gutter="0"/>
          <w:cols w:space="397"/>
          <w:titlePg/>
          <w:docGrid w:linePitch="360"/>
        </w:sectPr>
      </w:pPr>
    </w:p>
    <w:tbl>
      <w:tblPr>
        <w:tblStyle w:val="GridTable1Light-Accent1"/>
        <w:tblW w:w="15593" w:type="dxa"/>
        <w:tblLayout w:type="fixed"/>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106"/>
        <w:gridCol w:w="1042"/>
        <w:gridCol w:w="4775"/>
        <w:gridCol w:w="4394"/>
        <w:gridCol w:w="1276"/>
      </w:tblGrid>
      <w:tr w:rsidR="001C3056" w:rsidRPr="0061121B" w14:paraId="7A95054D" w14:textId="77777777" w:rsidTr="00984C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14:paraId="7FAF16C0" w14:textId="77777777" w:rsidR="00B70BFC" w:rsidRPr="0061121B" w:rsidRDefault="00B70BFC" w:rsidP="002609D3">
            <w:pPr>
              <w:pStyle w:val="BodyText"/>
              <w:spacing w:before="60"/>
              <w:rPr>
                <w:rFonts w:asciiTheme="majorHAnsi" w:hAnsiTheme="majorHAnsi"/>
                <w:b w:val="0"/>
                <w:spacing w:val="-2"/>
                <w:sz w:val="21"/>
                <w:szCs w:val="21"/>
              </w:rPr>
            </w:pPr>
            <w:r w:rsidRPr="0061121B">
              <w:rPr>
                <w:rFonts w:asciiTheme="majorHAnsi" w:hAnsiTheme="majorHAnsi"/>
                <w:spacing w:val="-2"/>
                <w:sz w:val="21"/>
                <w:szCs w:val="21"/>
              </w:rPr>
              <w:lastRenderedPageBreak/>
              <w:t>Recommendation</w:t>
            </w:r>
          </w:p>
        </w:tc>
        <w:tc>
          <w:tcPr>
            <w:tcW w:w="1042" w:type="dxa"/>
          </w:tcPr>
          <w:p w14:paraId="7B08C42C" w14:textId="77777777" w:rsidR="00B70BFC" w:rsidRPr="0061121B" w:rsidRDefault="00B70BFC" w:rsidP="002609D3">
            <w:pPr>
              <w:pStyle w:val="BodyText"/>
              <w:spacing w:before="60"/>
              <w:cnfStyle w:val="100000000000" w:firstRow="1" w:lastRow="0" w:firstColumn="0" w:lastColumn="0" w:oddVBand="0" w:evenVBand="0" w:oddHBand="0" w:evenHBand="0" w:firstRowFirstColumn="0" w:firstRowLastColumn="0" w:lastRowFirstColumn="0" w:lastRowLastColumn="0"/>
              <w:rPr>
                <w:rFonts w:asciiTheme="majorHAnsi" w:hAnsiTheme="majorHAnsi"/>
                <w:b w:val="0"/>
                <w:spacing w:val="-2"/>
                <w:sz w:val="21"/>
                <w:szCs w:val="21"/>
              </w:rPr>
            </w:pPr>
            <w:r w:rsidRPr="0061121B">
              <w:rPr>
                <w:rFonts w:asciiTheme="majorHAnsi" w:hAnsiTheme="majorHAnsi"/>
                <w:spacing w:val="-2"/>
                <w:sz w:val="21"/>
                <w:szCs w:val="21"/>
              </w:rPr>
              <w:t>Response</w:t>
            </w:r>
          </w:p>
        </w:tc>
        <w:tc>
          <w:tcPr>
            <w:tcW w:w="4775" w:type="dxa"/>
          </w:tcPr>
          <w:p w14:paraId="1A5AD914" w14:textId="77777777" w:rsidR="00B70BFC" w:rsidRPr="0061121B" w:rsidRDefault="00B70BFC" w:rsidP="002609D3">
            <w:pPr>
              <w:pStyle w:val="BodyText"/>
              <w:spacing w:before="60"/>
              <w:cnfStyle w:val="100000000000" w:firstRow="1" w:lastRow="0" w:firstColumn="0" w:lastColumn="0" w:oddVBand="0" w:evenVBand="0" w:oddHBand="0" w:evenHBand="0" w:firstRowFirstColumn="0" w:firstRowLastColumn="0" w:lastRowFirstColumn="0" w:lastRowLastColumn="0"/>
              <w:rPr>
                <w:rFonts w:asciiTheme="majorHAnsi" w:hAnsiTheme="majorHAnsi"/>
                <w:b w:val="0"/>
                <w:spacing w:val="-2"/>
                <w:sz w:val="21"/>
                <w:szCs w:val="21"/>
              </w:rPr>
            </w:pPr>
            <w:r w:rsidRPr="0061121B">
              <w:rPr>
                <w:rFonts w:asciiTheme="majorHAnsi" w:hAnsiTheme="majorHAnsi"/>
                <w:spacing w:val="-2"/>
                <w:sz w:val="21"/>
                <w:szCs w:val="21"/>
              </w:rPr>
              <w:t>Explanation</w:t>
            </w:r>
          </w:p>
        </w:tc>
        <w:tc>
          <w:tcPr>
            <w:tcW w:w="4394" w:type="dxa"/>
          </w:tcPr>
          <w:p w14:paraId="2A4688F1" w14:textId="77777777" w:rsidR="00B70BFC" w:rsidRPr="0061121B" w:rsidRDefault="00B70BFC" w:rsidP="002609D3">
            <w:pPr>
              <w:pStyle w:val="BodyText"/>
              <w:spacing w:before="60"/>
              <w:cnfStyle w:val="100000000000" w:firstRow="1" w:lastRow="0" w:firstColumn="0" w:lastColumn="0" w:oddVBand="0" w:evenVBand="0" w:oddHBand="0" w:evenHBand="0" w:firstRowFirstColumn="0" w:firstRowLastColumn="0" w:lastRowFirstColumn="0" w:lastRowLastColumn="0"/>
              <w:rPr>
                <w:rFonts w:asciiTheme="majorHAnsi" w:hAnsiTheme="majorHAnsi"/>
                <w:b w:val="0"/>
                <w:spacing w:val="-2"/>
                <w:sz w:val="21"/>
                <w:szCs w:val="21"/>
              </w:rPr>
            </w:pPr>
            <w:r w:rsidRPr="0061121B">
              <w:rPr>
                <w:rFonts w:asciiTheme="majorHAnsi" w:hAnsiTheme="majorHAnsi"/>
                <w:spacing w:val="-2"/>
                <w:sz w:val="21"/>
                <w:szCs w:val="21"/>
              </w:rPr>
              <w:t>Action Plan</w:t>
            </w:r>
          </w:p>
        </w:tc>
        <w:tc>
          <w:tcPr>
            <w:tcW w:w="1276" w:type="dxa"/>
          </w:tcPr>
          <w:p w14:paraId="6F0053A0" w14:textId="77777777" w:rsidR="00B70BFC" w:rsidRPr="0061121B" w:rsidRDefault="00B70BFC" w:rsidP="002609D3">
            <w:pPr>
              <w:pStyle w:val="BodyText"/>
              <w:spacing w:before="60"/>
              <w:cnfStyle w:val="100000000000" w:firstRow="1" w:lastRow="0" w:firstColumn="0" w:lastColumn="0" w:oddVBand="0" w:evenVBand="0" w:oddHBand="0" w:evenHBand="0" w:firstRowFirstColumn="0" w:firstRowLastColumn="0" w:lastRowFirstColumn="0" w:lastRowLastColumn="0"/>
              <w:rPr>
                <w:rFonts w:asciiTheme="majorHAnsi" w:hAnsiTheme="majorHAnsi"/>
                <w:b w:val="0"/>
                <w:spacing w:val="-2"/>
                <w:sz w:val="21"/>
                <w:szCs w:val="21"/>
              </w:rPr>
            </w:pPr>
            <w:r w:rsidRPr="0061121B">
              <w:rPr>
                <w:rFonts w:asciiTheme="majorHAnsi" w:hAnsiTheme="majorHAnsi"/>
                <w:spacing w:val="-2"/>
                <w:sz w:val="21"/>
                <w:szCs w:val="21"/>
              </w:rPr>
              <w:t>Timeframe</w:t>
            </w:r>
          </w:p>
        </w:tc>
      </w:tr>
      <w:tr w:rsidR="001C3056" w:rsidRPr="0061121B" w14:paraId="4A944EF1" w14:textId="77777777" w:rsidTr="00AC356B">
        <w:tc>
          <w:tcPr>
            <w:cnfStyle w:val="001000000000" w:firstRow="0" w:lastRow="0" w:firstColumn="1" w:lastColumn="0" w:oddVBand="0" w:evenVBand="0" w:oddHBand="0" w:evenHBand="0" w:firstRowFirstColumn="0" w:firstRowLastColumn="0" w:lastRowFirstColumn="0" w:lastRowLastColumn="0"/>
            <w:tcW w:w="4106" w:type="dxa"/>
          </w:tcPr>
          <w:p w14:paraId="41F955A1" w14:textId="77777777" w:rsidR="00F4752F" w:rsidRPr="0061121B" w:rsidRDefault="00F4752F" w:rsidP="002609D3">
            <w:pPr>
              <w:pStyle w:val="BodyText"/>
              <w:spacing w:before="60"/>
              <w:rPr>
                <w:rFonts w:asciiTheme="majorHAnsi" w:hAnsiTheme="majorHAnsi"/>
                <w:spacing w:val="-2"/>
                <w:sz w:val="21"/>
                <w:szCs w:val="21"/>
              </w:rPr>
            </w:pPr>
            <w:r w:rsidRPr="0061121B">
              <w:rPr>
                <w:rFonts w:asciiTheme="majorHAnsi" w:hAnsiTheme="majorHAnsi"/>
                <w:spacing w:val="-2"/>
                <w:sz w:val="21"/>
                <w:szCs w:val="21"/>
              </w:rPr>
              <w:t>Recommendation 1:</w:t>
            </w:r>
          </w:p>
          <w:p w14:paraId="21C159E5" w14:textId="3BD376AC" w:rsidR="000D69F9" w:rsidRPr="0061121B" w:rsidRDefault="000D69F9" w:rsidP="002609D3">
            <w:pPr>
              <w:pStyle w:val="BodyText"/>
              <w:spacing w:before="60"/>
              <w:rPr>
                <w:rFonts w:asciiTheme="majorHAnsi" w:hAnsiTheme="majorHAnsi"/>
                <w:spacing w:val="-2"/>
                <w:sz w:val="21"/>
                <w:szCs w:val="21"/>
              </w:rPr>
            </w:pPr>
            <w:r w:rsidRPr="0061121B">
              <w:rPr>
                <w:rFonts w:asciiTheme="majorHAnsi" w:hAnsiTheme="majorHAnsi"/>
                <w:spacing w:val="-2"/>
                <w:sz w:val="21"/>
                <w:szCs w:val="21"/>
              </w:rPr>
              <w:t>Maintain and strengthen an appropriate, relevant and effective package approach through diplomatic leadership and programming support</w:t>
            </w:r>
            <w:r w:rsidR="00CA6CEF" w:rsidRPr="0061121B">
              <w:rPr>
                <w:rFonts w:asciiTheme="majorHAnsi" w:hAnsiTheme="majorHAnsi"/>
                <w:spacing w:val="-2"/>
                <w:sz w:val="21"/>
                <w:szCs w:val="21"/>
              </w:rPr>
              <w:t xml:space="preserve"> for the following:</w:t>
            </w:r>
          </w:p>
          <w:p w14:paraId="504641AC" w14:textId="316C9A16" w:rsidR="00036315" w:rsidRPr="0061121B" w:rsidRDefault="00036315" w:rsidP="00E40992">
            <w:pPr>
              <w:pStyle w:val="BodyText"/>
              <w:numPr>
                <w:ilvl w:val="0"/>
                <w:numId w:val="15"/>
              </w:numPr>
              <w:spacing w:before="60"/>
              <w:rPr>
                <w:rFonts w:asciiTheme="majorHAnsi" w:hAnsiTheme="majorHAnsi"/>
                <w:spacing w:val="-2"/>
                <w:sz w:val="21"/>
                <w:szCs w:val="21"/>
              </w:rPr>
            </w:pPr>
            <w:r w:rsidRPr="0061121B">
              <w:rPr>
                <w:rFonts w:asciiTheme="majorHAnsi" w:hAnsiTheme="majorHAnsi"/>
                <w:spacing w:val="-2"/>
                <w:sz w:val="21"/>
                <w:szCs w:val="21"/>
              </w:rPr>
              <w:t>Advocate and maintain support for critical protection services</w:t>
            </w:r>
            <w:r w:rsidR="00E41245" w:rsidRPr="0061121B">
              <w:rPr>
                <w:rFonts w:asciiTheme="majorHAnsi" w:hAnsiTheme="majorHAnsi"/>
                <w:spacing w:val="-2"/>
                <w:sz w:val="21"/>
                <w:szCs w:val="21"/>
              </w:rPr>
              <w:t>.</w:t>
            </w:r>
            <w:r w:rsidRPr="0061121B" w:rsidDel="00036315">
              <w:rPr>
                <w:rFonts w:asciiTheme="majorHAnsi" w:hAnsiTheme="majorHAnsi"/>
                <w:spacing w:val="-2"/>
                <w:sz w:val="21"/>
                <w:szCs w:val="21"/>
              </w:rPr>
              <w:t xml:space="preserve"> </w:t>
            </w:r>
            <w:r w:rsidRPr="0061121B">
              <w:rPr>
                <w:rFonts w:asciiTheme="majorHAnsi" w:hAnsiTheme="majorHAnsi"/>
                <w:spacing w:val="-2"/>
                <w:sz w:val="21"/>
                <w:szCs w:val="21"/>
              </w:rPr>
              <w:t>Advocate and consider support for programming necessary to advance stabilisation objectives</w:t>
            </w:r>
          </w:p>
          <w:p w14:paraId="235965B8" w14:textId="3348F1FA" w:rsidR="00036315" w:rsidRPr="0061121B" w:rsidRDefault="00036315" w:rsidP="00E40992">
            <w:pPr>
              <w:pStyle w:val="BodyText"/>
              <w:numPr>
                <w:ilvl w:val="0"/>
                <w:numId w:val="15"/>
              </w:numPr>
              <w:spacing w:before="60"/>
              <w:rPr>
                <w:rFonts w:asciiTheme="majorHAnsi" w:hAnsiTheme="majorHAnsi"/>
                <w:spacing w:val="-2"/>
                <w:sz w:val="21"/>
                <w:szCs w:val="21"/>
              </w:rPr>
            </w:pPr>
            <w:r w:rsidRPr="0061121B">
              <w:rPr>
                <w:rFonts w:asciiTheme="majorHAnsi" w:hAnsiTheme="majorHAnsi"/>
                <w:spacing w:val="-2"/>
                <w:sz w:val="21"/>
                <w:szCs w:val="21"/>
              </w:rPr>
              <w:t>Increase resource allocation to reconciliation and social cohesion and consider current and new specialised partners</w:t>
            </w:r>
          </w:p>
          <w:p w14:paraId="1077E348" w14:textId="5CEDEECD" w:rsidR="00036315" w:rsidRPr="0061121B" w:rsidRDefault="00036315" w:rsidP="00E40992">
            <w:pPr>
              <w:pStyle w:val="BodyText"/>
              <w:numPr>
                <w:ilvl w:val="0"/>
                <w:numId w:val="15"/>
              </w:numPr>
              <w:spacing w:before="60"/>
              <w:rPr>
                <w:rFonts w:asciiTheme="majorHAnsi" w:hAnsiTheme="majorHAnsi"/>
                <w:spacing w:val="-2"/>
                <w:sz w:val="21"/>
                <w:szCs w:val="21"/>
              </w:rPr>
            </w:pPr>
            <w:r w:rsidRPr="0061121B">
              <w:rPr>
                <w:rFonts w:asciiTheme="majorHAnsi" w:hAnsiTheme="majorHAnsi"/>
                <w:spacing w:val="-2"/>
                <w:sz w:val="21"/>
                <w:szCs w:val="21"/>
              </w:rPr>
              <w:t>Support trusted partners to adapt and respond to the health, protection and economic impacts of COVID-19 on the most vulnerable</w:t>
            </w:r>
          </w:p>
          <w:p w14:paraId="2EEF0444" w14:textId="1BA1E987" w:rsidR="00036315" w:rsidRPr="0061121B" w:rsidRDefault="00036315" w:rsidP="00E40992">
            <w:pPr>
              <w:pStyle w:val="BodyText"/>
              <w:numPr>
                <w:ilvl w:val="0"/>
                <w:numId w:val="15"/>
              </w:numPr>
              <w:spacing w:before="60"/>
              <w:rPr>
                <w:rFonts w:asciiTheme="majorHAnsi" w:hAnsiTheme="majorHAnsi"/>
                <w:spacing w:val="-2"/>
                <w:sz w:val="21"/>
                <w:szCs w:val="21"/>
              </w:rPr>
            </w:pPr>
            <w:r w:rsidRPr="0061121B">
              <w:rPr>
                <w:rFonts w:asciiTheme="majorHAnsi" w:hAnsiTheme="majorHAnsi"/>
                <w:spacing w:val="-2"/>
                <w:sz w:val="21"/>
                <w:szCs w:val="21"/>
              </w:rPr>
              <w:t xml:space="preserve">Continue to exercise diplomatic leadership and engage in strategic coordination with likeminded donors on issues of common interest such as </w:t>
            </w:r>
            <w:r w:rsidR="00291680">
              <w:rPr>
                <w:rFonts w:asciiTheme="majorHAnsi" w:hAnsiTheme="majorHAnsi"/>
                <w:spacing w:val="-2"/>
                <w:sz w:val="21"/>
                <w:szCs w:val="21"/>
              </w:rPr>
              <w:t>g</w:t>
            </w:r>
            <w:r w:rsidR="00291680" w:rsidRPr="0061121B">
              <w:rPr>
                <w:rFonts w:asciiTheme="majorHAnsi" w:hAnsiTheme="majorHAnsi"/>
                <w:spacing w:val="-2"/>
                <w:sz w:val="21"/>
                <w:szCs w:val="21"/>
              </w:rPr>
              <w:t xml:space="preserve">ender </w:t>
            </w:r>
            <w:r w:rsidR="00291680">
              <w:rPr>
                <w:rFonts w:asciiTheme="majorHAnsi" w:hAnsiTheme="majorHAnsi"/>
                <w:spacing w:val="-2"/>
                <w:sz w:val="21"/>
                <w:szCs w:val="21"/>
              </w:rPr>
              <w:t>e</w:t>
            </w:r>
            <w:r w:rsidR="00291680" w:rsidRPr="0061121B">
              <w:rPr>
                <w:rFonts w:asciiTheme="majorHAnsi" w:hAnsiTheme="majorHAnsi"/>
                <w:spacing w:val="-2"/>
                <w:sz w:val="21"/>
                <w:szCs w:val="21"/>
              </w:rPr>
              <w:t xml:space="preserve">quality and </w:t>
            </w:r>
            <w:r w:rsidR="00291680">
              <w:rPr>
                <w:rFonts w:asciiTheme="majorHAnsi" w:hAnsiTheme="majorHAnsi"/>
                <w:spacing w:val="-2"/>
                <w:sz w:val="21"/>
                <w:szCs w:val="21"/>
              </w:rPr>
              <w:t>w</w:t>
            </w:r>
            <w:r w:rsidR="00291680" w:rsidRPr="0061121B">
              <w:rPr>
                <w:rFonts w:asciiTheme="majorHAnsi" w:hAnsiTheme="majorHAnsi"/>
                <w:spacing w:val="-2"/>
                <w:sz w:val="21"/>
                <w:szCs w:val="21"/>
              </w:rPr>
              <w:t xml:space="preserve">omen’s </w:t>
            </w:r>
            <w:r w:rsidR="00291680">
              <w:rPr>
                <w:rFonts w:asciiTheme="majorHAnsi" w:hAnsiTheme="majorHAnsi"/>
                <w:spacing w:val="-2"/>
                <w:sz w:val="21"/>
                <w:szCs w:val="21"/>
              </w:rPr>
              <w:t>e</w:t>
            </w:r>
            <w:r w:rsidR="00291680" w:rsidRPr="0061121B">
              <w:rPr>
                <w:rFonts w:asciiTheme="majorHAnsi" w:hAnsiTheme="majorHAnsi"/>
                <w:spacing w:val="-2"/>
                <w:sz w:val="21"/>
                <w:szCs w:val="21"/>
              </w:rPr>
              <w:t xml:space="preserve">mpowerment </w:t>
            </w:r>
            <w:r w:rsidR="00291680">
              <w:rPr>
                <w:rFonts w:asciiTheme="majorHAnsi" w:hAnsiTheme="majorHAnsi"/>
                <w:spacing w:val="-2"/>
                <w:sz w:val="21"/>
                <w:szCs w:val="21"/>
              </w:rPr>
              <w:t>(</w:t>
            </w:r>
            <w:r w:rsidRPr="0061121B">
              <w:rPr>
                <w:rFonts w:asciiTheme="majorHAnsi" w:hAnsiTheme="majorHAnsi"/>
                <w:spacing w:val="-2"/>
                <w:sz w:val="21"/>
                <w:szCs w:val="21"/>
              </w:rPr>
              <w:t>GEWE</w:t>
            </w:r>
            <w:r w:rsidR="00291680">
              <w:rPr>
                <w:rFonts w:asciiTheme="majorHAnsi" w:hAnsiTheme="majorHAnsi"/>
                <w:spacing w:val="-2"/>
                <w:sz w:val="21"/>
                <w:szCs w:val="21"/>
              </w:rPr>
              <w:t>)</w:t>
            </w:r>
            <w:r w:rsidRPr="0061121B">
              <w:rPr>
                <w:rFonts w:asciiTheme="majorHAnsi" w:hAnsiTheme="majorHAnsi"/>
                <w:spacing w:val="-2"/>
                <w:sz w:val="21"/>
                <w:szCs w:val="21"/>
              </w:rPr>
              <w:t xml:space="preserve">, </w:t>
            </w:r>
            <w:r w:rsidR="00291680">
              <w:rPr>
                <w:rFonts w:asciiTheme="majorHAnsi" w:hAnsiTheme="majorHAnsi"/>
                <w:spacing w:val="-2"/>
                <w:sz w:val="21"/>
                <w:szCs w:val="21"/>
              </w:rPr>
              <w:t>women peace and security (WPS)</w:t>
            </w:r>
            <w:r w:rsidRPr="0061121B">
              <w:rPr>
                <w:rFonts w:asciiTheme="majorHAnsi" w:hAnsiTheme="majorHAnsi"/>
                <w:spacing w:val="-2"/>
                <w:sz w:val="21"/>
                <w:szCs w:val="21"/>
              </w:rPr>
              <w:t xml:space="preserve"> and rights-based returns</w:t>
            </w:r>
          </w:p>
          <w:p w14:paraId="162CD52E" w14:textId="276979AC" w:rsidR="00036315" w:rsidRPr="0061121B" w:rsidRDefault="00036315" w:rsidP="00E40992">
            <w:pPr>
              <w:pStyle w:val="BodyText"/>
              <w:numPr>
                <w:ilvl w:val="0"/>
                <w:numId w:val="15"/>
              </w:numPr>
              <w:spacing w:before="60"/>
              <w:rPr>
                <w:rFonts w:asciiTheme="majorHAnsi" w:hAnsiTheme="majorHAnsi"/>
                <w:spacing w:val="-2"/>
                <w:sz w:val="21"/>
                <w:szCs w:val="21"/>
              </w:rPr>
            </w:pPr>
            <w:r w:rsidRPr="0061121B">
              <w:rPr>
                <w:rFonts w:asciiTheme="majorHAnsi" w:hAnsiTheme="majorHAnsi"/>
                <w:spacing w:val="-2"/>
                <w:sz w:val="21"/>
                <w:szCs w:val="21"/>
              </w:rPr>
              <w:t>Ensure future Packages and ongoing activities are informed by conflict analysis that integrates gender and WPS considerations</w:t>
            </w:r>
          </w:p>
          <w:p w14:paraId="69C6EF67" w14:textId="77777777" w:rsidR="00F4752F" w:rsidRDefault="00F4752F" w:rsidP="002609D3">
            <w:pPr>
              <w:pStyle w:val="BodyText"/>
              <w:spacing w:before="60"/>
              <w:rPr>
                <w:rFonts w:asciiTheme="majorHAnsi" w:hAnsiTheme="majorHAnsi"/>
                <w:spacing w:val="-2"/>
                <w:sz w:val="21"/>
                <w:szCs w:val="21"/>
              </w:rPr>
            </w:pPr>
          </w:p>
          <w:p w14:paraId="4EB40FD9" w14:textId="77777777" w:rsidR="00376F98" w:rsidRDefault="00376F98" w:rsidP="002609D3">
            <w:pPr>
              <w:pStyle w:val="BodyText"/>
              <w:spacing w:before="60"/>
              <w:rPr>
                <w:rFonts w:asciiTheme="majorHAnsi" w:hAnsiTheme="majorHAnsi"/>
                <w:spacing w:val="-2"/>
                <w:sz w:val="21"/>
                <w:szCs w:val="21"/>
              </w:rPr>
            </w:pPr>
          </w:p>
          <w:p w14:paraId="5419588B" w14:textId="77777777" w:rsidR="00376F98" w:rsidRDefault="00376F98" w:rsidP="002609D3">
            <w:pPr>
              <w:pStyle w:val="BodyText"/>
              <w:spacing w:before="60"/>
              <w:rPr>
                <w:rFonts w:asciiTheme="majorHAnsi" w:hAnsiTheme="majorHAnsi"/>
                <w:spacing w:val="-2"/>
                <w:sz w:val="21"/>
                <w:szCs w:val="21"/>
              </w:rPr>
            </w:pPr>
          </w:p>
          <w:p w14:paraId="1556E8AB" w14:textId="3C2AE17D" w:rsidR="00376F98" w:rsidRPr="0061121B" w:rsidRDefault="00376F98" w:rsidP="002609D3">
            <w:pPr>
              <w:pStyle w:val="BodyText"/>
              <w:spacing w:before="60"/>
              <w:rPr>
                <w:rFonts w:asciiTheme="majorHAnsi" w:hAnsiTheme="majorHAnsi"/>
                <w:spacing w:val="-2"/>
                <w:sz w:val="21"/>
                <w:szCs w:val="21"/>
              </w:rPr>
            </w:pPr>
          </w:p>
        </w:tc>
        <w:tc>
          <w:tcPr>
            <w:tcW w:w="1042" w:type="dxa"/>
          </w:tcPr>
          <w:p w14:paraId="4228A02B" w14:textId="509D225A" w:rsidR="00F4752F" w:rsidRPr="0061121B" w:rsidRDefault="00F4752F"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Agree</w:t>
            </w:r>
            <w:r w:rsidR="000D69F9" w:rsidRPr="0061121B">
              <w:rPr>
                <w:rFonts w:asciiTheme="majorHAnsi" w:hAnsiTheme="majorHAnsi"/>
                <w:spacing w:val="-2"/>
                <w:sz w:val="21"/>
                <w:szCs w:val="21"/>
              </w:rPr>
              <w:t xml:space="preserve"> in Part</w:t>
            </w:r>
          </w:p>
        </w:tc>
        <w:tc>
          <w:tcPr>
            <w:tcW w:w="4775" w:type="dxa"/>
          </w:tcPr>
          <w:p w14:paraId="66FB00EA" w14:textId="2E600853" w:rsidR="00235560" w:rsidRPr="0061121B" w:rsidRDefault="00F65B9D" w:rsidP="00D520C4">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DFAT recognises the importance of diplomatic leadership </w:t>
            </w:r>
            <w:r w:rsidR="00CD1B6A" w:rsidRPr="0061121B">
              <w:rPr>
                <w:rFonts w:asciiTheme="majorHAnsi" w:hAnsiTheme="majorHAnsi"/>
                <w:spacing w:val="-2"/>
                <w:sz w:val="21"/>
                <w:szCs w:val="21"/>
              </w:rPr>
              <w:t xml:space="preserve">and effective </w:t>
            </w:r>
            <w:r w:rsidR="004F6891" w:rsidRPr="0061121B">
              <w:rPr>
                <w:rFonts w:asciiTheme="majorHAnsi" w:hAnsiTheme="majorHAnsi"/>
                <w:spacing w:val="-2"/>
                <w:sz w:val="21"/>
                <w:szCs w:val="21"/>
              </w:rPr>
              <w:t>programming</w:t>
            </w:r>
            <w:r w:rsidR="00CD1B6A" w:rsidRPr="0061121B">
              <w:rPr>
                <w:rFonts w:asciiTheme="majorHAnsi" w:hAnsiTheme="majorHAnsi"/>
                <w:spacing w:val="-2"/>
                <w:sz w:val="21"/>
                <w:szCs w:val="21"/>
              </w:rPr>
              <w:t xml:space="preserve"> as demonstrated</w:t>
            </w:r>
            <w:r w:rsidR="00BB2391" w:rsidRPr="0061121B">
              <w:rPr>
                <w:rFonts w:asciiTheme="majorHAnsi" w:hAnsiTheme="majorHAnsi"/>
                <w:spacing w:val="-2"/>
                <w:sz w:val="21"/>
                <w:szCs w:val="21"/>
              </w:rPr>
              <w:t xml:space="preserve"> by the results of this review</w:t>
            </w:r>
            <w:r w:rsidR="00CD1B6A" w:rsidRPr="0061121B">
              <w:rPr>
                <w:rFonts w:asciiTheme="majorHAnsi" w:hAnsiTheme="majorHAnsi"/>
                <w:spacing w:val="-2"/>
                <w:sz w:val="21"/>
                <w:szCs w:val="21"/>
              </w:rPr>
              <w:t>.</w:t>
            </w:r>
            <w:r w:rsidR="00235560" w:rsidRPr="0061121B">
              <w:rPr>
                <w:rFonts w:asciiTheme="majorHAnsi" w:hAnsiTheme="majorHAnsi"/>
                <w:spacing w:val="-2"/>
                <w:sz w:val="21"/>
                <w:szCs w:val="21"/>
              </w:rPr>
              <w:t xml:space="preserve"> </w:t>
            </w:r>
          </w:p>
          <w:p w14:paraId="373F1AFD" w14:textId="36E3B9CF" w:rsidR="00CA6CEF" w:rsidRPr="0061121B" w:rsidRDefault="00CD1B6A" w:rsidP="00D520C4">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Advancing p</w:t>
            </w:r>
            <w:r w:rsidR="00F65B9D" w:rsidRPr="0061121B">
              <w:rPr>
                <w:rFonts w:asciiTheme="majorHAnsi" w:hAnsiTheme="majorHAnsi"/>
                <w:spacing w:val="-2"/>
                <w:sz w:val="21"/>
                <w:szCs w:val="21"/>
              </w:rPr>
              <w:t xml:space="preserve">rotection of civilians, </w:t>
            </w:r>
            <w:r w:rsidR="00235560" w:rsidRPr="0061121B">
              <w:rPr>
                <w:rFonts w:asciiTheme="majorHAnsi" w:hAnsiTheme="majorHAnsi"/>
                <w:spacing w:val="-2"/>
                <w:sz w:val="21"/>
                <w:szCs w:val="21"/>
              </w:rPr>
              <w:t>UNSC 1325 (Women, Peace and Security</w:t>
            </w:r>
            <w:r w:rsidR="00D55AD6" w:rsidRPr="0061121B">
              <w:rPr>
                <w:rFonts w:asciiTheme="majorHAnsi" w:hAnsiTheme="majorHAnsi"/>
                <w:spacing w:val="-2"/>
                <w:sz w:val="21"/>
                <w:szCs w:val="21"/>
              </w:rPr>
              <w:t xml:space="preserve"> [WPS]</w:t>
            </w:r>
            <w:r w:rsidR="00235560" w:rsidRPr="0061121B">
              <w:rPr>
                <w:rFonts w:asciiTheme="majorHAnsi" w:hAnsiTheme="majorHAnsi"/>
                <w:spacing w:val="-2"/>
                <w:sz w:val="21"/>
                <w:szCs w:val="21"/>
              </w:rPr>
              <w:t xml:space="preserve">), </w:t>
            </w:r>
            <w:r w:rsidR="00BB2391" w:rsidRPr="0061121B">
              <w:rPr>
                <w:rFonts w:asciiTheme="majorHAnsi" w:hAnsiTheme="majorHAnsi"/>
                <w:spacing w:val="-2"/>
                <w:sz w:val="21"/>
                <w:szCs w:val="21"/>
              </w:rPr>
              <w:t xml:space="preserve">and responding to </w:t>
            </w:r>
            <w:r w:rsidR="00235560" w:rsidRPr="0061121B">
              <w:rPr>
                <w:rFonts w:asciiTheme="majorHAnsi" w:hAnsiTheme="majorHAnsi"/>
                <w:spacing w:val="-2"/>
                <w:sz w:val="21"/>
                <w:szCs w:val="21"/>
              </w:rPr>
              <w:t>COVID-19</w:t>
            </w:r>
            <w:r w:rsidR="00BB2391" w:rsidRPr="0061121B">
              <w:rPr>
                <w:rFonts w:asciiTheme="majorHAnsi" w:hAnsiTheme="majorHAnsi"/>
                <w:spacing w:val="-2"/>
                <w:sz w:val="21"/>
                <w:szCs w:val="21"/>
              </w:rPr>
              <w:t xml:space="preserve"> </w:t>
            </w:r>
            <w:r w:rsidR="00CA6CEF" w:rsidRPr="0061121B">
              <w:rPr>
                <w:rFonts w:asciiTheme="majorHAnsi" w:hAnsiTheme="majorHAnsi"/>
                <w:spacing w:val="-2"/>
                <w:sz w:val="21"/>
                <w:szCs w:val="21"/>
              </w:rPr>
              <w:t xml:space="preserve">are important issues for Australia and our current response in Iraq. </w:t>
            </w:r>
          </w:p>
          <w:p w14:paraId="31BE97CD" w14:textId="77777777" w:rsidR="00E41245" w:rsidRPr="0061121B" w:rsidRDefault="00BB2391" w:rsidP="00D520C4">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Where possible</w:t>
            </w:r>
            <w:r w:rsidR="00CD1B6A" w:rsidRPr="0061121B">
              <w:rPr>
                <w:rFonts w:asciiTheme="majorHAnsi" w:hAnsiTheme="majorHAnsi"/>
                <w:spacing w:val="-2"/>
                <w:sz w:val="21"/>
                <w:szCs w:val="21"/>
              </w:rPr>
              <w:t>,</w:t>
            </w:r>
            <w:r w:rsidR="00CA6CEF" w:rsidRPr="0061121B">
              <w:rPr>
                <w:rFonts w:asciiTheme="majorHAnsi" w:hAnsiTheme="majorHAnsi"/>
                <w:spacing w:val="-2"/>
                <w:sz w:val="21"/>
                <w:szCs w:val="21"/>
              </w:rPr>
              <w:t xml:space="preserve"> DFAT has supported our partners to flexibly respond to the direct and indirect impacts of COVID-19 in Iraq, this has in part been possible due to softly – earmarked funding provided to partners.</w:t>
            </w:r>
          </w:p>
          <w:p w14:paraId="58AF381C" w14:textId="595C1C21" w:rsidR="00CA6CEF" w:rsidRPr="0061121B" w:rsidRDefault="00FC4F72" w:rsidP="00D520C4">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Reconciliation and social cohesion remain key aspects of the program however g</w:t>
            </w:r>
            <w:r w:rsidR="00E41245" w:rsidRPr="0061121B">
              <w:rPr>
                <w:rFonts w:asciiTheme="majorHAnsi" w:hAnsiTheme="majorHAnsi"/>
                <w:spacing w:val="-2"/>
                <w:sz w:val="21"/>
                <w:szCs w:val="21"/>
              </w:rPr>
              <w:t>iven the complex rapidly changing operating environment</w:t>
            </w:r>
            <w:r w:rsidR="004F6891">
              <w:rPr>
                <w:rFonts w:asciiTheme="majorHAnsi" w:hAnsiTheme="majorHAnsi"/>
                <w:spacing w:val="-2"/>
                <w:sz w:val="21"/>
                <w:szCs w:val="21"/>
              </w:rPr>
              <w:t>,</w:t>
            </w:r>
            <w:r w:rsidR="00E41245" w:rsidRPr="0061121B">
              <w:rPr>
                <w:rFonts w:asciiTheme="majorHAnsi" w:hAnsiTheme="majorHAnsi"/>
                <w:spacing w:val="-2"/>
                <w:sz w:val="21"/>
                <w:szCs w:val="21"/>
              </w:rPr>
              <w:t xml:space="preserve"> </w:t>
            </w:r>
            <w:r w:rsidRPr="0061121B">
              <w:rPr>
                <w:rFonts w:asciiTheme="majorHAnsi" w:hAnsiTheme="majorHAnsi"/>
                <w:spacing w:val="-2"/>
                <w:sz w:val="21"/>
                <w:szCs w:val="21"/>
              </w:rPr>
              <w:t>resource</w:t>
            </w:r>
            <w:r w:rsidR="00E41245" w:rsidRPr="0061121B">
              <w:rPr>
                <w:rFonts w:asciiTheme="majorHAnsi" w:hAnsiTheme="majorHAnsi"/>
                <w:spacing w:val="-2"/>
                <w:sz w:val="21"/>
                <w:szCs w:val="21"/>
              </w:rPr>
              <w:t xml:space="preserve"> allocations must </w:t>
            </w:r>
            <w:r w:rsidRPr="0061121B">
              <w:rPr>
                <w:rFonts w:asciiTheme="majorHAnsi" w:hAnsiTheme="majorHAnsi"/>
                <w:spacing w:val="-2"/>
                <w:sz w:val="21"/>
                <w:szCs w:val="21"/>
              </w:rPr>
              <w:t>continue to be based on contextual analysis.</w:t>
            </w:r>
          </w:p>
          <w:p w14:paraId="06185773" w14:textId="27D50B7A" w:rsidR="00CA6CEF" w:rsidRPr="0061121B" w:rsidRDefault="00CA6CEF" w:rsidP="00D520C4">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DFAT agrees that conflict analysis (that includes gender and WPS considerations) is </w:t>
            </w:r>
            <w:r w:rsidR="00376F98">
              <w:rPr>
                <w:rFonts w:asciiTheme="majorHAnsi" w:hAnsiTheme="majorHAnsi"/>
                <w:spacing w:val="-2"/>
                <w:sz w:val="21"/>
                <w:szCs w:val="21"/>
              </w:rPr>
              <w:t>important</w:t>
            </w:r>
            <w:r w:rsidR="00376F98" w:rsidRPr="0061121B">
              <w:rPr>
                <w:rFonts w:asciiTheme="majorHAnsi" w:hAnsiTheme="majorHAnsi"/>
                <w:spacing w:val="-2"/>
                <w:sz w:val="21"/>
                <w:szCs w:val="21"/>
              </w:rPr>
              <w:t xml:space="preserve"> </w:t>
            </w:r>
            <w:r w:rsidRPr="0061121B">
              <w:rPr>
                <w:rFonts w:asciiTheme="majorHAnsi" w:hAnsiTheme="majorHAnsi"/>
                <w:spacing w:val="-2"/>
                <w:sz w:val="21"/>
                <w:szCs w:val="21"/>
              </w:rPr>
              <w:t>in the concept, design and implementation phase of</w:t>
            </w:r>
            <w:r w:rsidR="00AC03DB" w:rsidRPr="0061121B">
              <w:rPr>
                <w:rFonts w:asciiTheme="majorHAnsi" w:hAnsiTheme="majorHAnsi"/>
                <w:spacing w:val="-2"/>
                <w:sz w:val="21"/>
                <w:szCs w:val="21"/>
              </w:rPr>
              <w:t xml:space="preserve"> Australia’s responses to protracted crises and is a </w:t>
            </w:r>
            <w:r w:rsidR="00376F98" w:rsidRPr="0061121B">
              <w:rPr>
                <w:rFonts w:asciiTheme="majorHAnsi" w:hAnsiTheme="majorHAnsi"/>
                <w:spacing w:val="-2"/>
                <w:sz w:val="21"/>
                <w:szCs w:val="21"/>
              </w:rPr>
              <w:t>significant</w:t>
            </w:r>
            <w:r w:rsidR="00AC03DB" w:rsidRPr="0061121B">
              <w:rPr>
                <w:rFonts w:asciiTheme="majorHAnsi" w:hAnsiTheme="majorHAnsi"/>
                <w:spacing w:val="-2"/>
                <w:sz w:val="21"/>
                <w:szCs w:val="21"/>
              </w:rPr>
              <w:t xml:space="preserve"> part of addressing the humanitarian-development-peace nexus for more effective and sustainable outcomes for affected communities. </w:t>
            </w:r>
          </w:p>
          <w:p w14:paraId="2A7F0FC7" w14:textId="6A421428" w:rsidR="00235560" w:rsidRPr="0061121B" w:rsidRDefault="00235560" w:rsidP="00D520C4">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2B95665E" w14:textId="7F2F687E" w:rsidR="00F4752F" w:rsidRPr="0061121B" w:rsidRDefault="00F4752F" w:rsidP="008F0771">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tc>
        <w:tc>
          <w:tcPr>
            <w:tcW w:w="4394" w:type="dxa"/>
          </w:tcPr>
          <w:p w14:paraId="6AD0B2F6" w14:textId="77777777" w:rsidR="005827CD" w:rsidRPr="0061121B" w:rsidRDefault="005827CD" w:rsidP="005827CD">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DFAT will continue to exercise diplomatic leadership to advocate (independently or coordinated with others) for progress on durable </w:t>
            </w:r>
            <w:proofErr w:type="gramStart"/>
            <w:r w:rsidRPr="0061121B">
              <w:rPr>
                <w:rFonts w:asciiTheme="majorHAnsi" w:hAnsiTheme="majorHAnsi"/>
                <w:spacing w:val="-2"/>
                <w:sz w:val="21"/>
                <w:szCs w:val="21"/>
              </w:rPr>
              <w:t>rights based</w:t>
            </w:r>
            <w:proofErr w:type="gramEnd"/>
            <w:r w:rsidRPr="0061121B">
              <w:rPr>
                <w:rFonts w:asciiTheme="majorHAnsi" w:hAnsiTheme="majorHAnsi"/>
                <w:spacing w:val="-2"/>
                <w:sz w:val="21"/>
                <w:szCs w:val="21"/>
              </w:rPr>
              <w:t xml:space="preserve"> returns, GEWE, WPS, stabilisation and social cohesion.  We recognise the value of diplomacy as a force multiplier in achieving these goals.</w:t>
            </w:r>
          </w:p>
          <w:p w14:paraId="11404CD8" w14:textId="77777777" w:rsidR="005827CD" w:rsidRDefault="005827CD"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70758CBB" w14:textId="114A90AA" w:rsidR="000D69F9" w:rsidRPr="0061121B" w:rsidRDefault="00CD1B6A">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DFAT will </w:t>
            </w:r>
            <w:r w:rsidR="00EC5306">
              <w:rPr>
                <w:rFonts w:asciiTheme="majorHAnsi" w:hAnsiTheme="majorHAnsi"/>
                <w:spacing w:val="-2"/>
                <w:sz w:val="21"/>
                <w:szCs w:val="21"/>
              </w:rPr>
              <w:t>encourage</w:t>
            </w:r>
            <w:r w:rsidR="005827CD">
              <w:rPr>
                <w:rFonts w:asciiTheme="majorHAnsi" w:hAnsiTheme="majorHAnsi"/>
                <w:spacing w:val="-2"/>
                <w:sz w:val="21"/>
                <w:szCs w:val="21"/>
              </w:rPr>
              <w:t xml:space="preserve"> implementing partners</w:t>
            </w:r>
            <w:r w:rsidR="00EC5306">
              <w:rPr>
                <w:rFonts w:asciiTheme="majorHAnsi" w:hAnsiTheme="majorHAnsi"/>
                <w:spacing w:val="-2"/>
                <w:sz w:val="21"/>
                <w:szCs w:val="21"/>
              </w:rPr>
              <w:t xml:space="preserve"> to design programs around appropriate analysis and standards including</w:t>
            </w:r>
            <w:r w:rsidR="00AC03DB" w:rsidRPr="0061121B">
              <w:rPr>
                <w:rFonts w:asciiTheme="majorHAnsi" w:hAnsiTheme="majorHAnsi"/>
                <w:spacing w:val="-2"/>
                <w:sz w:val="21"/>
                <w:szCs w:val="21"/>
              </w:rPr>
              <w:t xml:space="preserve"> </w:t>
            </w:r>
            <w:r w:rsidRPr="0061121B">
              <w:rPr>
                <w:rFonts w:asciiTheme="majorHAnsi" w:hAnsiTheme="majorHAnsi"/>
                <w:spacing w:val="-2"/>
                <w:sz w:val="21"/>
                <w:szCs w:val="21"/>
              </w:rPr>
              <w:t>conflict analysis</w:t>
            </w:r>
            <w:r w:rsidR="003234E4" w:rsidRPr="0061121B">
              <w:rPr>
                <w:rFonts w:asciiTheme="majorHAnsi" w:hAnsiTheme="majorHAnsi"/>
                <w:spacing w:val="-2"/>
                <w:sz w:val="21"/>
                <w:szCs w:val="21"/>
              </w:rPr>
              <w:t xml:space="preserve">, protection </w:t>
            </w:r>
            <w:r w:rsidR="00BB2391" w:rsidRPr="0061121B">
              <w:rPr>
                <w:rFonts w:asciiTheme="majorHAnsi" w:hAnsiTheme="majorHAnsi"/>
                <w:spacing w:val="-2"/>
                <w:sz w:val="21"/>
                <w:szCs w:val="21"/>
              </w:rPr>
              <w:t xml:space="preserve">standards, </w:t>
            </w:r>
            <w:r w:rsidR="003234E4" w:rsidRPr="0061121B">
              <w:rPr>
                <w:rFonts w:asciiTheme="majorHAnsi" w:hAnsiTheme="majorHAnsi"/>
                <w:spacing w:val="-2"/>
                <w:sz w:val="21"/>
                <w:szCs w:val="21"/>
              </w:rPr>
              <w:t>WPS</w:t>
            </w:r>
            <w:r w:rsidR="00AA7B18" w:rsidRPr="0061121B">
              <w:rPr>
                <w:rFonts w:asciiTheme="majorHAnsi" w:hAnsiTheme="majorHAnsi"/>
                <w:spacing w:val="-2"/>
                <w:sz w:val="21"/>
                <w:szCs w:val="21"/>
              </w:rPr>
              <w:t>,</w:t>
            </w:r>
            <w:r w:rsidR="003234E4" w:rsidRPr="0061121B">
              <w:rPr>
                <w:rFonts w:asciiTheme="majorHAnsi" w:hAnsiTheme="majorHAnsi"/>
                <w:spacing w:val="-2"/>
                <w:sz w:val="21"/>
                <w:szCs w:val="21"/>
              </w:rPr>
              <w:t xml:space="preserve"> </w:t>
            </w:r>
            <w:r w:rsidR="00D55AD6" w:rsidRPr="0061121B">
              <w:rPr>
                <w:rFonts w:asciiTheme="majorHAnsi" w:hAnsiTheme="majorHAnsi"/>
                <w:spacing w:val="-2"/>
                <w:sz w:val="21"/>
                <w:szCs w:val="21"/>
              </w:rPr>
              <w:t>and GEWE</w:t>
            </w:r>
            <w:r w:rsidR="00BB2391" w:rsidRPr="0061121B">
              <w:rPr>
                <w:rFonts w:asciiTheme="majorHAnsi" w:hAnsiTheme="majorHAnsi"/>
                <w:spacing w:val="-2"/>
                <w:sz w:val="21"/>
                <w:szCs w:val="21"/>
              </w:rPr>
              <w:t>. DFAT will</w:t>
            </w:r>
            <w:r w:rsidRPr="0061121B">
              <w:rPr>
                <w:rFonts w:asciiTheme="majorHAnsi" w:hAnsiTheme="majorHAnsi"/>
                <w:spacing w:val="-2"/>
                <w:sz w:val="21"/>
                <w:szCs w:val="21"/>
              </w:rPr>
              <w:t xml:space="preserve"> consider appropriate funding </w:t>
            </w:r>
            <w:r w:rsidR="00AC03DB" w:rsidRPr="0061121B">
              <w:rPr>
                <w:rFonts w:asciiTheme="majorHAnsi" w:hAnsiTheme="majorHAnsi"/>
                <w:spacing w:val="-2"/>
                <w:sz w:val="21"/>
                <w:szCs w:val="21"/>
              </w:rPr>
              <w:t xml:space="preserve">across the nexus, particularly, </w:t>
            </w:r>
            <w:r w:rsidR="00BB2391" w:rsidRPr="0061121B">
              <w:rPr>
                <w:rFonts w:asciiTheme="majorHAnsi" w:hAnsiTheme="majorHAnsi"/>
                <w:spacing w:val="-2"/>
                <w:sz w:val="21"/>
                <w:szCs w:val="21"/>
              </w:rPr>
              <w:t>between lifesaving assistance and</w:t>
            </w:r>
            <w:r w:rsidRPr="0061121B">
              <w:rPr>
                <w:rFonts w:asciiTheme="majorHAnsi" w:hAnsiTheme="majorHAnsi"/>
                <w:spacing w:val="-2"/>
                <w:sz w:val="21"/>
                <w:szCs w:val="21"/>
              </w:rPr>
              <w:t xml:space="preserve"> reconciliation and social cohesion activities.</w:t>
            </w:r>
            <w:r w:rsidR="00714C1C" w:rsidRPr="0061121B">
              <w:rPr>
                <w:rFonts w:asciiTheme="majorHAnsi" w:hAnsiTheme="majorHAnsi"/>
                <w:spacing w:val="-2"/>
                <w:sz w:val="21"/>
                <w:szCs w:val="21"/>
              </w:rPr>
              <w:t xml:space="preserve"> </w:t>
            </w:r>
          </w:p>
          <w:p w14:paraId="0ED1E9F6" w14:textId="77777777" w:rsidR="00F4752F" w:rsidRPr="0061121B" w:rsidRDefault="00F4752F">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tc>
        <w:tc>
          <w:tcPr>
            <w:tcW w:w="1276" w:type="dxa"/>
          </w:tcPr>
          <w:p w14:paraId="2609371E" w14:textId="7D5EFDF7" w:rsidR="00F4752F" w:rsidRPr="0061121B" w:rsidRDefault="00F4752F" w:rsidP="00AA7B18">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Ongo</w:t>
            </w:r>
            <w:r w:rsidR="00F65B9D" w:rsidRPr="0061121B">
              <w:rPr>
                <w:rFonts w:asciiTheme="majorHAnsi" w:hAnsiTheme="majorHAnsi"/>
                <w:spacing w:val="-2"/>
                <w:sz w:val="21"/>
                <w:szCs w:val="21"/>
              </w:rPr>
              <w:t>ing</w:t>
            </w:r>
            <w:r w:rsidR="00C73440" w:rsidRPr="0061121B">
              <w:rPr>
                <w:rFonts w:asciiTheme="majorHAnsi" w:hAnsiTheme="majorHAnsi"/>
                <w:spacing w:val="-2"/>
                <w:sz w:val="21"/>
                <w:szCs w:val="21"/>
              </w:rPr>
              <w:t xml:space="preserve"> </w:t>
            </w:r>
          </w:p>
        </w:tc>
      </w:tr>
      <w:tr w:rsidR="001C3056" w:rsidRPr="0061121B" w14:paraId="2F2F5189" w14:textId="77777777" w:rsidTr="00AC356B">
        <w:tc>
          <w:tcPr>
            <w:cnfStyle w:val="001000000000" w:firstRow="0" w:lastRow="0" w:firstColumn="1" w:lastColumn="0" w:oddVBand="0" w:evenVBand="0" w:oddHBand="0" w:evenHBand="0" w:firstRowFirstColumn="0" w:firstRowLastColumn="0" w:lastRowFirstColumn="0" w:lastRowLastColumn="0"/>
            <w:tcW w:w="4106" w:type="dxa"/>
          </w:tcPr>
          <w:p w14:paraId="36A5539C" w14:textId="77777777" w:rsidR="00F4752F" w:rsidRPr="0061121B" w:rsidRDefault="00F4752F" w:rsidP="007936BB">
            <w:pPr>
              <w:pStyle w:val="BodyText"/>
              <w:spacing w:before="60"/>
              <w:rPr>
                <w:rFonts w:asciiTheme="majorHAnsi" w:hAnsiTheme="majorHAnsi"/>
                <w:spacing w:val="-2"/>
                <w:sz w:val="21"/>
                <w:szCs w:val="21"/>
              </w:rPr>
            </w:pPr>
            <w:r w:rsidRPr="0061121B">
              <w:rPr>
                <w:rFonts w:asciiTheme="majorHAnsi" w:hAnsiTheme="majorHAnsi"/>
                <w:spacing w:val="-2"/>
                <w:sz w:val="21"/>
                <w:szCs w:val="21"/>
              </w:rPr>
              <w:lastRenderedPageBreak/>
              <w:t>Recommendation 2:</w:t>
            </w:r>
          </w:p>
          <w:p w14:paraId="5DC4DF98" w14:textId="148F437E" w:rsidR="00C46EA8" w:rsidRPr="0061121B" w:rsidRDefault="007936BB" w:rsidP="002609D3">
            <w:pPr>
              <w:pStyle w:val="BodyText"/>
              <w:spacing w:before="60"/>
              <w:rPr>
                <w:rFonts w:asciiTheme="majorHAnsi" w:hAnsiTheme="majorHAnsi"/>
                <w:spacing w:val="-2"/>
                <w:sz w:val="21"/>
                <w:szCs w:val="21"/>
              </w:rPr>
            </w:pPr>
            <w:r w:rsidRPr="0061121B">
              <w:rPr>
                <w:rFonts w:asciiTheme="majorHAnsi" w:hAnsiTheme="majorHAnsi"/>
                <w:spacing w:val="-2"/>
                <w:sz w:val="21"/>
                <w:szCs w:val="21"/>
              </w:rPr>
              <w:t xml:space="preserve">Improve effectiveness through alignment with IASC protection standards and minimum response level measures and verifiable indicators for </w:t>
            </w:r>
            <w:r w:rsidR="00817531">
              <w:rPr>
                <w:rFonts w:asciiTheme="majorHAnsi" w:hAnsiTheme="majorHAnsi"/>
                <w:spacing w:val="-2"/>
                <w:sz w:val="21"/>
                <w:szCs w:val="21"/>
              </w:rPr>
              <w:t>a</w:t>
            </w:r>
            <w:r w:rsidR="005A4C16" w:rsidRPr="0061121B">
              <w:rPr>
                <w:rFonts w:asciiTheme="majorHAnsi" w:hAnsiTheme="majorHAnsi"/>
                <w:spacing w:val="-2"/>
                <w:sz w:val="21"/>
                <w:szCs w:val="21"/>
              </w:rPr>
              <w:t xml:space="preserve">ccountability to </w:t>
            </w:r>
            <w:r w:rsidR="00817531">
              <w:rPr>
                <w:rFonts w:asciiTheme="majorHAnsi" w:hAnsiTheme="majorHAnsi"/>
                <w:spacing w:val="-2"/>
                <w:sz w:val="21"/>
                <w:szCs w:val="21"/>
              </w:rPr>
              <w:t>a</w:t>
            </w:r>
            <w:r w:rsidR="005A4C16" w:rsidRPr="0061121B">
              <w:rPr>
                <w:rFonts w:asciiTheme="majorHAnsi" w:hAnsiTheme="majorHAnsi"/>
                <w:spacing w:val="-2"/>
                <w:sz w:val="21"/>
                <w:szCs w:val="21"/>
              </w:rPr>
              <w:t xml:space="preserve">ffected </w:t>
            </w:r>
            <w:r w:rsidR="00817531">
              <w:rPr>
                <w:rFonts w:asciiTheme="majorHAnsi" w:hAnsiTheme="majorHAnsi"/>
                <w:spacing w:val="-2"/>
                <w:sz w:val="21"/>
                <w:szCs w:val="21"/>
              </w:rPr>
              <w:t>p</w:t>
            </w:r>
            <w:r w:rsidR="005A4C16" w:rsidRPr="0061121B">
              <w:rPr>
                <w:rFonts w:asciiTheme="majorHAnsi" w:hAnsiTheme="majorHAnsi"/>
                <w:spacing w:val="-2"/>
                <w:sz w:val="21"/>
                <w:szCs w:val="21"/>
              </w:rPr>
              <w:t xml:space="preserve">opulations (AAP) </w:t>
            </w:r>
            <w:r w:rsidRPr="0061121B">
              <w:rPr>
                <w:rFonts w:asciiTheme="majorHAnsi" w:hAnsiTheme="majorHAnsi"/>
                <w:spacing w:val="-2"/>
                <w:sz w:val="21"/>
                <w:szCs w:val="21"/>
              </w:rPr>
              <w:t xml:space="preserve">and </w:t>
            </w:r>
            <w:r w:rsidR="00817531">
              <w:rPr>
                <w:rFonts w:asciiTheme="majorHAnsi" w:hAnsiTheme="majorHAnsi"/>
                <w:spacing w:val="-2"/>
                <w:sz w:val="21"/>
                <w:szCs w:val="21"/>
              </w:rPr>
              <w:t>p</w:t>
            </w:r>
            <w:r w:rsidR="005A4C16" w:rsidRPr="0061121B">
              <w:rPr>
                <w:rFonts w:asciiTheme="majorHAnsi" w:hAnsiTheme="majorHAnsi"/>
                <w:spacing w:val="-2"/>
                <w:sz w:val="21"/>
                <w:szCs w:val="21"/>
              </w:rPr>
              <w:t xml:space="preserve">rotection from </w:t>
            </w:r>
            <w:r w:rsidR="00817531">
              <w:rPr>
                <w:rFonts w:asciiTheme="majorHAnsi" w:hAnsiTheme="majorHAnsi"/>
                <w:spacing w:val="-2"/>
                <w:sz w:val="21"/>
                <w:szCs w:val="21"/>
              </w:rPr>
              <w:t>s</w:t>
            </w:r>
            <w:r w:rsidR="005A4C16" w:rsidRPr="0061121B">
              <w:rPr>
                <w:rFonts w:asciiTheme="majorHAnsi" w:hAnsiTheme="majorHAnsi"/>
                <w:spacing w:val="-2"/>
                <w:sz w:val="21"/>
                <w:szCs w:val="21"/>
              </w:rPr>
              <w:t xml:space="preserve">exual </w:t>
            </w:r>
            <w:r w:rsidR="00817531">
              <w:rPr>
                <w:rFonts w:asciiTheme="majorHAnsi" w:hAnsiTheme="majorHAnsi"/>
                <w:spacing w:val="-2"/>
                <w:sz w:val="21"/>
                <w:szCs w:val="21"/>
              </w:rPr>
              <w:t>e</w:t>
            </w:r>
            <w:r w:rsidR="005A4C16" w:rsidRPr="0061121B">
              <w:rPr>
                <w:rFonts w:asciiTheme="majorHAnsi" w:hAnsiTheme="majorHAnsi"/>
                <w:spacing w:val="-2"/>
                <w:sz w:val="21"/>
                <w:szCs w:val="21"/>
              </w:rPr>
              <w:t xml:space="preserve">xploitation and </w:t>
            </w:r>
            <w:r w:rsidR="00817531">
              <w:rPr>
                <w:rFonts w:asciiTheme="majorHAnsi" w:hAnsiTheme="majorHAnsi"/>
                <w:spacing w:val="-2"/>
                <w:sz w:val="21"/>
                <w:szCs w:val="21"/>
              </w:rPr>
              <w:t>a</w:t>
            </w:r>
            <w:r w:rsidR="005A4C16" w:rsidRPr="0061121B">
              <w:rPr>
                <w:rFonts w:asciiTheme="majorHAnsi" w:hAnsiTheme="majorHAnsi"/>
                <w:spacing w:val="-2"/>
                <w:sz w:val="21"/>
                <w:szCs w:val="21"/>
              </w:rPr>
              <w:t>buse (PSEA)</w:t>
            </w:r>
            <w:r w:rsidR="00C46EA8" w:rsidRPr="0061121B">
              <w:rPr>
                <w:rFonts w:asciiTheme="majorHAnsi" w:hAnsiTheme="majorHAnsi"/>
                <w:spacing w:val="-2"/>
                <w:sz w:val="21"/>
                <w:szCs w:val="21"/>
              </w:rPr>
              <w:t xml:space="preserve">. </w:t>
            </w:r>
          </w:p>
          <w:p w14:paraId="231FACD7" w14:textId="30412C6A" w:rsidR="003234E4" w:rsidRPr="0061121B" w:rsidRDefault="00C46EA8" w:rsidP="002609D3">
            <w:pPr>
              <w:pStyle w:val="BodyText"/>
              <w:spacing w:before="60"/>
              <w:rPr>
                <w:rFonts w:asciiTheme="majorHAnsi" w:hAnsiTheme="majorHAnsi"/>
                <w:spacing w:val="-2"/>
                <w:sz w:val="21"/>
                <w:szCs w:val="21"/>
              </w:rPr>
            </w:pPr>
            <w:r w:rsidRPr="0061121B">
              <w:rPr>
                <w:rFonts w:asciiTheme="majorHAnsi" w:hAnsiTheme="majorHAnsi"/>
                <w:spacing w:val="-2"/>
                <w:sz w:val="21"/>
                <w:szCs w:val="21"/>
              </w:rPr>
              <w:t>E</w:t>
            </w:r>
            <w:r w:rsidR="007936BB" w:rsidRPr="0061121B">
              <w:rPr>
                <w:rFonts w:asciiTheme="majorHAnsi" w:hAnsiTheme="majorHAnsi"/>
                <w:spacing w:val="-2"/>
                <w:sz w:val="21"/>
                <w:szCs w:val="21"/>
              </w:rPr>
              <w:t>nsure th</w:t>
            </w:r>
            <w:r w:rsidRPr="0061121B">
              <w:rPr>
                <w:rFonts w:asciiTheme="majorHAnsi" w:hAnsiTheme="majorHAnsi"/>
                <w:spacing w:val="-2"/>
                <w:sz w:val="21"/>
                <w:szCs w:val="21"/>
              </w:rPr>
              <w:t>is approach</w:t>
            </w:r>
            <w:r w:rsidR="007936BB" w:rsidRPr="0061121B">
              <w:rPr>
                <w:rFonts w:asciiTheme="majorHAnsi" w:hAnsiTheme="majorHAnsi"/>
                <w:spacing w:val="-2"/>
                <w:sz w:val="21"/>
                <w:szCs w:val="21"/>
              </w:rPr>
              <w:t xml:space="preserve"> inform</w:t>
            </w:r>
            <w:r w:rsidRPr="0061121B">
              <w:rPr>
                <w:rFonts w:asciiTheme="majorHAnsi" w:hAnsiTheme="majorHAnsi"/>
                <w:spacing w:val="-2"/>
                <w:sz w:val="21"/>
                <w:szCs w:val="21"/>
              </w:rPr>
              <w:t>s</w:t>
            </w:r>
            <w:r w:rsidR="007936BB" w:rsidRPr="0061121B">
              <w:rPr>
                <w:rFonts w:asciiTheme="majorHAnsi" w:hAnsiTheme="majorHAnsi"/>
                <w:spacing w:val="-2"/>
                <w:sz w:val="21"/>
                <w:szCs w:val="21"/>
              </w:rPr>
              <w:t xml:space="preserve"> future package designs,</w:t>
            </w:r>
            <w:r w:rsidR="005A4C16" w:rsidRPr="0061121B">
              <w:rPr>
                <w:rFonts w:asciiTheme="majorHAnsi" w:hAnsiTheme="majorHAnsi"/>
                <w:spacing w:val="-2"/>
                <w:sz w:val="21"/>
                <w:szCs w:val="21"/>
              </w:rPr>
              <w:t xml:space="preserve"> </w:t>
            </w:r>
            <w:r w:rsidR="00817531">
              <w:rPr>
                <w:rFonts w:asciiTheme="majorHAnsi" w:hAnsiTheme="majorHAnsi"/>
                <w:spacing w:val="-2"/>
                <w:sz w:val="21"/>
                <w:szCs w:val="21"/>
              </w:rPr>
              <w:t>m</w:t>
            </w:r>
            <w:r w:rsidR="005A4C16" w:rsidRPr="0061121B">
              <w:rPr>
                <w:rFonts w:asciiTheme="majorHAnsi" w:hAnsiTheme="majorHAnsi"/>
                <w:spacing w:val="-2"/>
                <w:sz w:val="21"/>
                <w:szCs w:val="21"/>
              </w:rPr>
              <w:t xml:space="preserve">onitoring and </w:t>
            </w:r>
            <w:r w:rsidR="00817531">
              <w:rPr>
                <w:rFonts w:asciiTheme="majorHAnsi" w:hAnsiTheme="majorHAnsi"/>
                <w:spacing w:val="-2"/>
                <w:sz w:val="21"/>
                <w:szCs w:val="21"/>
              </w:rPr>
              <w:t>e</w:t>
            </w:r>
            <w:r w:rsidR="005A4C16" w:rsidRPr="0061121B">
              <w:rPr>
                <w:rFonts w:asciiTheme="majorHAnsi" w:hAnsiTheme="majorHAnsi"/>
                <w:spacing w:val="-2"/>
                <w:sz w:val="21"/>
                <w:szCs w:val="21"/>
              </w:rPr>
              <w:t>valuation (M&amp;E)</w:t>
            </w:r>
            <w:r w:rsidR="007936BB" w:rsidRPr="0061121B">
              <w:rPr>
                <w:rFonts w:asciiTheme="majorHAnsi" w:hAnsiTheme="majorHAnsi"/>
                <w:spacing w:val="-2"/>
                <w:sz w:val="21"/>
                <w:szCs w:val="21"/>
              </w:rPr>
              <w:t xml:space="preserve"> frameworks and processes</w:t>
            </w:r>
          </w:p>
          <w:p w14:paraId="7C0D8F15" w14:textId="5FEF1A56" w:rsidR="005B0383" w:rsidRPr="0061121B" w:rsidRDefault="005B0383" w:rsidP="00E40992">
            <w:pPr>
              <w:pStyle w:val="BodyText"/>
              <w:numPr>
                <w:ilvl w:val="0"/>
                <w:numId w:val="16"/>
              </w:numPr>
              <w:spacing w:before="60"/>
              <w:rPr>
                <w:rFonts w:asciiTheme="majorHAnsi" w:hAnsiTheme="majorHAnsi"/>
                <w:spacing w:val="-2"/>
                <w:sz w:val="21"/>
                <w:szCs w:val="21"/>
              </w:rPr>
            </w:pPr>
            <w:r w:rsidRPr="0061121B">
              <w:rPr>
                <w:rFonts w:asciiTheme="majorHAnsi" w:hAnsiTheme="majorHAnsi"/>
                <w:spacing w:val="-2"/>
                <w:sz w:val="21"/>
                <w:szCs w:val="21"/>
              </w:rPr>
              <w:t>Strengthen Iraq’s M&amp;E framework, future package designs and M&amp;E processes through alignment with IASC protection standards</w:t>
            </w:r>
          </w:p>
          <w:p w14:paraId="7F855C43" w14:textId="2F39B3BD" w:rsidR="00F4752F" w:rsidRPr="00417AD6" w:rsidRDefault="005B0383" w:rsidP="002609D3">
            <w:pPr>
              <w:pStyle w:val="BodyText"/>
              <w:numPr>
                <w:ilvl w:val="0"/>
                <w:numId w:val="16"/>
              </w:numPr>
              <w:spacing w:before="60"/>
              <w:rPr>
                <w:rFonts w:asciiTheme="majorHAnsi" w:hAnsiTheme="majorHAnsi"/>
                <w:spacing w:val="-2"/>
                <w:sz w:val="21"/>
                <w:szCs w:val="21"/>
              </w:rPr>
            </w:pPr>
            <w:r w:rsidRPr="0061121B">
              <w:rPr>
                <w:rFonts w:asciiTheme="majorHAnsi" w:hAnsiTheme="majorHAnsi"/>
                <w:spacing w:val="-2"/>
                <w:sz w:val="21"/>
                <w:szCs w:val="21"/>
              </w:rPr>
              <w:t>Review and update current M&amp;E processes and indicators with reference to independently verifiable indicators for AAP and PSEA</w:t>
            </w:r>
          </w:p>
        </w:tc>
        <w:tc>
          <w:tcPr>
            <w:tcW w:w="1042" w:type="dxa"/>
          </w:tcPr>
          <w:p w14:paraId="3A317951" w14:textId="0FFD6C13" w:rsidR="00F4752F" w:rsidRPr="0061121B" w:rsidRDefault="00F4752F" w:rsidP="001617F8">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Agree</w:t>
            </w:r>
          </w:p>
        </w:tc>
        <w:tc>
          <w:tcPr>
            <w:tcW w:w="4775" w:type="dxa"/>
          </w:tcPr>
          <w:p w14:paraId="2BD52EB7" w14:textId="550545CC" w:rsidR="005A4C16" w:rsidRPr="0061121B" w:rsidRDefault="003234E4" w:rsidP="008232F1">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DFAT supports</w:t>
            </w:r>
            <w:r w:rsidR="005A4C16" w:rsidRPr="0061121B">
              <w:rPr>
                <w:rFonts w:asciiTheme="majorHAnsi" w:hAnsiTheme="majorHAnsi"/>
                <w:spacing w:val="-2"/>
                <w:sz w:val="21"/>
                <w:szCs w:val="21"/>
              </w:rPr>
              <w:t xml:space="preserve"> the</w:t>
            </w:r>
            <w:r w:rsidRPr="0061121B">
              <w:rPr>
                <w:rFonts w:asciiTheme="majorHAnsi" w:hAnsiTheme="majorHAnsi"/>
                <w:spacing w:val="-2"/>
                <w:sz w:val="21"/>
                <w:szCs w:val="21"/>
              </w:rPr>
              <w:t xml:space="preserve"> IASC protection standards</w:t>
            </w:r>
            <w:r w:rsidR="00381BB9" w:rsidRPr="0061121B">
              <w:rPr>
                <w:rFonts w:asciiTheme="majorHAnsi" w:hAnsiTheme="majorHAnsi"/>
                <w:spacing w:val="-2"/>
                <w:sz w:val="21"/>
                <w:szCs w:val="21"/>
              </w:rPr>
              <w:t xml:space="preserve"> and recognises the importance of</w:t>
            </w:r>
            <w:r w:rsidR="005A4C16" w:rsidRPr="0061121B">
              <w:rPr>
                <w:rFonts w:asciiTheme="majorHAnsi" w:hAnsiTheme="majorHAnsi"/>
                <w:spacing w:val="-2"/>
                <w:sz w:val="21"/>
                <w:szCs w:val="21"/>
              </w:rPr>
              <w:t xml:space="preserve"> integrating them into </w:t>
            </w:r>
            <w:r w:rsidR="00817531">
              <w:rPr>
                <w:rFonts w:asciiTheme="majorHAnsi" w:hAnsiTheme="majorHAnsi"/>
                <w:spacing w:val="-2"/>
                <w:sz w:val="21"/>
                <w:szCs w:val="21"/>
              </w:rPr>
              <w:t>programming</w:t>
            </w:r>
            <w:r w:rsidR="005A4C16" w:rsidRPr="0061121B">
              <w:rPr>
                <w:rFonts w:asciiTheme="majorHAnsi" w:hAnsiTheme="majorHAnsi"/>
                <w:spacing w:val="-2"/>
                <w:sz w:val="21"/>
                <w:szCs w:val="21"/>
              </w:rPr>
              <w:t xml:space="preserve">. This includes through comprehensive protection risk analysis and three levels of action (strategic approach, dedicated programs and mainstreaming). </w:t>
            </w:r>
          </w:p>
          <w:p w14:paraId="2D9B5ACF" w14:textId="0FB83C56" w:rsidR="005A4C16" w:rsidRPr="0061121B" w:rsidRDefault="005A4C16" w:rsidP="008232F1">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Such an approach </w:t>
            </w:r>
            <w:r w:rsidR="003F073F">
              <w:rPr>
                <w:rFonts w:asciiTheme="majorHAnsi" w:hAnsiTheme="majorHAnsi"/>
                <w:spacing w:val="-2"/>
                <w:sz w:val="21"/>
                <w:szCs w:val="21"/>
              </w:rPr>
              <w:t xml:space="preserve">would </w:t>
            </w:r>
            <w:r w:rsidR="00291680">
              <w:rPr>
                <w:rFonts w:asciiTheme="majorHAnsi" w:hAnsiTheme="majorHAnsi"/>
                <w:spacing w:val="-2"/>
                <w:sz w:val="21"/>
                <w:szCs w:val="21"/>
              </w:rPr>
              <w:t>support</w:t>
            </w:r>
            <w:r w:rsidRPr="0061121B">
              <w:rPr>
                <w:rFonts w:asciiTheme="majorHAnsi" w:hAnsiTheme="majorHAnsi"/>
                <w:spacing w:val="-2"/>
                <w:sz w:val="21"/>
                <w:szCs w:val="21"/>
              </w:rPr>
              <w:t xml:space="preserve"> </w:t>
            </w:r>
            <w:r w:rsidR="00291680" w:rsidRPr="0061121B">
              <w:rPr>
                <w:rFonts w:asciiTheme="majorHAnsi" w:hAnsiTheme="majorHAnsi"/>
                <w:spacing w:val="-2"/>
                <w:sz w:val="21"/>
                <w:szCs w:val="21"/>
              </w:rPr>
              <w:t>engag</w:t>
            </w:r>
            <w:r w:rsidR="00417AD6">
              <w:rPr>
                <w:rFonts w:asciiTheme="majorHAnsi" w:hAnsiTheme="majorHAnsi"/>
                <w:spacing w:val="-2"/>
                <w:sz w:val="21"/>
                <w:szCs w:val="21"/>
              </w:rPr>
              <w:t>e</w:t>
            </w:r>
            <w:r w:rsidR="00291680">
              <w:rPr>
                <w:rFonts w:asciiTheme="majorHAnsi" w:hAnsiTheme="majorHAnsi"/>
                <w:spacing w:val="-2"/>
                <w:sz w:val="21"/>
                <w:szCs w:val="21"/>
              </w:rPr>
              <w:t>ment</w:t>
            </w:r>
            <w:r w:rsidR="00291680" w:rsidRPr="0061121B">
              <w:rPr>
                <w:rFonts w:asciiTheme="majorHAnsi" w:hAnsiTheme="majorHAnsi"/>
                <w:spacing w:val="-2"/>
                <w:sz w:val="21"/>
                <w:szCs w:val="21"/>
              </w:rPr>
              <w:t xml:space="preserve"> </w:t>
            </w:r>
            <w:r w:rsidRPr="0061121B">
              <w:rPr>
                <w:rFonts w:asciiTheme="majorHAnsi" w:hAnsiTheme="majorHAnsi"/>
                <w:spacing w:val="-2"/>
                <w:sz w:val="21"/>
                <w:szCs w:val="21"/>
              </w:rPr>
              <w:t>with the full range of protection risks and</w:t>
            </w:r>
            <w:r w:rsidR="00291680">
              <w:rPr>
                <w:rFonts w:asciiTheme="majorHAnsi" w:hAnsiTheme="majorHAnsi"/>
                <w:spacing w:val="-2"/>
                <w:sz w:val="21"/>
                <w:szCs w:val="21"/>
              </w:rPr>
              <w:t xml:space="preserve"> better</w:t>
            </w:r>
            <w:r w:rsidRPr="0061121B">
              <w:rPr>
                <w:rFonts w:asciiTheme="majorHAnsi" w:hAnsiTheme="majorHAnsi"/>
                <w:spacing w:val="-2"/>
                <w:sz w:val="21"/>
                <w:szCs w:val="21"/>
              </w:rPr>
              <w:t xml:space="preserve"> </w:t>
            </w:r>
            <w:r w:rsidR="003F073F">
              <w:rPr>
                <w:rFonts w:asciiTheme="majorHAnsi" w:hAnsiTheme="majorHAnsi"/>
                <w:spacing w:val="-2"/>
                <w:sz w:val="21"/>
                <w:szCs w:val="21"/>
              </w:rPr>
              <w:t>captur</w:t>
            </w:r>
            <w:r w:rsidR="00291680">
              <w:rPr>
                <w:rFonts w:asciiTheme="majorHAnsi" w:hAnsiTheme="majorHAnsi"/>
                <w:spacing w:val="-2"/>
                <w:sz w:val="21"/>
                <w:szCs w:val="21"/>
              </w:rPr>
              <w:t>e</w:t>
            </w:r>
            <w:r w:rsidRPr="0061121B">
              <w:rPr>
                <w:rFonts w:asciiTheme="majorHAnsi" w:hAnsiTheme="majorHAnsi"/>
                <w:spacing w:val="-2"/>
                <w:sz w:val="21"/>
                <w:szCs w:val="21"/>
              </w:rPr>
              <w:t xml:space="preserve"> activities that could have been underreported previously. </w:t>
            </w:r>
          </w:p>
          <w:p w14:paraId="20E9E31F" w14:textId="73ED6792" w:rsidR="00F4752F" w:rsidRPr="0061121B" w:rsidRDefault="00F4752F" w:rsidP="008232F1">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67F67258" w14:textId="77777777" w:rsidR="00C46EA8" w:rsidRPr="0061121B" w:rsidRDefault="00C46EA8" w:rsidP="008232F1">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24118CF8" w14:textId="47BAE52B" w:rsidR="00C46EA8" w:rsidRPr="0061121B" w:rsidRDefault="00C46EA8" w:rsidP="008232F1">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tc>
        <w:tc>
          <w:tcPr>
            <w:tcW w:w="4394" w:type="dxa"/>
          </w:tcPr>
          <w:p w14:paraId="1D8723D5" w14:textId="0CAF811F" w:rsidR="00F4752F" w:rsidRPr="00E40992" w:rsidRDefault="00EF6982" w:rsidP="00381BB9">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highlight w:val="yellow"/>
              </w:rPr>
            </w:pPr>
            <w:r w:rsidRPr="00EF6982">
              <w:rPr>
                <w:rFonts w:asciiTheme="majorHAnsi" w:hAnsiTheme="majorHAnsi"/>
                <w:spacing w:val="-2"/>
                <w:sz w:val="21"/>
                <w:szCs w:val="21"/>
              </w:rPr>
              <w:t xml:space="preserve">During the design and implementation of response to protracted crises DFAT will </w:t>
            </w:r>
            <w:r w:rsidR="00EC5306">
              <w:rPr>
                <w:rFonts w:asciiTheme="majorHAnsi" w:hAnsiTheme="majorHAnsi"/>
                <w:spacing w:val="-2"/>
                <w:sz w:val="21"/>
                <w:szCs w:val="21"/>
              </w:rPr>
              <w:t>encourage partners</w:t>
            </w:r>
            <w:r w:rsidRPr="00EF6982">
              <w:rPr>
                <w:rFonts w:asciiTheme="majorHAnsi" w:hAnsiTheme="majorHAnsi"/>
                <w:spacing w:val="-2"/>
                <w:sz w:val="21"/>
                <w:szCs w:val="21"/>
              </w:rPr>
              <w:t xml:space="preserve"> to demonstrate their adherence to the IASC standards and guidance on </w:t>
            </w:r>
            <w:r w:rsidR="00817531">
              <w:rPr>
                <w:rFonts w:asciiTheme="majorHAnsi" w:hAnsiTheme="majorHAnsi"/>
                <w:spacing w:val="-2"/>
                <w:sz w:val="21"/>
                <w:szCs w:val="21"/>
              </w:rPr>
              <w:t>p</w:t>
            </w:r>
            <w:r w:rsidRPr="00EF6982">
              <w:rPr>
                <w:rFonts w:asciiTheme="majorHAnsi" w:hAnsiTheme="majorHAnsi"/>
                <w:spacing w:val="-2"/>
                <w:sz w:val="21"/>
                <w:szCs w:val="21"/>
              </w:rPr>
              <w:t xml:space="preserve">rotection, </w:t>
            </w:r>
            <w:r w:rsidR="00817531">
              <w:rPr>
                <w:rFonts w:asciiTheme="majorHAnsi" w:hAnsiTheme="majorHAnsi"/>
                <w:spacing w:val="-2"/>
                <w:sz w:val="21"/>
                <w:szCs w:val="21"/>
              </w:rPr>
              <w:t>PSEA</w:t>
            </w:r>
            <w:r w:rsidRPr="00EF6982">
              <w:rPr>
                <w:rFonts w:asciiTheme="majorHAnsi" w:hAnsiTheme="majorHAnsi"/>
                <w:spacing w:val="-2"/>
                <w:sz w:val="21"/>
                <w:szCs w:val="21"/>
              </w:rPr>
              <w:t xml:space="preserve">, </w:t>
            </w:r>
            <w:r w:rsidR="00817531">
              <w:rPr>
                <w:rFonts w:asciiTheme="majorHAnsi" w:hAnsiTheme="majorHAnsi"/>
                <w:spacing w:val="-2"/>
                <w:sz w:val="21"/>
                <w:szCs w:val="21"/>
              </w:rPr>
              <w:t>g</w:t>
            </w:r>
            <w:r w:rsidRPr="00EF6982">
              <w:rPr>
                <w:rFonts w:asciiTheme="majorHAnsi" w:hAnsiTheme="majorHAnsi"/>
                <w:spacing w:val="-2"/>
                <w:sz w:val="21"/>
                <w:szCs w:val="21"/>
              </w:rPr>
              <w:t xml:space="preserve">ender </w:t>
            </w:r>
            <w:r w:rsidR="00817531">
              <w:rPr>
                <w:rFonts w:asciiTheme="majorHAnsi" w:hAnsiTheme="majorHAnsi"/>
                <w:spacing w:val="-2"/>
                <w:sz w:val="21"/>
                <w:szCs w:val="21"/>
              </w:rPr>
              <w:t>e</w:t>
            </w:r>
            <w:r w:rsidRPr="00EF6982">
              <w:rPr>
                <w:rFonts w:asciiTheme="majorHAnsi" w:hAnsiTheme="majorHAnsi"/>
                <w:spacing w:val="-2"/>
                <w:sz w:val="21"/>
                <w:szCs w:val="21"/>
              </w:rPr>
              <w:t xml:space="preserve">quality, </w:t>
            </w:r>
            <w:r w:rsidR="00817531">
              <w:rPr>
                <w:rFonts w:asciiTheme="majorHAnsi" w:hAnsiTheme="majorHAnsi"/>
                <w:spacing w:val="-2"/>
                <w:sz w:val="21"/>
                <w:szCs w:val="21"/>
              </w:rPr>
              <w:t>g</w:t>
            </w:r>
            <w:r w:rsidRPr="00EF6982">
              <w:rPr>
                <w:rFonts w:asciiTheme="majorHAnsi" w:hAnsiTheme="majorHAnsi"/>
                <w:spacing w:val="-2"/>
                <w:sz w:val="21"/>
                <w:szCs w:val="21"/>
              </w:rPr>
              <w:t>ender</w:t>
            </w:r>
            <w:r w:rsidR="00817531">
              <w:rPr>
                <w:rFonts w:asciiTheme="majorHAnsi" w:hAnsiTheme="majorHAnsi"/>
                <w:spacing w:val="-2"/>
                <w:sz w:val="21"/>
                <w:szCs w:val="21"/>
              </w:rPr>
              <w:t>-b</w:t>
            </w:r>
            <w:r w:rsidRPr="00EF6982">
              <w:rPr>
                <w:rFonts w:asciiTheme="majorHAnsi" w:hAnsiTheme="majorHAnsi"/>
                <w:spacing w:val="-2"/>
                <w:sz w:val="21"/>
                <w:szCs w:val="21"/>
              </w:rPr>
              <w:t xml:space="preserve">ased </w:t>
            </w:r>
            <w:r w:rsidR="00817531">
              <w:rPr>
                <w:rFonts w:asciiTheme="majorHAnsi" w:hAnsiTheme="majorHAnsi"/>
                <w:spacing w:val="-2"/>
                <w:sz w:val="21"/>
                <w:szCs w:val="21"/>
              </w:rPr>
              <w:t>v</w:t>
            </w:r>
            <w:r w:rsidRPr="00EF6982">
              <w:rPr>
                <w:rFonts w:asciiTheme="majorHAnsi" w:hAnsiTheme="majorHAnsi"/>
                <w:spacing w:val="-2"/>
                <w:sz w:val="21"/>
                <w:szCs w:val="21"/>
              </w:rPr>
              <w:t xml:space="preserve">iolence, </w:t>
            </w:r>
            <w:r w:rsidR="00817531">
              <w:rPr>
                <w:rFonts w:asciiTheme="majorHAnsi" w:hAnsiTheme="majorHAnsi"/>
                <w:spacing w:val="-2"/>
                <w:sz w:val="21"/>
                <w:szCs w:val="21"/>
              </w:rPr>
              <w:t xml:space="preserve">AAP, </w:t>
            </w:r>
            <w:r w:rsidRPr="00EF6982">
              <w:rPr>
                <w:rFonts w:asciiTheme="majorHAnsi" w:hAnsiTheme="majorHAnsi"/>
                <w:spacing w:val="-2"/>
                <w:sz w:val="21"/>
                <w:szCs w:val="21"/>
              </w:rPr>
              <w:t xml:space="preserve">or equivalent organisational policies. Further, these will be required to be reflected in partner and DFAT monitoring and evaluation frameworks. </w:t>
            </w:r>
          </w:p>
        </w:tc>
        <w:tc>
          <w:tcPr>
            <w:tcW w:w="1276" w:type="dxa"/>
          </w:tcPr>
          <w:p w14:paraId="6476733A" w14:textId="0929043D" w:rsidR="00F4752F" w:rsidRPr="0061121B" w:rsidRDefault="000936AB"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by July 2021</w:t>
            </w:r>
          </w:p>
        </w:tc>
      </w:tr>
      <w:tr w:rsidR="001C3056" w:rsidRPr="0061121B" w14:paraId="3F1A62F8" w14:textId="77777777" w:rsidTr="00AC356B">
        <w:tc>
          <w:tcPr>
            <w:cnfStyle w:val="001000000000" w:firstRow="0" w:lastRow="0" w:firstColumn="1" w:lastColumn="0" w:oddVBand="0" w:evenVBand="0" w:oddHBand="0" w:evenHBand="0" w:firstRowFirstColumn="0" w:firstRowLastColumn="0" w:lastRowFirstColumn="0" w:lastRowLastColumn="0"/>
            <w:tcW w:w="4106" w:type="dxa"/>
          </w:tcPr>
          <w:p w14:paraId="4557C9F7" w14:textId="77777777" w:rsidR="00F4752F" w:rsidRPr="0061121B" w:rsidRDefault="00F4752F" w:rsidP="002609D3">
            <w:pPr>
              <w:pStyle w:val="BodyText"/>
              <w:spacing w:before="60"/>
              <w:rPr>
                <w:rFonts w:asciiTheme="majorHAnsi" w:hAnsiTheme="majorHAnsi"/>
                <w:spacing w:val="-2"/>
                <w:sz w:val="21"/>
                <w:szCs w:val="21"/>
              </w:rPr>
            </w:pPr>
            <w:r w:rsidRPr="0061121B">
              <w:rPr>
                <w:rFonts w:asciiTheme="majorHAnsi" w:hAnsiTheme="majorHAnsi"/>
                <w:spacing w:val="-2"/>
                <w:sz w:val="21"/>
                <w:szCs w:val="21"/>
              </w:rPr>
              <w:t>Recommendation 3:</w:t>
            </w:r>
          </w:p>
          <w:p w14:paraId="362A2063" w14:textId="01F823F4" w:rsidR="007936BB" w:rsidRPr="0061121B" w:rsidRDefault="007E191E" w:rsidP="002609D3">
            <w:pPr>
              <w:pStyle w:val="BodyText"/>
              <w:spacing w:before="60"/>
              <w:rPr>
                <w:rFonts w:asciiTheme="majorHAnsi" w:hAnsiTheme="majorHAnsi"/>
                <w:spacing w:val="-2"/>
                <w:sz w:val="21"/>
                <w:szCs w:val="21"/>
              </w:rPr>
            </w:pPr>
            <w:r w:rsidRPr="0061121B">
              <w:rPr>
                <w:rFonts w:asciiTheme="majorHAnsi" w:hAnsiTheme="majorHAnsi"/>
                <w:spacing w:val="-2"/>
                <w:sz w:val="21"/>
                <w:szCs w:val="21"/>
              </w:rPr>
              <w:t xml:space="preserve">Progress connectedness, sustainability and efficiency through a staged transition to </w:t>
            </w:r>
            <w:r w:rsidR="00C46EA8" w:rsidRPr="0061121B">
              <w:rPr>
                <w:rFonts w:asciiTheme="majorHAnsi" w:hAnsiTheme="majorHAnsi"/>
                <w:spacing w:val="-2"/>
                <w:sz w:val="21"/>
                <w:szCs w:val="21"/>
              </w:rPr>
              <w:t>Government of Iraq (</w:t>
            </w:r>
            <w:proofErr w:type="spellStart"/>
            <w:r w:rsidR="00C46EA8" w:rsidRPr="0061121B">
              <w:rPr>
                <w:rFonts w:asciiTheme="majorHAnsi" w:hAnsiTheme="majorHAnsi"/>
                <w:spacing w:val="-2"/>
                <w:sz w:val="21"/>
                <w:szCs w:val="21"/>
              </w:rPr>
              <w:t>GoI</w:t>
            </w:r>
            <w:proofErr w:type="spellEnd"/>
            <w:r w:rsidR="00C46EA8" w:rsidRPr="0061121B">
              <w:rPr>
                <w:rFonts w:asciiTheme="majorHAnsi" w:hAnsiTheme="majorHAnsi"/>
                <w:spacing w:val="-2"/>
                <w:sz w:val="21"/>
                <w:szCs w:val="21"/>
              </w:rPr>
              <w:t xml:space="preserve">) </w:t>
            </w:r>
            <w:r w:rsidRPr="0061121B">
              <w:rPr>
                <w:rFonts w:asciiTheme="majorHAnsi" w:hAnsiTheme="majorHAnsi"/>
                <w:spacing w:val="-2"/>
                <w:sz w:val="21"/>
                <w:szCs w:val="21"/>
              </w:rPr>
              <w:t xml:space="preserve">leadership, </w:t>
            </w:r>
            <w:r w:rsidR="00C46EA8" w:rsidRPr="0061121B">
              <w:rPr>
                <w:rFonts w:asciiTheme="majorHAnsi" w:hAnsiTheme="majorHAnsi"/>
                <w:spacing w:val="-2"/>
                <w:sz w:val="21"/>
                <w:szCs w:val="21"/>
              </w:rPr>
              <w:t>continuing</w:t>
            </w:r>
            <w:r w:rsidRPr="0061121B">
              <w:rPr>
                <w:rFonts w:asciiTheme="majorHAnsi" w:hAnsiTheme="majorHAnsi"/>
                <w:spacing w:val="-2"/>
                <w:sz w:val="21"/>
                <w:szCs w:val="21"/>
              </w:rPr>
              <w:t xml:space="preserve"> multi-year funding, investing in local partner systems and advocat</w:t>
            </w:r>
            <w:r w:rsidR="00C46EA8" w:rsidRPr="0061121B">
              <w:rPr>
                <w:rFonts w:asciiTheme="majorHAnsi" w:hAnsiTheme="majorHAnsi"/>
                <w:spacing w:val="-2"/>
                <w:sz w:val="21"/>
                <w:szCs w:val="21"/>
              </w:rPr>
              <w:t>ing</w:t>
            </w:r>
            <w:r w:rsidRPr="0061121B">
              <w:rPr>
                <w:rFonts w:asciiTheme="majorHAnsi" w:hAnsiTheme="majorHAnsi"/>
                <w:spacing w:val="-2"/>
                <w:sz w:val="21"/>
                <w:szCs w:val="21"/>
              </w:rPr>
              <w:t xml:space="preserve"> for an appropriate and efficient coordination structure </w:t>
            </w:r>
          </w:p>
          <w:p w14:paraId="73CF6D23" w14:textId="65F0E729" w:rsidR="007936BB" w:rsidRPr="0061121B" w:rsidRDefault="005B0383" w:rsidP="00E40992">
            <w:pPr>
              <w:pStyle w:val="BodyText"/>
              <w:numPr>
                <w:ilvl w:val="0"/>
                <w:numId w:val="17"/>
              </w:numPr>
              <w:spacing w:before="60"/>
              <w:rPr>
                <w:rFonts w:asciiTheme="majorHAnsi" w:hAnsiTheme="majorHAnsi"/>
                <w:spacing w:val="-2"/>
                <w:sz w:val="21"/>
                <w:szCs w:val="21"/>
              </w:rPr>
            </w:pPr>
            <w:r w:rsidRPr="0061121B">
              <w:rPr>
                <w:rFonts w:asciiTheme="majorHAnsi" w:hAnsiTheme="majorHAnsi"/>
                <w:spacing w:val="-2"/>
                <w:sz w:val="21"/>
                <w:szCs w:val="21"/>
              </w:rPr>
              <w:t xml:space="preserve">Support a progressive transition toward </w:t>
            </w:r>
            <w:proofErr w:type="spellStart"/>
            <w:r w:rsidRPr="0061121B">
              <w:rPr>
                <w:rFonts w:asciiTheme="majorHAnsi" w:hAnsiTheme="majorHAnsi"/>
                <w:spacing w:val="-2"/>
                <w:sz w:val="21"/>
                <w:szCs w:val="21"/>
              </w:rPr>
              <w:t>GoI</w:t>
            </w:r>
            <w:proofErr w:type="spellEnd"/>
            <w:r w:rsidRPr="0061121B">
              <w:rPr>
                <w:rFonts w:asciiTheme="majorHAnsi" w:hAnsiTheme="majorHAnsi"/>
                <w:spacing w:val="-2"/>
                <w:sz w:val="21"/>
                <w:szCs w:val="21"/>
              </w:rPr>
              <w:t xml:space="preserve"> leadership, continue to provide multi-year funding and require partners build the financial management and reporting capacity of their local partners</w:t>
            </w:r>
          </w:p>
          <w:p w14:paraId="65E0F892" w14:textId="2019190E" w:rsidR="005B0383" w:rsidRPr="0061121B" w:rsidRDefault="005B0383" w:rsidP="00E40992">
            <w:pPr>
              <w:pStyle w:val="BodyText"/>
              <w:numPr>
                <w:ilvl w:val="0"/>
                <w:numId w:val="17"/>
              </w:numPr>
              <w:spacing w:before="60"/>
              <w:rPr>
                <w:rFonts w:asciiTheme="majorHAnsi" w:hAnsiTheme="majorHAnsi"/>
                <w:spacing w:val="-2"/>
                <w:sz w:val="21"/>
                <w:szCs w:val="21"/>
              </w:rPr>
            </w:pPr>
            <w:r w:rsidRPr="0061121B">
              <w:rPr>
                <w:rFonts w:asciiTheme="majorHAnsi" w:hAnsiTheme="majorHAnsi"/>
                <w:spacing w:val="-2"/>
                <w:sz w:val="21"/>
                <w:szCs w:val="21"/>
              </w:rPr>
              <w:t>Advocate for an appropriate and efficient coordination structure moving forward</w:t>
            </w:r>
          </w:p>
          <w:p w14:paraId="18A54C24" w14:textId="4B0D386B" w:rsidR="00F4752F" w:rsidRPr="0061121B" w:rsidRDefault="00F4752F" w:rsidP="002609D3">
            <w:pPr>
              <w:pStyle w:val="BodyText"/>
              <w:spacing w:before="60"/>
              <w:rPr>
                <w:rFonts w:asciiTheme="majorHAnsi" w:hAnsiTheme="majorHAnsi"/>
                <w:spacing w:val="-2"/>
                <w:sz w:val="21"/>
                <w:szCs w:val="21"/>
              </w:rPr>
            </w:pPr>
          </w:p>
        </w:tc>
        <w:tc>
          <w:tcPr>
            <w:tcW w:w="1042" w:type="dxa"/>
          </w:tcPr>
          <w:p w14:paraId="1866B814" w14:textId="77777777" w:rsidR="00F4752F" w:rsidRPr="0061121B" w:rsidRDefault="00F4752F"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lastRenderedPageBreak/>
              <w:t>Agree in part</w:t>
            </w:r>
          </w:p>
        </w:tc>
        <w:tc>
          <w:tcPr>
            <w:tcW w:w="4775" w:type="dxa"/>
          </w:tcPr>
          <w:p w14:paraId="1C7A4DCC" w14:textId="49F12C46" w:rsidR="00190F67" w:rsidRPr="0061121B" w:rsidRDefault="007E191E" w:rsidP="008232F1">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DFAT recognises the benefits of multi-year funding</w:t>
            </w:r>
            <w:r w:rsidR="00381BB9" w:rsidRPr="0061121B">
              <w:rPr>
                <w:rFonts w:asciiTheme="majorHAnsi" w:hAnsiTheme="majorHAnsi"/>
                <w:spacing w:val="-2"/>
                <w:sz w:val="21"/>
                <w:szCs w:val="21"/>
              </w:rPr>
              <w:t xml:space="preserve"> and investing in local partner system strengthening</w:t>
            </w:r>
            <w:r w:rsidRPr="0061121B">
              <w:rPr>
                <w:rFonts w:asciiTheme="majorHAnsi" w:hAnsiTheme="majorHAnsi"/>
                <w:spacing w:val="-2"/>
                <w:sz w:val="21"/>
                <w:szCs w:val="21"/>
              </w:rPr>
              <w:t>.</w:t>
            </w:r>
            <w:r w:rsidR="00E32F4F" w:rsidRPr="0061121B">
              <w:rPr>
                <w:rFonts w:asciiTheme="majorHAnsi" w:hAnsiTheme="majorHAnsi"/>
                <w:spacing w:val="-2"/>
                <w:sz w:val="21"/>
                <w:szCs w:val="21"/>
              </w:rPr>
              <w:t xml:space="preserve"> DFAT’s reprioritisation of </w:t>
            </w:r>
            <w:r w:rsidR="00B6082B">
              <w:rPr>
                <w:rFonts w:asciiTheme="majorHAnsi" w:hAnsiTheme="majorHAnsi"/>
                <w:spacing w:val="-2"/>
                <w:sz w:val="21"/>
                <w:szCs w:val="21"/>
              </w:rPr>
              <w:t>development assistance</w:t>
            </w:r>
            <w:r w:rsidR="00E32F4F" w:rsidRPr="0061121B">
              <w:rPr>
                <w:rFonts w:asciiTheme="majorHAnsi" w:hAnsiTheme="majorHAnsi"/>
                <w:spacing w:val="-2"/>
                <w:sz w:val="21"/>
                <w:szCs w:val="21"/>
              </w:rPr>
              <w:t xml:space="preserve"> in response to COVID-19 </w:t>
            </w:r>
            <w:r w:rsidR="00EC5306">
              <w:rPr>
                <w:rFonts w:asciiTheme="majorHAnsi" w:hAnsiTheme="majorHAnsi"/>
                <w:spacing w:val="-2"/>
                <w:sz w:val="21"/>
                <w:szCs w:val="21"/>
              </w:rPr>
              <w:t>may</w:t>
            </w:r>
            <w:r w:rsidR="00B6082B">
              <w:rPr>
                <w:rFonts w:asciiTheme="majorHAnsi" w:hAnsiTheme="majorHAnsi"/>
                <w:spacing w:val="-2"/>
                <w:sz w:val="21"/>
                <w:szCs w:val="21"/>
              </w:rPr>
              <w:t xml:space="preserve"> </w:t>
            </w:r>
            <w:r w:rsidR="00E32F4F" w:rsidRPr="0061121B">
              <w:rPr>
                <w:rFonts w:asciiTheme="majorHAnsi" w:hAnsiTheme="majorHAnsi"/>
                <w:spacing w:val="-2"/>
                <w:sz w:val="21"/>
                <w:szCs w:val="21"/>
              </w:rPr>
              <w:t>impact multi-yea</w:t>
            </w:r>
            <w:r w:rsidR="00B6082B">
              <w:rPr>
                <w:rFonts w:asciiTheme="majorHAnsi" w:hAnsiTheme="majorHAnsi"/>
                <w:spacing w:val="-2"/>
                <w:sz w:val="21"/>
                <w:szCs w:val="21"/>
              </w:rPr>
              <w:t>r funding commitments</w:t>
            </w:r>
            <w:r w:rsidR="00E32F4F" w:rsidRPr="0061121B">
              <w:rPr>
                <w:rFonts w:asciiTheme="majorHAnsi" w:hAnsiTheme="majorHAnsi"/>
                <w:spacing w:val="-2"/>
                <w:sz w:val="21"/>
                <w:szCs w:val="21"/>
              </w:rPr>
              <w:t>.</w:t>
            </w:r>
            <w:r w:rsidRPr="0061121B">
              <w:rPr>
                <w:rFonts w:asciiTheme="majorHAnsi" w:hAnsiTheme="majorHAnsi"/>
                <w:spacing w:val="-2"/>
                <w:sz w:val="21"/>
                <w:szCs w:val="21"/>
              </w:rPr>
              <w:t xml:space="preserve"> </w:t>
            </w:r>
          </w:p>
          <w:p w14:paraId="7E8CC39F" w14:textId="7FF03D2E" w:rsidR="00C46EA8" w:rsidRPr="0061121B" w:rsidRDefault="00C46EA8" w:rsidP="008232F1">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2E2D6BF8" w14:textId="2EFC08B1" w:rsidR="00F4752F" w:rsidRPr="0061121B" w:rsidRDefault="00A9140B">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In line with Grand Bargain commitments, DFAT supports principled humanitarian action that is as local as possible and as international as necessary, calibrated to achieve the best outcome for affected populations. This includes identifying opportunities to provide funding directly to local partners and international organisations with strong local partnerships and promote local leadership and the voice of affected populations. </w:t>
            </w:r>
          </w:p>
          <w:p w14:paraId="37B0972E" w14:textId="51D9DE2E" w:rsidR="00381BB9" w:rsidRPr="0061121B" w:rsidRDefault="00381BB9">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tc>
        <w:tc>
          <w:tcPr>
            <w:tcW w:w="4394" w:type="dxa"/>
          </w:tcPr>
          <w:p w14:paraId="6485B6A6" w14:textId="77777777" w:rsidR="00381BB9" w:rsidRPr="0061121B" w:rsidRDefault="00381BB9" w:rsidP="00381BB9">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For the remainder of the current Iraq investment and during the design and implementation of response to protracted crises </w:t>
            </w:r>
            <w:r w:rsidR="002C1333" w:rsidRPr="0061121B">
              <w:rPr>
                <w:rFonts w:asciiTheme="majorHAnsi" w:hAnsiTheme="majorHAnsi"/>
                <w:spacing w:val="-2"/>
                <w:sz w:val="21"/>
                <w:szCs w:val="21"/>
              </w:rPr>
              <w:t>DFAT will incorporate advocacy and capacity development activities within our monitoring and evaluation framework to ensure progress towards this recommendation.</w:t>
            </w:r>
            <w:r w:rsidRPr="0061121B">
              <w:rPr>
                <w:rFonts w:asciiTheme="majorHAnsi" w:hAnsiTheme="majorHAnsi"/>
                <w:spacing w:val="-2"/>
                <w:sz w:val="21"/>
                <w:szCs w:val="21"/>
              </w:rPr>
              <w:t xml:space="preserve"> </w:t>
            </w:r>
          </w:p>
          <w:p w14:paraId="29463C30" w14:textId="77777777" w:rsidR="00381BB9" w:rsidRPr="0061121B" w:rsidRDefault="00381BB9" w:rsidP="00381BB9">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6414EC34" w14:textId="36B5D180" w:rsidR="00F4752F" w:rsidRPr="0061121B" w:rsidRDefault="00B6082B" w:rsidP="00381BB9">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W</w:t>
            </w:r>
            <w:r w:rsidR="00381BB9" w:rsidRPr="0061121B">
              <w:rPr>
                <w:rFonts w:asciiTheme="majorHAnsi" w:hAnsiTheme="majorHAnsi"/>
                <w:spacing w:val="-2"/>
                <w:sz w:val="21"/>
                <w:szCs w:val="21"/>
              </w:rPr>
              <w:t xml:space="preserve">e will continue to work closely with partners to ensure capacity development of local partners progresses in Australia’s </w:t>
            </w:r>
            <w:r w:rsidR="00E32F4F" w:rsidRPr="0061121B">
              <w:rPr>
                <w:rFonts w:asciiTheme="majorHAnsi" w:hAnsiTheme="majorHAnsi"/>
                <w:spacing w:val="-2"/>
                <w:sz w:val="21"/>
                <w:szCs w:val="21"/>
              </w:rPr>
              <w:t>protracted</w:t>
            </w:r>
            <w:r w:rsidR="00381BB9" w:rsidRPr="0061121B">
              <w:rPr>
                <w:rFonts w:asciiTheme="majorHAnsi" w:hAnsiTheme="majorHAnsi"/>
                <w:spacing w:val="-2"/>
                <w:sz w:val="21"/>
                <w:szCs w:val="21"/>
              </w:rPr>
              <w:t xml:space="preserve"> crises responses</w:t>
            </w:r>
            <w:r>
              <w:rPr>
                <w:rFonts w:asciiTheme="majorHAnsi" w:hAnsiTheme="majorHAnsi"/>
                <w:spacing w:val="-2"/>
                <w:sz w:val="21"/>
                <w:szCs w:val="21"/>
              </w:rPr>
              <w:t>, including in Iraq</w:t>
            </w:r>
            <w:r w:rsidR="00381BB9" w:rsidRPr="0061121B">
              <w:rPr>
                <w:rFonts w:asciiTheme="majorHAnsi" w:hAnsiTheme="majorHAnsi"/>
                <w:spacing w:val="-2"/>
                <w:sz w:val="21"/>
                <w:szCs w:val="21"/>
              </w:rPr>
              <w:t xml:space="preserve">. </w:t>
            </w:r>
            <w:r w:rsidR="00291680">
              <w:rPr>
                <w:rFonts w:asciiTheme="majorHAnsi" w:hAnsiTheme="majorHAnsi"/>
                <w:spacing w:val="-2"/>
                <w:sz w:val="21"/>
                <w:szCs w:val="21"/>
              </w:rPr>
              <w:t>W</w:t>
            </w:r>
            <w:r w:rsidR="00381BB9" w:rsidRPr="0061121B">
              <w:rPr>
                <w:rFonts w:asciiTheme="majorHAnsi" w:hAnsiTheme="majorHAnsi"/>
                <w:spacing w:val="-2"/>
                <w:sz w:val="21"/>
                <w:szCs w:val="21"/>
              </w:rPr>
              <w:t>e will continue engagement with humanitarian coordination structures (i.e. the Humanitarian Country Team) and relevant Government-led coordination structures</w:t>
            </w:r>
            <w:r w:rsidR="003958A2">
              <w:rPr>
                <w:rFonts w:asciiTheme="majorHAnsi" w:hAnsiTheme="majorHAnsi"/>
                <w:spacing w:val="-2"/>
                <w:sz w:val="21"/>
                <w:szCs w:val="21"/>
              </w:rPr>
              <w:t xml:space="preserve"> to support increased levels of local leadership.</w:t>
            </w:r>
          </w:p>
          <w:p w14:paraId="4954A333" w14:textId="77777777" w:rsidR="00381BB9" w:rsidRPr="0061121B" w:rsidRDefault="00381BB9" w:rsidP="00381BB9">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0CA4973B" w14:textId="29C34E77" w:rsidR="00381BB9" w:rsidRPr="0061121B" w:rsidRDefault="00381BB9" w:rsidP="00381BB9">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DFAT will continue to work with </w:t>
            </w:r>
            <w:r w:rsidR="00B6082B">
              <w:rPr>
                <w:rFonts w:asciiTheme="majorHAnsi" w:hAnsiTheme="majorHAnsi"/>
                <w:spacing w:val="-2"/>
                <w:sz w:val="21"/>
                <w:szCs w:val="21"/>
              </w:rPr>
              <w:t>other governments</w:t>
            </w:r>
            <w:r w:rsidRPr="0061121B">
              <w:rPr>
                <w:rFonts w:asciiTheme="majorHAnsi" w:hAnsiTheme="majorHAnsi"/>
                <w:spacing w:val="-2"/>
                <w:sz w:val="21"/>
                <w:szCs w:val="21"/>
              </w:rPr>
              <w:t xml:space="preserve"> to ensure consistent messaging to </w:t>
            </w:r>
            <w:r w:rsidR="00B6082B">
              <w:rPr>
                <w:rFonts w:asciiTheme="majorHAnsi" w:hAnsiTheme="majorHAnsi"/>
                <w:spacing w:val="-2"/>
                <w:sz w:val="21"/>
                <w:szCs w:val="21"/>
              </w:rPr>
              <w:t>host g</w:t>
            </w:r>
            <w:r w:rsidRPr="0061121B">
              <w:rPr>
                <w:rFonts w:asciiTheme="majorHAnsi" w:hAnsiTheme="majorHAnsi"/>
                <w:spacing w:val="-2"/>
                <w:sz w:val="21"/>
                <w:szCs w:val="21"/>
              </w:rPr>
              <w:t>overnments</w:t>
            </w:r>
            <w:r w:rsidR="00B6082B">
              <w:rPr>
                <w:rFonts w:asciiTheme="majorHAnsi" w:hAnsiTheme="majorHAnsi"/>
                <w:spacing w:val="-2"/>
                <w:sz w:val="21"/>
                <w:szCs w:val="21"/>
              </w:rPr>
              <w:t xml:space="preserve">, </w:t>
            </w:r>
            <w:r w:rsidRPr="0061121B">
              <w:rPr>
                <w:rFonts w:asciiTheme="majorHAnsi" w:hAnsiTheme="majorHAnsi"/>
                <w:spacing w:val="-2"/>
                <w:sz w:val="21"/>
                <w:szCs w:val="21"/>
              </w:rPr>
              <w:t>UN and INGO partners on localisation approaches and local leadership.</w:t>
            </w:r>
          </w:p>
        </w:tc>
        <w:tc>
          <w:tcPr>
            <w:tcW w:w="1276" w:type="dxa"/>
          </w:tcPr>
          <w:p w14:paraId="214A6BE8" w14:textId="77777777" w:rsidR="00F4752F" w:rsidRPr="0061121B" w:rsidRDefault="00F4752F"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lastRenderedPageBreak/>
              <w:t>Ongoing</w:t>
            </w:r>
          </w:p>
        </w:tc>
      </w:tr>
      <w:tr w:rsidR="001C3056" w:rsidRPr="0061121B" w14:paraId="0167557B" w14:textId="77777777" w:rsidTr="00AC356B">
        <w:tc>
          <w:tcPr>
            <w:cnfStyle w:val="001000000000" w:firstRow="0" w:lastRow="0" w:firstColumn="1" w:lastColumn="0" w:oddVBand="0" w:evenVBand="0" w:oddHBand="0" w:evenHBand="0" w:firstRowFirstColumn="0" w:firstRowLastColumn="0" w:lastRowFirstColumn="0" w:lastRowLastColumn="0"/>
            <w:tcW w:w="0" w:type="dxa"/>
          </w:tcPr>
          <w:p w14:paraId="7253AD11" w14:textId="77777777" w:rsidR="00F4752F" w:rsidRPr="0061121B" w:rsidRDefault="00F4752F" w:rsidP="002609D3">
            <w:pPr>
              <w:pStyle w:val="BodyText"/>
              <w:spacing w:before="60"/>
              <w:rPr>
                <w:rFonts w:asciiTheme="majorHAnsi" w:hAnsiTheme="majorHAnsi"/>
                <w:spacing w:val="-2"/>
                <w:sz w:val="21"/>
                <w:szCs w:val="21"/>
              </w:rPr>
            </w:pPr>
            <w:r w:rsidRPr="0061121B">
              <w:rPr>
                <w:rFonts w:asciiTheme="majorHAnsi" w:hAnsiTheme="majorHAnsi"/>
                <w:spacing w:val="-2"/>
                <w:sz w:val="21"/>
                <w:szCs w:val="21"/>
              </w:rPr>
              <w:t>Recommendation 4:</w:t>
            </w:r>
          </w:p>
          <w:p w14:paraId="4E774344" w14:textId="3325FC4C" w:rsidR="00F4752F" w:rsidRPr="0061121B" w:rsidRDefault="002C1333" w:rsidP="002609D3">
            <w:pPr>
              <w:pStyle w:val="BodyText"/>
              <w:spacing w:before="60"/>
              <w:rPr>
                <w:rFonts w:asciiTheme="majorHAnsi" w:hAnsiTheme="majorHAnsi"/>
                <w:spacing w:val="-2"/>
                <w:sz w:val="21"/>
                <w:szCs w:val="21"/>
              </w:rPr>
            </w:pPr>
            <w:r w:rsidRPr="0061121B">
              <w:rPr>
                <w:rFonts w:asciiTheme="majorHAnsi" w:hAnsiTheme="majorHAnsi"/>
                <w:spacing w:val="-2"/>
                <w:sz w:val="21"/>
                <w:szCs w:val="21"/>
              </w:rPr>
              <w:t xml:space="preserve">Enhance </w:t>
            </w:r>
            <w:r w:rsidR="00376F98">
              <w:rPr>
                <w:rFonts w:asciiTheme="majorHAnsi" w:hAnsiTheme="majorHAnsi"/>
                <w:spacing w:val="-2"/>
                <w:sz w:val="21"/>
                <w:szCs w:val="21"/>
              </w:rPr>
              <w:t>p</w:t>
            </w:r>
            <w:r w:rsidRPr="0061121B">
              <w:rPr>
                <w:rFonts w:asciiTheme="majorHAnsi" w:hAnsiTheme="majorHAnsi"/>
                <w:spacing w:val="-2"/>
                <w:sz w:val="21"/>
                <w:szCs w:val="21"/>
              </w:rPr>
              <w:t>ackage level M&amp;E, document good practice, address systemic M&amp;E challenges and improve policy coherence</w:t>
            </w:r>
          </w:p>
          <w:p w14:paraId="4E49DD6A" w14:textId="77777777" w:rsidR="005B0383" w:rsidRPr="0061121B" w:rsidRDefault="005B0383" w:rsidP="002609D3">
            <w:pPr>
              <w:pStyle w:val="BodyText"/>
              <w:spacing w:before="60"/>
              <w:rPr>
                <w:rFonts w:asciiTheme="majorHAnsi" w:hAnsiTheme="majorHAnsi"/>
                <w:spacing w:val="-2"/>
                <w:sz w:val="21"/>
                <w:szCs w:val="21"/>
              </w:rPr>
            </w:pPr>
          </w:p>
          <w:p w14:paraId="2E65FBCE" w14:textId="77777777" w:rsidR="005B0383" w:rsidRPr="0061121B" w:rsidRDefault="005B0383" w:rsidP="00E40992">
            <w:pPr>
              <w:pStyle w:val="BodyText"/>
              <w:numPr>
                <w:ilvl w:val="0"/>
                <w:numId w:val="18"/>
              </w:numPr>
              <w:spacing w:before="60"/>
              <w:rPr>
                <w:rFonts w:asciiTheme="majorHAnsi" w:hAnsiTheme="majorHAnsi"/>
                <w:spacing w:val="-2"/>
                <w:sz w:val="21"/>
                <w:szCs w:val="21"/>
              </w:rPr>
            </w:pPr>
            <w:r w:rsidRPr="0061121B">
              <w:rPr>
                <w:rFonts w:asciiTheme="majorHAnsi" w:hAnsiTheme="majorHAnsi"/>
                <w:spacing w:val="-2"/>
                <w:sz w:val="21"/>
                <w:szCs w:val="21"/>
              </w:rPr>
              <w:t>Strengthen Package level M&amp;E through third party monitoring</w:t>
            </w:r>
          </w:p>
          <w:p w14:paraId="3B9C113D" w14:textId="77777777" w:rsidR="005B0383" w:rsidRPr="0061121B" w:rsidRDefault="005B0383" w:rsidP="00E40992">
            <w:pPr>
              <w:pStyle w:val="BodyText"/>
              <w:numPr>
                <w:ilvl w:val="0"/>
                <w:numId w:val="18"/>
              </w:numPr>
              <w:spacing w:before="60"/>
              <w:rPr>
                <w:rFonts w:asciiTheme="majorHAnsi" w:hAnsiTheme="majorHAnsi"/>
                <w:spacing w:val="-2"/>
                <w:sz w:val="21"/>
                <w:szCs w:val="21"/>
              </w:rPr>
            </w:pPr>
            <w:r w:rsidRPr="0061121B">
              <w:rPr>
                <w:rFonts w:asciiTheme="majorHAnsi" w:hAnsiTheme="majorHAnsi"/>
                <w:spacing w:val="-2"/>
                <w:sz w:val="21"/>
                <w:szCs w:val="21"/>
              </w:rPr>
              <w:t>Good practice lessons from Iraq should inform ongoing and future packages</w:t>
            </w:r>
          </w:p>
          <w:p w14:paraId="69CB4D57" w14:textId="77777777" w:rsidR="005B0383" w:rsidRPr="0061121B" w:rsidRDefault="005B0383" w:rsidP="00E40992">
            <w:pPr>
              <w:pStyle w:val="BodyText"/>
              <w:numPr>
                <w:ilvl w:val="0"/>
                <w:numId w:val="18"/>
              </w:numPr>
              <w:spacing w:before="60"/>
              <w:rPr>
                <w:rFonts w:asciiTheme="majorHAnsi" w:hAnsiTheme="majorHAnsi"/>
                <w:spacing w:val="-2"/>
                <w:sz w:val="21"/>
                <w:szCs w:val="21"/>
              </w:rPr>
            </w:pPr>
            <w:r w:rsidRPr="0061121B">
              <w:rPr>
                <w:rFonts w:asciiTheme="majorHAnsi" w:hAnsiTheme="majorHAnsi"/>
                <w:spacing w:val="-2"/>
                <w:sz w:val="21"/>
                <w:szCs w:val="21"/>
              </w:rPr>
              <w:t>Review the systemic challenges that result in high levels of variation in partner reporting, policy coherence and ability to capture results</w:t>
            </w:r>
          </w:p>
          <w:p w14:paraId="795453A6" w14:textId="77777777" w:rsidR="00376F98" w:rsidRDefault="005B0383" w:rsidP="00C539FE">
            <w:pPr>
              <w:pStyle w:val="BodyText"/>
              <w:numPr>
                <w:ilvl w:val="0"/>
                <w:numId w:val="18"/>
              </w:numPr>
              <w:spacing w:before="60"/>
              <w:rPr>
                <w:rFonts w:asciiTheme="majorHAnsi" w:hAnsiTheme="majorHAnsi"/>
                <w:spacing w:val="-2"/>
                <w:sz w:val="21"/>
                <w:szCs w:val="21"/>
              </w:rPr>
            </w:pPr>
            <w:r w:rsidRPr="0061121B">
              <w:rPr>
                <w:rFonts w:asciiTheme="majorHAnsi" w:hAnsiTheme="majorHAnsi"/>
                <w:spacing w:val="-2"/>
                <w:sz w:val="21"/>
                <w:szCs w:val="21"/>
              </w:rPr>
              <w:t>Initiate DFAT policy guidance to accompany the Partnerships for Recovery: Australia’s COVID-19 Development Response (2020) to support Australia’s engagement in complex protracted crises and address the significant policy level and normative developments since the release of the Humanitarian Strategy (2016) and Protection Framework (2013)</w:t>
            </w:r>
          </w:p>
          <w:p w14:paraId="3177CAA2" w14:textId="77777777" w:rsidR="00376F98" w:rsidRDefault="00376F98" w:rsidP="00C539FE">
            <w:pPr>
              <w:pStyle w:val="BodyText"/>
              <w:spacing w:before="60"/>
              <w:ind w:left="720"/>
              <w:rPr>
                <w:rFonts w:asciiTheme="majorHAnsi" w:hAnsiTheme="majorHAnsi"/>
                <w:spacing w:val="-2"/>
                <w:sz w:val="21"/>
                <w:szCs w:val="21"/>
              </w:rPr>
            </w:pPr>
          </w:p>
          <w:p w14:paraId="23B691D0" w14:textId="77777777" w:rsidR="00376F98" w:rsidRDefault="00376F98" w:rsidP="00C539FE">
            <w:pPr>
              <w:pStyle w:val="BodyText"/>
              <w:spacing w:before="60"/>
              <w:ind w:left="720"/>
              <w:rPr>
                <w:rFonts w:asciiTheme="majorHAnsi" w:hAnsiTheme="majorHAnsi"/>
                <w:spacing w:val="-2"/>
                <w:sz w:val="21"/>
                <w:szCs w:val="21"/>
              </w:rPr>
            </w:pPr>
          </w:p>
          <w:p w14:paraId="073F13ED" w14:textId="77777777" w:rsidR="00376F98" w:rsidRDefault="00376F98" w:rsidP="00C539FE">
            <w:pPr>
              <w:pStyle w:val="BodyText"/>
              <w:spacing w:before="60"/>
              <w:ind w:left="720"/>
              <w:rPr>
                <w:rFonts w:asciiTheme="majorHAnsi" w:hAnsiTheme="majorHAnsi"/>
                <w:spacing w:val="-2"/>
                <w:sz w:val="21"/>
                <w:szCs w:val="21"/>
              </w:rPr>
            </w:pPr>
          </w:p>
          <w:p w14:paraId="65F6CF36" w14:textId="77777777" w:rsidR="00376F98" w:rsidRDefault="00376F98" w:rsidP="00C539FE">
            <w:pPr>
              <w:pStyle w:val="BodyText"/>
              <w:spacing w:before="60"/>
              <w:ind w:left="720"/>
              <w:rPr>
                <w:rFonts w:asciiTheme="majorHAnsi" w:hAnsiTheme="majorHAnsi"/>
                <w:spacing w:val="-2"/>
                <w:sz w:val="21"/>
                <w:szCs w:val="21"/>
              </w:rPr>
            </w:pPr>
          </w:p>
          <w:p w14:paraId="0F235160" w14:textId="6BF9B738" w:rsidR="00376F98" w:rsidRPr="00C539FE" w:rsidRDefault="00376F98" w:rsidP="00C539FE">
            <w:pPr>
              <w:pStyle w:val="BodyText"/>
              <w:spacing w:before="60"/>
              <w:ind w:left="720"/>
              <w:rPr>
                <w:rFonts w:asciiTheme="majorHAnsi" w:hAnsiTheme="majorHAnsi"/>
                <w:spacing w:val="-2"/>
                <w:sz w:val="21"/>
                <w:szCs w:val="21"/>
              </w:rPr>
            </w:pPr>
          </w:p>
        </w:tc>
        <w:tc>
          <w:tcPr>
            <w:tcW w:w="0" w:type="dxa"/>
          </w:tcPr>
          <w:p w14:paraId="58F58E70" w14:textId="0CAEE267" w:rsidR="00F4752F" w:rsidRPr="0061121B" w:rsidRDefault="008D5A5F"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Agree</w:t>
            </w:r>
          </w:p>
        </w:tc>
        <w:tc>
          <w:tcPr>
            <w:tcW w:w="0" w:type="dxa"/>
          </w:tcPr>
          <w:p w14:paraId="54238513" w14:textId="1742E71B" w:rsidR="00D230CA" w:rsidRPr="0061121B" w:rsidRDefault="002C1333" w:rsidP="001C3056">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DFAT </w:t>
            </w:r>
            <w:r w:rsidR="005C358D" w:rsidRPr="0061121B">
              <w:rPr>
                <w:rFonts w:asciiTheme="majorHAnsi" w:hAnsiTheme="majorHAnsi"/>
                <w:spacing w:val="-2"/>
                <w:sz w:val="21"/>
                <w:szCs w:val="21"/>
              </w:rPr>
              <w:t>agrees that</w:t>
            </w:r>
            <w:r w:rsidR="00D230CA" w:rsidRPr="0061121B">
              <w:rPr>
                <w:rFonts w:asciiTheme="majorHAnsi" w:hAnsiTheme="majorHAnsi"/>
                <w:spacing w:val="-2"/>
                <w:sz w:val="21"/>
                <w:szCs w:val="21"/>
              </w:rPr>
              <w:t xml:space="preserve"> documenting and </w:t>
            </w:r>
            <w:r w:rsidR="00313AB6" w:rsidRPr="0061121B">
              <w:rPr>
                <w:rFonts w:asciiTheme="majorHAnsi" w:hAnsiTheme="majorHAnsi"/>
                <w:spacing w:val="-2"/>
                <w:sz w:val="21"/>
                <w:szCs w:val="21"/>
              </w:rPr>
              <w:t xml:space="preserve">sharing </w:t>
            </w:r>
            <w:r w:rsidR="00D230CA" w:rsidRPr="0061121B">
              <w:rPr>
                <w:rFonts w:asciiTheme="majorHAnsi" w:hAnsiTheme="majorHAnsi"/>
                <w:spacing w:val="-2"/>
                <w:sz w:val="21"/>
                <w:szCs w:val="21"/>
              </w:rPr>
              <w:t xml:space="preserve">good practice lessons is important for the future of </w:t>
            </w:r>
            <w:r w:rsidR="005B1720" w:rsidRPr="0061121B">
              <w:rPr>
                <w:rFonts w:asciiTheme="majorHAnsi" w:hAnsiTheme="majorHAnsi"/>
                <w:spacing w:val="-2"/>
                <w:sz w:val="21"/>
                <w:szCs w:val="21"/>
              </w:rPr>
              <w:t>Australia’s</w:t>
            </w:r>
            <w:r w:rsidR="00D230CA" w:rsidRPr="0061121B">
              <w:rPr>
                <w:rFonts w:asciiTheme="majorHAnsi" w:hAnsiTheme="majorHAnsi"/>
                <w:spacing w:val="-2"/>
                <w:sz w:val="21"/>
                <w:szCs w:val="21"/>
              </w:rPr>
              <w:t xml:space="preserve"> protracted crises responses. </w:t>
            </w:r>
          </w:p>
          <w:p w14:paraId="6447D963" w14:textId="77777777" w:rsidR="00D230CA" w:rsidRPr="0061121B" w:rsidRDefault="00D230CA" w:rsidP="001C3056">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35EC4073" w14:textId="502661A6" w:rsidR="005C358D" w:rsidRPr="0061121B" w:rsidRDefault="000E615F" w:rsidP="001C3056">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Subject to resources, </w:t>
            </w:r>
            <w:r w:rsidR="00D230CA" w:rsidRPr="0061121B">
              <w:rPr>
                <w:rFonts w:asciiTheme="majorHAnsi" w:hAnsiTheme="majorHAnsi"/>
                <w:spacing w:val="-2"/>
                <w:sz w:val="21"/>
                <w:szCs w:val="21"/>
              </w:rPr>
              <w:t xml:space="preserve">DFAT also agrees </w:t>
            </w:r>
            <w:r w:rsidR="00376F98">
              <w:rPr>
                <w:rFonts w:asciiTheme="majorHAnsi" w:hAnsiTheme="majorHAnsi"/>
                <w:spacing w:val="-2"/>
                <w:sz w:val="21"/>
                <w:szCs w:val="21"/>
              </w:rPr>
              <w:t>in principle</w:t>
            </w:r>
            <w:r w:rsidR="00A774EB">
              <w:rPr>
                <w:rFonts w:asciiTheme="majorHAnsi" w:hAnsiTheme="majorHAnsi"/>
                <w:spacing w:val="-2"/>
                <w:sz w:val="21"/>
                <w:szCs w:val="21"/>
              </w:rPr>
              <w:t xml:space="preserve"> that</w:t>
            </w:r>
            <w:r w:rsidR="00376F98">
              <w:rPr>
                <w:rFonts w:asciiTheme="majorHAnsi" w:hAnsiTheme="majorHAnsi"/>
                <w:spacing w:val="-2"/>
                <w:sz w:val="21"/>
                <w:szCs w:val="21"/>
              </w:rPr>
              <w:t xml:space="preserve"> </w:t>
            </w:r>
            <w:r w:rsidR="00D230CA" w:rsidRPr="0061121B">
              <w:rPr>
                <w:rFonts w:asciiTheme="majorHAnsi" w:hAnsiTheme="majorHAnsi"/>
                <w:spacing w:val="-2"/>
                <w:sz w:val="21"/>
                <w:szCs w:val="21"/>
              </w:rPr>
              <w:t xml:space="preserve">there is value in </w:t>
            </w:r>
            <w:r w:rsidR="00B6082B">
              <w:rPr>
                <w:rFonts w:asciiTheme="majorHAnsi" w:hAnsiTheme="majorHAnsi"/>
                <w:spacing w:val="-2"/>
                <w:sz w:val="21"/>
                <w:szCs w:val="21"/>
              </w:rPr>
              <w:t>exploring t</w:t>
            </w:r>
            <w:r w:rsidR="002C1333" w:rsidRPr="0061121B">
              <w:rPr>
                <w:rFonts w:asciiTheme="majorHAnsi" w:hAnsiTheme="majorHAnsi"/>
                <w:spacing w:val="-2"/>
                <w:sz w:val="21"/>
                <w:szCs w:val="21"/>
              </w:rPr>
              <w:t xml:space="preserve">hird </w:t>
            </w:r>
            <w:r w:rsidR="00B6082B">
              <w:rPr>
                <w:rFonts w:asciiTheme="majorHAnsi" w:hAnsiTheme="majorHAnsi"/>
                <w:spacing w:val="-2"/>
                <w:sz w:val="21"/>
                <w:szCs w:val="21"/>
              </w:rPr>
              <w:t>p</w:t>
            </w:r>
            <w:r w:rsidR="002C1333" w:rsidRPr="0061121B">
              <w:rPr>
                <w:rFonts w:asciiTheme="majorHAnsi" w:hAnsiTheme="majorHAnsi"/>
                <w:spacing w:val="-2"/>
                <w:sz w:val="21"/>
                <w:szCs w:val="21"/>
              </w:rPr>
              <w:t>arty</w:t>
            </w:r>
            <w:r w:rsidR="005C358D" w:rsidRPr="0061121B">
              <w:rPr>
                <w:rFonts w:asciiTheme="majorHAnsi" w:hAnsiTheme="majorHAnsi"/>
                <w:spacing w:val="-2"/>
                <w:sz w:val="21"/>
                <w:szCs w:val="21"/>
              </w:rPr>
              <w:t xml:space="preserve"> </w:t>
            </w:r>
            <w:r w:rsidR="00B6082B">
              <w:rPr>
                <w:rFonts w:asciiTheme="majorHAnsi" w:hAnsiTheme="majorHAnsi"/>
                <w:spacing w:val="-2"/>
                <w:sz w:val="21"/>
                <w:szCs w:val="21"/>
              </w:rPr>
              <w:t>m</w:t>
            </w:r>
            <w:r w:rsidR="005C358D" w:rsidRPr="0061121B">
              <w:rPr>
                <w:rFonts w:asciiTheme="majorHAnsi" w:hAnsiTheme="majorHAnsi"/>
                <w:spacing w:val="-2"/>
                <w:sz w:val="21"/>
                <w:szCs w:val="21"/>
              </w:rPr>
              <w:t>o</w:t>
            </w:r>
            <w:r w:rsidR="002C1333" w:rsidRPr="0061121B">
              <w:rPr>
                <w:rFonts w:asciiTheme="majorHAnsi" w:hAnsiTheme="majorHAnsi"/>
                <w:spacing w:val="-2"/>
                <w:sz w:val="21"/>
                <w:szCs w:val="21"/>
              </w:rPr>
              <w:t>nitoring</w:t>
            </w:r>
            <w:r w:rsidR="00313AB6" w:rsidRPr="0061121B">
              <w:rPr>
                <w:rFonts w:asciiTheme="majorHAnsi" w:hAnsiTheme="majorHAnsi"/>
                <w:spacing w:val="-2"/>
                <w:sz w:val="21"/>
                <w:szCs w:val="21"/>
              </w:rPr>
              <w:t xml:space="preserve"> (TPM)</w:t>
            </w:r>
            <w:r w:rsidR="002C1333" w:rsidRPr="0061121B">
              <w:rPr>
                <w:rFonts w:asciiTheme="majorHAnsi" w:hAnsiTheme="majorHAnsi"/>
                <w:spacing w:val="-2"/>
                <w:sz w:val="21"/>
                <w:szCs w:val="21"/>
              </w:rPr>
              <w:t xml:space="preserve"> in countries like Iraq</w:t>
            </w:r>
            <w:r w:rsidR="00EB40B7" w:rsidRPr="0061121B">
              <w:rPr>
                <w:rFonts w:asciiTheme="majorHAnsi" w:hAnsiTheme="majorHAnsi"/>
                <w:spacing w:val="-2"/>
                <w:sz w:val="21"/>
                <w:szCs w:val="21"/>
              </w:rPr>
              <w:t xml:space="preserve"> to strengthen package level M&amp;E </w:t>
            </w:r>
            <w:r>
              <w:rPr>
                <w:rFonts w:asciiTheme="majorHAnsi" w:hAnsiTheme="majorHAnsi"/>
                <w:spacing w:val="-2"/>
                <w:sz w:val="21"/>
                <w:szCs w:val="21"/>
              </w:rPr>
              <w:t>to</w:t>
            </w:r>
            <w:r w:rsidR="005C358D" w:rsidRPr="0061121B">
              <w:rPr>
                <w:rFonts w:asciiTheme="majorHAnsi" w:hAnsiTheme="majorHAnsi"/>
                <w:spacing w:val="-2"/>
                <w:sz w:val="21"/>
                <w:szCs w:val="21"/>
              </w:rPr>
              <w:t xml:space="preserve"> </w:t>
            </w:r>
            <w:r w:rsidR="007D2C3A" w:rsidRPr="0061121B">
              <w:rPr>
                <w:rFonts w:asciiTheme="majorHAnsi" w:hAnsiTheme="majorHAnsi"/>
                <w:spacing w:val="-2"/>
                <w:sz w:val="21"/>
                <w:szCs w:val="21"/>
              </w:rPr>
              <w:t xml:space="preserve">help mitigate risk and improve </w:t>
            </w:r>
            <w:r w:rsidR="005C358D" w:rsidRPr="0061121B">
              <w:rPr>
                <w:rFonts w:asciiTheme="majorHAnsi" w:hAnsiTheme="majorHAnsi"/>
                <w:spacing w:val="-2"/>
                <w:sz w:val="21"/>
                <w:szCs w:val="21"/>
              </w:rPr>
              <w:t xml:space="preserve">the </w:t>
            </w:r>
            <w:r w:rsidR="007D2C3A" w:rsidRPr="0061121B">
              <w:rPr>
                <w:rFonts w:asciiTheme="majorHAnsi" w:hAnsiTheme="majorHAnsi"/>
                <w:spacing w:val="-2"/>
                <w:sz w:val="21"/>
                <w:szCs w:val="21"/>
              </w:rPr>
              <w:t>triangulation</w:t>
            </w:r>
            <w:r w:rsidR="005C358D" w:rsidRPr="0061121B">
              <w:rPr>
                <w:rFonts w:asciiTheme="majorHAnsi" w:hAnsiTheme="majorHAnsi"/>
                <w:spacing w:val="-2"/>
                <w:sz w:val="21"/>
                <w:szCs w:val="21"/>
              </w:rPr>
              <w:t xml:space="preserve"> and </w:t>
            </w:r>
            <w:r w:rsidR="007D2C3A" w:rsidRPr="0061121B">
              <w:rPr>
                <w:rFonts w:asciiTheme="majorHAnsi" w:hAnsiTheme="majorHAnsi"/>
                <w:spacing w:val="-2"/>
                <w:sz w:val="21"/>
                <w:szCs w:val="21"/>
              </w:rPr>
              <w:t xml:space="preserve">verification of partner reporting. </w:t>
            </w:r>
          </w:p>
          <w:p w14:paraId="1CBD6A98" w14:textId="77777777" w:rsidR="005B1720" w:rsidRPr="0061121B" w:rsidRDefault="005B1720" w:rsidP="001F15A0">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5F66523A" w14:textId="647F73A0" w:rsidR="00F4752F" w:rsidRPr="0061121B" w:rsidRDefault="00663756" w:rsidP="005F2ABB">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DFAT</w:t>
            </w:r>
            <w:r w:rsidR="008D5A5F" w:rsidRPr="00E40992">
              <w:rPr>
                <w:rFonts w:asciiTheme="majorHAnsi" w:hAnsiTheme="majorHAnsi"/>
                <w:spacing w:val="-2"/>
                <w:sz w:val="21"/>
                <w:szCs w:val="21"/>
              </w:rPr>
              <w:t xml:space="preserve"> agrees that</w:t>
            </w:r>
            <w:r w:rsidR="00EC5306">
              <w:rPr>
                <w:rFonts w:asciiTheme="majorHAnsi" w:hAnsiTheme="majorHAnsi"/>
                <w:spacing w:val="-2"/>
                <w:sz w:val="21"/>
                <w:szCs w:val="21"/>
              </w:rPr>
              <w:t xml:space="preserve"> </w:t>
            </w:r>
            <w:r w:rsidR="00404CA5">
              <w:rPr>
                <w:rFonts w:asciiTheme="majorHAnsi" w:hAnsiTheme="majorHAnsi"/>
                <w:spacing w:val="-2"/>
                <w:sz w:val="21"/>
                <w:szCs w:val="21"/>
              </w:rPr>
              <w:t xml:space="preserve">new </w:t>
            </w:r>
            <w:r w:rsidR="008D5A5F" w:rsidRPr="00E40992">
              <w:rPr>
                <w:rFonts w:asciiTheme="majorHAnsi" w:hAnsiTheme="majorHAnsi"/>
                <w:spacing w:val="-2"/>
                <w:sz w:val="21"/>
                <w:szCs w:val="21"/>
              </w:rPr>
              <w:t xml:space="preserve">policy guidance </w:t>
            </w:r>
            <w:r w:rsidR="00EC5306">
              <w:rPr>
                <w:rFonts w:asciiTheme="majorHAnsi" w:hAnsiTheme="majorHAnsi"/>
                <w:spacing w:val="-2"/>
                <w:sz w:val="21"/>
                <w:szCs w:val="21"/>
              </w:rPr>
              <w:t>articulates</w:t>
            </w:r>
            <w:r w:rsidR="00404CA5">
              <w:rPr>
                <w:rFonts w:asciiTheme="majorHAnsi" w:hAnsiTheme="majorHAnsi"/>
                <w:spacing w:val="-2"/>
                <w:sz w:val="21"/>
                <w:szCs w:val="21"/>
              </w:rPr>
              <w:t xml:space="preserve"> and where possible incorporates</w:t>
            </w:r>
            <w:r w:rsidR="00EC5306">
              <w:rPr>
                <w:rFonts w:asciiTheme="majorHAnsi" w:hAnsiTheme="majorHAnsi"/>
                <w:spacing w:val="-2"/>
                <w:sz w:val="21"/>
                <w:szCs w:val="21"/>
              </w:rPr>
              <w:t xml:space="preserve"> policy developments </w:t>
            </w:r>
            <w:r w:rsidR="00404CA5">
              <w:rPr>
                <w:rFonts w:asciiTheme="majorHAnsi" w:hAnsiTheme="majorHAnsi"/>
                <w:spacing w:val="-2"/>
                <w:sz w:val="21"/>
                <w:szCs w:val="21"/>
              </w:rPr>
              <w:t>relev</w:t>
            </w:r>
            <w:r w:rsidR="00417AD6">
              <w:rPr>
                <w:rFonts w:asciiTheme="majorHAnsi" w:hAnsiTheme="majorHAnsi"/>
                <w:spacing w:val="-2"/>
                <w:sz w:val="21"/>
                <w:szCs w:val="21"/>
              </w:rPr>
              <w:t>a</w:t>
            </w:r>
            <w:r w:rsidR="00404CA5">
              <w:rPr>
                <w:rFonts w:asciiTheme="majorHAnsi" w:hAnsiTheme="majorHAnsi"/>
                <w:spacing w:val="-2"/>
                <w:sz w:val="21"/>
                <w:szCs w:val="21"/>
              </w:rPr>
              <w:t>nt</w:t>
            </w:r>
            <w:r w:rsidR="008D5A5F" w:rsidRPr="00E40992">
              <w:rPr>
                <w:rFonts w:asciiTheme="majorHAnsi" w:hAnsiTheme="majorHAnsi"/>
                <w:spacing w:val="-2"/>
                <w:sz w:val="21"/>
                <w:szCs w:val="21"/>
              </w:rPr>
              <w:t xml:space="preserve"> to our engagement in </w:t>
            </w:r>
            <w:r w:rsidR="00E41245" w:rsidRPr="00E40992">
              <w:rPr>
                <w:rFonts w:asciiTheme="majorHAnsi" w:hAnsiTheme="majorHAnsi"/>
                <w:spacing w:val="-2"/>
                <w:sz w:val="21"/>
                <w:szCs w:val="21"/>
              </w:rPr>
              <w:t>p</w:t>
            </w:r>
            <w:r w:rsidR="008D5A5F" w:rsidRPr="00E40992">
              <w:rPr>
                <w:rFonts w:asciiTheme="majorHAnsi" w:hAnsiTheme="majorHAnsi"/>
                <w:spacing w:val="-2"/>
                <w:sz w:val="21"/>
                <w:szCs w:val="21"/>
              </w:rPr>
              <w:t>rotracted crisis.</w:t>
            </w:r>
            <w:r w:rsidRPr="0061121B">
              <w:rPr>
                <w:rFonts w:asciiTheme="majorHAnsi" w:hAnsiTheme="majorHAnsi"/>
                <w:spacing w:val="-2"/>
                <w:sz w:val="21"/>
                <w:szCs w:val="21"/>
              </w:rPr>
              <w:t xml:space="preserve"> </w:t>
            </w:r>
          </w:p>
        </w:tc>
        <w:tc>
          <w:tcPr>
            <w:tcW w:w="0" w:type="dxa"/>
          </w:tcPr>
          <w:p w14:paraId="55774F67" w14:textId="46987B27" w:rsidR="00DF46C3" w:rsidRPr="0061121B" w:rsidRDefault="00DF46C3" w:rsidP="004D6AC0">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DFAT will continue to work with partners to strengthen the consistency of their reporting through agreements and regular engagement.</w:t>
            </w:r>
          </w:p>
          <w:p w14:paraId="793E0312" w14:textId="77777777" w:rsidR="0035488F" w:rsidRPr="0061121B" w:rsidRDefault="0035488F" w:rsidP="00D230CA">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42850F02" w14:textId="2ADD6F7E" w:rsidR="008D5A5F" w:rsidRPr="0061121B" w:rsidRDefault="00DF46C3" w:rsidP="00D230CA">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DFAT will </w:t>
            </w:r>
            <w:r w:rsidR="00291680">
              <w:rPr>
                <w:rFonts w:asciiTheme="majorHAnsi" w:hAnsiTheme="majorHAnsi"/>
                <w:spacing w:val="-2"/>
                <w:sz w:val="21"/>
                <w:szCs w:val="21"/>
              </w:rPr>
              <w:t>consider lessons from the Iraq package in shaping future humanitarian and nexus policy guidance.</w:t>
            </w:r>
            <w:r w:rsidR="005C358D" w:rsidRPr="0061121B">
              <w:rPr>
                <w:rFonts w:asciiTheme="majorHAnsi" w:hAnsiTheme="majorHAnsi"/>
                <w:spacing w:val="-2"/>
                <w:sz w:val="21"/>
                <w:szCs w:val="21"/>
              </w:rPr>
              <w:t xml:space="preserve"> </w:t>
            </w:r>
          </w:p>
          <w:p w14:paraId="5A2FFE25" w14:textId="77777777" w:rsidR="008D5A5F" w:rsidRPr="0061121B" w:rsidRDefault="008D5A5F" w:rsidP="00D230CA">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1D8803E5" w14:textId="3135C6D4" w:rsidR="00D230CA" w:rsidRPr="0061121B" w:rsidRDefault="00D230CA" w:rsidP="00D230CA">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DFAT will investigate options for TPM, review how policies in Do Not Travel locations (i.e. Workplace Health and Safety [WHS]) impact this option, and assess cost implications in the </w:t>
            </w:r>
            <w:r w:rsidR="006178B4">
              <w:rPr>
                <w:rFonts w:asciiTheme="majorHAnsi" w:hAnsiTheme="majorHAnsi"/>
                <w:spacing w:val="-2"/>
                <w:sz w:val="21"/>
                <w:szCs w:val="21"/>
              </w:rPr>
              <w:t>context of resource limitations and funding priorities</w:t>
            </w:r>
            <w:r w:rsidRPr="0061121B">
              <w:rPr>
                <w:rFonts w:asciiTheme="majorHAnsi" w:hAnsiTheme="majorHAnsi"/>
                <w:spacing w:val="-2"/>
                <w:sz w:val="21"/>
                <w:szCs w:val="21"/>
              </w:rPr>
              <w:t xml:space="preserve">. </w:t>
            </w:r>
          </w:p>
          <w:p w14:paraId="4C391D62" w14:textId="77777777" w:rsidR="005B1720" w:rsidRPr="0061121B" w:rsidRDefault="005B1720" w:rsidP="00D230CA">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10C97CA8" w14:textId="024C828D" w:rsidR="00D230CA" w:rsidRPr="0061121B" w:rsidRDefault="00D230CA" w:rsidP="00D230CA">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DFAT will continue to work with partners to improve consistency in reporting, including through detailing reporting requirements in agreements.</w:t>
            </w:r>
          </w:p>
          <w:p w14:paraId="44E37A5E" w14:textId="5A26388F" w:rsidR="00F4752F" w:rsidRPr="0061121B" w:rsidRDefault="00F4752F" w:rsidP="004679F1">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tc>
        <w:tc>
          <w:tcPr>
            <w:tcW w:w="0" w:type="dxa"/>
          </w:tcPr>
          <w:p w14:paraId="65DA43C9" w14:textId="32386800" w:rsidR="00F4752F" w:rsidRPr="0061121B" w:rsidRDefault="00C73440" w:rsidP="00C73440">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Ongoing</w:t>
            </w:r>
          </w:p>
        </w:tc>
      </w:tr>
      <w:tr w:rsidR="001C3056" w14:paraId="52E9F9B0" w14:textId="77777777" w:rsidTr="00AC356B">
        <w:tc>
          <w:tcPr>
            <w:cnfStyle w:val="001000000000" w:firstRow="0" w:lastRow="0" w:firstColumn="1" w:lastColumn="0" w:oddVBand="0" w:evenVBand="0" w:oddHBand="0" w:evenHBand="0" w:firstRowFirstColumn="0" w:firstRowLastColumn="0" w:lastRowFirstColumn="0" w:lastRowLastColumn="0"/>
            <w:tcW w:w="4106" w:type="dxa"/>
          </w:tcPr>
          <w:p w14:paraId="744712E4" w14:textId="77777777" w:rsidR="00F4752F" w:rsidRPr="0061121B" w:rsidRDefault="00F4752F" w:rsidP="002609D3">
            <w:pPr>
              <w:pStyle w:val="BodyText"/>
              <w:spacing w:before="60"/>
              <w:rPr>
                <w:rFonts w:asciiTheme="majorHAnsi" w:hAnsiTheme="majorHAnsi"/>
                <w:spacing w:val="-2"/>
                <w:sz w:val="21"/>
                <w:szCs w:val="21"/>
              </w:rPr>
            </w:pPr>
            <w:r w:rsidRPr="0061121B">
              <w:rPr>
                <w:rFonts w:asciiTheme="majorHAnsi" w:hAnsiTheme="majorHAnsi"/>
                <w:spacing w:val="-2"/>
                <w:sz w:val="21"/>
                <w:szCs w:val="21"/>
              </w:rPr>
              <w:lastRenderedPageBreak/>
              <w:t>Recommendation 5:</w:t>
            </w:r>
          </w:p>
          <w:p w14:paraId="5DF2A34B" w14:textId="77777777" w:rsidR="00F4752F" w:rsidRPr="0061121B" w:rsidRDefault="00663756" w:rsidP="000B77E4">
            <w:pPr>
              <w:pStyle w:val="BodyText"/>
              <w:spacing w:before="60"/>
              <w:rPr>
                <w:rFonts w:asciiTheme="majorHAnsi" w:hAnsiTheme="majorHAnsi"/>
                <w:spacing w:val="-2"/>
                <w:sz w:val="21"/>
                <w:szCs w:val="21"/>
              </w:rPr>
            </w:pPr>
            <w:r w:rsidRPr="0061121B">
              <w:rPr>
                <w:rFonts w:asciiTheme="majorHAnsi" w:hAnsiTheme="majorHAnsi"/>
                <w:spacing w:val="-2"/>
                <w:sz w:val="21"/>
                <w:szCs w:val="21"/>
              </w:rPr>
              <w:t xml:space="preserve">Advance the </w:t>
            </w:r>
            <w:r w:rsidR="00EB40B7" w:rsidRPr="0061121B">
              <w:rPr>
                <w:rFonts w:asciiTheme="majorHAnsi" w:hAnsiTheme="majorHAnsi"/>
                <w:spacing w:val="-2"/>
                <w:sz w:val="21"/>
                <w:szCs w:val="21"/>
              </w:rPr>
              <w:t>Women Peace and Security (</w:t>
            </w:r>
            <w:r w:rsidRPr="0061121B">
              <w:rPr>
                <w:rFonts w:asciiTheme="majorHAnsi" w:hAnsiTheme="majorHAnsi"/>
                <w:spacing w:val="-2"/>
                <w:sz w:val="21"/>
                <w:szCs w:val="21"/>
              </w:rPr>
              <w:t>WPS</w:t>
            </w:r>
            <w:r w:rsidR="00EB40B7" w:rsidRPr="0061121B">
              <w:rPr>
                <w:rFonts w:asciiTheme="majorHAnsi" w:hAnsiTheme="majorHAnsi"/>
                <w:spacing w:val="-2"/>
                <w:sz w:val="21"/>
                <w:szCs w:val="21"/>
              </w:rPr>
              <w:t>)</w:t>
            </w:r>
            <w:r w:rsidRPr="0061121B">
              <w:rPr>
                <w:rFonts w:asciiTheme="majorHAnsi" w:hAnsiTheme="majorHAnsi"/>
                <w:spacing w:val="-2"/>
                <w:sz w:val="21"/>
                <w:szCs w:val="21"/>
              </w:rPr>
              <w:t xml:space="preserve"> agenda through supporting Iraqi women’s meaningful participation</w:t>
            </w:r>
            <w:r w:rsidR="00F4752F" w:rsidRPr="0061121B">
              <w:rPr>
                <w:rFonts w:asciiTheme="majorHAnsi" w:hAnsiTheme="majorHAnsi"/>
                <w:spacing w:val="-2"/>
                <w:sz w:val="21"/>
                <w:szCs w:val="21"/>
              </w:rPr>
              <w:t>.</w:t>
            </w:r>
          </w:p>
          <w:p w14:paraId="2D4535A5" w14:textId="2B1763AF" w:rsidR="005B0383" w:rsidRPr="00E40992" w:rsidRDefault="005B0383" w:rsidP="00E40992">
            <w:pPr>
              <w:pStyle w:val="BodyText"/>
              <w:numPr>
                <w:ilvl w:val="0"/>
                <w:numId w:val="20"/>
              </w:numPr>
              <w:spacing w:before="60"/>
              <w:rPr>
                <w:rFonts w:asciiTheme="majorHAnsi" w:hAnsiTheme="majorHAnsi"/>
                <w:spacing w:val="-2"/>
                <w:sz w:val="21"/>
                <w:szCs w:val="21"/>
              </w:rPr>
            </w:pPr>
            <w:r w:rsidRPr="0061121B">
              <w:rPr>
                <w:rFonts w:asciiTheme="majorHAnsi" w:hAnsiTheme="majorHAnsi"/>
                <w:spacing w:val="-2"/>
                <w:sz w:val="21"/>
                <w:szCs w:val="21"/>
              </w:rPr>
              <w:t>Increase bilateral diplomatic engagement and coordinated advocacy with like-minded donors on the participation pillar of the WPS agenda in Iraq</w:t>
            </w:r>
          </w:p>
        </w:tc>
        <w:tc>
          <w:tcPr>
            <w:tcW w:w="1042" w:type="dxa"/>
          </w:tcPr>
          <w:p w14:paraId="5327CA11" w14:textId="77777777" w:rsidR="00F4752F" w:rsidRPr="0061121B" w:rsidRDefault="00F4752F"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Agree</w:t>
            </w:r>
          </w:p>
        </w:tc>
        <w:tc>
          <w:tcPr>
            <w:tcW w:w="4775" w:type="dxa"/>
          </w:tcPr>
          <w:p w14:paraId="59218673" w14:textId="0A7B8D2A" w:rsidR="000B77E4" w:rsidRPr="0061121B" w:rsidRDefault="00EB40B7"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 xml:space="preserve">The implementation of UNSCR 1325 on Women Peace and Security </w:t>
            </w:r>
            <w:r w:rsidR="000B77E4" w:rsidRPr="0061121B">
              <w:rPr>
                <w:rFonts w:asciiTheme="majorHAnsi" w:hAnsiTheme="majorHAnsi"/>
                <w:spacing w:val="-2"/>
                <w:sz w:val="21"/>
                <w:szCs w:val="21"/>
              </w:rPr>
              <w:t>remains a key policy priority</w:t>
            </w:r>
            <w:r w:rsidR="0083238D" w:rsidRPr="0061121B">
              <w:rPr>
                <w:rFonts w:asciiTheme="majorHAnsi" w:hAnsiTheme="majorHAnsi"/>
                <w:spacing w:val="-2"/>
                <w:sz w:val="21"/>
                <w:szCs w:val="21"/>
              </w:rPr>
              <w:t xml:space="preserve"> for </w:t>
            </w:r>
            <w:r w:rsidRPr="0061121B">
              <w:rPr>
                <w:rFonts w:asciiTheme="majorHAnsi" w:hAnsiTheme="majorHAnsi"/>
                <w:spacing w:val="-2"/>
                <w:sz w:val="21"/>
                <w:szCs w:val="21"/>
              </w:rPr>
              <w:t>Australia</w:t>
            </w:r>
            <w:r w:rsidR="001F15A0" w:rsidRPr="0061121B">
              <w:rPr>
                <w:rFonts w:asciiTheme="majorHAnsi" w:hAnsiTheme="majorHAnsi"/>
                <w:spacing w:val="-2"/>
                <w:sz w:val="21"/>
                <w:szCs w:val="21"/>
              </w:rPr>
              <w:t>.</w:t>
            </w:r>
            <w:r w:rsidR="000B77E4" w:rsidRPr="0061121B">
              <w:rPr>
                <w:rFonts w:asciiTheme="majorHAnsi" w:hAnsiTheme="majorHAnsi"/>
                <w:spacing w:val="-2"/>
                <w:sz w:val="21"/>
                <w:szCs w:val="21"/>
              </w:rPr>
              <w:t xml:space="preserve"> Women's full and meaningful participation is </w:t>
            </w:r>
            <w:r w:rsidR="005C358D" w:rsidRPr="0061121B">
              <w:rPr>
                <w:rFonts w:asciiTheme="majorHAnsi" w:hAnsiTheme="majorHAnsi"/>
                <w:spacing w:val="-2"/>
                <w:sz w:val="21"/>
                <w:szCs w:val="21"/>
              </w:rPr>
              <w:t>a core part of the Iraq Package’s End of Package Outcomes, in that it contributes towards sustainable</w:t>
            </w:r>
            <w:r w:rsidR="000B77E4" w:rsidRPr="0061121B">
              <w:rPr>
                <w:rFonts w:asciiTheme="majorHAnsi" w:hAnsiTheme="majorHAnsi"/>
                <w:spacing w:val="-2"/>
                <w:sz w:val="21"/>
                <w:szCs w:val="21"/>
              </w:rPr>
              <w:t xml:space="preserve"> social cohesion</w:t>
            </w:r>
            <w:r w:rsidR="0083238D" w:rsidRPr="0061121B">
              <w:rPr>
                <w:rFonts w:asciiTheme="majorHAnsi" w:hAnsiTheme="majorHAnsi"/>
                <w:spacing w:val="-2"/>
                <w:sz w:val="21"/>
                <w:szCs w:val="21"/>
              </w:rPr>
              <w:t xml:space="preserve">, </w:t>
            </w:r>
            <w:r w:rsidR="000B77E4" w:rsidRPr="0061121B">
              <w:rPr>
                <w:rFonts w:asciiTheme="majorHAnsi" w:hAnsiTheme="majorHAnsi"/>
                <w:spacing w:val="-2"/>
                <w:sz w:val="21"/>
                <w:szCs w:val="21"/>
              </w:rPr>
              <w:t>durable peace</w:t>
            </w:r>
            <w:r w:rsidR="0083238D" w:rsidRPr="0061121B">
              <w:rPr>
                <w:rFonts w:asciiTheme="majorHAnsi" w:hAnsiTheme="majorHAnsi"/>
                <w:spacing w:val="-2"/>
                <w:sz w:val="21"/>
                <w:szCs w:val="21"/>
              </w:rPr>
              <w:t xml:space="preserve"> and preventing further conflict</w:t>
            </w:r>
          </w:p>
          <w:p w14:paraId="2F296A91" w14:textId="77777777" w:rsidR="000B77E4" w:rsidRPr="0061121B" w:rsidRDefault="000B77E4"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p w14:paraId="18151F8B" w14:textId="32426B43" w:rsidR="00F4752F" w:rsidRPr="0061121B" w:rsidRDefault="00F4752F" w:rsidP="000B62C2">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p>
        </w:tc>
        <w:tc>
          <w:tcPr>
            <w:tcW w:w="4394" w:type="dxa"/>
          </w:tcPr>
          <w:p w14:paraId="139D3037" w14:textId="4566FE22" w:rsidR="00F4752F" w:rsidRPr="0061121B" w:rsidRDefault="000E615F" w:rsidP="009B3F2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I</w:t>
            </w:r>
            <w:r w:rsidR="00EF6982" w:rsidRPr="00EF6982">
              <w:rPr>
                <w:rFonts w:asciiTheme="majorHAnsi" w:hAnsiTheme="majorHAnsi"/>
                <w:spacing w:val="-2"/>
                <w:sz w:val="21"/>
                <w:szCs w:val="21"/>
              </w:rPr>
              <w:t>mplement DFAT’s WPS NAP Implementation Plan (forthcoming)</w:t>
            </w:r>
            <w:r>
              <w:rPr>
                <w:rFonts w:asciiTheme="majorHAnsi" w:hAnsiTheme="majorHAnsi"/>
                <w:spacing w:val="-2"/>
                <w:sz w:val="21"/>
                <w:szCs w:val="21"/>
              </w:rPr>
              <w:t>,</w:t>
            </w:r>
            <w:r w:rsidR="00EF6982" w:rsidRPr="00EF6982">
              <w:rPr>
                <w:rFonts w:asciiTheme="majorHAnsi" w:hAnsiTheme="majorHAnsi"/>
                <w:spacing w:val="-2"/>
                <w:sz w:val="21"/>
                <w:szCs w:val="21"/>
              </w:rPr>
              <w:t xml:space="preserve"> which articulates Australia’s contributions to the Participation pillar in the WPS agenda.</w:t>
            </w:r>
          </w:p>
        </w:tc>
        <w:tc>
          <w:tcPr>
            <w:tcW w:w="1276" w:type="dxa"/>
          </w:tcPr>
          <w:p w14:paraId="104F728B" w14:textId="77777777" w:rsidR="00F4752F" w:rsidRPr="003E2545" w:rsidRDefault="00F4752F" w:rsidP="002609D3">
            <w:pPr>
              <w:pStyle w:val="BodyText"/>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spacing w:val="-2"/>
                <w:sz w:val="21"/>
                <w:szCs w:val="21"/>
              </w:rPr>
            </w:pPr>
            <w:r w:rsidRPr="0061121B">
              <w:rPr>
                <w:rFonts w:asciiTheme="majorHAnsi" w:hAnsiTheme="majorHAnsi"/>
                <w:spacing w:val="-2"/>
                <w:sz w:val="21"/>
                <w:szCs w:val="21"/>
              </w:rPr>
              <w:t>Ongoing</w:t>
            </w:r>
          </w:p>
        </w:tc>
      </w:tr>
    </w:tbl>
    <w:p w14:paraId="5D24627D" w14:textId="15FFEC0F" w:rsidR="00F4752F" w:rsidRDefault="00F4752F" w:rsidP="00C05353">
      <w:pPr>
        <w:spacing w:before="0" w:after="0" w:line="240" w:lineRule="auto"/>
        <w:rPr>
          <w:lang w:val="en-AU"/>
        </w:rPr>
      </w:pPr>
    </w:p>
    <w:sectPr w:rsidR="00F4752F" w:rsidSect="00C85FEC">
      <w:headerReference w:type="first" r:id="rId14"/>
      <w:pgSz w:w="16838" w:h="11906" w:orient="landscape" w:code="9"/>
      <w:pgMar w:top="680" w:right="720" w:bottom="720" w:left="720"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8063F" w14:textId="77777777" w:rsidR="00751B36" w:rsidRDefault="00751B36" w:rsidP="00D37B04">
      <w:r>
        <w:separator/>
      </w:r>
    </w:p>
  </w:endnote>
  <w:endnote w:type="continuationSeparator" w:id="0">
    <w:p w14:paraId="0D843AB4" w14:textId="77777777" w:rsidR="00751B36" w:rsidRDefault="00751B36" w:rsidP="00D37B04">
      <w:r>
        <w:continuationSeparator/>
      </w:r>
    </w:p>
  </w:endnote>
  <w:endnote w:type="continuationNotice" w:id="1">
    <w:p w14:paraId="6094B2DC" w14:textId="77777777" w:rsidR="00751B36" w:rsidRDefault="00751B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788939426"/>
      <w:docPartObj>
        <w:docPartGallery w:val="Page Numbers (Bottom of Page)"/>
        <w:docPartUnique/>
      </w:docPartObj>
    </w:sdtPr>
    <w:sdtEndPr/>
    <w:sdtContent>
      <w:sdt>
        <w:sdtPr>
          <w:rPr>
            <w:color w:val="auto"/>
          </w:rPr>
          <w:id w:val="-1939216305"/>
          <w:docPartObj>
            <w:docPartGallery w:val="Page Numbers (Top of Page)"/>
            <w:docPartUnique/>
          </w:docPartObj>
        </w:sdtPr>
        <w:sdtEndPr/>
        <w:sdtContent>
          <w:p w14:paraId="5487AAD3" w14:textId="6822968B" w:rsidR="00997850" w:rsidRPr="00997850" w:rsidRDefault="00997850">
            <w:pPr>
              <w:pStyle w:val="Footer"/>
              <w:jc w:val="center"/>
              <w:rPr>
                <w:color w:val="auto"/>
              </w:rPr>
            </w:pPr>
            <w:r w:rsidRPr="00997850">
              <w:rPr>
                <w:color w:val="auto"/>
              </w:rPr>
              <w:t xml:space="preserve">Page </w:t>
            </w:r>
            <w:r w:rsidRPr="00997850">
              <w:rPr>
                <w:b/>
                <w:bCs/>
                <w:color w:val="auto"/>
                <w:sz w:val="24"/>
                <w:szCs w:val="24"/>
              </w:rPr>
              <w:fldChar w:fldCharType="begin"/>
            </w:r>
            <w:r w:rsidRPr="00997850">
              <w:rPr>
                <w:b/>
                <w:bCs/>
                <w:color w:val="auto"/>
              </w:rPr>
              <w:instrText xml:space="preserve"> PAGE </w:instrText>
            </w:r>
            <w:r w:rsidRPr="00997850">
              <w:rPr>
                <w:b/>
                <w:bCs/>
                <w:color w:val="auto"/>
                <w:sz w:val="24"/>
                <w:szCs w:val="24"/>
              </w:rPr>
              <w:fldChar w:fldCharType="separate"/>
            </w:r>
            <w:r w:rsidR="00C539FE">
              <w:rPr>
                <w:b/>
                <w:bCs/>
                <w:noProof/>
                <w:color w:val="auto"/>
              </w:rPr>
              <w:t>4</w:t>
            </w:r>
            <w:r w:rsidRPr="00997850">
              <w:rPr>
                <w:b/>
                <w:bCs/>
                <w:color w:val="auto"/>
                <w:sz w:val="24"/>
                <w:szCs w:val="24"/>
              </w:rPr>
              <w:fldChar w:fldCharType="end"/>
            </w:r>
            <w:r w:rsidRPr="00997850">
              <w:rPr>
                <w:color w:val="auto"/>
              </w:rPr>
              <w:t xml:space="preserve"> of </w:t>
            </w:r>
            <w:r w:rsidRPr="00997850">
              <w:rPr>
                <w:b/>
                <w:bCs/>
                <w:color w:val="auto"/>
                <w:sz w:val="24"/>
                <w:szCs w:val="24"/>
              </w:rPr>
              <w:fldChar w:fldCharType="begin"/>
            </w:r>
            <w:r w:rsidRPr="00997850">
              <w:rPr>
                <w:b/>
                <w:bCs/>
                <w:color w:val="auto"/>
              </w:rPr>
              <w:instrText xml:space="preserve"> NUMPAGES  </w:instrText>
            </w:r>
            <w:r w:rsidRPr="00997850">
              <w:rPr>
                <w:b/>
                <w:bCs/>
                <w:color w:val="auto"/>
                <w:sz w:val="24"/>
                <w:szCs w:val="24"/>
              </w:rPr>
              <w:fldChar w:fldCharType="separate"/>
            </w:r>
            <w:r w:rsidR="00C539FE">
              <w:rPr>
                <w:b/>
                <w:bCs/>
                <w:noProof/>
                <w:color w:val="auto"/>
              </w:rPr>
              <w:t>6</w:t>
            </w:r>
            <w:r w:rsidRPr="00997850">
              <w:rPr>
                <w:b/>
                <w:bCs/>
                <w:color w:val="auto"/>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sz w:val="20"/>
        <w:szCs w:val="20"/>
      </w:rPr>
      <w:id w:val="-1964334915"/>
      <w:docPartObj>
        <w:docPartGallery w:val="Page Numbers (Bottom of Page)"/>
        <w:docPartUnique/>
      </w:docPartObj>
    </w:sdtPr>
    <w:sdtEndPr/>
    <w:sdtContent>
      <w:sdt>
        <w:sdtPr>
          <w:rPr>
            <w:color w:val="auto"/>
            <w:sz w:val="20"/>
            <w:szCs w:val="20"/>
          </w:rPr>
          <w:id w:val="-652911377"/>
          <w:docPartObj>
            <w:docPartGallery w:val="Page Numbers (Top of Page)"/>
            <w:docPartUnique/>
          </w:docPartObj>
        </w:sdtPr>
        <w:sdtEndPr/>
        <w:sdtContent>
          <w:p w14:paraId="21AAA79F" w14:textId="662051E7" w:rsidR="00152A28" w:rsidRPr="00EF7D07" w:rsidRDefault="00EF7D07" w:rsidP="00EF7D07">
            <w:pPr>
              <w:pStyle w:val="Footer"/>
              <w:jc w:val="center"/>
              <w:rPr>
                <w:color w:val="auto"/>
                <w:sz w:val="20"/>
                <w:szCs w:val="20"/>
              </w:rPr>
            </w:pPr>
            <w:r w:rsidRPr="00EF7D07">
              <w:rPr>
                <w:color w:val="auto"/>
                <w:sz w:val="20"/>
                <w:szCs w:val="20"/>
              </w:rPr>
              <w:t xml:space="preserve">Page </w:t>
            </w:r>
            <w:r w:rsidRPr="00EF7D07">
              <w:rPr>
                <w:b/>
                <w:bCs/>
                <w:color w:val="auto"/>
                <w:sz w:val="20"/>
                <w:szCs w:val="20"/>
              </w:rPr>
              <w:fldChar w:fldCharType="begin"/>
            </w:r>
            <w:r w:rsidRPr="00EF7D07">
              <w:rPr>
                <w:b/>
                <w:bCs/>
                <w:color w:val="auto"/>
                <w:sz w:val="20"/>
                <w:szCs w:val="20"/>
              </w:rPr>
              <w:instrText xml:space="preserve"> PAGE </w:instrText>
            </w:r>
            <w:r w:rsidRPr="00EF7D07">
              <w:rPr>
                <w:b/>
                <w:bCs/>
                <w:color w:val="auto"/>
                <w:sz w:val="20"/>
                <w:szCs w:val="20"/>
              </w:rPr>
              <w:fldChar w:fldCharType="separate"/>
            </w:r>
            <w:r w:rsidR="00C539FE">
              <w:rPr>
                <w:b/>
                <w:bCs/>
                <w:noProof/>
                <w:color w:val="auto"/>
                <w:sz w:val="20"/>
                <w:szCs w:val="20"/>
              </w:rPr>
              <w:t>3</w:t>
            </w:r>
            <w:r w:rsidRPr="00EF7D07">
              <w:rPr>
                <w:b/>
                <w:bCs/>
                <w:color w:val="auto"/>
                <w:sz w:val="20"/>
                <w:szCs w:val="20"/>
              </w:rPr>
              <w:fldChar w:fldCharType="end"/>
            </w:r>
            <w:r w:rsidRPr="00EF7D07">
              <w:rPr>
                <w:color w:val="auto"/>
                <w:sz w:val="20"/>
                <w:szCs w:val="20"/>
              </w:rPr>
              <w:t xml:space="preserve"> of </w:t>
            </w:r>
            <w:r w:rsidRPr="00EF7D07">
              <w:rPr>
                <w:b/>
                <w:bCs/>
                <w:color w:val="auto"/>
                <w:sz w:val="20"/>
                <w:szCs w:val="20"/>
              </w:rPr>
              <w:fldChar w:fldCharType="begin"/>
            </w:r>
            <w:r w:rsidRPr="00EF7D07">
              <w:rPr>
                <w:b/>
                <w:bCs/>
                <w:color w:val="auto"/>
                <w:sz w:val="20"/>
                <w:szCs w:val="20"/>
              </w:rPr>
              <w:instrText xml:space="preserve"> NUMPAGES  </w:instrText>
            </w:r>
            <w:r w:rsidRPr="00EF7D07">
              <w:rPr>
                <w:b/>
                <w:bCs/>
                <w:color w:val="auto"/>
                <w:sz w:val="20"/>
                <w:szCs w:val="20"/>
              </w:rPr>
              <w:fldChar w:fldCharType="separate"/>
            </w:r>
            <w:r w:rsidR="00C539FE">
              <w:rPr>
                <w:b/>
                <w:bCs/>
                <w:noProof/>
                <w:color w:val="auto"/>
                <w:sz w:val="20"/>
                <w:szCs w:val="20"/>
              </w:rPr>
              <w:t>6</w:t>
            </w:r>
            <w:r w:rsidRPr="00EF7D07">
              <w:rPr>
                <w:b/>
                <w:bCs/>
                <w:color w:val="auto"/>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DF1FB" w14:textId="77777777" w:rsidR="00751B36" w:rsidRPr="008C5A0E" w:rsidRDefault="00751B36" w:rsidP="00D37B04">
      <w:pPr>
        <w:pStyle w:val="Footer"/>
      </w:pPr>
    </w:p>
  </w:footnote>
  <w:footnote w:type="continuationSeparator" w:id="0">
    <w:p w14:paraId="5FD89FD7" w14:textId="77777777" w:rsidR="00751B36" w:rsidRDefault="00751B36" w:rsidP="00D37B04">
      <w:r>
        <w:continuationSeparator/>
      </w:r>
    </w:p>
  </w:footnote>
  <w:footnote w:type="continuationNotice" w:id="1">
    <w:p w14:paraId="7B8B0E34" w14:textId="77777777" w:rsidR="00751B36" w:rsidRDefault="00751B36">
      <w:pPr>
        <w:spacing w:before="0" w:after="0" w:line="240" w:lineRule="auto"/>
      </w:pPr>
    </w:p>
  </w:footnote>
  <w:footnote w:id="2">
    <w:p w14:paraId="0DCD68AB" w14:textId="453E2099" w:rsidR="00091C1E" w:rsidRPr="00E40992" w:rsidRDefault="00091C1E">
      <w:pPr>
        <w:pStyle w:val="FootnoteText"/>
        <w:rPr>
          <w:lang w:val="en-AU"/>
        </w:rPr>
      </w:pPr>
      <w:r>
        <w:rPr>
          <w:rStyle w:val="FootnoteReference"/>
        </w:rPr>
        <w:footnoteRef/>
      </w:r>
      <w:r>
        <w:t xml:space="preserve"> </w:t>
      </w:r>
      <w:r>
        <w:rPr>
          <w:lang w:val="en-AU"/>
        </w:rPr>
        <w:t xml:space="preserve">The initial package partners selected were the UN Development Programme Funding Facility for Stabilisation (UNDP FFS); UN Mine Action Service (UNMAS); UN Population Fund (UNFPA); International Humanitarian Organisations; and the Save the Children Australia-led Building Peaceful Futures consortium (BPF). Over the course of its three years of operation, </w:t>
      </w:r>
      <w:r w:rsidR="00BC44F3">
        <w:rPr>
          <w:lang w:val="en-AU"/>
        </w:rPr>
        <w:t xml:space="preserve">the </w:t>
      </w:r>
      <w:r>
        <w:rPr>
          <w:lang w:val="en-AU"/>
        </w:rPr>
        <w:t xml:space="preserve">other partners brought on board </w:t>
      </w:r>
      <w:r w:rsidR="00BC44F3">
        <w:rPr>
          <w:lang w:val="en-AU"/>
        </w:rPr>
        <w:t>were</w:t>
      </w:r>
      <w:r>
        <w:rPr>
          <w:lang w:val="en-AU"/>
        </w:rPr>
        <w:t xml:space="preserve"> the International Organisation for Migration (IOM); the UN Children’s Fund (UNICEF) and the Mosul Organisation for Development.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0AE0" w14:textId="78529746" w:rsidR="00152A28" w:rsidRPr="00943730" w:rsidRDefault="00152A28" w:rsidP="00943730">
    <w:pPr>
      <w:pStyle w:val="Header"/>
    </w:pPr>
    <w:r w:rsidRPr="00984CD4">
      <w:rPr>
        <w:color w:val="auto"/>
      </w:rPr>
      <w:fldChar w:fldCharType="begin"/>
    </w:r>
    <w:r w:rsidRPr="00984CD4">
      <w:rPr>
        <w:color w:val="auto"/>
      </w:rPr>
      <w:instrText xml:space="preserve"> DATE  \@ "MMMM yyyy"  \* MERGEFORMAT </w:instrText>
    </w:r>
    <w:r w:rsidRPr="00984CD4">
      <w:rPr>
        <w:color w:val="auto"/>
      </w:rPr>
      <w:fldChar w:fldCharType="separate"/>
    </w:r>
    <w:r w:rsidR="00984CD4" w:rsidRPr="00984CD4">
      <w:rPr>
        <w:noProof/>
        <w:color w:val="auto"/>
      </w:rPr>
      <w:t>March 2021</w:t>
    </w:r>
    <w:r w:rsidRPr="00984CD4">
      <w:rPr>
        <w:color w:val="auto"/>
      </w:rPr>
      <w:fldChar w:fldCharType="end"/>
    </w:r>
    <w:r w:rsidRPr="00943730">
      <w:rPr>
        <w:noProof/>
        <w:lang w:val="en-AU" w:eastAsia="zh-CN"/>
      </w:rPr>
      <w:drawing>
        <wp:anchor distT="0" distB="0" distL="114300" distR="114300" simplePos="0" relativeHeight="251656192" behindDoc="1" locked="1" layoutInCell="1" allowOverlap="1" wp14:anchorId="13A10DF7" wp14:editId="6B6C4158">
          <wp:simplePos x="0" y="0"/>
          <wp:positionH relativeFrom="page">
            <wp:posOffset>12700</wp:posOffset>
          </wp:positionH>
          <wp:positionV relativeFrom="page">
            <wp:posOffset>0</wp:posOffset>
          </wp:positionV>
          <wp:extent cx="7559040" cy="1069276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1379" w14:textId="1BD3D65B" w:rsidR="00152A28" w:rsidRPr="00943730" w:rsidRDefault="00152A28" w:rsidP="00943730">
    <w:pPr>
      <w:pStyle w:val="Header"/>
    </w:pPr>
    <w:r w:rsidRPr="00984CD4">
      <w:rPr>
        <w:color w:val="auto"/>
      </w:rPr>
      <w:fldChar w:fldCharType="begin"/>
    </w:r>
    <w:r w:rsidRPr="00984CD4">
      <w:rPr>
        <w:color w:val="auto"/>
      </w:rPr>
      <w:instrText xml:space="preserve"> DATE  \@ "MMMM yyyy"  \* MERGEFORMAT </w:instrText>
    </w:r>
    <w:r w:rsidRPr="00984CD4">
      <w:rPr>
        <w:color w:val="auto"/>
      </w:rPr>
      <w:fldChar w:fldCharType="separate"/>
    </w:r>
    <w:r w:rsidR="00984CD4" w:rsidRPr="00984CD4">
      <w:rPr>
        <w:noProof/>
        <w:color w:val="auto"/>
      </w:rPr>
      <w:t>March 2021</w:t>
    </w:r>
    <w:r w:rsidRPr="00984CD4">
      <w:rPr>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664"/>
    <w:multiLevelType w:val="hybridMultilevel"/>
    <w:tmpl w:val="5906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3B786F"/>
    <w:multiLevelType w:val="hybridMultilevel"/>
    <w:tmpl w:val="2CD8D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F5800"/>
    <w:multiLevelType w:val="hybridMultilevel"/>
    <w:tmpl w:val="92B84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B8E7B15"/>
    <w:multiLevelType w:val="multilevel"/>
    <w:tmpl w:val="5586660C"/>
    <w:numStyleLink w:val="BulletsList"/>
  </w:abstractNum>
  <w:abstractNum w:abstractNumId="7" w15:restartNumberingAfterBreak="0">
    <w:nsid w:val="46EC16C9"/>
    <w:multiLevelType w:val="hybridMultilevel"/>
    <w:tmpl w:val="8472A234"/>
    <w:lvl w:ilvl="0" w:tplc="1F4AB7F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E630F"/>
    <w:multiLevelType w:val="hybridMultilevel"/>
    <w:tmpl w:val="83DE525C"/>
    <w:lvl w:ilvl="0" w:tplc="B2B0BA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9464C79"/>
    <w:multiLevelType w:val="hybridMultilevel"/>
    <w:tmpl w:val="3C6C7AC0"/>
    <w:lvl w:ilvl="0" w:tplc="725CAF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96408C"/>
    <w:multiLevelType w:val="hybridMultilevel"/>
    <w:tmpl w:val="F81E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DCA5282"/>
    <w:multiLevelType w:val="hybridMultilevel"/>
    <w:tmpl w:val="268ABF60"/>
    <w:lvl w:ilvl="0" w:tplc="362ED02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7BA0CE5"/>
    <w:multiLevelType w:val="hybridMultilevel"/>
    <w:tmpl w:val="2EA626B6"/>
    <w:lvl w:ilvl="0" w:tplc="33B280D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210677"/>
    <w:multiLevelType w:val="hybridMultilevel"/>
    <w:tmpl w:val="7FA8D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5586660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6"/>
  </w:num>
  <w:num w:numId="2">
    <w:abstractNumId w:val="1"/>
  </w:num>
  <w:num w:numId="3">
    <w:abstractNumId w:val="5"/>
  </w:num>
  <w:num w:numId="4">
    <w:abstractNumId w:val="11"/>
  </w:num>
  <w:num w:numId="5">
    <w:abstractNumId w:val="13"/>
  </w:num>
  <w:num w:numId="6">
    <w:abstractNumId w:val="5"/>
  </w:num>
  <w:num w:numId="7">
    <w:abstractNumId w:val="1"/>
  </w:num>
  <w:num w:numId="8">
    <w:abstractNumId w:val="4"/>
  </w:num>
  <w:num w:numId="9">
    <w:abstractNumId w:val="17"/>
  </w:num>
  <w:num w:numId="10">
    <w:abstractNumId w:val="6"/>
  </w:num>
  <w:num w:numId="11">
    <w:abstractNumId w:val="12"/>
  </w:num>
  <w:num w:numId="12">
    <w:abstractNumId w:val="14"/>
  </w:num>
  <w:num w:numId="13">
    <w:abstractNumId w:val="8"/>
  </w:num>
  <w:num w:numId="14">
    <w:abstractNumId w:val="9"/>
  </w:num>
  <w:num w:numId="15">
    <w:abstractNumId w:val="7"/>
  </w:num>
  <w:num w:numId="16">
    <w:abstractNumId w:val="2"/>
  </w:num>
  <w:num w:numId="17">
    <w:abstractNumId w:val="10"/>
  </w:num>
  <w:num w:numId="18">
    <w:abstractNumId w:val="0"/>
  </w:num>
  <w:num w:numId="19">
    <w:abstractNumId w:val="15"/>
  </w:num>
  <w:num w:numId="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338"/>
    <w:rsid w:val="00001DA8"/>
    <w:rsid w:val="000020C1"/>
    <w:rsid w:val="000050F5"/>
    <w:rsid w:val="000064F0"/>
    <w:rsid w:val="000075ED"/>
    <w:rsid w:val="00007E1D"/>
    <w:rsid w:val="000163C9"/>
    <w:rsid w:val="0001666B"/>
    <w:rsid w:val="0002080A"/>
    <w:rsid w:val="000224F1"/>
    <w:rsid w:val="000237CE"/>
    <w:rsid w:val="00023BCC"/>
    <w:rsid w:val="00023C73"/>
    <w:rsid w:val="0002510B"/>
    <w:rsid w:val="0002629A"/>
    <w:rsid w:val="0002782F"/>
    <w:rsid w:val="00027E3F"/>
    <w:rsid w:val="00031944"/>
    <w:rsid w:val="00035BBF"/>
    <w:rsid w:val="00036315"/>
    <w:rsid w:val="00043071"/>
    <w:rsid w:val="00045CC1"/>
    <w:rsid w:val="00050806"/>
    <w:rsid w:val="000510D7"/>
    <w:rsid w:val="00051C02"/>
    <w:rsid w:val="000546D9"/>
    <w:rsid w:val="00054E4D"/>
    <w:rsid w:val="0005651B"/>
    <w:rsid w:val="000578F3"/>
    <w:rsid w:val="00060073"/>
    <w:rsid w:val="000616C6"/>
    <w:rsid w:val="00063171"/>
    <w:rsid w:val="00064602"/>
    <w:rsid w:val="0007665A"/>
    <w:rsid w:val="00076C91"/>
    <w:rsid w:val="000804CE"/>
    <w:rsid w:val="000854FD"/>
    <w:rsid w:val="00091C1E"/>
    <w:rsid w:val="000936AB"/>
    <w:rsid w:val="00093D7D"/>
    <w:rsid w:val="00097D9F"/>
    <w:rsid w:val="000A14AE"/>
    <w:rsid w:val="000A1A28"/>
    <w:rsid w:val="000A366B"/>
    <w:rsid w:val="000A3DA9"/>
    <w:rsid w:val="000A431C"/>
    <w:rsid w:val="000A54B7"/>
    <w:rsid w:val="000B37F5"/>
    <w:rsid w:val="000B62C2"/>
    <w:rsid w:val="000B77E4"/>
    <w:rsid w:val="000C0EAA"/>
    <w:rsid w:val="000C44CF"/>
    <w:rsid w:val="000C7A24"/>
    <w:rsid w:val="000D0467"/>
    <w:rsid w:val="000D275E"/>
    <w:rsid w:val="000D47EF"/>
    <w:rsid w:val="000D66D6"/>
    <w:rsid w:val="000D69F9"/>
    <w:rsid w:val="000E2698"/>
    <w:rsid w:val="000E512C"/>
    <w:rsid w:val="000E615F"/>
    <w:rsid w:val="000F21F9"/>
    <w:rsid w:val="001039FB"/>
    <w:rsid w:val="00104018"/>
    <w:rsid w:val="001057B6"/>
    <w:rsid w:val="001062EB"/>
    <w:rsid w:val="00107F72"/>
    <w:rsid w:val="00111196"/>
    <w:rsid w:val="00113288"/>
    <w:rsid w:val="00117343"/>
    <w:rsid w:val="00117A79"/>
    <w:rsid w:val="001214BE"/>
    <w:rsid w:val="0013101C"/>
    <w:rsid w:val="00134142"/>
    <w:rsid w:val="00137804"/>
    <w:rsid w:val="00143AE8"/>
    <w:rsid w:val="001456CF"/>
    <w:rsid w:val="001461D6"/>
    <w:rsid w:val="0015071C"/>
    <w:rsid w:val="00152A28"/>
    <w:rsid w:val="001541EA"/>
    <w:rsid w:val="00155679"/>
    <w:rsid w:val="00157311"/>
    <w:rsid w:val="001617F8"/>
    <w:rsid w:val="00162392"/>
    <w:rsid w:val="0016514E"/>
    <w:rsid w:val="00165319"/>
    <w:rsid w:val="00167B32"/>
    <w:rsid w:val="00172A92"/>
    <w:rsid w:val="00173367"/>
    <w:rsid w:val="0017464B"/>
    <w:rsid w:val="00176669"/>
    <w:rsid w:val="0018069B"/>
    <w:rsid w:val="00180A31"/>
    <w:rsid w:val="001906BC"/>
    <w:rsid w:val="00190F67"/>
    <w:rsid w:val="00196F95"/>
    <w:rsid w:val="001A0034"/>
    <w:rsid w:val="001A16B3"/>
    <w:rsid w:val="001A3BD2"/>
    <w:rsid w:val="001A4C27"/>
    <w:rsid w:val="001B5859"/>
    <w:rsid w:val="001B69A3"/>
    <w:rsid w:val="001C08AF"/>
    <w:rsid w:val="001C1126"/>
    <w:rsid w:val="001C2354"/>
    <w:rsid w:val="001C3056"/>
    <w:rsid w:val="001D3722"/>
    <w:rsid w:val="001D663E"/>
    <w:rsid w:val="001D6855"/>
    <w:rsid w:val="001E1DC0"/>
    <w:rsid w:val="001E276E"/>
    <w:rsid w:val="001E5AF2"/>
    <w:rsid w:val="001E5F83"/>
    <w:rsid w:val="001E7FED"/>
    <w:rsid w:val="001F15A0"/>
    <w:rsid w:val="001F46FF"/>
    <w:rsid w:val="001F702A"/>
    <w:rsid w:val="001F7D84"/>
    <w:rsid w:val="00200A83"/>
    <w:rsid w:val="00203277"/>
    <w:rsid w:val="00203C24"/>
    <w:rsid w:val="002054E9"/>
    <w:rsid w:val="002104FE"/>
    <w:rsid w:val="002200FF"/>
    <w:rsid w:val="00222950"/>
    <w:rsid w:val="00223413"/>
    <w:rsid w:val="0022377A"/>
    <w:rsid w:val="00225D7F"/>
    <w:rsid w:val="00231B9D"/>
    <w:rsid w:val="00234021"/>
    <w:rsid w:val="00235560"/>
    <w:rsid w:val="00236288"/>
    <w:rsid w:val="0023649F"/>
    <w:rsid w:val="00240752"/>
    <w:rsid w:val="00242347"/>
    <w:rsid w:val="002438DF"/>
    <w:rsid w:val="00243E2D"/>
    <w:rsid w:val="0024528C"/>
    <w:rsid w:val="00250A5E"/>
    <w:rsid w:val="002514D6"/>
    <w:rsid w:val="00252550"/>
    <w:rsid w:val="00252C04"/>
    <w:rsid w:val="00255936"/>
    <w:rsid w:val="002609D3"/>
    <w:rsid w:val="00262510"/>
    <w:rsid w:val="002637E7"/>
    <w:rsid w:val="00271F7B"/>
    <w:rsid w:val="002747E3"/>
    <w:rsid w:val="00280DDB"/>
    <w:rsid w:val="00282DB1"/>
    <w:rsid w:val="00284E84"/>
    <w:rsid w:val="0028602A"/>
    <w:rsid w:val="002868EC"/>
    <w:rsid w:val="00290B84"/>
    <w:rsid w:val="00291680"/>
    <w:rsid w:val="00294A64"/>
    <w:rsid w:val="00297384"/>
    <w:rsid w:val="002A0E41"/>
    <w:rsid w:val="002A1C5E"/>
    <w:rsid w:val="002A4EB7"/>
    <w:rsid w:val="002B1EA6"/>
    <w:rsid w:val="002B4C31"/>
    <w:rsid w:val="002B5E10"/>
    <w:rsid w:val="002B628C"/>
    <w:rsid w:val="002B6DBD"/>
    <w:rsid w:val="002C0DED"/>
    <w:rsid w:val="002C1333"/>
    <w:rsid w:val="002C1E65"/>
    <w:rsid w:val="002C3314"/>
    <w:rsid w:val="002C4B45"/>
    <w:rsid w:val="002C793D"/>
    <w:rsid w:val="002D10C3"/>
    <w:rsid w:val="002D341E"/>
    <w:rsid w:val="002D48B5"/>
    <w:rsid w:val="002D5B25"/>
    <w:rsid w:val="002D64A6"/>
    <w:rsid w:val="002E1160"/>
    <w:rsid w:val="002F12CB"/>
    <w:rsid w:val="002F4F2B"/>
    <w:rsid w:val="002F74B0"/>
    <w:rsid w:val="003002C0"/>
    <w:rsid w:val="00301144"/>
    <w:rsid w:val="00302A01"/>
    <w:rsid w:val="003031C6"/>
    <w:rsid w:val="00304984"/>
    <w:rsid w:val="00307AA6"/>
    <w:rsid w:val="003123A4"/>
    <w:rsid w:val="00312BF8"/>
    <w:rsid w:val="00313AB6"/>
    <w:rsid w:val="003148B7"/>
    <w:rsid w:val="003153A9"/>
    <w:rsid w:val="003158C3"/>
    <w:rsid w:val="00316C61"/>
    <w:rsid w:val="00321998"/>
    <w:rsid w:val="00322A3F"/>
    <w:rsid w:val="003234E4"/>
    <w:rsid w:val="003244D5"/>
    <w:rsid w:val="003274CD"/>
    <w:rsid w:val="0033194A"/>
    <w:rsid w:val="00333501"/>
    <w:rsid w:val="003352FC"/>
    <w:rsid w:val="003372A3"/>
    <w:rsid w:val="00341C3F"/>
    <w:rsid w:val="003439EA"/>
    <w:rsid w:val="003457C4"/>
    <w:rsid w:val="0034601C"/>
    <w:rsid w:val="0035119D"/>
    <w:rsid w:val="00352BF3"/>
    <w:rsid w:val="0035488F"/>
    <w:rsid w:val="003607E2"/>
    <w:rsid w:val="003642F5"/>
    <w:rsid w:val="00372633"/>
    <w:rsid w:val="0037389A"/>
    <w:rsid w:val="003767E1"/>
    <w:rsid w:val="00376F98"/>
    <w:rsid w:val="00381251"/>
    <w:rsid w:val="00381BB9"/>
    <w:rsid w:val="0038300B"/>
    <w:rsid w:val="003845BB"/>
    <w:rsid w:val="00384E07"/>
    <w:rsid w:val="0039344A"/>
    <w:rsid w:val="00395163"/>
    <w:rsid w:val="003954B0"/>
    <w:rsid w:val="003958A2"/>
    <w:rsid w:val="00396F92"/>
    <w:rsid w:val="003A2C06"/>
    <w:rsid w:val="003A3D8F"/>
    <w:rsid w:val="003B04F8"/>
    <w:rsid w:val="003B11AA"/>
    <w:rsid w:val="003B137F"/>
    <w:rsid w:val="003B1558"/>
    <w:rsid w:val="003B4F12"/>
    <w:rsid w:val="003C12B2"/>
    <w:rsid w:val="003C342B"/>
    <w:rsid w:val="003D163F"/>
    <w:rsid w:val="003D69A5"/>
    <w:rsid w:val="003E30DD"/>
    <w:rsid w:val="003E4E35"/>
    <w:rsid w:val="003E6E7D"/>
    <w:rsid w:val="003E7243"/>
    <w:rsid w:val="003F051F"/>
    <w:rsid w:val="003F073F"/>
    <w:rsid w:val="003F2041"/>
    <w:rsid w:val="003F2BB8"/>
    <w:rsid w:val="003F7F59"/>
    <w:rsid w:val="004022A0"/>
    <w:rsid w:val="00402ACC"/>
    <w:rsid w:val="00404CA5"/>
    <w:rsid w:val="0040592F"/>
    <w:rsid w:val="0040695E"/>
    <w:rsid w:val="00407501"/>
    <w:rsid w:val="004120EC"/>
    <w:rsid w:val="00412458"/>
    <w:rsid w:val="0041641D"/>
    <w:rsid w:val="00417AD6"/>
    <w:rsid w:val="00417FD2"/>
    <w:rsid w:val="004220CB"/>
    <w:rsid w:val="004221B1"/>
    <w:rsid w:val="00423F31"/>
    <w:rsid w:val="004254A3"/>
    <w:rsid w:val="00431899"/>
    <w:rsid w:val="00433A4F"/>
    <w:rsid w:val="004345EE"/>
    <w:rsid w:val="00434B55"/>
    <w:rsid w:val="00442032"/>
    <w:rsid w:val="00442055"/>
    <w:rsid w:val="004429F1"/>
    <w:rsid w:val="00445B40"/>
    <w:rsid w:val="00450DD4"/>
    <w:rsid w:val="00453B5D"/>
    <w:rsid w:val="00454224"/>
    <w:rsid w:val="0046048F"/>
    <w:rsid w:val="004604F5"/>
    <w:rsid w:val="004626F0"/>
    <w:rsid w:val="00464C0B"/>
    <w:rsid w:val="0046674A"/>
    <w:rsid w:val="004679F1"/>
    <w:rsid w:val="0047741B"/>
    <w:rsid w:val="00477C01"/>
    <w:rsid w:val="00480490"/>
    <w:rsid w:val="00480A45"/>
    <w:rsid w:val="00482AE8"/>
    <w:rsid w:val="00486804"/>
    <w:rsid w:val="00487CFD"/>
    <w:rsid w:val="004912B7"/>
    <w:rsid w:val="00495E29"/>
    <w:rsid w:val="00496D8D"/>
    <w:rsid w:val="004A3208"/>
    <w:rsid w:val="004B0BAF"/>
    <w:rsid w:val="004B3775"/>
    <w:rsid w:val="004B3D7E"/>
    <w:rsid w:val="004B3E8B"/>
    <w:rsid w:val="004B76BA"/>
    <w:rsid w:val="004C25DF"/>
    <w:rsid w:val="004C77FA"/>
    <w:rsid w:val="004D080C"/>
    <w:rsid w:val="004D0BA0"/>
    <w:rsid w:val="004D1991"/>
    <w:rsid w:val="004D19BB"/>
    <w:rsid w:val="004D2C23"/>
    <w:rsid w:val="004D64FA"/>
    <w:rsid w:val="004D6882"/>
    <w:rsid w:val="004D6AC0"/>
    <w:rsid w:val="004E058F"/>
    <w:rsid w:val="004E29F2"/>
    <w:rsid w:val="004E3963"/>
    <w:rsid w:val="004E3B87"/>
    <w:rsid w:val="004E5AE7"/>
    <w:rsid w:val="004E79AE"/>
    <w:rsid w:val="004F1393"/>
    <w:rsid w:val="004F154B"/>
    <w:rsid w:val="004F2FA1"/>
    <w:rsid w:val="004F43CB"/>
    <w:rsid w:val="004F49D7"/>
    <w:rsid w:val="004F5243"/>
    <w:rsid w:val="004F53CE"/>
    <w:rsid w:val="004F6891"/>
    <w:rsid w:val="005104E9"/>
    <w:rsid w:val="00510921"/>
    <w:rsid w:val="00510AD3"/>
    <w:rsid w:val="005130A4"/>
    <w:rsid w:val="00513348"/>
    <w:rsid w:val="00513AD8"/>
    <w:rsid w:val="00514D56"/>
    <w:rsid w:val="00515D34"/>
    <w:rsid w:val="00516D3D"/>
    <w:rsid w:val="005204D2"/>
    <w:rsid w:val="00522396"/>
    <w:rsid w:val="0052368D"/>
    <w:rsid w:val="005250B2"/>
    <w:rsid w:val="00527839"/>
    <w:rsid w:val="00527A5E"/>
    <w:rsid w:val="005316DC"/>
    <w:rsid w:val="00531729"/>
    <w:rsid w:val="005324D3"/>
    <w:rsid w:val="00533B5D"/>
    <w:rsid w:val="005379F2"/>
    <w:rsid w:val="0054097C"/>
    <w:rsid w:val="0055088D"/>
    <w:rsid w:val="00554F5B"/>
    <w:rsid w:val="00557445"/>
    <w:rsid w:val="00560A65"/>
    <w:rsid w:val="005641B8"/>
    <w:rsid w:val="005713C8"/>
    <w:rsid w:val="005731F4"/>
    <w:rsid w:val="0057797D"/>
    <w:rsid w:val="00580E6A"/>
    <w:rsid w:val="005827CD"/>
    <w:rsid w:val="005861D7"/>
    <w:rsid w:val="00586E82"/>
    <w:rsid w:val="005907B0"/>
    <w:rsid w:val="005966BC"/>
    <w:rsid w:val="005A20F6"/>
    <w:rsid w:val="005A33F1"/>
    <w:rsid w:val="005A4C16"/>
    <w:rsid w:val="005A5C01"/>
    <w:rsid w:val="005A6F8D"/>
    <w:rsid w:val="005A7133"/>
    <w:rsid w:val="005B0383"/>
    <w:rsid w:val="005B1720"/>
    <w:rsid w:val="005B4DF2"/>
    <w:rsid w:val="005B595F"/>
    <w:rsid w:val="005B6CC8"/>
    <w:rsid w:val="005B79E4"/>
    <w:rsid w:val="005B7CA3"/>
    <w:rsid w:val="005C358D"/>
    <w:rsid w:val="005C47A6"/>
    <w:rsid w:val="005D3655"/>
    <w:rsid w:val="005E000C"/>
    <w:rsid w:val="005E0045"/>
    <w:rsid w:val="005E28A2"/>
    <w:rsid w:val="005E4830"/>
    <w:rsid w:val="005E6590"/>
    <w:rsid w:val="005F0A0E"/>
    <w:rsid w:val="005F2ABB"/>
    <w:rsid w:val="005F3344"/>
    <w:rsid w:val="005F5099"/>
    <w:rsid w:val="005F7DDA"/>
    <w:rsid w:val="0061121B"/>
    <w:rsid w:val="00612F6F"/>
    <w:rsid w:val="0061449A"/>
    <w:rsid w:val="006178B4"/>
    <w:rsid w:val="00622B86"/>
    <w:rsid w:val="0062319C"/>
    <w:rsid w:val="00623BA1"/>
    <w:rsid w:val="0062793F"/>
    <w:rsid w:val="006346BC"/>
    <w:rsid w:val="00636BB1"/>
    <w:rsid w:val="00637C90"/>
    <w:rsid w:val="0064245E"/>
    <w:rsid w:val="006479BF"/>
    <w:rsid w:val="00647B56"/>
    <w:rsid w:val="00650861"/>
    <w:rsid w:val="006554B0"/>
    <w:rsid w:val="00657D6F"/>
    <w:rsid w:val="00660342"/>
    <w:rsid w:val="00661884"/>
    <w:rsid w:val="006634D2"/>
    <w:rsid w:val="00663756"/>
    <w:rsid w:val="00663DA8"/>
    <w:rsid w:val="00664D79"/>
    <w:rsid w:val="0066652A"/>
    <w:rsid w:val="006679D3"/>
    <w:rsid w:val="006719C3"/>
    <w:rsid w:val="00672C2A"/>
    <w:rsid w:val="006802D4"/>
    <w:rsid w:val="00680522"/>
    <w:rsid w:val="00682167"/>
    <w:rsid w:val="0068441E"/>
    <w:rsid w:val="00693F5C"/>
    <w:rsid w:val="00695EB0"/>
    <w:rsid w:val="006A0313"/>
    <w:rsid w:val="006A317C"/>
    <w:rsid w:val="006A5227"/>
    <w:rsid w:val="006A5CAC"/>
    <w:rsid w:val="006A6675"/>
    <w:rsid w:val="006A6F5E"/>
    <w:rsid w:val="006A75BE"/>
    <w:rsid w:val="006B51F0"/>
    <w:rsid w:val="006C00D2"/>
    <w:rsid w:val="006C42AF"/>
    <w:rsid w:val="006C5A13"/>
    <w:rsid w:val="006C5AB3"/>
    <w:rsid w:val="006C79E3"/>
    <w:rsid w:val="006D0338"/>
    <w:rsid w:val="006D15DC"/>
    <w:rsid w:val="006D1FA6"/>
    <w:rsid w:val="006D4586"/>
    <w:rsid w:val="006D4BD6"/>
    <w:rsid w:val="006D7D50"/>
    <w:rsid w:val="006E06F6"/>
    <w:rsid w:val="006E0ABE"/>
    <w:rsid w:val="006E7D29"/>
    <w:rsid w:val="006F060B"/>
    <w:rsid w:val="006F12B6"/>
    <w:rsid w:val="00710E8B"/>
    <w:rsid w:val="00711D8E"/>
    <w:rsid w:val="00712672"/>
    <w:rsid w:val="00714C1C"/>
    <w:rsid w:val="00722E0D"/>
    <w:rsid w:val="007234F6"/>
    <w:rsid w:val="007235E8"/>
    <w:rsid w:val="00726300"/>
    <w:rsid w:val="0073227E"/>
    <w:rsid w:val="00733611"/>
    <w:rsid w:val="00734E3F"/>
    <w:rsid w:val="00736985"/>
    <w:rsid w:val="007408C6"/>
    <w:rsid w:val="00740C35"/>
    <w:rsid w:val="0074481B"/>
    <w:rsid w:val="00745DF5"/>
    <w:rsid w:val="00751B36"/>
    <w:rsid w:val="00753A28"/>
    <w:rsid w:val="00756D2A"/>
    <w:rsid w:val="0076250F"/>
    <w:rsid w:val="00766B99"/>
    <w:rsid w:val="007737B5"/>
    <w:rsid w:val="00774B8F"/>
    <w:rsid w:val="00777210"/>
    <w:rsid w:val="00780FA5"/>
    <w:rsid w:val="00784253"/>
    <w:rsid w:val="00784E8F"/>
    <w:rsid w:val="007909C5"/>
    <w:rsid w:val="007936BB"/>
    <w:rsid w:val="007965B5"/>
    <w:rsid w:val="007A074E"/>
    <w:rsid w:val="007A4592"/>
    <w:rsid w:val="007A583C"/>
    <w:rsid w:val="007B12FB"/>
    <w:rsid w:val="007B51A7"/>
    <w:rsid w:val="007B6200"/>
    <w:rsid w:val="007C1FB7"/>
    <w:rsid w:val="007C653D"/>
    <w:rsid w:val="007C668D"/>
    <w:rsid w:val="007C7772"/>
    <w:rsid w:val="007C7D8E"/>
    <w:rsid w:val="007D136C"/>
    <w:rsid w:val="007D2C3A"/>
    <w:rsid w:val="007D3D83"/>
    <w:rsid w:val="007D6DA7"/>
    <w:rsid w:val="007D6DCB"/>
    <w:rsid w:val="007E191E"/>
    <w:rsid w:val="007E2334"/>
    <w:rsid w:val="007E2B70"/>
    <w:rsid w:val="007E78D2"/>
    <w:rsid w:val="007F26B7"/>
    <w:rsid w:val="007F3395"/>
    <w:rsid w:val="007F4308"/>
    <w:rsid w:val="007F580A"/>
    <w:rsid w:val="007F58E3"/>
    <w:rsid w:val="00801B9F"/>
    <w:rsid w:val="0080204D"/>
    <w:rsid w:val="00802516"/>
    <w:rsid w:val="00802FB4"/>
    <w:rsid w:val="00811C30"/>
    <w:rsid w:val="00813948"/>
    <w:rsid w:val="0081591E"/>
    <w:rsid w:val="00816A28"/>
    <w:rsid w:val="00817531"/>
    <w:rsid w:val="00820F3C"/>
    <w:rsid w:val="0082213F"/>
    <w:rsid w:val="008225A0"/>
    <w:rsid w:val="008232F1"/>
    <w:rsid w:val="00823E32"/>
    <w:rsid w:val="008240B2"/>
    <w:rsid w:val="00825AF2"/>
    <w:rsid w:val="00832237"/>
    <w:rsid w:val="0083238D"/>
    <w:rsid w:val="00833F84"/>
    <w:rsid w:val="008415B8"/>
    <w:rsid w:val="00842CF1"/>
    <w:rsid w:val="008475F0"/>
    <w:rsid w:val="00850A95"/>
    <w:rsid w:val="008557A7"/>
    <w:rsid w:val="00856921"/>
    <w:rsid w:val="008649D3"/>
    <w:rsid w:val="00870928"/>
    <w:rsid w:val="0087137B"/>
    <w:rsid w:val="00871B5D"/>
    <w:rsid w:val="0087210C"/>
    <w:rsid w:val="00872A34"/>
    <w:rsid w:val="008733C8"/>
    <w:rsid w:val="008750D7"/>
    <w:rsid w:val="008801E4"/>
    <w:rsid w:val="00886262"/>
    <w:rsid w:val="008867DE"/>
    <w:rsid w:val="00887C08"/>
    <w:rsid w:val="008915CD"/>
    <w:rsid w:val="0089405C"/>
    <w:rsid w:val="00897F51"/>
    <w:rsid w:val="00897FA2"/>
    <w:rsid w:val="008A10F0"/>
    <w:rsid w:val="008A297C"/>
    <w:rsid w:val="008A298E"/>
    <w:rsid w:val="008A5AFE"/>
    <w:rsid w:val="008A6760"/>
    <w:rsid w:val="008A6782"/>
    <w:rsid w:val="008B4166"/>
    <w:rsid w:val="008B48C7"/>
    <w:rsid w:val="008B614E"/>
    <w:rsid w:val="008B6894"/>
    <w:rsid w:val="008B79A5"/>
    <w:rsid w:val="008B7CCD"/>
    <w:rsid w:val="008C250D"/>
    <w:rsid w:val="008C2D90"/>
    <w:rsid w:val="008C5A0E"/>
    <w:rsid w:val="008C6E42"/>
    <w:rsid w:val="008D012F"/>
    <w:rsid w:val="008D354E"/>
    <w:rsid w:val="008D5A5F"/>
    <w:rsid w:val="008D6761"/>
    <w:rsid w:val="008E1021"/>
    <w:rsid w:val="008E176C"/>
    <w:rsid w:val="008E17BB"/>
    <w:rsid w:val="008E32BF"/>
    <w:rsid w:val="008E3C6E"/>
    <w:rsid w:val="008E5ECF"/>
    <w:rsid w:val="008F0771"/>
    <w:rsid w:val="008F2335"/>
    <w:rsid w:val="008F559E"/>
    <w:rsid w:val="008F6B64"/>
    <w:rsid w:val="00900311"/>
    <w:rsid w:val="00904902"/>
    <w:rsid w:val="009108A5"/>
    <w:rsid w:val="00912FB4"/>
    <w:rsid w:val="0091300E"/>
    <w:rsid w:val="00914F5B"/>
    <w:rsid w:val="00915991"/>
    <w:rsid w:val="009227DC"/>
    <w:rsid w:val="00922DA4"/>
    <w:rsid w:val="00924576"/>
    <w:rsid w:val="00924FE9"/>
    <w:rsid w:val="009272AC"/>
    <w:rsid w:val="00943730"/>
    <w:rsid w:val="00945B97"/>
    <w:rsid w:val="00945C65"/>
    <w:rsid w:val="00946F60"/>
    <w:rsid w:val="00946FD0"/>
    <w:rsid w:val="009503BC"/>
    <w:rsid w:val="0095087B"/>
    <w:rsid w:val="009511A5"/>
    <w:rsid w:val="00953E8B"/>
    <w:rsid w:val="0096278C"/>
    <w:rsid w:val="00962DB9"/>
    <w:rsid w:val="00964C78"/>
    <w:rsid w:val="00975CA5"/>
    <w:rsid w:val="009761DA"/>
    <w:rsid w:val="009807B0"/>
    <w:rsid w:val="009807DC"/>
    <w:rsid w:val="009841F9"/>
    <w:rsid w:val="00984CD4"/>
    <w:rsid w:val="00985632"/>
    <w:rsid w:val="00986590"/>
    <w:rsid w:val="00990B00"/>
    <w:rsid w:val="00992123"/>
    <w:rsid w:val="00992C76"/>
    <w:rsid w:val="00993494"/>
    <w:rsid w:val="00993BE0"/>
    <w:rsid w:val="009969D6"/>
    <w:rsid w:val="0099766E"/>
    <w:rsid w:val="00997850"/>
    <w:rsid w:val="009A0DA5"/>
    <w:rsid w:val="009A0E39"/>
    <w:rsid w:val="009A2368"/>
    <w:rsid w:val="009A62C7"/>
    <w:rsid w:val="009A664A"/>
    <w:rsid w:val="009B129C"/>
    <w:rsid w:val="009B3F23"/>
    <w:rsid w:val="009B4D3B"/>
    <w:rsid w:val="009C170F"/>
    <w:rsid w:val="009C2E07"/>
    <w:rsid w:val="009C7217"/>
    <w:rsid w:val="009C7656"/>
    <w:rsid w:val="009D4C34"/>
    <w:rsid w:val="009D56FB"/>
    <w:rsid w:val="009D6C7A"/>
    <w:rsid w:val="009D7407"/>
    <w:rsid w:val="009E0866"/>
    <w:rsid w:val="009E171C"/>
    <w:rsid w:val="009E273C"/>
    <w:rsid w:val="009E3089"/>
    <w:rsid w:val="009E77BC"/>
    <w:rsid w:val="009F0D5F"/>
    <w:rsid w:val="009F1350"/>
    <w:rsid w:val="009F257C"/>
    <w:rsid w:val="009F4928"/>
    <w:rsid w:val="009F626A"/>
    <w:rsid w:val="009F6423"/>
    <w:rsid w:val="009F7A0B"/>
    <w:rsid w:val="00A03DB0"/>
    <w:rsid w:val="00A03FF9"/>
    <w:rsid w:val="00A12647"/>
    <w:rsid w:val="00A16F06"/>
    <w:rsid w:val="00A16FCE"/>
    <w:rsid w:val="00A22F4C"/>
    <w:rsid w:val="00A23E9C"/>
    <w:rsid w:val="00A24A62"/>
    <w:rsid w:val="00A24D64"/>
    <w:rsid w:val="00A279EC"/>
    <w:rsid w:val="00A27B83"/>
    <w:rsid w:val="00A3074E"/>
    <w:rsid w:val="00A30C38"/>
    <w:rsid w:val="00A30D1A"/>
    <w:rsid w:val="00A31C9F"/>
    <w:rsid w:val="00A334F1"/>
    <w:rsid w:val="00A365C8"/>
    <w:rsid w:val="00A374A5"/>
    <w:rsid w:val="00A4144F"/>
    <w:rsid w:val="00A417A2"/>
    <w:rsid w:val="00A45169"/>
    <w:rsid w:val="00A45F7C"/>
    <w:rsid w:val="00A47187"/>
    <w:rsid w:val="00A510E8"/>
    <w:rsid w:val="00A5235C"/>
    <w:rsid w:val="00A5292F"/>
    <w:rsid w:val="00A539E7"/>
    <w:rsid w:val="00A61B4D"/>
    <w:rsid w:val="00A62E56"/>
    <w:rsid w:val="00A659E0"/>
    <w:rsid w:val="00A65EFB"/>
    <w:rsid w:val="00A70C7E"/>
    <w:rsid w:val="00A71694"/>
    <w:rsid w:val="00A72C79"/>
    <w:rsid w:val="00A774EB"/>
    <w:rsid w:val="00A80BA2"/>
    <w:rsid w:val="00A80F95"/>
    <w:rsid w:val="00A8235D"/>
    <w:rsid w:val="00A84235"/>
    <w:rsid w:val="00A8582B"/>
    <w:rsid w:val="00A85F09"/>
    <w:rsid w:val="00A86042"/>
    <w:rsid w:val="00A9140B"/>
    <w:rsid w:val="00A929FC"/>
    <w:rsid w:val="00A96322"/>
    <w:rsid w:val="00A964C8"/>
    <w:rsid w:val="00A965AB"/>
    <w:rsid w:val="00A965F0"/>
    <w:rsid w:val="00A97BF1"/>
    <w:rsid w:val="00AA0735"/>
    <w:rsid w:val="00AA1146"/>
    <w:rsid w:val="00AA1EE2"/>
    <w:rsid w:val="00AA298A"/>
    <w:rsid w:val="00AA5AB4"/>
    <w:rsid w:val="00AA5F73"/>
    <w:rsid w:val="00AA7B18"/>
    <w:rsid w:val="00AB13D2"/>
    <w:rsid w:val="00AB6516"/>
    <w:rsid w:val="00AB6EDF"/>
    <w:rsid w:val="00AB7D10"/>
    <w:rsid w:val="00AC03DB"/>
    <w:rsid w:val="00AC164A"/>
    <w:rsid w:val="00AC1D79"/>
    <w:rsid w:val="00AC28D2"/>
    <w:rsid w:val="00AC2B65"/>
    <w:rsid w:val="00AC356B"/>
    <w:rsid w:val="00AD066A"/>
    <w:rsid w:val="00AD06BE"/>
    <w:rsid w:val="00AD39F4"/>
    <w:rsid w:val="00AE293E"/>
    <w:rsid w:val="00AE448A"/>
    <w:rsid w:val="00AE6720"/>
    <w:rsid w:val="00AF2050"/>
    <w:rsid w:val="00AF2268"/>
    <w:rsid w:val="00AF790F"/>
    <w:rsid w:val="00AF7D74"/>
    <w:rsid w:val="00AF7F72"/>
    <w:rsid w:val="00B02561"/>
    <w:rsid w:val="00B03CA8"/>
    <w:rsid w:val="00B04B17"/>
    <w:rsid w:val="00B10A59"/>
    <w:rsid w:val="00B16025"/>
    <w:rsid w:val="00B161BE"/>
    <w:rsid w:val="00B17490"/>
    <w:rsid w:val="00B21249"/>
    <w:rsid w:val="00B21E83"/>
    <w:rsid w:val="00B26034"/>
    <w:rsid w:val="00B27154"/>
    <w:rsid w:val="00B27AE5"/>
    <w:rsid w:val="00B33C0A"/>
    <w:rsid w:val="00B37272"/>
    <w:rsid w:val="00B42654"/>
    <w:rsid w:val="00B437BC"/>
    <w:rsid w:val="00B469F8"/>
    <w:rsid w:val="00B54C43"/>
    <w:rsid w:val="00B54DAD"/>
    <w:rsid w:val="00B55E19"/>
    <w:rsid w:val="00B6082B"/>
    <w:rsid w:val="00B61408"/>
    <w:rsid w:val="00B62B41"/>
    <w:rsid w:val="00B65079"/>
    <w:rsid w:val="00B66460"/>
    <w:rsid w:val="00B70BFC"/>
    <w:rsid w:val="00B7142F"/>
    <w:rsid w:val="00B73938"/>
    <w:rsid w:val="00B75F0C"/>
    <w:rsid w:val="00B771DF"/>
    <w:rsid w:val="00B806FF"/>
    <w:rsid w:val="00B81734"/>
    <w:rsid w:val="00B84848"/>
    <w:rsid w:val="00B870CD"/>
    <w:rsid w:val="00B876C7"/>
    <w:rsid w:val="00B92700"/>
    <w:rsid w:val="00B94758"/>
    <w:rsid w:val="00B96176"/>
    <w:rsid w:val="00B97251"/>
    <w:rsid w:val="00BA0B91"/>
    <w:rsid w:val="00BA27F6"/>
    <w:rsid w:val="00BA2B58"/>
    <w:rsid w:val="00BA4B6D"/>
    <w:rsid w:val="00BA6EF8"/>
    <w:rsid w:val="00BB2391"/>
    <w:rsid w:val="00BB26C5"/>
    <w:rsid w:val="00BB53D6"/>
    <w:rsid w:val="00BB6EE4"/>
    <w:rsid w:val="00BB7890"/>
    <w:rsid w:val="00BC2C56"/>
    <w:rsid w:val="00BC44F3"/>
    <w:rsid w:val="00BD2786"/>
    <w:rsid w:val="00BD4185"/>
    <w:rsid w:val="00BD5ED7"/>
    <w:rsid w:val="00BE498B"/>
    <w:rsid w:val="00BE4A0E"/>
    <w:rsid w:val="00BE524F"/>
    <w:rsid w:val="00BE704C"/>
    <w:rsid w:val="00BF29DE"/>
    <w:rsid w:val="00BF3018"/>
    <w:rsid w:val="00BF3353"/>
    <w:rsid w:val="00BF33A3"/>
    <w:rsid w:val="00BF3AC8"/>
    <w:rsid w:val="00BF4DE6"/>
    <w:rsid w:val="00BF6A93"/>
    <w:rsid w:val="00C033E5"/>
    <w:rsid w:val="00C05353"/>
    <w:rsid w:val="00C06B13"/>
    <w:rsid w:val="00C07FE8"/>
    <w:rsid w:val="00C16A30"/>
    <w:rsid w:val="00C224A3"/>
    <w:rsid w:val="00C22D40"/>
    <w:rsid w:val="00C266BE"/>
    <w:rsid w:val="00C27D25"/>
    <w:rsid w:val="00C31757"/>
    <w:rsid w:val="00C3270B"/>
    <w:rsid w:val="00C336A7"/>
    <w:rsid w:val="00C33AC3"/>
    <w:rsid w:val="00C3614F"/>
    <w:rsid w:val="00C375BE"/>
    <w:rsid w:val="00C37C18"/>
    <w:rsid w:val="00C40B14"/>
    <w:rsid w:val="00C410D2"/>
    <w:rsid w:val="00C42541"/>
    <w:rsid w:val="00C42CDE"/>
    <w:rsid w:val="00C42E6A"/>
    <w:rsid w:val="00C4332D"/>
    <w:rsid w:val="00C44ABB"/>
    <w:rsid w:val="00C46EA8"/>
    <w:rsid w:val="00C50708"/>
    <w:rsid w:val="00C511B7"/>
    <w:rsid w:val="00C5182A"/>
    <w:rsid w:val="00C539FE"/>
    <w:rsid w:val="00C56A5A"/>
    <w:rsid w:val="00C60EA6"/>
    <w:rsid w:val="00C63EE9"/>
    <w:rsid w:val="00C73440"/>
    <w:rsid w:val="00C76FD2"/>
    <w:rsid w:val="00C850CB"/>
    <w:rsid w:val="00C85FEC"/>
    <w:rsid w:val="00C86FB3"/>
    <w:rsid w:val="00C907D1"/>
    <w:rsid w:val="00C926DE"/>
    <w:rsid w:val="00C92834"/>
    <w:rsid w:val="00C95F86"/>
    <w:rsid w:val="00CA0845"/>
    <w:rsid w:val="00CA16F3"/>
    <w:rsid w:val="00CA217D"/>
    <w:rsid w:val="00CA37B1"/>
    <w:rsid w:val="00CA6CEF"/>
    <w:rsid w:val="00CA7A97"/>
    <w:rsid w:val="00CB0452"/>
    <w:rsid w:val="00CB136E"/>
    <w:rsid w:val="00CB1959"/>
    <w:rsid w:val="00CC098D"/>
    <w:rsid w:val="00CC23AC"/>
    <w:rsid w:val="00CC34D1"/>
    <w:rsid w:val="00CC6B6A"/>
    <w:rsid w:val="00CC741B"/>
    <w:rsid w:val="00CD0ABF"/>
    <w:rsid w:val="00CD0E4B"/>
    <w:rsid w:val="00CD1B6A"/>
    <w:rsid w:val="00CD1E87"/>
    <w:rsid w:val="00CD5B9A"/>
    <w:rsid w:val="00CD68E9"/>
    <w:rsid w:val="00CE3577"/>
    <w:rsid w:val="00CE456E"/>
    <w:rsid w:val="00CE4C89"/>
    <w:rsid w:val="00CF07BA"/>
    <w:rsid w:val="00CF7F07"/>
    <w:rsid w:val="00D02933"/>
    <w:rsid w:val="00D0296C"/>
    <w:rsid w:val="00D07425"/>
    <w:rsid w:val="00D110D5"/>
    <w:rsid w:val="00D11A32"/>
    <w:rsid w:val="00D123E5"/>
    <w:rsid w:val="00D230CA"/>
    <w:rsid w:val="00D23361"/>
    <w:rsid w:val="00D2483F"/>
    <w:rsid w:val="00D261ED"/>
    <w:rsid w:val="00D26582"/>
    <w:rsid w:val="00D27B73"/>
    <w:rsid w:val="00D3247C"/>
    <w:rsid w:val="00D32D6F"/>
    <w:rsid w:val="00D32F4F"/>
    <w:rsid w:val="00D34BD6"/>
    <w:rsid w:val="00D34CCB"/>
    <w:rsid w:val="00D37B04"/>
    <w:rsid w:val="00D40133"/>
    <w:rsid w:val="00D40AE7"/>
    <w:rsid w:val="00D45C9B"/>
    <w:rsid w:val="00D5187E"/>
    <w:rsid w:val="00D520C4"/>
    <w:rsid w:val="00D540C6"/>
    <w:rsid w:val="00D55AD6"/>
    <w:rsid w:val="00D600A6"/>
    <w:rsid w:val="00D61F53"/>
    <w:rsid w:val="00D61F6D"/>
    <w:rsid w:val="00D64BD1"/>
    <w:rsid w:val="00D6754A"/>
    <w:rsid w:val="00D704BB"/>
    <w:rsid w:val="00D71063"/>
    <w:rsid w:val="00D73217"/>
    <w:rsid w:val="00D738F3"/>
    <w:rsid w:val="00D841B6"/>
    <w:rsid w:val="00D85589"/>
    <w:rsid w:val="00D85F8D"/>
    <w:rsid w:val="00D878F4"/>
    <w:rsid w:val="00D92254"/>
    <w:rsid w:val="00D929D7"/>
    <w:rsid w:val="00D93E2A"/>
    <w:rsid w:val="00D942C7"/>
    <w:rsid w:val="00D966AD"/>
    <w:rsid w:val="00DA174B"/>
    <w:rsid w:val="00DA298B"/>
    <w:rsid w:val="00DA356F"/>
    <w:rsid w:val="00DA3F0E"/>
    <w:rsid w:val="00DA57D3"/>
    <w:rsid w:val="00DB25A4"/>
    <w:rsid w:val="00DC13EE"/>
    <w:rsid w:val="00DC42A3"/>
    <w:rsid w:val="00DC6E57"/>
    <w:rsid w:val="00DC6EFB"/>
    <w:rsid w:val="00DC77FD"/>
    <w:rsid w:val="00DD1037"/>
    <w:rsid w:val="00DE0663"/>
    <w:rsid w:val="00DE084C"/>
    <w:rsid w:val="00DE1E2E"/>
    <w:rsid w:val="00DE351A"/>
    <w:rsid w:val="00DE36C4"/>
    <w:rsid w:val="00DF38DE"/>
    <w:rsid w:val="00DF396D"/>
    <w:rsid w:val="00DF46C3"/>
    <w:rsid w:val="00DF703E"/>
    <w:rsid w:val="00E02060"/>
    <w:rsid w:val="00E0229A"/>
    <w:rsid w:val="00E1462E"/>
    <w:rsid w:val="00E14F51"/>
    <w:rsid w:val="00E16AC7"/>
    <w:rsid w:val="00E25738"/>
    <w:rsid w:val="00E27D0A"/>
    <w:rsid w:val="00E27F6F"/>
    <w:rsid w:val="00E30704"/>
    <w:rsid w:val="00E32F4F"/>
    <w:rsid w:val="00E342F5"/>
    <w:rsid w:val="00E3454B"/>
    <w:rsid w:val="00E357B7"/>
    <w:rsid w:val="00E35D24"/>
    <w:rsid w:val="00E40992"/>
    <w:rsid w:val="00E41245"/>
    <w:rsid w:val="00E43FA1"/>
    <w:rsid w:val="00E510F7"/>
    <w:rsid w:val="00E53800"/>
    <w:rsid w:val="00E54599"/>
    <w:rsid w:val="00E55F41"/>
    <w:rsid w:val="00E562EE"/>
    <w:rsid w:val="00E5684F"/>
    <w:rsid w:val="00E57F20"/>
    <w:rsid w:val="00E6081F"/>
    <w:rsid w:val="00E6295C"/>
    <w:rsid w:val="00E62B06"/>
    <w:rsid w:val="00E65B6F"/>
    <w:rsid w:val="00E67B35"/>
    <w:rsid w:val="00E72F34"/>
    <w:rsid w:val="00E7349D"/>
    <w:rsid w:val="00E76CAA"/>
    <w:rsid w:val="00E76CAF"/>
    <w:rsid w:val="00E8296D"/>
    <w:rsid w:val="00E8457B"/>
    <w:rsid w:val="00E85368"/>
    <w:rsid w:val="00E929FA"/>
    <w:rsid w:val="00E94A8D"/>
    <w:rsid w:val="00EA04B2"/>
    <w:rsid w:val="00EA16A7"/>
    <w:rsid w:val="00EA1D90"/>
    <w:rsid w:val="00EA20F3"/>
    <w:rsid w:val="00EA38B9"/>
    <w:rsid w:val="00EA5ADE"/>
    <w:rsid w:val="00EA658C"/>
    <w:rsid w:val="00EB0932"/>
    <w:rsid w:val="00EB4018"/>
    <w:rsid w:val="00EB40B7"/>
    <w:rsid w:val="00EC04EA"/>
    <w:rsid w:val="00EC5306"/>
    <w:rsid w:val="00EC71EC"/>
    <w:rsid w:val="00ED0212"/>
    <w:rsid w:val="00ED2831"/>
    <w:rsid w:val="00ED3D1A"/>
    <w:rsid w:val="00ED43D1"/>
    <w:rsid w:val="00ED4430"/>
    <w:rsid w:val="00ED4A01"/>
    <w:rsid w:val="00ED580E"/>
    <w:rsid w:val="00EE2141"/>
    <w:rsid w:val="00EE3D7F"/>
    <w:rsid w:val="00EE439B"/>
    <w:rsid w:val="00EE4EE1"/>
    <w:rsid w:val="00EF02CD"/>
    <w:rsid w:val="00EF0982"/>
    <w:rsid w:val="00EF12E0"/>
    <w:rsid w:val="00EF2939"/>
    <w:rsid w:val="00EF3EA1"/>
    <w:rsid w:val="00EF41AA"/>
    <w:rsid w:val="00EF4574"/>
    <w:rsid w:val="00EF6982"/>
    <w:rsid w:val="00EF7D07"/>
    <w:rsid w:val="00F0050A"/>
    <w:rsid w:val="00F057B8"/>
    <w:rsid w:val="00F11180"/>
    <w:rsid w:val="00F13A90"/>
    <w:rsid w:val="00F14C2F"/>
    <w:rsid w:val="00F167E5"/>
    <w:rsid w:val="00F170C3"/>
    <w:rsid w:val="00F17387"/>
    <w:rsid w:val="00F25A93"/>
    <w:rsid w:val="00F2684E"/>
    <w:rsid w:val="00F26B5D"/>
    <w:rsid w:val="00F32784"/>
    <w:rsid w:val="00F33E14"/>
    <w:rsid w:val="00F34C7E"/>
    <w:rsid w:val="00F35AA6"/>
    <w:rsid w:val="00F4182F"/>
    <w:rsid w:val="00F47305"/>
    <w:rsid w:val="00F4752F"/>
    <w:rsid w:val="00F52696"/>
    <w:rsid w:val="00F5404C"/>
    <w:rsid w:val="00F54674"/>
    <w:rsid w:val="00F560F3"/>
    <w:rsid w:val="00F56117"/>
    <w:rsid w:val="00F64CE6"/>
    <w:rsid w:val="00F65B9D"/>
    <w:rsid w:val="00F70A1B"/>
    <w:rsid w:val="00F729EF"/>
    <w:rsid w:val="00F74A0E"/>
    <w:rsid w:val="00F77CAE"/>
    <w:rsid w:val="00F80821"/>
    <w:rsid w:val="00F82271"/>
    <w:rsid w:val="00F82CED"/>
    <w:rsid w:val="00F83428"/>
    <w:rsid w:val="00F839D4"/>
    <w:rsid w:val="00F83E21"/>
    <w:rsid w:val="00F87D08"/>
    <w:rsid w:val="00F90941"/>
    <w:rsid w:val="00F91C13"/>
    <w:rsid w:val="00F96BB3"/>
    <w:rsid w:val="00F96BB9"/>
    <w:rsid w:val="00F96C62"/>
    <w:rsid w:val="00FA1C2D"/>
    <w:rsid w:val="00FA4EEC"/>
    <w:rsid w:val="00FA6E1C"/>
    <w:rsid w:val="00FB7892"/>
    <w:rsid w:val="00FC11EE"/>
    <w:rsid w:val="00FC2ABF"/>
    <w:rsid w:val="00FC322F"/>
    <w:rsid w:val="00FC3803"/>
    <w:rsid w:val="00FC4F72"/>
    <w:rsid w:val="00FC7F74"/>
    <w:rsid w:val="00FD1A05"/>
    <w:rsid w:val="00FD3D90"/>
    <w:rsid w:val="00FD3E2F"/>
    <w:rsid w:val="00FD44AA"/>
    <w:rsid w:val="00FD71FB"/>
    <w:rsid w:val="00FE1AA7"/>
    <w:rsid w:val="00FE3701"/>
    <w:rsid w:val="00FE6353"/>
    <w:rsid w:val="00FE6D51"/>
    <w:rsid w:val="00FE6F2A"/>
    <w:rsid w:val="00FE7C03"/>
    <w:rsid w:val="00FF01A9"/>
    <w:rsid w:val="00FF1E99"/>
    <w:rsid w:val="00FF34DC"/>
    <w:rsid w:val="00FF73C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0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A7A97"/>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0A3DA9"/>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1A4C27"/>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A3DA9"/>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DA9"/>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1A4C2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0A3DA9"/>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0A3DA9"/>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A3DA9"/>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0A3DA9"/>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ASI Footer,ftref,16 Point,Superscript 6 Point, BVI fnr,BVI fnr, BVI fnr Car Car,BVI fnr Car, BVI fnr Car Car Car Car, BVI fnr Car Car Car Car Char,BVI fnr Car Car,BVI fnr Car Car Car Car,Footnotes refss,Footnote Reference1"/>
    <w:basedOn w:val="DefaultParagraphFont"/>
    <w:link w:val="Char2"/>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7D6DCB"/>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List Paragraph1,List Paragraph11,Medium Grid 1 - Accent 21,Numbered Paragraph,CV text,Table text,F5 List Paragraph,Dot pt,Bulleted Para,NFP GP Bulleted List,FooterText,numbered,Paragraphe de liste1,Bulletr List Paragraph"/>
    <w:basedOn w:val="Normal"/>
    <w:link w:val="ListParagraphChar"/>
    <w:uiPriority w:val="34"/>
    <w:qFormat/>
    <w:locked/>
    <w:rsid w:val="00E02060"/>
    <w:pPr>
      <w:ind w:left="720"/>
      <w:contextualSpacing/>
    </w:pPr>
  </w:style>
  <w:style w:type="paragraph" w:customStyle="1" w:styleId="Normal1">
    <w:name w:val="Normal1"/>
    <w:rsid w:val="00E02060"/>
    <w:pPr>
      <w:widowControl w:val="0"/>
      <w:spacing w:after="0" w:line="240" w:lineRule="auto"/>
    </w:pPr>
    <w:rPr>
      <w:rFonts w:ascii="Calibri" w:eastAsia="Calibri" w:hAnsi="Calibri" w:cs="Calibri"/>
      <w:color w:val="000000"/>
      <w:sz w:val="24"/>
      <w:szCs w:val="24"/>
    </w:rPr>
  </w:style>
  <w:style w:type="table" w:customStyle="1" w:styleId="ListTable4-Accent14">
    <w:name w:val="List Table 4 - Accent 14"/>
    <w:basedOn w:val="TableNormal"/>
    <w:next w:val="ListTable4-Accent1"/>
    <w:uiPriority w:val="49"/>
    <w:rsid w:val="00E02060"/>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character" w:customStyle="1" w:styleId="ListParagraphChar">
    <w:name w:val="List Paragraph Char"/>
    <w:aliases w:val="Recommendation Char,L Char,List Paragraph1 Char,List Paragraph11 Char,Medium Grid 1 - Accent 21 Char,Numbered Paragraph Char,CV text Char,Table text Char,F5 List Paragraph Char,Dot pt Char,Bulleted Para Char,NFP GP Bulleted List Char"/>
    <w:link w:val="ListParagraph"/>
    <w:uiPriority w:val="34"/>
    <w:qFormat/>
    <w:locked/>
    <w:rsid w:val="00E02060"/>
    <w:rPr>
      <w:color w:val="495965" w:themeColor="text2"/>
      <w:lang w:val="en-GB"/>
    </w:rPr>
  </w:style>
  <w:style w:type="table" w:styleId="ListTable4-Accent1">
    <w:name w:val="List Table 4 Accent 1"/>
    <w:basedOn w:val="TableNormal"/>
    <w:uiPriority w:val="49"/>
    <w:locked/>
    <w:rsid w:val="00E02060"/>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Tablebullet">
    <w:name w:val="Table bullet"/>
    <w:basedOn w:val="ListParagraph"/>
    <w:link w:val="TablebulletChar"/>
    <w:qFormat/>
    <w:rsid w:val="00740C35"/>
    <w:pPr>
      <w:numPr>
        <w:numId w:val="11"/>
      </w:numPr>
      <w:spacing w:before="60"/>
      <w:ind w:left="349"/>
    </w:pPr>
    <w:rPr>
      <w:rFonts w:asciiTheme="majorHAnsi" w:hAnsiTheme="majorHAnsi"/>
    </w:rPr>
  </w:style>
  <w:style w:type="character" w:styleId="EndnoteReference">
    <w:name w:val="endnote reference"/>
    <w:basedOn w:val="DefaultParagraphFont"/>
    <w:uiPriority w:val="99"/>
    <w:semiHidden/>
    <w:unhideWhenUsed/>
    <w:rsid w:val="006679D3"/>
    <w:rPr>
      <w:vertAlign w:val="superscript"/>
    </w:rPr>
  </w:style>
  <w:style w:type="character" w:customStyle="1" w:styleId="TablebulletChar">
    <w:name w:val="Table bullet Char"/>
    <w:basedOn w:val="ListParagraphChar"/>
    <w:link w:val="Tablebullet"/>
    <w:rsid w:val="00740C35"/>
    <w:rPr>
      <w:rFonts w:asciiTheme="majorHAnsi" w:hAnsiTheme="majorHAnsi"/>
      <w:color w:val="495965" w:themeColor="text2"/>
      <w:lang w:val="en-GB"/>
    </w:rPr>
  </w:style>
  <w:style w:type="character" w:styleId="PlaceholderText">
    <w:name w:val="Placeholder Text"/>
    <w:basedOn w:val="DefaultParagraphFont"/>
    <w:uiPriority w:val="99"/>
    <w:semiHidden/>
    <w:locked/>
    <w:rsid w:val="00AB6EDF"/>
    <w:rPr>
      <w:color w:val="808080"/>
    </w:rPr>
  </w:style>
  <w:style w:type="paragraph" w:customStyle="1" w:styleId="Char2">
    <w:name w:val="Char2"/>
    <w:basedOn w:val="Normal"/>
    <w:link w:val="FootnoteReference"/>
    <w:rsid w:val="0017464B"/>
    <w:pPr>
      <w:suppressAutoHyphens w:val="0"/>
      <w:spacing w:before="0" w:after="160" w:line="240" w:lineRule="exact"/>
    </w:pPr>
    <w:rPr>
      <w:color w:val="auto"/>
      <w:vertAlign w:val="superscript"/>
      <w:lang w:val="en-AU"/>
    </w:rPr>
  </w:style>
  <w:style w:type="paragraph" w:styleId="Revision">
    <w:name w:val="Revision"/>
    <w:hidden/>
    <w:uiPriority w:val="99"/>
    <w:semiHidden/>
    <w:rsid w:val="00C224A3"/>
    <w:pPr>
      <w:spacing w:after="0" w:line="240" w:lineRule="auto"/>
    </w:pPr>
    <w:rPr>
      <w:color w:val="495965" w:themeColor="text2"/>
      <w:lang w:val="en-GB"/>
    </w:rPr>
  </w:style>
  <w:style w:type="character" w:customStyle="1" w:styleId="UnresolvedMention1">
    <w:name w:val="Unresolved Mention1"/>
    <w:basedOn w:val="DefaultParagraphFont"/>
    <w:uiPriority w:val="99"/>
    <w:semiHidden/>
    <w:unhideWhenUsed/>
    <w:rsid w:val="000936AB"/>
    <w:rPr>
      <w:color w:val="605E5C"/>
      <w:shd w:val="clear" w:color="auto" w:fill="E1DFDD"/>
    </w:rPr>
  </w:style>
  <w:style w:type="table" w:styleId="GridTable1Light-Accent1">
    <w:name w:val="Grid Table 1 Light Accent 1"/>
    <w:basedOn w:val="TableNormal"/>
    <w:uiPriority w:val="46"/>
    <w:locked/>
    <w:rsid w:val="00AC356B"/>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paragraph" w:customStyle="1" w:styleId="Style1">
    <w:name w:val="Style1"/>
    <w:basedOn w:val="Heading2"/>
    <w:link w:val="Style1Char"/>
    <w:qFormat/>
    <w:rsid w:val="00F74A0E"/>
    <w:pPr>
      <w:spacing w:before="120" w:after="0" w:line="240" w:lineRule="auto"/>
      <w:contextualSpacing w:val="0"/>
    </w:pPr>
    <w:rPr>
      <w:rFonts w:asciiTheme="minorHAnsi" w:hAnsiTheme="minorHAnsi" w:cstheme="minorHAnsi"/>
      <w:b/>
      <w:color w:val="000000" w:themeColor="text1"/>
      <w:sz w:val="24"/>
      <w:u w:val="single"/>
      <w:lang w:val="en-AU"/>
    </w:rPr>
  </w:style>
  <w:style w:type="paragraph" w:customStyle="1" w:styleId="Style2">
    <w:name w:val="Style2"/>
    <w:basedOn w:val="Heading2"/>
    <w:link w:val="Style2Char"/>
    <w:qFormat/>
    <w:rsid w:val="00F74A0E"/>
    <w:pPr>
      <w:spacing w:before="120" w:after="0" w:line="240" w:lineRule="auto"/>
      <w:contextualSpacing w:val="0"/>
    </w:pPr>
    <w:rPr>
      <w:rFonts w:asciiTheme="minorHAnsi" w:hAnsiTheme="minorHAnsi" w:cstheme="minorHAnsi"/>
      <w:b/>
      <w:color w:val="000000" w:themeColor="text1"/>
      <w:sz w:val="24"/>
      <w:lang w:val="en-AU"/>
    </w:rPr>
  </w:style>
  <w:style w:type="character" w:customStyle="1" w:styleId="Style1Char">
    <w:name w:val="Style1 Char"/>
    <w:basedOn w:val="Heading2Char"/>
    <w:link w:val="Style1"/>
    <w:rsid w:val="00F74A0E"/>
    <w:rPr>
      <w:rFonts w:asciiTheme="majorHAnsi" w:eastAsiaTheme="majorEastAsia" w:hAnsiTheme="majorHAnsi" w:cstheme="minorHAnsi"/>
      <w:b/>
      <w:caps/>
      <w:color w:val="000000" w:themeColor="text1"/>
      <w:sz w:val="24"/>
      <w:szCs w:val="26"/>
      <w:u w:val="single"/>
      <w:lang w:val="en-GB"/>
    </w:rPr>
  </w:style>
  <w:style w:type="character" w:customStyle="1" w:styleId="Style2Char">
    <w:name w:val="Style2 Char"/>
    <w:basedOn w:val="Heading2Char"/>
    <w:link w:val="Style2"/>
    <w:rsid w:val="00F74A0E"/>
    <w:rPr>
      <w:rFonts w:asciiTheme="majorHAnsi" w:eastAsiaTheme="majorEastAsia" w:hAnsiTheme="majorHAnsi" w:cstheme="minorHAnsi"/>
      <w:b/>
      <w:caps/>
      <w:color w:val="000000" w:themeColor="text1"/>
      <w:sz w:val="24"/>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7507">
      <w:bodyDiv w:val="1"/>
      <w:marLeft w:val="0"/>
      <w:marRight w:val="0"/>
      <w:marTop w:val="0"/>
      <w:marBottom w:val="0"/>
      <w:divBdr>
        <w:top w:val="none" w:sz="0" w:space="0" w:color="auto"/>
        <w:left w:val="none" w:sz="0" w:space="0" w:color="auto"/>
        <w:bottom w:val="none" w:sz="0" w:space="0" w:color="auto"/>
        <w:right w:val="none" w:sz="0" w:space="0" w:color="auto"/>
      </w:divBdr>
    </w:div>
    <w:div w:id="469442788">
      <w:bodyDiv w:val="1"/>
      <w:marLeft w:val="0"/>
      <w:marRight w:val="0"/>
      <w:marTop w:val="0"/>
      <w:marBottom w:val="0"/>
      <w:divBdr>
        <w:top w:val="none" w:sz="0" w:space="0" w:color="auto"/>
        <w:left w:val="none" w:sz="0" w:space="0" w:color="auto"/>
        <w:bottom w:val="none" w:sz="0" w:space="0" w:color="auto"/>
        <w:right w:val="none" w:sz="0" w:space="0" w:color="auto"/>
      </w:divBdr>
    </w:div>
    <w:div w:id="501549786">
      <w:bodyDiv w:val="1"/>
      <w:marLeft w:val="0"/>
      <w:marRight w:val="0"/>
      <w:marTop w:val="0"/>
      <w:marBottom w:val="0"/>
      <w:divBdr>
        <w:top w:val="none" w:sz="0" w:space="0" w:color="auto"/>
        <w:left w:val="none" w:sz="0" w:space="0" w:color="auto"/>
        <w:bottom w:val="none" w:sz="0" w:space="0" w:color="auto"/>
        <w:right w:val="none" w:sz="0" w:space="0" w:color="auto"/>
      </w:divBdr>
    </w:div>
    <w:div w:id="679504393">
      <w:bodyDiv w:val="1"/>
      <w:marLeft w:val="0"/>
      <w:marRight w:val="0"/>
      <w:marTop w:val="0"/>
      <w:marBottom w:val="0"/>
      <w:divBdr>
        <w:top w:val="none" w:sz="0" w:space="0" w:color="auto"/>
        <w:left w:val="none" w:sz="0" w:space="0" w:color="auto"/>
        <w:bottom w:val="none" w:sz="0" w:space="0" w:color="auto"/>
        <w:right w:val="none" w:sz="0" w:space="0" w:color="auto"/>
      </w:divBdr>
      <w:divsChild>
        <w:div w:id="741147128">
          <w:marLeft w:val="0"/>
          <w:marRight w:val="0"/>
          <w:marTop w:val="0"/>
          <w:marBottom w:val="0"/>
          <w:divBdr>
            <w:top w:val="none" w:sz="0" w:space="0" w:color="auto"/>
            <w:left w:val="none" w:sz="0" w:space="0" w:color="auto"/>
            <w:bottom w:val="none" w:sz="0" w:space="0" w:color="auto"/>
            <w:right w:val="none" w:sz="0" w:space="0" w:color="auto"/>
          </w:divBdr>
        </w:div>
        <w:div w:id="366489598">
          <w:marLeft w:val="0"/>
          <w:marRight w:val="0"/>
          <w:marTop w:val="0"/>
          <w:marBottom w:val="0"/>
          <w:divBdr>
            <w:top w:val="none" w:sz="0" w:space="0" w:color="auto"/>
            <w:left w:val="none" w:sz="0" w:space="0" w:color="auto"/>
            <w:bottom w:val="none" w:sz="0" w:space="0" w:color="auto"/>
            <w:right w:val="none" w:sz="0" w:space="0" w:color="auto"/>
          </w:divBdr>
        </w:div>
      </w:divsChild>
    </w:div>
    <w:div w:id="1056472418">
      <w:bodyDiv w:val="1"/>
      <w:marLeft w:val="0"/>
      <w:marRight w:val="0"/>
      <w:marTop w:val="0"/>
      <w:marBottom w:val="0"/>
      <w:divBdr>
        <w:top w:val="none" w:sz="0" w:space="0" w:color="auto"/>
        <w:left w:val="none" w:sz="0" w:space="0" w:color="auto"/>
        <w:bottom w:val="none" w:sz="0" w:space="0" w:color="auto"/>
        <w:right w:val="none" w:sz="0" w:space="0" w:color="auto"/>
      </w:divBdr>
    </w:div>
    <w:div w:id="1225137853">
      <w:bodyDiv w:val="1"/>
      <w:marLeft w:val="0"/>
      <w:marRight w:val="0"/>
      <w:marTop w:val="0"/>
      <w:marBottom w:val="0"/>
      <w:divBdr>
        <w:top w:val="none" w:sz="0" w:space="0" w:color="auto"/>
        <w:left w:val="none" w:sz="0" w:space="0" w:color="auto"/>
        <w:bottom w:val="none" w:sz="0" w:space="0" w:color="auto"/>
        <w:right w:val="none" w:sz="0" w:space="0" w:color="auto"/>
      </w:divBdr>
    </w:div>
    <w:div w:id="21450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publications/aid/partnerships-recovery-australias-covid-19-development-respon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07399-5F5F-44F4-82A1-8E36C602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2021-03-17T21:31:00Z</dcterms:created>
  <dcterms:modified xsi:type="dcterms:W3CDTF">2021-03-17T21:33:00Z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401d8468-247f-408a-8e89-6bfacac9b918</vt:lpwstr>
  </property>
  <property fmtid="{D5CDD505-2E9C-101B-9397-08002B2CF9AE}" pid="3" name="SEC">
    <vt:lpwstr>OFFICIAL</vt:lpwstr>
  </property>
</Properties>
</file>