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1AE52" w14:textId="1B9A12C2" w:rsidR="00655A62" w:rsidRPr="00BD1C03" w:rsidRDefault="000F1829" w:rsidP="003E7CA5">
      <w:pPr>
        <w:ind w:right="414"/>
        <w:sectPr w:rsidR="00655A62" w:rsidRPr="00BD1C03" w:rsidSect="00655A62">
          <w:headerReference w:type="even" r:id="rId8"/>
          <w:headerReference w:type="default" r:id="rId9"/>
          <w:footerReference w:type="even" r:id="rId10"/>
          <w:footerReference w:type="default" r:id="rId11"/>
          <w:endnotePr>
            <w:numFmt w:val="decimal"/>
          </w:endnotePr>
          <w:pgSz w:w="11900" w:h="16820"/>
          <w:pgMar w:top="0" w:right="0" w:bottom="567" w:left="4" w:header="0" w:footer="0" w:gutter="0"/>
          <w:cols w:space="720"/>
          <w:noEndnote/>
        </w:sectPr>
      </w:pPr>
      <w:r w:rsidRPr="00BD1C03">
        <w:rPr>
          <w:noProof/>
          <w:lang w:val="en-US"/>
        </w:rPr>
        <mc:AlternateContent>
          <mc:Choice Requires="wps">
            <w:drawing>
              <wp:anchor distT="0" distB="0" distL="114300" distR="114300" simplePos="0" relativeHeight="251655680" behindDoc="0" locked="0" layoutInCell="1" allowOverlap="1" wp14:anchorId="3946A463" wp14:editId="53B6F218">
                <wp:simplePos x="0" y="0"/>
                <wp:positionH relativeFrom="column">
                  <wp:posOffset>-2540</wp:posOffset>
                </wp:positionH>
                <wp:positionV relativeFrom="paragraph">
                  <wp:posOffset>7997825</wp:posOffset>
                </wp:positionV>
                <wp:extent cx="7551420" cy="1635760"/>
                <wp:effectExtent l="0" t="0" r="0" b="2540"/>
                <wp:wrapSquare wrapText="bothSides"/>
                <wp:docPr id="4" name="Text Box 4"/>
                <wp:cNvGraphicFramePr/>
                <a:graphic xmlns:a="http://schemas.openxmlformats.org/drawingml/2006/main">
                  <a:graphicData uri="http://schemas.microsoft.com/office/word/2010/wordprocessingShape">
                    <wps:wsp>
                      <wps:cNvSpPr txBox="1"/>
                      <wps:spPr>
                        <a:xfrm>
                          <a:off x="0" y="0"/>
                          <a:ext cx="7551420" cy="16357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299C49C" w14:textId="10B72237" w:rsidR="008206E8" w:rsidRPr="00036D8F" w:rsidRDefault="008206E8" w:rsidP="00E45095">
                            <w:pPr>
                              <w:spacing w:after="0"/>
                              <w:ind w:left="709" w:right="621"/>
                              <w:jc w:val="center"/>
                              <w:rPr>
                                <w:sz w:val="32"/>
                                <w:szCs w:val="32"/>
                              </w:rPr>
                            </w:pPr>
                            <w:r w:rsidRPr="00036D8F">
                              <w:rPr>
                                <w:sz w:val="32"/>
                                <w:szCs w:val="32"/>
                              </w:rPr>
                              <w:t>July 2020</w:t>
                            </w:r>
                          </w:p>
                          <w:p w14:paraId="5CA8422A" w14:textId="77777777" w:rsidR="008206E8" w:rsidRPr="00036D8F" w:rsidRDefault="008206E8" w:rsidP="00E45095">
                            <w:pPr>
                              <w:spacing w:after="0"/>
                              <w:ind w:left="709" w:right="621"/>
                              <w:jc w:val="center"/>
                              <w:rPr>
                                <w:sz w:val="32"/>
                                <w:szCs w:val="32"/>
                              </w:rPr>
                            </w:pPr>
                          </w:p>
                          <w:tbl>
                            <w:tblPr>
                              <w:tblStyle w:val="TableGrid"/>
                              <w:tblW w:w="11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7"/>
                              <w:gridCol w:w="5811"/>
                            </w:tblGrid>
                            <w:tr w:rsidR="008206E8" w:rsidRPr="00036D8F" w14:paraId="04A58AF5" w14:textId="77777777" w:rsidTr="003E7CA5">
                              <w:tc>
                                <w:tcPr>
                                  <w:tcW w:w="5637" w:type="dxa"/>
                                </w:tcPr>
                                <w:p w14:paraId="6DDEF4C9" w14:textId="728B5E76" w:rsidR="008206E8" w:rsidRPr="00036D8F" w:rsidRDefault="008206E8" w:rsidP="003E7CA5">
                                  <w:pPr>
                                    <w:spacing w:after="0"/>
                                    <w:ind w:left="426" w:right="621"/>
                                    <w:rPr>
                                      <w:sz w:val="32"/>
                                      <w:szCs w:val="32"/>
                                    </w:rPr>
                                  </w:pPr>
                                  <w:r w:rsidRPr="00036D8F">
                                    <w:rPr>
                                      <w:sz w:val="32"/>
                                      <w:szCs w:val="32"/>
                                    </w:rPr>
                                    <w:t>Scott Rankin</w:t>
                                  </w:r>
                                </w:p>
                                <w:p w14:paraId="2192AB7E" w14:textId="317E6CCB" w:rsidR="008206E8" w:rsidRPr="00036D8F" w:rsidRDefault="008206E8" w:rsidP="003E7CA5">
                                  <w:pPr>
                                    <w:spacing w:after="0"/>
                                    <w:ind w:left="426" w:right="-2241"/>
                                    <w:rPr>
                                      <w:sz w:val="32"/>
                                      <w:szCs w:val="32"/>
                                    </w:rPr>
                                  </w:pPr>
                                  <w:r w:rsidRPr="00036D8F">
                                    <w:rPr>
                                      <w:sz w:val="32"/>
                                      <w:szCs w:val="32"/>
                                    </w:rPr>
                                    <w:t>Senior Evaluation Specialist</w:t>
                                  </w:r>
                                </w:p>
                                <w:p w14:paraId="618490DB" w14:textId="77777777" w:rsidR="008206E8" w:rsidRPr="00036D8F" w:rsidRDefault="008206E8" w:rsidP="003E7CA5">
                                  <w:pPr>
                                    <w:spacing w:after="0"/>
                                    <w:ind w:left="567" w:right="621"/>
                                    <w:rPr>
                                      <w:sz w:val="32"/>
                                      <w:szCs w:val="32"/>
                                    </w:rPr>
                                  </w:pPr>
                                </w:p>
                              </w:tc>
                              <w:tc>
                                <w:tcPr>
                                  <w:tcW w:w="5811" w:type="dxa"/>
                                </w:tcPr>
                                <w:p w14:paraId="73CFABD8" w14:textId="5E79FB3B" w:rsidR="008206E8" w:rsidRPr="00036D8F" w:rsidRDefault="008206E8" w:rsidP="001A7BCB">
                                  <w:pPr>
                                    <w:spacing w:after="0"/>
                                    <w:ind w:left="2015" w:right="1876"/>
                                    <w:rPr>
                                      <w:sz w:val="32"/>
                                      <w:szCs w:val="32"/>
                                    </w:rPr>
                                  </w:pPr>
                                  <w:r w:rsidRPr="00036D8F">
                                    <w:rPr>
                                      <w:sz w:val="32"/>
                                      <w:szCs w:val="32"/>
                                    </w:rPr>
                                    <w:t>Amra Lee</w:t>
                                  </w:r>
                                </w:p>
                                <w:p w14:paraId="255FBCDA" w14:textId="77777777" w:rsidR="008206E8" w:rsidRPr="00036D8F" w:rsidRDefault="008206E8" w:rsidP="003E7CA5">
                                  <w:pPr>
                                    <w:spacing w:after="0"/>
                                    <w:ind w:right="35"/>
                                    <w:jc w:val="right"/>
                                    <w:rPr>
                                      <w:sz w:val="32"/>
                                      <w:szCs w:val="32"/>
                                    </w:rPr>
                                  </w:pPr>
                                  <w:r w:rsidRPr="00036D8F">
                                    <w:rPr>
                                      <w:sz w:val="32"/>
                                      <w:szCs w:val="32"/>
                                    </w:rPr>
                                    <w:t>Senior Protection Specialist</w:t>
                                  </w:r>
                                </w:p>
                                <w:p w14:paraId="64DCC605" w14:textId="16CD1A2A" w:rsidR="008206E8" w:rsidRPr="00036D8F" w:rsidRDefault="008206E8" w:rsidP="003D5905">
                                  <w:pPr>
                                    <w:spacing w:after="0"/>
                                    <w:ind w:left="567" w:right="621"/>
                                    <w:jc w:val="center"/>
                                    <w:rPr>
                                      <w:sz w:val="32"/>
                                      <w:szCs w:val="32"/>
                                    </w:rPr>
                                  </w:pPr>
                                </w:p>
                              </w:tc>
                            </w:tr>
                            <w:tr w:rsidR="008206E8" w:rsidRPr="000F1829" w14:paraId="65846413" w14:textId="77777777" w:rsidTr="003E7CA5">
                              <w:tc>
                                <w:tcPr>
                                  <w:tcW w:w="5637" w:type="dxa"/>
                                </w:tcPr>
                                <w:p w14:paraId="27F30B88" w14:textId="77777777" w:rsidR="008206E8" w:rsidRPr="000F1829" w:rsidRDefault="008206E8" w:rsidP="003E7CA5">
                                  <w:pPr>
                                    <w:spacing w:after="0"/>
                                    <w:ind w:left="426" w:right="621"/>
                                    <w:rPr>
                                      <w:sz w:val="32"/>
                                      <w:szCs w:val="32"/>
                                    </w:rPr>
                                  </w:pPr>
                                </w:p>
                              </w:tc>
                              <w:tc>
                                <w:tcPr>
                                  <w:tcW w:w="5811" w:type="dxa"/>
                                </w:tcPr>
                                <w:p w14:paraId="320E3141" w14:textId="77777777" w:rsidR="008206E8" w:rsidRPr="000F1829" w:rsidRDefault="008206E8" w:rsidP="003E7CA5">
                                  <w:pPr>
                                    <w:spacing w:after="0"/>
                                    <w:ind w:left="-1096"/>
                                    <w:jc w:val="right"/>
                                    <w:rPr>
                                      <w:sz w:val="32"/>
                                      <w:szCs w:val="32"/>
                                    </w:rPr>
                                  </w:pPr>
                                </w:p>
                              </w:tc>
                            </w:tr>
                          </w:tbl>
                          <w:p w14:paraId="5DD08403" w14:textId="77777777" w:rsidR="008206E8" w:rsidRPr="00C862C5" w:rsidRDefault="008206E8" w:rsidP="00655A62">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6A463" id="_x0000_t202" coordsize="21600,21600" o:spt="202" path="m,l,21600r21600,l21600,xe">
                <v:stroke joinstyle="miter"/>
                <v:path gradientshapeok="t" o:connecttype="rect"/>
              </v:shapetype>
              <v:shape id="Text Box 4" o:spid="_x0000_s1026" type="#_x0000_t202" style="position:absolute;margin-left:-.2pt;margin-top:629.75pt;width:594.6pt;height:12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" filled="f" stroked="f">
                <v:textbox>
                  <w:txbxContent>
                    <w:p w14:paraId="5299C49C" w14:textId="10B72237" w:rsidR="008206E8" w:rsidRPr="00036D8F" w:rsidRDefault="008206E8" w:rsidP="00E45095">
                      <w:pPr>
                        <w:spacing w:after="0"/>
                        <w:ind w:left="709" w:right="621"/>
                        <w:jc w:val="center"/>
                        <w:rPr>
                          <w:sz w:val="32"/>
                          <w:szCs w:val="32"/>
                        </w:rPr>
                      </w:pPr>
                      <w:r w:rsidRPr="00036D8F">
                        <w:rPr>
                          <w:sz w:val="32"/>
                          <w:szCs w:val="32"/>
                        </w:rPr>
                        <w:t>July 2020</w:t>
                      </w:r>
                    </w:p>
                    <w:p w14:paraId="5CA8422A" w14:textId="77777777" w:rsidR="008206E8" w:rsidRPr="00036D8F" w:rsidRDefault="008206E8" w:rsidP="00E45095">
                      <w:pPr>
                        <w:spacing w:after="0"/>
                        <w:ind w:left="709" w:right="621"/>
                        <w:jc w:val="center"/>
                        <w:rPr>
                          <w:sz w:val="32"/>
                          <w:szCs w:val="32"/>
                        </w:rPr>
                      </w:pPr>
                    </w:p>
                    <w:tbl>
                      <w:tblPr>
                        <w:tblStyle w:val="TableGrid"/>
                        <w:tblW w:w="11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7"/>
                        <w:gridCol w:w="5811"/>
                      </w:tblGrid>
                      <w:tr w:rsidR="008206E8" w:rsidRPr="00036D8F" w14:paraId="04A58AF5" w14:textId="77777777" w:rsidTr="003E7CA5">
                        <w:tc>
                          <w:tcPr>
                            <w:tcW w:w="5637" w:type="dxa"/>
                          </w:tcPr>
                          <w:p w14:paraId="6DDEF4C9" w14:textId="728B5E76" w:rsidR="008206E8" w:rsidRPr="00036D8F" w:rsidRDefault="008206E8" w:rsidP="003E7CA5">
                            <w:pPr>
                              <w:spacing w:after="0"/>
                              <w:ind w:left="426" w:right="621"/>
                              <w:rPr>
                                <w:sz w:val="32"/>
                                <w:szCs w:val="32"/>
                              </w:rPr>
                            </w:pPr>
                            <w:r w:rsidRPr="00036D8F">
                              <w:rPr>
                                <w:sz w:val="32"/>
                                <w:szCs w:val="32"/>
                              </w:rPr>
                              <w:t>Scott Rankin</w:t>
                            </w:r>
                          </w:p>
                          <w:p w14:paraId="2192AB7E" w14:textId="317E6CCB" w:rsidR="008206E8" w:rsidRPr="00036D8F" w:rsidRDefault="008206E8" w:rsidP="003E7CA5">
                            <w:pPr>
                              <w:spacing w:after="0"/>
                              <w:ind w:left="426" w:right="-2241"/>
                              <w:rPr>
                                <w:sz w:val="32"/>
                                <w:szCs w:val="32"/>
                              </w:rPr>
                            </w:pPr>
                            <w:r w:rsidRPr="00036D8F">
                              <w:rPr>
                                <w:sz w:val="32"/>
                                <w:szCs w:val="32"/>
                              </w:rPr>
                              <w:t>Senior Evaluation Specialist</w:t>
                            </w:r>
                          </w:p>
                          <w:p w14:paraId="618490DB" w14:textId="77777777" w:rsidR="008206E8" w:rsidRPr="00036D8F" w:rsidRDefault="008206E8" w:rsidP="003E7CA5">
                            <w:pPr>
                              <w:spacing w:after="0"/>
                              <w:ind w:left="567" w:right="621"/>
                              <w:rPr>
                                <w:sz w:val="32"/>
                                <w:szCs w:val="32"/>
                              </w:rPr>
                            </w:pPr>
                          </w:p>
                        </w:tc>
                        <w:tc>
                          <w:tcPr>
                            <w:tcW w:w="5811" w:type="dxa"/>
                          </w:tcPr>
                          <w:p w14:paraId="73CFABD8" w14:textId="5E79FB3B" w:rsidR="008206E8" w:rsidRPr="00036D8F" w:rsidRDefault="008206E8" w:rsidP="001A7BCB">
                            <w:pPr>
                              <w:spacing w:after="0"/>
                              <w:ind w:left="2015" w:right="1876"/>
                              <w:rPr>
                                <w:sz w:val="32"/>
                                <w:szCs w:val="32"/>
                              </w:rPr>
                            </w:pPr>
                            <w:r w:rsidRPr="00036D8F">
                              <w:rPr>
                                <w:sz w:val="32"/>
                                <w:szCs w:val="32"/>
                              </w:rPr>
                              <w:t>Amra Lee</w:t>
                            </w:r>
                          </w:p>
                          <w:p w14:paraId="255FBCDA" w14:textId="77777777" w:rsidR="008206E8" w:rsidRPr="00036D8F" w:rsidRDefault="008206E8" w:rsidP="003E7CA5">
                            <w:pPr>
                              <w:spacing w:after="0"/>
                              <w:ind w:right="35"/>
                              <w:jc w:val="right"/>
                              <w:rPr>
                                <w:sz w:val="32"/>
                                <w:szCs w:val="32"/>
                              </w:rPr>
                            </w:pPr>
                            <w:r w:rsidRPr="00036D8F">
                              <w:rPr>
                                <w:sz w:val="32"/>
                                <w:szCs w:val="32"/>
                              </w:rPr>
                              <w:t>Senior Protection Specialist</w:t>
                            </w:r>
                          </w:p>
                          <w:p w14:paraId="64DCC605" w14:textId="16CD1A2A" w:rsidR="008206E8" w:rsidRPr="00036D8F" w:rsidRDefault="008206E8" w:rsidP="003D5905">
                            <w:pPr>
                              <w:spacing w:after="0"/>
                              <w:ind w:left="567" w:right="621"/>
                              <w:jc w:val="center"/>
                              <w:rPr>
                                <w:sz w:val="32"/>
                                <w:szCs w:val="32"/>
                              </w:rPr>
                            </w:pPr>
                          </w:p>
                        </w:tc>
                      </w:tr>
                      <w:tr w:rsidR="008206E8" w:rsidRPr="000F1829" w14:paraId="65846413" w14:textId="77777777" w:rsidTr="003E7CA5">
                        <w:tc>
                          <w:tcPr>
                            <w:tcW w:w="5637" w:type="dxa"/>
                          </w:tcPr>
                          <w:p w14:paraId="27F30B88" w14:textId="77777777" w:rsidR="008206E8" w:rsidRPr="000F1829" w:rsidRDefault="008206E8" w:rsidP="003E7CA5">
                            <w:pPr>
                              <w:spacing w:after="0"/>
                              <w:ind w:left="426" w:right="621"/>
                              <w:rPr>
                                <w:sz w:val="32"/>
                                <w:szCs w:val="32"/>
                              </w:rPr>
                            </w:pPr>
                          </w:p>
                        </w:tc>
                        <w:tc>
                          <w:tcPr>
                            <w:tcW w:w="5811" w:type="dxa"/>
                          </w:tcPr>
                          <w:p w14:paraId="320E3141" w14:textId="77777777" w:rsidR="008206E8" w:rsidRPr="000F1829" w:rsidRDefault="008206E8" w:rsidP="003E7CA5">
                            <w:pPr>
                              <w:spacing w:after="0"/>
                              <w:ind w:left="-1096"/>
                              <w:jc w:val="right"/>
                              <w:rPr>
                                <w:sz w:val="32"/>
                                <w:szCs w:val="32"/>
                              </w:rPr>
                            </w:pPr>
                          </w:p>
                        </w:tc>
                      </w:tr>
                    </w:tbl>
                    <w:p w14:paraId="5DD08403" w14:textId="77777777" w:rsidR="008206E8" w:rsidRPr="00C862C5" w:rsidRDefault="008206E8" w:rsidP="00655A62">
                      <w:pPr>
                        <w:rPr>
                          <w:sz w:val="24"/>
                        </w:rPr>
                      </w:pPr>
                    </w:p>
                  </w:txbxContent>
                </v:textbox>
                <w10:wrap type="square"/>
              </v:shape>
            </w:pict>
          </mc:Fallback>
        </mc:AlternateContent>
      </w:r>
      <w:r w:rsidR="009D3246" w:rsidRPr="00BD1C03">
        <w:rPr>
          <w:noProof/>
          <w:lang w:val="en-US"/>
        </w:rPr>
        <mc:AlternateContent>
          <mc:Choice Requires="wps">
            <w:drawing>
              <wp:anchor distT="0" distB="0" distL="114300" distR="114300" simplePos="0" relativeHeight="251656704" behindDoc="0" locked="0" layoutInCell="1" allowOverlap="1" wp14:anchorId="7D0D1A32" wp14:editId="2C725823">
                <wp:simplePos x="0" y="0"/>
                <wp:positionH relativeFrom="column">
                  <wp:posOffset>332740</wp:posOffset>
                </wp:positionH>
                <wp:positionV relativeFrom="paragraph">
                  <wp:posOffset>225425</wp:posOffset>
                </wp:positionV>
                <wp:extent cx="7123430" cy="1896110"/>
                <wp:effectExtent l="0" t="0" r="0" b="0"/>
                <wp:wrapNone/>
                <wp:docPr id="2" name="Casella di testo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430" cy="1896110"/>
                        </a:xfrm>
                        <a:prstGeom prst="rect">
                          <a:avLst/>
                        </a:prstGeom>
                        <a:noFill/>
                        <a:ln w="9525">
                          <a:noFill/>
                          <a:miter lim="800000"/>
                          <a:headEnd/>
                          <a:tailEnd/>
                        </a:ln>
                      </wps:spPr>
                      <wps:txbx>
                        <w:txbxContent>
                          <w:p w14:paraId="1C7CAC24" w14:textId="35D6959E" w:rsidR="008206E8" w:rsidRPr="00264D7F" w:rsidRDefault="008206E8" w:rsidP="00264D7F">
                            <w:pPr>
                              <w:pStyle w:val="Title"/>
                              <w:ind w:left="284"/>
                            </w:pPr>
                            <w:r w:rsidRPr="00264D7F">
                              <w:t>Independent Review – Iraq Humanitarian and Stabilisation Package</w:t>
                            </w:r>
                          </w:p>
                          <w:p w14:paraId="7FF9EACD" w14:textId="6FBB2C66" w:rsidR="008206E8" w:rsidRPr="00FB479B" w:rsidRDefault="008206E8" w:rsidP="00821C07">
                            <w:pPr>
                              <w:ind w:right="1533"/>
                              <w:jc w:val="right"/>
                              <w:rPr>
                                <w:b/>
                                <w:sz w:val="30"/>
                                <w:szCs w:val="30"/>
                              </w:rPr>
                            </w:pPr>
                            <w:r w:rsidRPr="00FB479B">
                              <w:rPr>
                                <w:sz w:val="30"/>
                                <w:szCs w:val="30"/>
                              </w:rPr>
                              <w:t>Commissioned by the Australian Department of Foreign Affairs and Trade</w:t>
                            </w:r>
                          </w:p>
                          <w:p w14:paraId="31B1AB17" w14:textId="77777777" w:rsidR="008206E8" w:rsidRPr="009D3246" w:rsidRDefault="008206E8" w:rsidP="00655A62">
                            <w:pPr>
                              <w:rPr>
                                <w:rFonts w:ascii="Arial" w:hAnsi="Arial" w:cs="Arial"/>
                                <w:color w:val="000000" w:themeColor="text1"/>
                                <w:sz w:val="40"/>
                                <w:szCs w:val="56"/>
                              </w:rPr>
                            </w:pPr>
                          </w:p>
                          <w:p w14:paraId="07FD6B7F" w14:textId="77777777" w:rsidR="008206E8" w:rsidRPr="009D3246" w:rsidRDefault="008206E8" w:rsidP="00655A62">
                            <w:pPr>
                              <w:rPr>
                                <w:rFonts w:ascii="Arial" w:hAnsi="Arial" w:cs="Arial"/>
                                <w:sz w:val="32"/>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D1A32" id="Casella di testo 2" o:spid="_x0000_s1027" type="#_x0000_t202" alt="&quot;&quot;" style="position:absolute;margin-left:26.2pt;margin-top:17.75pt;width:560.9pt;height:14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" filled="f" stroked="f">
                <v:textbox>
                  <w:txbxContent>
                    <w:p w14:paraId="1C7CAC24" w14:textId="35D6959E" w:rsidR="008206E8" w:rsidRPr="00264D7F" w:rsidRDefault="008206E8" w:rsidP="00264D7F">
                      <w:pPr>
                        <w:pStyle w:val="Title"/>
                        <w:ind w:left="284"/>
                      </w:pPr>
                      <w:r w:rsidRPr="00264D7F">
                        <w:t>Independent Review – Iraq Humanitarian and Stabilisation Package</w:t>
                      </w:r>
                    </w:p>
                    <w:p w14:paraId="7FF9EACD" w14:textId="6FBB2C66" w:rsidR="008206E8" w:rsidRPr="00FB479B" w:rsidRDefault="008206E8" w:rsidP="00821C07">
                      <w:pPr>
                        <w:ind w:right="1533"/>
                        <w:jc w:val="right"/>
                        <w:rPr>
                          <w:b/>
                          <w:sz w:val="30"/>
                          <w:szCs w:val="30"/>
                        </w:rPr>
                      </w:pPr>
                      <w:r w:rsidRPr="00FB479B">
                        <w:rPr>
                          <w:sz w:val="30"/>
                          <w:szCs w:val="30"/>
                        </w:rPr>
                        <w:t>Commissioned by the Australian Department of Foreign Affairs and Trade</w:t>
                      </w:r>
                    </w:p>
                    <w:p w14:paraId="31B1AB17" w14:textId="77777777" w:rsidR="008206E8" w:rsidRPr="009D3246" w:rsidRDefault="008206E8" w:rsidP="00655A62">
                      <w:pPr>
                        <w:rPr>
                          <w:rFonts w:ascii="Arial" w:hAnsi="Arial" w:cs="Arial"/>
                          <w:color w:val="000000" w:themeColor="text1"/>
                          <w:sz w:val="40"/>
                          <w:szCs w:val="56"/>
                        </w:rPr>
                      </w:pPr>
                    </w:p>
                    <w:p w14:paraId="07FD6B7F" w14:textId="77777777" w:rsidR="008206E8" w:rsidRPr="009D3246" w:rsidRDefault="008206E8" w:rsidP="00655A62">
                      <w:pPr>
                        <w:rPr>
                          <w:rFonts w:ascii="Arial" w:hAnsi="Arial" w:cs="Arial"/>
                          <w:sz w:val="32"/>
                          <w:szCs w:val="48"/>
                        </w:rPr>
                      </w:pPr>
                    </w:p>
                  </w:txbxContent>
                </v:textbox>
              </v:shape>
            </w:pict>
          </mc:Fallback>
        </mc:AlternateContent>
      </w:r>
      <w:r w:rsidR="00274AAB" w:rsidRPr="00BD1C03">
        <w:rPr>
          <w:noProof/>
          <w:lang w:val="en-US"/>
        </w:rPr>
        <w:drawing>
          <wp:inline distT="0" distB="0" distL="0" distR="0" wp14:anchorId="6BBFB3C2" wp14:editId="427CAB0D">
            <wp:extent cx="7551420" cy="10320655"/>
            <wp:effectExtent l="0" t="0" r="0" b="444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7551420" cy="10320655"/>
                    </a:xfrm>
                    <a:prstGeom prst="rect">
                      <a:avLst/>
                    </a:prstGeom>
                  </pic:spPr>
                </pic:pic>
              </a:graphicData>
            </a:graphic>
          </wp:inline>
        </w:drawing>
      </w:r>
    </w:p>
    <w:p w14:paraId="121F865F" w14:textId="6BE5BC3E" w:rsidR="00CE4450" w:rsidRPr="00BD1C03" w:rsidRDefault="00CE4450" w:rsidP="00470AE3">
      <w:pPr>
        <w:ind w:left="1407" w:right="621" w:firstLine="11"/>
        <w:rPr>
          <w:sz w:val="32"/>
          <w:szCs w:val="32"/>
        </w:rPr>
      </w:pPr>
      <w:r w:rsidRPr="00BD1C03">
        <w:rPr>
          <w:sz w:val="32"/>
          <w:szCs w:val="32"/>
        </w:rPr>
        <w:lastRenderedPageBreak/>
        <w:t xml:space="preserve">ACKNOWLEDGEMENTS </w:t>
      </w:r>
    </w:p>
    <w:p w14:paraId="6F0C9A1B" w14:textId="11DD02F9" w:rsidR="00CE4450" w:rsidRPr="00BD1C03" w:rsidRDefault="00CE4450" w:rsidP="00470AE3">
      <w:pPr>
        <w:ind w:left="1418" w:right="1406"/>
      </w:pPr>
      <w:r w:rsidRPr="00BD1C03">
        <w:t xml:space="preserve">This independent review was undertaken for the Australian Department of Foreign Affairs and Trade (DFAT) by Amra Lee (Protection Specialist) and Scott Rankin (Evaluation Specialist), contracted through the Research and Communications Group (RCG). </w:t>
      </w:r>
    </w:p>
    <w:p w14:paraId="5180E2A9" w14:textId="6C68D059" w:rsidR="00CE4450" w:rsidRDefault="00CE4450" w:rsidP="0008435D">
      <w:pPr>
        <w:ind w:left="1418" w:right="1406"/>
      </w:pPr>
      <w:r w:rsidRPr="00BD1C03">
        <w:t>The review team would like to express their sincere gratitude to DFAT staff in Canberra, Baghdad and Amman who contributed so enthusiastically to this review. The team would also like to acknowledge DFAT partners for their considered and frank contributions,</w:t>
      </w:r>
      <w:r w:rsidR="00531A36" w:rsidRPr="00BD1C03">
        <w:t xml:space="preserve"> and</w:t>
      </w:r>
      <w:r w:rsidRPr="00BD1C03">
        <w:t xml:space="preserve"> like-minded donors and representatives of other organisations for providing their valuable time despite not being directly involved or benefitting from DFAT </w:t>
      </w:r>
      <w:r w:rsidR="00475DC5" w:rsidRPr="00BD1C03">
        <w:t>funding</w:t>
      </w:r>
      <w:r w:rsidRPr="00BD1C03">
        <w:t>.</w:t>
      </w:r>
    </w:p>
    <w:p w14:paraId="0C0DE0FE" w14:textId="4EB67E21" w:rsidR="00AF3BD8" w:rsidRDefault="00AF3BD8" w:rsidP="0008435D">
      <w:pPr>
        <w:ind w:left="1418" w:right="1406"/>
      </w:pPr>
    </w:p>
    <w:p w14:paraId="4A11931A" w14:textId="30D0AAA2" w:rsidR="00AF3BD8" w:rsidRDefault="00AF3BD8" w:rsidP="0008435D">
      <w:pPr>
        <w:ind w:left="1418" w:right="1406"/>
        <w:rPr>
          <w:sz w:val="32"/>
          <w:szCs w:val="32"/>
        </w:rPr>
      </w:pPr>
      <w:r>
        <w:rPr>
          <w:sz w:val="32"/>
          <w:szCs w:val="32"/>
        </w:rPr>
        <w:t>DISCLAIMER</w:t>
      </w:r>
    </w:p>
    <w:p w14:paraId="27E6CFBC" w14:textId="77777777" w:rsidR="00AF3BD8" w:rsidRDefault="00AF3BD8" w:rsidP="0008435D">
      <w:pPr>
        <w:ind w:left="1418" w:right="1406"/>
        <w:rPr>
          <w:szCs w:val="22"/>
        </w:rPr>
      </w:pPr>
      <w:r>
        <w:rPr>
          <w:szCs w:val="22"/>
        </w:rPr>
        <w:t>The opinions expressed in this report do not necessarily represent the opinions or policy of DFAT or the Commonwealth of Australia.</w:t>
      </w:r>
    </w:p>
    <w:p w14:paraId="059C18A6" w14:textId="77777777" w:rsidR="00671CCB" w:rsidRDefault="00AF3BD8" w:rsidP="00671CCB">
      <w:pPr>
        <w:ind w:left="1418" w:right="1406"/>
        <w:rPr>
          <w:szCs w:val="22"/>
        </w:rPr>
      </w:pPr>
      <w:r>
        <w:rPr>
          <w:szCs w:val="22"/>
        </w:rPr>
        <w:t>The Commonwealth of Australia</w:t>
      </w:r>
      <w:r w:rsidR="00671CCB">
        <w:rPr>
          <w:szCs w:val="22"/>
        </w:rPr>
        <w:t>:</w:t>
      </w:r>
    </w:p>
    <w:p w14:paraId="502EE1B7" w14:textId="22346AE5" w:rsidR="00AF3BD8" w:rsidRDefault="00671CCB" w:rsidP="00671CCB">
      <w:pPr>
        <w:pStyle w:val="ListParagraph"/>
        <w:numPr>
          <w:ilvl w:val="0"/>
          <w:numId w:val="38"/>
        </w:numPr>
        <w:ind w:right="1406"/>
        <w:rPr>
          <w:szCs w:val="22"/>
        </w:rPr>
      </w:pPr>
      <w:r>
        <w:rPr>
          <w:szCs w:val="22"/>
        </w:rPr>
        <w:t>does not attest to the accuracy of any information contained in this report, and does not necessarily endorse its recommendations; and</w:t>
      </w:r>
    </w:p>
    <w:p w14:paraId="6C0891F7" w14:textId="43E15AF7" w:rsidR="00671CCB" w:rsidRPr="00671CCB" w:rsidRDefault="00671CCB" w:rsidP="00671CCB">
      <w:pPr>
        <w:pStyle w:val="ListParagraph"/>
        <w:numPr>
          <w:ilvl w:val="0"/>
          <w:numId w:val="38"/>
        </w:numPr>
        <w:ind w:right="1406"/>
        <w:rPr>
          <w:szCs w:val="22"/>
        </w:rPr>
      </w:pPr>
      <w:r>
        <w:rPr>
          <w:szCs w:val="22"/>
        </w:rPr>
        <w:t>accepts no responsibility for any losses, liabilities, damage costs or expenses arising from reliance on the information, opinions or recommendations contained in this report.</w:t>
      </w:r>
    </w:p>
    <w:p w14:paraId="5CD0F767" w14:textId="57AFFF29" w:rsidR="00AF3BD8" w:rsidRDefault="00AF3BD8" w:rsidP="0008435D">
      <w:pPr>
        <w:ind w:left="1418" w:right="1406"/>
      </w:pPr>
    </w:p>
    <w:p w14:paraId="15DCB272" w14:textId="77777777" w:rsidR="00AF3BD8" w:rsidRPr="00BD1C03" w:rsidRDefault="00AF3BD8" w:rsidP="0008435D">
      <w:pPr>
        <w:ind w:left="1418" w:right="1406"/>
      </w:pPr>
    </w:p>
    <w:p w14:paraId="5324F2EB" w14:textId="07EC28C2" w:rsidR="000A2C09" w:rsidRPr="00BD1C03" w:rsidRDefault="000A2C09" w:rsidP="003D0A27">
      <w:pPr>
        <w:spacing w:after="0"/>
        <w:ind w:left="426"/>
      </w:pPr>
      <w:r w:rsidRPr="00BD1C03">
        <w:br w:type="page"/>
      </w:r>
    </w:p>
    <w:sdt>
      <w:sdtPr>
        <w:rPr>
          <w:rFonts w:ascii="Calibri" w:eastAsiaTheme="minorEastAsia" w:hAnsi="Calibri" w:cstheme="majorHAnsi"/>
          <w:b w:val="0"/>
          <w:color w:val="auto"/>
          <w:sz w:val="22"/>
          <w:szCs w:val="24"/>
          <w:lang w:val="en-GB"/>
        </w:rPr>
        <w:id w:val="192345079"/>
        <w:docPartObj>
          <w:docPartGallery w:val="Table of Contents"/>
          <w:docPartUnique/>
        </w:docPartObj>
      </w:sdtPr>
      <w:sdtEndPr>
        <w:rPr>
          <w:bCs/>
          <w:sz w:val="20"/>
        </w:rPr>
      </w:sdtEndPr>
      <w:sdtContent>
        <w:p w14:paraId="4279BAB0" w14:textId="77777777" w:rsidR="00183A34" w:rsidRPr="00036D8F" w:rsidRDefault="00985AED" w:rsidP="0036069C">
          <w:pPr>
            <w:pStyle w:val="TOCHeading"/>
            <w:tabs>
              <w:tab w:val="left" w:pos="1134"/>
            </w:tabs>
            <w:spacing w:after="240"/>
            <w:ind w:left="1134" w:right="136" w:hanging="567"/>
            <w:rPr>
              <w:rStyle w:val="Heading2Char"/>
              <w:color w:val="auto"/>
            </w:rPr>
          </w:pPr>
          <w:r w:rsidRPr="00036D8F">
            <w:rPr>
              <w:rStyle w:val="Heading2Char"/>
              <w:color w:val="auto"/>
            </w:rPr>
            <w:t>Table of Content</w:t>
          </w:r>
        </w:p>
        <w:p w14:paraId="6C2D55AA" w14:textId="4E88CAC9" w:rsidR="006459CD" w:rsidRPr="00036D8F" w:rsidRDefault="006459CD" w:rsidP="0036069C">
          <w:pPr>
            <w:pStyle w:val="TOC1"/>
            <w:tabs>
              <w:tab w:val="right" w:leader="dot" w:pos="10490"/>
            </w:tabs>
            <w:ind w:left="567"/>
            <w:rPr>
              <w:rFonts w:asciiTheme="minorHAnsi" w:hAnsiTheme="minorHAnsi" w:cstheme="minorBidi"/>
              <w:b w:val="0"/>
              <w:bCs w:val="0"/>
              <w:caps w:val="0"/>
              <w:noProof/>
              <w:color w:val="auto"/>
              <w:sz w:val="22"/>
              <w:szCs w:val="22"/>
              <w:lang w:eastAsia="en-GB"/>
            </w:rPr>
          </w:pPr>
          <w:r w:rsidRPr="00036D8F">
            <w:rPr>
              <w:b w:val="0"/>
              <w:bCs w:val="0"/>
              <w:caps w:val="0"/>
              <w:color w:val="auto"/>
            </w:rPr>
            <w:fldChar w:fldCharType="begin"/>
          </w:r>
          <w:r w:rsidRPr="00036D8F">
            <w:rPr>
              <w:b w:val="0"/>
              <w:bCs w:val="0"/>
              <w:caps w:val="0"/>
              <w:color w:val="auto"/>
            </w:rPr>
            <w:instrText xml:space="preserve"> TOC \o "1-1" \h \z \u </w:instrText>
          </w:r>
          <w:r w:rsidRPr="00036D8F">
            <w:rPr>
              <w:b w:val="0"/>
              <w:bCs w:val="0"/>
              <w:caps w:val="0"/>
              <w:color w:val="auto"/>
            </w:rPr>
            <w:fldChar w:fldCharType="separate"/>
          </w:r>
          <w:hyperlink w:anchor="_Toc48318490" w:history="1">
            <w:r w:rsidRPr="00036D8F">
              <w:rPr>
                <w:rStyle w:val="Hyperlink"/>
                <w:b w:val="0"/>
                <w:noProof/>
                <w:color w:val="auto"/>
              </w:rPr>
              <w:t>Acronyms</w:t>
            </w:r>
            <w:r w:rsidRPr="00036D8F">
              <w:rPr>
                <w:b w:val="0"/>
                <w:noProof/>
                <w:webHidden/>
                <w:color w:val="auto"/>
              </w:rPr>
              <w:tab/>
            </w:r>
            <w:r w:rsidRPr="00036D8F">
              <w:rPr>
                <w:b w:val="0"/>
                <w:noProof/>
                <w:webHidden/>
                <w:color w:val="auto"/>
              </w:rPr>
              <w:fldChar w:fldCharType="begin"/>
            </w:r>
            <w:r w:rsidRPr="00036D8F">
              <w:rPr>
                <w:b w:val="0"/>
                <w:noProof/>
                <w:webHidden/>
                <w:color w:val="auto"/>
              </w:rPr>
              <w:instrText xml:space="preserve"> PAGEREF _Toc48318490 \h </w:instrText>
            </w:r>
            <w:r w:rsidRPr="00036D8F">
              <w:rPr>
                <w:b w:val="0"/>
                <w:noProof/>
                <w:webHidden/>
                <w:color w:val="auto"/>
              </w:rPr>
            </w:r>
            <w:r w:rsidRPr="00036D8F">
              <w:rPr>
                <w:b w:val="0"/>
                <w:noProof/>
                <w:webHidden/>
                <w:color w:val="auto"/>
              </w:rPr>
              <w:fldChar w:fldCharType="separate"/>
            </w:r>
            <w:r w:rsidR="00E81E88">
              <w:rPr>
                <w:b w:val="0"/>
                <w:noProof/>
                <w:webHidden/>
                <w:color w:val="auto"/>
              </w:rPr>
              <w:t>iv</w:t>
            </w:r>
            <w:r w:rsidRPr="00036D8F">
              <w:rPr>
                <w:b w:val="0"/>
                <w:noProof/>
                <w:webHidden/>
                <w:color w:val="auto"/>
              </w:rPr>
              <w:fldChar w:fldCharType="end"/>
            </w:r>
          </w:hyperlink>
        </w:p>
        <w:p w14:paraId="223C4CF3" w14:textId="70363F46" w:rsidR="006459CD" w:rsidRPr="00036D8F" w:rsidRDefault="001A1EF8" w:rsidP="0036069C">
          <w:pPr>
            <w:pStyle w:val="TOC1"/>
            <w:tabs>
              <w:tab w:val="right" w:leader="dot" w:pos="10490"/>
            </w:tabs>
            <w:ind w:left="567"/>
            <w:rPr>
              <w:rFonts w:asciiTheme="minorHAnsi" w:hAnsiTheme="minorHAnsi" w:cstheme="minorBidi"/>
              <w:b w:val="0"/>
              <w:bCs w:val="0"/>
              <w:caps w:val="0"/>
              <w:noProof/>
              <w:color w:val="auto"/>
              <w:sz w:val="22"/>
              <w:szCs w:val="22"/>
              <w:lang w:eastAsia="en-GB"/>
            </w:rPr>
          </w:pPr>
          <w:hyperlink w:anchor="_Toc48318491" w:history="1">
            <w:r w:rsidR="006459CD" w:rsidRPr="00036D8F">
              <w:rPr>
                <w:rStyle w:val="Hyperlink"/>
                <w:b w:val="0"/>
                <w:noProof/>
                <w:color w:val="auto"/>
              </w:rPr>
              <w:t>Executive Summary</w:t>
            </w:r>
            <w:r w:rsidR="006459CD" w:rsidRPr="00036D8F">
              <w:rPr>
                <w:b w:val="0"/>
                <w:noProof/>
                <w:webHidden/>
                <w:color w:val="auto"/>
              </w:rPr>
              <w:tab/>
            </w:r>
            <w:r w:rsidR="006459CD" w:rsidRPr="00036D8F">
              <w:rPr>
                <w:b w:val="0"/>
                <w:noProof/>
                <w:webHidden/>
                <w:color w:val="auto"/>
              </w:rPr>
              <w:fldChar w:fldCharType="begin"/>
            </w:r>
            <w:r w:rsidR="006459CD" w:rsidRPr="00036D8F">
              <w:rPr>
                <w:b w:val="0"/>
                <w:noProof/>
                <w:webHidden/>
                <w:color w:val="auto"/>
              </w:rPr>
              <w:instrText xml:space="preserve"> PAGEREF _Toc48318491 \h </w:instrText>
            </w:r>
            <w:r w:rsidR="006459CD" w:rsidRPr="00036D8F">
              <w:rPr>
                <w:b w:val="0"/>
                <w:noProof/>
                <w:webHidden/>
                <w:color w:val="auto"/>
              </w:rPr>
            </w:r>
            <w:r w:rsidR="006459CD" w:rsidRPr="00036D8F">
              <w:rPr>
                <w:b w:val="0"/>
                <w:noProof/>
                <w:webHidden/>
                <w:color w:val="auto"/>
              </w:rPr>
              <w:fldChar w:fldCharType="separate"/>
            </w:r>
            <w:r w:rsidR="00E81E88">
              <w:rPr>
                <w:b w:val="0"/>
                <w:noProof/>
                <w:webHidden/>
                <w:color w:val="auto"/>
              </w:rPr>
              <w:t>I</w:t>
            </w:r>
            <w:r w:rsidR="006459CD" w:rsidRPr="00036D8F">
              <w:rPr>
                <w:b w:val="0"/>
                <w:noProof/>
                <w:webHidden/>
                <w:color w:val="auto"/>
              </w:rPr>
              <w:fldChar w:fldCharType="end"/>
            </w:r>
          </w:hyperlink>
        </w:p>
        <w:p w14:paraId="7E60D938" w14:textId="131D293A" w:rsidR="006459CD" w:rsidRPr="00036D8F" w:rsidRDefault="001A1EF8" w:rsidP="0036069C">
          <w:pPr>
            <w:pStyle w:val="TOC1"/>
            <w:tabs>
              <w:tab w:val="left" w:pos="880"/>
              <w:tab w:val="right" w:leader="dot" w:pos="10490"/>
            </w:tabs>
            <w:ind w:left="567"/>
            <w:rPr>
              <w:rFonts w:asciiTheme="minorHAnsi" w:hAnsiTheme="minorHAnsi" w:cstheme="minorBidi"/>
              <w:b w:val="0"/>
              <w:bCs w:val="0"/>
              <w:caps w:val="0"/>
              <w:noProof/>
              <w:color w:val="auto"/>
              <w:sz w:val="22"/>
              <w:szCs w:val="22"/>
              <w:lang w:eastAsia="en-GB"/>
            </w:rPr>
          </w:pPr>
          <w:hyperlink w:anchor="_Toc48318492" w:history="1">
            <w:r w:rsidR="006459CD" w:rsidRPr="00036D8F">
              <w:rPr>
                <w:rStyle w:val="Hyperlink"/>
                <w:b w:val="0"/>
                <w:noProof/>
                <w:color w:val="auto"/>
              </w:rPr>
              <w:t>1.</w:t>
            </w:r>
            <w:r w:rsidR="006459CD" w:rsidRPr="00036D8F">
              <w:rPr>
                <w:rFonts w:asciiTheme="minorHAnsi" w:hAnsiTheme="minorHAnsi" w:cstheme="minorBidi"/>
                <w:b w:val="0"/>
                <w:bCs w:val="0"/>
                <w:caps w:val="0"/>
                <w:noProof/>
                <w:color w:val="auto"/>
                <w:sz w:val="22"/>
                <w:szCs w:val="22"/>
                <w:lang w:eastAsia="en-GB"/>
              </w:rPr>
              <w:tab/>
            </w:r>
            <w:r w:rsidR="006459CD" w:rsidRPr="00036D8F">
              <w:rPr>
                <w:rStyle w:val="Hyperlink"/>
                <w:b w:val="0"/>
                <w:noProof/>
                <w:color w:val="auto"/>
              </w:rPr>
              <w:t>Background</w:t>
            </w:r>
            <w:r w:rsidR="006459CD" w:rsidRPr="00036D8F">
              <w:rPr>
                <w:b w:val="0"/>
                <w:noProof/>
                <w:webHidden/>
                <w:color w:val="auto"/>
              </w:rPr>
              <w:tab/>
            </w:r>
            <w:r w:rsidR="006459CD" w:rsidRPr="00036D8F">
              <w:rPr>
                <w:b w:val="0"/>
                <w:noProof/>
                <w:webHidden/>
                <w:color w:val="auto"/>
              </w:rPr>
              <w:fldChar w:fldCharType="begin"/>
            </w:r>
            <w:r w:rsidR="006459CD" w:rsidRPr="00036D8F">
              <w:rPr>
                <w:b w:val="0"/>
                <w:noProof/>
                <w:webHidden/>
                <w:color w:val="auto"/>
              </w:rPr>
              <w:instrText xml:space="preserve"> PAGEREF _Toc48318492 \h </w:instrText>
            </w:r>
            <w:r w:rsidR="006459CD" w:rsidRPr="00036D8F">
              <w:rPr>
                <w:b w:val="0"/>
                <w:noProof/>
                <w:webHidden/>
                <w:color w:val="auto"/>
              </w:rPr>
            </w:r>
            <w:r w:rsidR="006459CD" w:rsidRPr="00036D8F">
              <w:rPr>
                <w:b w:val="0"/>
                <w:noProof/>
                <w:webHidden/>
                <w:color w:val="auto"/>
              </w:rPr>
              <w:fldChar w:fldCharType="separate"/>
            </w:r>
            <w:r w:rsidR="00E81E88">
              <w:rPr>
                <w:b w:val="0"/>
                <w:noProof/>
                <w:webHidden/>
                <w:color w:val="auto"/>
              </w:rPr>
              <w:t>2</w:t>
            </w:r>
            <w:r w:rsidR="006459CD" w:rsidRPr="00036D8F">
              <w:rPr>
                <w:b w:val="0"/>
                <w:noProof/>
                <w:webHidden/>
                <w:color w:val="auto"/>
              </w:rPr>
              <w:fldChar w:fldCharType="end"/>
            </w:r>
          </w:hyperlink>
        </w:p>
        <w:p w14:paraId="647A3C77" w14:textId="42252C49" w:rsidR="006459CD" w:rsidRPr="00036D8F" w:rsidRDefault="001A1EF8" w:rsidP="0036069C">
          <w:pPr>
            <w:pStyle w:val="TOC1"/>
            <w:tabs>
              <w:tab w:val="left" w:pos="880"/>
              <w:tab w:val="right" w:leader="dot" w:pos="10490"/>
            </w:tabs>
            <w:ind w:left="567"/>
            <w:rPr>
              <w:rFonts w:asciiTheme="minorHAnsi" w:hAnsiTheme="minorHAnsi" w:cstheme="minorBidi"/>
              <w:b w:val="0"/>
              <w:bCs w:val="0"/>
              <w:caps w:val="0"/>
              <w:noProof/>
              <w:color w:val="auto"/>
              <w:sz w:val="22"/>
              <w:szCs w:val="22"/>
              <w:lang w:eastAsia="en-GB"/>
            </w:rPr>
          </w:pPr>
          <w:hyperlink w:anchor="_Toc48318493" w:history="1">
            <w:r w:rsidR="006459CD" w:rsidRPr="00036D8F">
              <w:rPr>
                <w:rStyle w:val="Hyperlink"/>
                <w:b w:val="0"/>
                <w:noProof/>
                <w:color w:val="auto"/>
              </w:rPr>
              <w:t>2.</w:t>
            </w:r>
            <w:r w:rsidR="006459CD" w:rsidRPr="00036D8F">
              <w:rPr>
                <w:rFonts w:asciiTheme="minorHAnsi" w:hAnsiTheme="minorHAnsi" w:cstheme="minorBidi"/>
                <w:b w:val="0"/>
                <w:bCs w:val="0"/>
                <w:caps w:val="0"/>
                <w:noProof/>
                <w:color w:val="auto"/>
                <w:sz w:val="22"/>
                <w:szCs w:val="22"/>
                <w:lang w:eastAsia="en-GB"/>
              </w:rPr>
              <w:tab/>
            </w:r>
            <w:r w:rsidR="006459CD" w:rsidRPr="00036D8F">
              <w:rPr>
                <w:rStyle w:val="Hyperlink"/>
                <w:b w:val="0"/>
                <w:noProof/>
                <w:color w:val="auto"/>
              </w:rPr>
              <w:t>Context analysis</w:t>
            </w:r>
            <w:r w:rsidR="006459CD" w:rsidRPr="00036D8F">
              <w:rPr>
                <w:b w:val="0"/>
                <w:noProof/>
                <w:webHidden/>
                <w:color w:val="auto"/>
              </w:rPr>
              <w:tab/>
            </w:r>
            <w:r w:rsidR="006459CD" w:rsidRPr="00036D8F">
              <w:rPr>
                <w:b w:val="0"/>
                <w:noProof/>
                <w:webHidden/>
                <w:color w:val="auto"/>
              </w:rPr>
              <w:fldChar w:fldCharType="begin"/>
            </w:r>
            <w:r w:rsidR="006459CD" w:rsidRPr="00036D8F">
              <w:rPr>
                <w:b w:val="0"/>
                <w:noProof/>
                <w:webHidden/>
                <w:color w:val="auto"/>
              </w:rPr>
              <w:instrText xml:space="preserve"> PAGEREF _Toc48318493 \h </w:instrText>
            </w:r>
            <w:r w:rsidR="006459CD" w:rsidRPr="00036D8F">
              <w:rPr>
                <w:b w:val="0"/>
                <w:noProof/>
                <w:webHidden/>
                <w:color w:val="auto"/>
              </w:rPr>
            </w:r>
            <w:r w:rsidR="006459CD" w:rsidRPr="00036D8F">
              <w:rPr>
                <w:b w:val="0"/>
                <w:noProof/>
                <w:webHidden/>
                <w:color w:val="auto"/>
              </w:rPr>
              <w:fldChar w:fldCharType="separate"/>
            </w:r>
            <w:r w:rsidR="00E81E88">
              <w:rPr>
                <w:b w:val="0"/>
                <w:noProof/>
                <w:webHidden/>
                <w:color w:val="auto"/>
              </w:rPr>
              <w:t>4</w:t>
            </w:r>
            <w:r w:rsidR="006459CD" w:rsidRPr="00036D8F">
              <w:rPr>
                <w:b w:val="0"/>
                <w:noProof/>
                <w:webHidden/>
                <w:color w:val="auto"/>
              </w:rPr>
              <w:fldChar w:fldCharType="end"/>
            </w:r>
          </w:hyperlink>
        </w:p>
        <w:p w14:paraId="406E9CA3" w14:textId="2FB145BC" w:rsidR="006459CD" w:rsidRPr="00036D8F" w:rsidRDefault="001A1EF8" w:rsidP="0036069C">
          <w:pPr>
            <w:pStyle w:val="TOC1"/>
            <w:tabs>
              <w:tab w:val="left" w:pos="880"/>
              <w:tab w:val="right" w:leader="dot" w:pos="10490"/>
            </w:tabs>
            <w:ind w:left="567"/>
            <w:rPr>
              <w:rFonts w:asciiTheme="minorHAnsi" w:hAnsiTheme="minorHAnsi" w:cstheme="minorBidi"/>
              <w:b w:val="0"/>
              <w:bCs w:val="0"/>
              <w:caps w:val="0"/>
              <w:noProof/>
              <w:color w:val="auto"/>
              <w:sz w:val="22"/>
              <w:szCs w:val="22"/>
              <w:lang w:eastAsia="en-GB"/>
            </w:rPr>
          </w:pPr>
          <w:hyperlink w:anchor="_Toc48318494" w:history="1">
            <w:r w:rsidR="006459CD" w:rsidRPr="00036D8F">
              <w:rPr>
                <w:rStyle w:val="Hyperlink"/>
                <w:b w:val="0"/>
                <w:noProof/>
                <w:color w:val="auto"/>
              </w:rPr>
              <w:t>3.</w:t>
            </w:r>
            <w:r w:rsidR="006459CD" w:rsidRPr="00036D8F">
              <w:rPr>
                <w:rFonts w:asciiTheme="minorHAnsi" w:hAnsiTheme="minorHAnsi" w:cstheme="minorBidi"/>
                <w:b w:val="0"/>
                <w:bCs w:val="0"/>
                <w:caps w:val="0"/>
                <w:noProof/>
                <w:color w:val="auto"/>
                <w:sz w:val="22"/>
                <w:szCs w:val="22"/>
                <w:lang w:eastAsia="en-GB"/>
              </w:rPr>
              <w:tab/>
            </w:r>
            <w:r w:rsidR="006459CD" w:rsidRPr="00036D8F">
              <w:rPr>
                <w:rStyle w:val="Hyperlink"/>
                <w:b w:val="0"/>
                <w:noProof/>
                <w:color w:val="auto"/>
              </w:rPr>
              <w:t>Methodology</w:t>
            </w:r>
            <w:r w:rsidR="006459CD" w:rsidRPr="00036D8F">
              <w:rPr>
                <w:b w:val="0"/>
                <w:noProof/>
                <w:webHidden/>
                <w:color w:val="auto"/>
              </w:rPr>
              <w:tab/>
            </w:r>
            <w:r w:rsidR="006459CD" w:rsidRPr="00036D8F">
              <w:rPr>
                <w:b w:val="0"/>
                <w:noProof/>
                <w:webHidden/>
                <w:color w:val="auto"/>
              </w:rPr>
              <w:fldChar w:fldCharType="begin"/>
            </w:r>
            <w:r w:rsidR="006459CD" w:rsidRPr="00036D8F">
              <w:rPr>
                <w:b w:val="0"/>
                <w:noProof/>
                <w:webHidden/>
                <w:color w:val="auto"/>
              </w:rPr>
              <w:instrText xml:space="preserve"> PAGEREF _Toc48318494 \h </w:instrText>
            </w:r>
            <w:r w:rsidR="006459CD" w:rsidRPr="00036D8F">
              <w:rPr>
                <w:b w:val="0"/>
                <w:noProof/>
                <w:webHidden/>
                <w:color w:val="auto"/>
              </w:rPr>
            </w:r>
            <w:r w:rsidR="006459CD" w:rsidRPr="00036D8F">
              <w:rPr>
                <w:b w:val="0"/>
                <w:noProof/>
                <w:webHidden/>
                <w:color w:val="auto"/>
              </w:rPr>
              <w:fldChar w:fldCharType="separate"/>
            </w:r>
            <w:r w:rsidR="00E81E88">
              <w:rPr>
                <w:b w:val="0"/>
                <w:noProof/>
                <w:webHidden/>
                <w:color w:val="auto"/>
              </w:rPr>
              <w:t>7</w:t>
            </w:r>
            <w:r w:rsidR="006459CD" w:rsidRPr="00036D8F">
              <w:rPr>
                <w:b w:val="0"/>
                <w:noProof/>
                <w:webHidden/>
                <w:color w:val="auto"/>
              </w:rPr>
              <w:fldChar w:fldCharType="end"/>
            </w:r>
          </w:hyperlink>
        </w:p>
        <w:p w14:paraId="6E7BF945" w14:textId="585D20AB" w:rsidR="006459CD" w:rsidRPr="00036D8F" w:rsidRDefault="001A1EF8" w:rsidP="0036069C">
          <w:pPr>
            <w:pStyle w:val="TOC1"/>
            <w:tabs>
              <w:tab w:val="left" w:pos="880"/>
              <w:tab w:val="right" w:leader="dot" w:pos="10490"/>
            </w:tabs>
            <w:ind w:left="567"/>
            <w:rPr>
              <w:rFonts w:asciiTheme="minorHAnsi" w:hAnsiTheme="minorHAnsi" w:cstheme="minorBidi"/>
              <w:b w:val="0"/>
              <w:bCs w:val="0"/>
              <w:caps w:val="0"/>
              <w:noProof/>
              <w:color w:val="auto"/>
              <w:sz w:val="22"/>
              <w:szCs w:val="22"/>
              <w:lang w:eastAsia="en-GB"/>
            </w:rPr>
          </w:pPr>
          <w:hyperlink w:anchor="_Toc48318495" w:history="1">
            <w:r w:rsidR="006459CD" w:rsidRPr="00036D8F">
              <w:rPr>
                <w:rStyle w:val="Hyperlink"/>
                <w:b w:val="0"/>
                <w:noProof/>
                <w:color w:val="auto"/>
              </w:rPr>
              <w:t>4.</w:t>
            </w:r>
            <w:r w:rsidR="006459CD" w:rsidRPr="00036D8F">
              <w:rPr>
                <w:rFonts w:asciiTheme="minorHAnsi" w:hAnsiTheme="minorHAnsi" w:cstheme="minorBidi"/>
                <w:b w:val="0"/>
                <w:bCs w:val="0"/>
                <w:caps w:val="0"/>
                <w:noProof/>
                <w:color w:val="auto"/>
                <w:sz w:val="22"/>
                <w:szCs w:val="22"/>
                <w:lang w:eastAsia="en-GB"/>
              </w:rPr>
              <w:tab/>
            </w:r>
            <w:r w:rsidR="006459CD" w:rsidRPr="00036D8F">
              <w:rPr>
                <w:rStyle w:val="Hyperlink"/>
                <w:b w:val="0"/>
                <w:noProof/>
                <w:color w:val="auto"/>
              </w:rPr>
              <w:t>Appropriateness and relevance</w:t>
            </w:r>
            <w:r w:rsidR="006459CD" w:rsidRPr="00036D8F">
              <w:rPr>
                <w:b w:val="0"/>
                <w:noProof/>
                <w:webHidden/>
                <w:color w:val="auto"/>
              </w:rPr>
              <w:tab/>
            </w:r>
            <w:r w:rsidR="006459CD" w:rsidRPr="00036D8F">
              <w:rPr>
                <w:b w:val="0"/>
                <w:noProof/>
                <w:webHidden/>
                <w:color w:val="auto"/>
              </w:rPr>
              <w:fldChar w:fldCharType="begin"/>
            </w:r>
            <w:r w:rsidR="006459CD" w:rsidRPr="00036D8F">
              <w:rPr>
                <w:b w:val="0"/>
                <w:noProof/>
                <w:webHidden/>
                <w:color w:val="auto"/>
              </w:rPr>
              <w:instrText xml:space="preserve"> PAGEREF _Toc48318495 \h </w:instrText>
            </w:r>
            <w:r w:rsidR="006459CD" w:rsidRPr="00036D8F">
              <w:rPr>
                <w:b w:val="0"/>
                <w:noProof/>
                <w:webHidden/>
                <w:color w:val="auto"/>
              </w:rPr>
            </w:r>
            <w:r w:rsidR="006459CD" w:rsidRPr="00036D8F">
              <w:rPr>
                <w:b w:val="0"/>
                <w:noProof/>
                <w:webHidden/>
                <w:color w:val="auto"/>
              </w:rPr>
              <w:fldChar w:fldCharType="separate"/>
            </w:r>
            <w:r w:rsidR="00E81E88">
              <w:rPr>
                <w:b w:val="0"/>
                <w:noProof/>
                <w:webHidden/>
                <w:color w:val="auto"/>
              </w:rPr>
              <w:t>9</w:t>
            </w:r>
            <w:r w:rsidR="006459CD" w:rsidRPr="00036D8F">
              <w:rPr>
                <w:b w:val="0"/>
                <w:noProof/>
                <w:webHidden/>
                <w:color w:val="auto"/>
              </w:rPr>
              <w:fldChar w:fldCharType="end"/>
            </w:r>
          </w:hyperlink>
        </w:p>
        <w:p w14:paraId="2516C707" w14:textId="3149F3BF" w:rsidR="006459CD" w:rsidRPr="00036D8F" w:rsidRDefault="001A1EF8" w:rsidP="0036069C">
          <w:pPr>
            <w:pStyle w:val="TOC1"/>
            <w:tabs>
              <w:tab w:val="left" w:pos="880"/>
              <w:tab w:val="right" w:leader="dot" w:pos="10490"/>
            </w:tabs>
            <w:ind w:left="567"/>
            <w:rPr>
              <w:rFonts w:asciiTheme="minorHAnsi" w:hAnsiTheme="minorHAnsi" w:cstheme="minorBidi"/>
              <w:b w:val="0"/>
              <w:bCs w:val="0"/>
              <w:caps w:val="0"/>
              <w:noProof/>
              <w:color w:val="auto"/>
              <w:sz w:val="22"/>
              <w:szCs w:val="22"/>
              <w:lang w:eastAsia="en-GB"/>
            </w:rPr>
          </w:pPr>
          <w:hyperlink w:anchor="_Toc48318496" w:history="1">
            <w:r w:rsidR="006459CD" w:rsidRPr="00036D8F">
              <w:rPr>
                <w:rStyle w:val="Hyperlink"/>
                <w:b w:val="0"/>
                <w:noProof/>
                <w:color w:val="auto"/>
              </w:rPr>
              <w:t>5.</w:t>
            </w:r>
            <w:r w:rsidR="006459CD" w:rsidRPr="00036D8F">
              <w:rPr>
                <w:rFonts w:asciiTheme="minorHAnsi" w:hAnsiTheme="minorHAnsi" w:cstheme="minorBidi"/>
                <w:b w:val="0"/>
                <w:bCs w:val="0"/>
                <w:caps w:val="0"/>
                <w:noProof/>
                <w:color w:val="auto"/>
                <w:sz w:val="22"/>
                <w:szCs w:val="22"/>
                <w:lang w:eastAsia="en-GB"/>
              </w:rPr>
              <w:tab/>
            </w:r>
            <w:r w:rsidR="006459CD" w:rsidRPr="00036D8F">
              <w:rPr>
                <w:rStyle w:val="Hyperlink"/>
                <w:b w:val="0"/>
                <w:noProof/>
                <w:color w:val="auto"/>
              </w:rPr>
              <w:t>Effectiveness</w:t>
            </w:r>
            <w:r w:rsidR="006459CD" w:rsidRPr="00036D8F">
              <w:rPr>
                <w:b w:val="0"/>
                <w:noProof/>
                <w:webHidden/>
                <w:color w:val="auto"/>
              </w:rPr>
              <w:tab/>
            </w:r>
            <w:r w:rsidR="006459CD" w:rsidRPr="00036D8F">
              <w:rPr>
                <w:b w:val="0"/>
                <w:noProof/>
                <w:webHidden/>
                <w:color w:val="auto"/>
              </w:rPr>
              <w:fldChar w:fldCharType="begin"/>
            </w:r>
            <w:r w:rsidR="006459CD" w:rsidRPr="00036D8F">
              <w:rPr>
                <w:b w:val="0"/>
                <w:noProof/>
                <w:webHidden/>
                <w:color w:val="auto"/>
              </w:rPr>
              <w:instrText xml:space="preserve"> PAGEREF _Toc48318496 \h </w:instrText>
            </w:r>
            <w:r w:rsidR="006459CD" w:rsidRPr="00036D8F">
              <w:rPr>
                <w:b w:val="0"/>
                <w:noProof/>
                <w:webHidden/>
                <w:color w:val="auto"/>
              </w:rPr>
            </w:r>
            <w:r w:rsidR="006459CD" w:rsidRPr="00036D8F">
              <w:rPr>
                <w:b w:val="0"/>
                <w:noProof/>
                <w:webHidden/>
                <w:color w:val="auto"/>
              </w:rPr>
              <w:fldChar w:fldCharType="separate"/>
            </w:r>
            <w:r w:rsidR="00E81E88">
              <w:rPr>
                <w:b w:val="0"/>
                <w:noProof/>
                <w:webHidden/>
                <w:color w:val="auto"/>
              </w:rPr>
              <w:t>16</w:t>
            </w:r>
            <w:r w:rsidR="006459CD" w:rsidRPr="00036D8F">
              <w:rPr>
                <w:b w:val="0"/>
                <w:noProof/>
                <w:webHidden/>
                <w:color w:val="auto"/>
              </w:rPr>
              <w:fldChar w:fldCharType="end"/>
            </w:r>
          </w:hyperlink>
        </w:p>
        <w:p w14:paraId="75DE0DDD" w14:textId="366E66F4" w:rsidR="006459CD" w:rsidRPr="00036D8F" w:rsidRDefault="001A1EF8" w:rsidP="0036069C">
          <w:pPr>
            <w:pStyle w:val="TOC1"/>
            <w:tabs>
              <w:tab w:val="left" w:pos="880"/>
              <w:tab w:val="right" w:leader="dot" w:pos="10490"/>
            </w:tabs>
            <w:ind w:left="567"/>
            <w:rPr>
              <w:rFonts w:asciiTheme="minorHAnsi" w:hAnsiTheme="minorHAnsi" w:cstheme="minorBidi"/>
              <w:b w:val="0"/>
              <w:bCs w:val="0"/>
              <w:caps w:val="0"/>
              <w:noProof/>
              <w:color w:val="auto"/>
              <w:sz w:val="22"/>
              <w:szCs w:val="22"/>
              <w:lang w:eastAsia="en-GB"/>
            </w:rPr>
          </w:pPr>
          <w:hyperlink w:anchor="_Toc48318497" w:history="1">
            <w:r w:rsidR="006459CD" w:rsidRPr="00036D8F">
              <w:rPr>
                <w:rStyle w:val="Hyperlink"/>
                <w:b w:val="0"/>
                <w:noProof/>
                <w:color w:val="auto"/>
              </w:rPr>
              <w:t>6.</w:t>
            </w:r>
            <w:r w:rsidR="006459CD" w:rsidRPr="00036D8F">
              <w:rPr>
                <w:rFonts w:asciiTheme="minorHAnsi" w:hAnsiTheme="minorHAnsi" w:cstheme="minorBidi"/>
                <w:b w:val="0"/>
                <w:bCs w:val="0"/>
                <w:caps w:val="0"/>
                <w:noProof/>
                <w:color w:val="auto"/>
                <w:sz w:val="22"/>
                <w:szCs w:val="22"/>
                <w:lang w:eastAsia="en-GB"/>
              </w:rPr>
              <w:tab/>
            </w:r>
            <w:r w:rsidR="006459CD" w:rsidRPr="00036D8F">
              <w:rPr>
                <w:rStyle w:val="Hyperlink"/>
                <w:b w:val="0"/>
                <w:noProof/>
                <w:color w:val="auto"/>
              </w:rPr>
              <w:t>Connectedness and sustainability</w:t>
            </w:r>
            <w:r w:rsidR="006459CD" w:rsidRPr="00036D8F">
              <w:rPr>
                <w:b w:val="0"/>
                <w:noProof/>
                <w:webHidden/>
                <w:color w:val="auto"/>
              </w:rPr>
              <w:tab/>
            </w:r>
            <w:r w:rsidR="006459CD" w:rsidRPr="00036D8F">
              <w:rPr>
                <w:b w:val="0"/>
                <w:noProof/>
                <w:webHidden/>
                <w:color w:val="auto"/>
              </w:rPr>
              <w:fldChar w:fldCharType="begin"/>
            </w:r>
            <w:r w:rsidR="006459CD" w:rsidRPr="00036D8F">
              <w:rPr>
                <w:b w:val="0"/>
                <w:noProof/>
                <w:webHidden/>
                <w:color w:val="auto"/>
              </w:rPr>
              <w:instrText xml:space="preserve"> PAGEREF _Toc48318497 \h </w:instrText>
            </w:r>
            <w:r w:rsidR="006459CD" w:rsidRPr="00036D8F">
              <w:rPr>
                <w:b w:val="0"/>
                <w:noProof/>
                <w:webHidden/>
                <w:color w:val="auto"/>
              </w:rPr>
            </w:r>
            <w:r w:rsidR="006459CD" w:rsidRPr="00036D8F">
              <w:rPr>
                <w:b w:val="0"/>
                <w:noProof/>
                <w:webHidden/>
                <w:color w:val="auto"/>
              </w:rPr>
              <w:fldChar w:fldCharType="separate"/>
            </w:r>
            <w:r w:rsidR="00E81E88">
              <w:rPr>
                <w:b w:val="0"/>
                <w:noProof/>
                <w:webHidden/>
                <w:color w:val="auto"/>
              </w:rPr>
              <w:t>23</w:t>
            </w:r>
            <w:r w:rsidR="006459CD" w:rsidRPr="00036D8F">
              <w:rPr>
                <w:b w:val="0"/>
                <w:noProof/>
                <w:webHidden/>
                <w:color w:val="auto"/>
              </w:rPr>
              <w:fldChar w:fldCharType="end"/>
            </w:r>
          </w:hyperlink>
        </w:p>
        <w:p w14:paraId="62C6CB92" w14:textId="2A3253B4" w:rsidR="006459CD" w:rsidRPr="00036D8F" w:rsidRDefault="001A1EF8" w:rsidP="0036069C">
          <w:pPr>
            <w:pStyle w:val="TOC1"/>
            <w:tabs>
              <w:tab w:val="left" w:pos="880"/>
              <w:tab w:val="right" w:leader="dot" w:pos="10490"/>
            </w:tabs>
            <w:ind w:left="567"/>
            <w:rPr>
              <w:rFonts w:asciiTheme="minorHAnsi" w:hAnsiTheme="minorHAnsi" w:cstheme="minorBidi"/>
              <w:b w:val="0"/>
              <w:bCs w:val="0"/>
              <w:caps w:val="0"/>
              <w:noProof/>
              <w:color w:val="auto"/>
              <w:sz w:val="22"/>
              <w:szCs w:val="22"/>
              <w:lang w:eastAsia="en-GB"/>
            </w:rPr>
          </w:pPr>
          <w:hyperlink w:anchor="_Toc48318498" w:history="1">
            <w:r w:rsidR="006459CD" w:rsidRPr="00036D8F">
              <w:rPr>
                <w:rStyle w:val="Hyperlink"/>
                <w:b w:val="0"/>
                <w:noProof/>
                <w:color w:val="auto"/>
              </w:rPr>
              <w:t>7.</w:t>
            </w:r>
            <w:r w:rsidR="006459CD" w:rsidRPr="00036D8F">
              <w:rPr>
                <w:rFonts w:asciiTheme="minorHAnsi" w:hAnsiTheme="minorHAnsi" w:cstheme="minorBidi"/>
                <w:b w:val="0"/>
                <w:bCs w:val="0"/>
                <w:caps w:val="0"/>
                <w:noProof/>
                <w:color w:val="auto"/>
                <w:sz w:val="22"/>
                <w:szCs w:val="22"/>
                <w:lang w:eastAsia="en-GB"/>
              </w:rPr>
              <w:tab/>
            </w:r>
            <w:r w:rsidR="006459CD" w:rsidRPr="00036D8F">
              <w:rPr>
                <w:rStyle w:val="Hyperlink"/>
                <w:b w:val="0"/>
                <w:noProof/>
                <w:color w:val="auto"/>
              </w:rPr>
              <w:t>Efficiency</w:t>
            </w:r>
            <w:r w:rsidR="006459CD" w:rsidRPr="00036D8F">
              <w:rPr>
                <w:b w:val="0"/>
                <w:noProof/>
                <w:webHidden/>
                <w:color w:val="auto"/>
              </w:rPr>
              <w:tab/>
            </w:r>
            <w:r w:rsidR="006459CD" w:rsidRPr="00036D8F">
              <w:rPr>
                <w:b w:val="0"/>
                <w:noProof/>
                <w:webHidden/>
                <w:color w:val="auto"/>
              </w:rPr>
              <w:fldChar w:fldCharType="begin"/>
            </w:r>
            <w:r w:rsidR="006459CD" w:rsidRPr="00036D8F">
              <w:rPr>
                <w:b w:val="0"/>
                <w:noProof/>
                <w:webHidden/>
                <w:color w:val="auto"/>
              </w:rPr>
              <w:instrText xml:space="preserve"> PAGEREF _Toc48318498 \h </w:instrText>
            </w:r>
            <w:r w:rsidR="006459CD" w:rsidRPr="00036D8F">
              <w:rPr>
                <w:b w:val="0"/>
                <w:noProof/>
                <w:webHidden/>
                <w:color w:val="auto"/>
              </w:rPr>
            </w:r>
            <w:r w:rsidR="006459CD" w:rsidRPr="00036D8F">
              <w:rPr>
                <w:b w:val="0"/>
                <w:noProof/>
                <w:webHidden/>
                <w:color w:val="auto"/>
              </w:rPr>
              <w:fldChar w:fldCharType="separate"/>
            </w:r>
            <w:r w:rsidR="00E81E88">
              <w:rPr>
                <w:b w:val="0"/>
                <w:noProof/>
                <w:webHidden/>
                <w:color w:val="auto"/>
              </w:rPr>
              <w:t>27</w:t>
            </w:r>
            <w:r w:rsidR="006459CD" w:rsidRPr="00036D8F">
              <w:rPr>
                <w:b w:val="0"/>
                <w:noProof/>
                <w:webHidden/>
                <w:color w:val="auto"/>
              </w:rPr>
              <w:fldChar w:fldCharType="end"/>
            </w:r>
          </w:hyperlink>
        </w:p>
        <w:p w14:paraId="7F7C9CA4" w14:textId="129BF54E" w:rsidR="006459CD" w:rsidRPr="00036D8F" w:rsidRDefault="001A1EF8" w:rsidP="0036069C">
          <w:pPr>
            <w:pStyle w:val="TOC1"/>
            <w:tabs>
              <w:tab w:val="left" w:pos="880"/>
              <w:tab w:val="right" w:leader="dot" w:pos="10490"/>
            </w:tabs>
            <w:ind w:left="567"/>
            <w:rPr>
              <w:rFonts w:asciiTheme="minorHAnsi" w:hAnsiTheme="minorHAnsi" w:cstheme="minorBidi"/>
              <w:b w:val="0"/>
              <w:bCs w:val="0"/>
              <w:caps w:val="0"/>
              <w:noProof/>
              <w:color w:val="auto"/>
              <w:sz w:val="22"/>
              <w:szCs w:val="22"/>
              <w:lang w:eastAsia="en-GB"/>
            </w:rPr>
          </w:pPr>
          <w:hyperlink w:anchor="_Toc48318499" w:history="1">
            <w:r w:rsidR="006459CD" w:rsidRPr="00036D8F">
              <w:rPr>
                <w:rStyle w:val="Hyperlink"/>
                <w:b w:val="0"/>
                <w:noProof/>
                <w:color w:val="auto"/>
              </w:rPr>
              <w:t>8.</w:t>
            </w:r>
            <w:r w:rsidR="006459CD" w:rsidRPr="00036D8F">
              <w:rPr>
                <w:rFonts w:asciiTheme="minorHAnsi" w:hAnsiTheme="minorHAnsi" w:cstheme="minorBidi"/>
                <w:b w:val="0"/>
                <w:bCs w:val="0"/>
                <w:caps w:val="0"/>
                <w:noProof/>
                <w:color w:val="auto"/>
                <w:sz w:val="22"/>
                <w:szCs w:val="22"/>
                <w:lang w:eastAsia="en-GB"/>
              </w:rPr>
              <w:tab/>
            </w:r>
            <w:r w:rsidR="006459CD" w:rsidRPr="00036D8F">
              <w:rPr>
                <w:rStyle w:val="Hyperlink"/>
                <w:b w:val="0"/>
                <w:noProof/>
                <w:color w:val="auto"/>
              </w:rPr>
              <w:t>Monitoring and knowledge management</w:t>
            </w:r>
            <w:r w:rsidR="006459CD" w:rsidRPr="00036D8F">
              <w:rPr>
                <w:b w:val="0"/>
                <w:noProof/>
                <w:webHidden/>
                <w:color w:val="auto"/>
              </w:rPr>
              <w:tab/>
            </w:r>
            <w:r w:rsidR="006459CD" w:rsidRPr="00036D8F">
              <w:rPr>
                <w:b w:val="0"/>
                <w:noProof/>
                <w:webHidden/>
                <w:color w:val="auto"/>
              </w:rPr>
              <w:fldChar w:fldCharType="begin"/>
            </w:r>
            <w:r w:rsidR="006459CD" w:rsidRPr="00036D8F">
              <w:rPr>
                <w:b w:val="0"/>
                <w:noProof/>
                <w:webHidden/>
                <w:color w:val="auto"/>
              </w:rPr>
              <w:instrText xml:space="preserve"> PAGEREF _Toc48318499 \h </w:instrText>
            </w:r>
            <w:r w:rsidR="006459CD" w:rsidRPr="00036D8F">
              <w:rPr>
                <w:b w:val="0"/>
                <w:noProof/>
                <w:webHidden/>
                <w:color w:val="auto"/>
              </w:rPr>
            </w:r>
            <w:r w:rsidR="006459CD" w:rsidRPr="00036D8F">
              <w:rPr>
                <w:b w:val="0"/>
                <w:noProof/>
                <w:webHidden/>
                <w:color w:val="auto"/>
              </w:rPr>
              <w:fldChar w:fldCharType="separate"/>
            </w:r>
            <w:r w:rsidR="00E81E88">
              <w:rPr>
                <w:b w:val="0"/>
                <w:noProof/>
                <w:webHidden/>
                <w:color w:val="auto"/>
              </w:rPr>
              <w:t>31</w:t>
            </w:r>
            <w:r w:rsidR="006459CD" w:rsidRPr="00036D8F">
              <w:rPr>
                <w:b w:val="0"/>
                <w:noProof/>
                <w:webHidden/>
                <w:color w:val="auto"/>
              </w:rPr>
              <w:fldChar w:fldCharType="end"/>
            </w:r>
          </w:hyperlink>
        </w:p>
        <w:p w14:paraId="6A924267" w14:textId="1EF13B83" w:rsidR="006459CD" w:rsidRPr="00036D8F" w:rsidRDefault="001A1EF8" w:rsidP="0036069C">
          <w:pPr>
            <w:pStyle w:val="TOC1"/>
            <w:tabs>
              <w:tab w:val="left" w:pos="880"/>
              <w:tab w:val="right" w:leader="dot" w:pos="10490"/>
            </w:tabs>
            <w:ind w:left="567"/>
            <w:rPr>
              <w:rFonts w:asciiTheme="minorHAnsi" w:hAnsiTheme="minorHAnsi" w:cstheme="minorBidi"/>
              <w:b w:val="0"/>
              <w:bCs w:val="0"/>
              <w:caps w:val="0"/>
              <w:noProof/>
              <w:color w:val="auto"/>
              <w:sz w:val="22"/>
              <w:szCs w:val="22"/>
              <w:lang w:eastAsia="en-GB"/>
            </w:rPr>
          </w:pPr>
          <w:hyperlink w:anchor="_Toc48318500" w:history="1">
            <w:r w:rsidR="006459CD" w:rsidRPr="00036D8F">
              <w:rPr>
                <w:rStyle w:val="Hyperlink"/>
                <w:b w:val="0"/>
                <w:noProof/>
                <w:color w:val="auto"/>
              </w:rPr>
              <w:t>9.</w:t>
            </w:r>
            <w:r w:rsidR="006459CD" w:rsidRPr="00036D8F">
              <w:rPr>
                <w:rFonts w:asciiTheme="minorHAnsi" w:hAnsiTheme="minorHAnsi" w:cstheme="minorBidi"/>
                <w:b w:val="0"/>
                <w:bCs w:val="0"/>
                <w:caps w:val="0"/>
                <w:noProof/>
                <w:color w:val="auto"/>
                <w:sz w:val="22"/>
                <w:szCs w:val="22"/>
                <w:lang w:eastAsia="en-GB"/>
              </w:rPr>
              <w:tab/>
            </w:r>
            <w:r w:rsidR="006459CD" w:rsidRPr="00036D8F">
              <w:rPr>
                <w:rStyle w:val="Hyperlink"/>
                <w:b w:val="0"/>
                <w:noProof/>
                <w:color w:val="auto"/>
              </w:rPr>
              <w:t>COVID-19</w:t>
            </w:r>
            <w:r w:rsidR="006459CD" w:rsidRPr="00036D8F">
              <w:rPr>
                <w:b w:val="0"/>
                <w:noProof/>
                <w:webHidden/>
                <w:color w:val="auto"/>
              </w:rPr>
              <w:tab/>
            </w:r>
            <w:r w:rsidR="006459CD" w:rsidRPr="00036D8F">
              <w:rPr>
                <w:b w:val="0"/>
                <w:noProof/>
                <w:webHidden/>
                <w:color w:val="auto"/>
              </w:rPr>
              <w:fldChar w:fldCharType="begin"/>
            </w:r>
            <w:r w:rsidR="006459CD" w:rsidRPr="00036D8F">
              <w:rPr>
                <w:b w:val="0"/>
                <w:noProof/>
                <w:webHidden/>
                <w:color w:val="auto"/>
              </w:rPr>
              <w:instrText xml:space="preserve"> PAGEREF _Toc48318500 \h </w:instrText>
            </w:r>
            <w:r w:rsidR="006459CD" w:rsidRPr="00036D8F">
              <w:rPr>
                <w:b w:val="0"/>
                <w:noProof/>
                <w:webHidden/>
                <w:color w:val="auto"/>
              </w:rPr>
            </w:r>
            <w:r w:rsidR="006459CD" w:rsidRPr="00036D8F">
              <w:rPr>
                <w:b w:val="0"/>
                <w:noProof/>
                <w:webHidden/>
                <w:color w:val="auto"/>
              </w:rPr>
              <w:fldChar w:fldCharType="separate"/>
            </w:r>
            <w:r w:rsidR="00E81E88">
              <w:rPr>
                <w:b w:val="0"/>
                <w:noProof/>
                <w:webHidden/>
                <w:color w:val="auto"/>
              </w:rPr>
              <w:t>35</w:t>
            </w:r>
            <w:r w:rsidR="006459CD" w:rsidRPr="00036D8F">
              <w:rPr>
                <w:b w:val="0"/>
                <w:noProof/>
                <w:webHidden/>
                <w:color w:val="auto"/>
              </w:rPr>
              <w:fldChar w:fldCharType="end"/>
            </w:r>
          </w:hyperlink>
        </w:p>
        <w:p w14:paraId="080A48F5" w14:textId="2B0C55BB" w:rsidR="006459CD" w:rsidRPr="00036D8F" w:rsidRDefault="001A1EF8" w:rsidP="0036069C">
          <w:pPr>
            <w:pStyle w:val="TOC1"/>
            <w:tabs>
              <w:tab w:val="left" w:pos="880"/>
              <w:tab w:val="right" w:leader="dot" w:pos="10490"/>
            </w:tabs>
            <w:ind w:left="567"/>
            <w:rPr>
              <w:rFonts w:asciiTheme="minorHAnsi" w:hAnsiTheme="minorHAnsi" w:cstheme="minorBidi"/>
              <w:b w:val="0"/>
              <w:bCs w:val="0"/>
              <w:caps w:val="0"/>
              <w:noProof/>
              <w:color w:val="auto"/>
              <w:sz w:val="22"/>
              <w:szCs w:val="22"/>
              <w:lang w:eastAsia="en-GB"/>
            </w:rPr>
          </w:pPr>
          <w:hyperlink w:anchor="_Toc48318501" w:history="1">
            <w:r w:rsidR="006459CD" w:rsidRPr="00036D8F">
              <w:rPr>
                <w:rStyle w:val="Hyperlink"/>
                <w:b w:val="0"/>
                <w:noProof/>
                <w:color w:val="auto"/>
              </w:rPr>
              <w:t>10.</w:t>
            </w:r>
            <w:r w:rsidR="006459CD" w:rsidRPr="00036D8F">
              <w:rPr>
                <w:rFonts w:asciiTheme="minorHAnsi" w:hAnsiTheme="minorHAnsi" w:cstheme="minorBidi"/>
                <w:b w:val="0"/>
                <w:bCs w:val="0"/>
                <w:caps w:val="0"/>
                <w:noProof/>
                <w:color w:val="auto"/>
                <w:sz w:val="22"/>
                <w:szCs w:val="22"/>
                <w:lang w:eastAsia="en-GB"/>
              </w:rPr>
              <w:tab/>
            </w:r>
            <w:r w:rsidR="006459CD" w:rsidRPr="00036D8F">
              <w:rPr>
                <w:rStyle w:val="Hyperlink"/>
                <w:b w:val="0"/>
                <w:noProof/>
                <w:color w:val="auto"/>
              </w:rPr>
              <w:t>National interest</w:t>
            </w:r>
            <w:r w:rsidR="006459CD" w:rsidRPr="00036D8F">
              <w:rPr>
                <w:b w:val="0"/>
                <w:noProof/>
                <w:webHidden/>
                <w:color w:val="auto"/>
              </w:rPr>
              <w:tab/>
            </w:r>
            <w:r w:rsidR="006459CD" w:rsidRPr="00036D8F">
              <w:rPr>
                <w:b w:val="0"/>
                <w:noProof/>
                <w:webHidden/>
                <w:color w:val="auto"/>
              </w:rPr>
              <w:fldChar w:fldCharType="begin"/>
            </w:r>
            <w:r w:rsidR="006459CD" w:rsidRPr="00036D8F">
              <w:rPr>
                <w:b w:val="0"/>
                <w:noProof/>
                <w:webHidden/>
                <w:color w:val="auto"/>
              </w:rPr>
              <w:instrText xml:space="preserve"> PAGEREF _Toc48318501 \h </w:instrText>
            </w:r>
            <w:r w:rsidR="006459CD" w:rsidRPr="00036D8F">
              <w:rPr>
                <w:b w:val="0"/>
                <w:noProof/>
                <w:webHidden/>
                <w:color w:val="auto"/>
              </w:rPr>
            </w:r>
            <w:r w:rsidR="006459CD" w:rsidRPr="00036D8F">
              <w:rPr>
                <w:b w:val="0"/>
                <w:noProof/>
                <w:webHidden/>
                <w:color w:val="auto"/>
              </w:rPr>
              <w:fldChar w:fldCharType="separate"/>
            </w:r>
            <w:r w:rsidR="00E81E88">
              <w:rPr>
                <w:b w:val="0"/>
                <w:noProof/>
                <w:webHidden/>
                <w:color w:val="auto"/>
              </w:rPr>
              <w:t>35</w:t>
            </w:r>
            <w:r w:rsidR="006459CD" w:rsidRPr="00036D8F">
              <w:rPr>
                <w:b w:val="0"/>
                <w:noProof/>
                <w:webHidden/>
                <w:color w:val="auto"/>
              </w:rPr>
              <w:fldChar w:fldCharType="end"/>
            </w:r>
          </w:hyperlink>
        </w:p>
        <w:p w14:paraId="0D9D82D3" w14:textId="5803F1D9" w:rsidR="006459CD" w:rsidRPr="00036D8F" w:rsidRDefault="001A1EF8" w:rsidP="0036069C">
          <w:pPr>
            <w:pStyle w:val="TOC1"/>
            <w:tabs>
              <w:tab w:val="left" w:pos="880"/>
              <w:tab w:val="right" w:leader="dot" w:pos="10490"/>
            </w:tabs>
            <w:ind w:left="567"/>
            <w:rPr>
              <w:rFonts w:asciiTheme="minorHAnsi" w:hAnsiTheme="minorHAnsi" w:cstheme="minorBidi"/>
              <w:b w:val="0"/>
              <w:bCs w:val="0"/>
              <w:caps w:val="0"/>
              <w:noProof/>
              <w:color w:val="auto"/>
              <w:sz w:val="22"/>
              <w:szCs w:val="22"/>
              <w:lang w:eastAsia="en-GB"/>
            </w:rPr>
          </w:pPr>
          <w:hyperlink w:anchor="_Toc48318502" w:history="1">
            <w:r w:rsidR="006459CD" w:rsidRPr="00036D8F">
              <w:rPr>
                <w:rStyle w:val="Hyperlink"/>
                <w:b w:val="0"/>
                <w:noProof/>
                <w:color w:val="auto"/>
              </w:rPr>
              <w:t>11.</w:t>
            </w:r>
            <w:r w:rsidR="006459CD" w:rsidRPr="00036D8F">
              <w:rPr>
                <w:rFonts w:asciiTheme="minorHAnsi" w:hAnsiTheme="minorHAnsi" w:cstheme="minorBidi"/>
                <w:b w:val="0"/>
                <w:bCs w:val="0"/>
                <w:caps w:val="0"/>
                <w:noProof/>
                <w:color w:val="auto"/>
                <w:sz w:val="22"/>
                <w:szCs w:val="22"/>
                <w:lang w:eastAsia="en-GB"/>
              </w:rPr>
              <w:tab/>
            </w:r>
            <w:r w:rsidR="006459CD" w:rsidRPr="00036D8F">
              <w:rPr>
                <w:rStyle w:val="Hyperlink"/>
                <w:b w:val="0"/>
                <w:noProof/>
                <w:color w:val="auto"/>
              </w:rPr>
              <w:t>Conclusions</w:t>
            </w:r>
            <w:r w:rsidR="006459CD" w:rsidRPr="00036D8F">
              <w:rPr>
                <w:b w:val="0"/>
                <w:noProof/>
                <w:webHidden/>
                <w:color w:val="auto"/>
              </w:rPr>
              <w:tab/>
            </w:r>
            <w:r w:rsidR="006459CD" w:rsidRPr="00036D8F">
              <w:rPr>
                <w:b w:val="0"/>
                <w:noProof/>
                <w:webHidden/>
                <w:color w:val="auto"/>
              </w:rPr>
              <w:fldChar w:fldCharType="begin"/>
            </w:r>
            <w:r w:rsidR="006459CD" w:rsidRPr="00036D8F">
              <w:rPr>
                <w:b w:val="0"/>
                <w:noProof/>
                <w:webHidden/>
                <w:color w:val="auto"/>
              </w:rPr>
              <w:instrText xml:space="preserve"> PAGEREF _Toc48318502 \h </w:instrText>
            </w:r>
            <w:r w:rsidR="006459CD" w:rsidRPr="00036D8F">
              <w:rPr>
                <w:b w:val="0"/>
                <w:noProof/>
                <w:webHidden/>
                <w:color w:val="auto"/>
              </w:rPr>
            </w:r>
            <w:r w:rsidR="006459CD" w:rsidRPr="00036D8F">
              <w:rPr>
                <w:b w:val="0"/>
                <w:noProof/>
                <w:webHidden/>
                <w:color w:val="auto"/>
              </w:rPr>
              <w:fldChar w:fldCharType="separate"/>
            </w:r>
            <w:r w:rsidR="00E81E88">
              <w:rPr>
                <w:b w:val="0"/>
                <w:noProof/>
                <w:webHidden/>
                <w:color w:val="auto"/>
              </w:rPr>
              <w:t>36</w:t>
            </w:r>
            <w:r w:rsidR="006459CD" w:rsidRPr="00036D8F">
              <w:rPr>
                <w:b w:val="0"/>
                <w:noProof/>
                <w:webHidden/>
                <w:color w:val="auto"/>
              </w:rPr>
              <w:fldChar w:fldCharType="end"/>
            </w:r>
          </w:hyperlink>
        </w:p>
        <w:p w14:paraId="6EB08562" w14:textId="0BD41D8E" w:rsidR="006459CD" w:rsidRPr="00036D8F" w:rsidRDefault="001A1EF8" w:rsidP="0036069C">
          <w:pPr>
            <w:pStyle w:val="TOC1"/>
            <w:tabs>
              <w:tab w:val="left" w:pos="880"/>
              <w:tab w:val="right" w:leader="dot" w:pos="10490"/>
            </w:tabs>
            <w:ind w:left="567"/>
            <w:rPr>
              <w:rFonts w:asciiTheme="minorHAnsi" w:hAnsiTheme="minorHAnsi" w:cstheme="minorBidi"/>
              <w:b w:val="0"/>
              <w:bCs w:val="0"/>
              <w:caps w:val="0"/>
              <w:noProof/>
              <w:color w:val="auto"/>
              <w:sz w:val="22"/>
              <w:szCs w:val="22"/>
              <w:lang w:eastAsia="en-GB"/>
            </w:rPr>
          </w:pPr>
          <w:hyperlink w:anchor="_Toc48318503" w:history="1">
            <w:r w:rsidR="006459CD" w:rsidRPr="00036D8F">
              <w:rPr>
                <w:rStyle w:val="Hyperlink"/>
                <w:b w:val="0"/>
                <w:noProof/>
                <w:color w:val="auto"/>
              </w:rPr>
              <w:t>12.</w:t>
            </w:r>
            <w:r w:rsidR="006459CD" w:rsidRPr="00036D8F">
              <w:rPr>
                <w:rFonts w:asciiTheme="minorHAnsi" w:hAnsiTheme="minorHAnsi" w:cstheme="minorBidi"/>
                <w:b w:val="0"/>
                <w:bCs w:val="0"/>
                <w:caps w:val="0"/>
                <w:noProof/>
                <w:color w:val="auto"/>
                <w:sz w:val="22"/>
                <w:szCs w:val="22"/>
                <w:lang w:eastAsia="en-GB"/>
              </w:rPr>
              <w:tab/>
            </w:r>
            <w:r w:rsidR="006459CD" w:rsidRPr="00036D8F">
              <w:rPr>
                <w:rStyle w:val="Hyperlink"/>
                <w:b w:val="0"/>
                <w:noProof/>
                <w:color w:val="auto"/>
              </w:rPr>
              <w:t>Recommendations</w:t>
            </w:r>
            <w:r w:rsidR="006459CD" w:rsidRPr="00036D8F">
              <w:rPr>
                <w:b w:val="0"/>
                <w:noProof/>
                <w:webHidden/>
                <w:color w:val="auto"/>
              </w:rPr>
              <w:tab/>
            </w:r>
            <w:r w:rsidR="006459CD" w:rsidRPr="00036D8F">
              <w:rPr>
                <w:b w:val="0"/>
                <w:noProof/>
                <w:webHidden/>
                <w:color w:val="auto"/>
              </w:rPr>
              <w:fldChar w:fldCharType="begin"/>
            </w:r>
            <w:r w:rsidR="006459CD" w:rsidRPr="00036D8F">
              <w:rPr>
                <w:b w:val="0"/>
                <w:noProof/>
                <w:webHidden/>
                <w:color w:val="auto"/>
              </w:rPr>
              <w:instrText xml:space="preserve"> PAGEREF _Toc48318503 \h </w:instrText>
            </w:r>
            <w:r w:rsidR="006459CD" w:rsidRPr="00036D8F">
              <w:rPr>
                <w:b w:val="0"/>
                <w:noProof/>
                <w:webHidden/>
                <w:color w:val="auto"/>
              </w:rPr>
            </w:r>
            <w:r w:rsidR="006459CD" w:rsidRPr="00036D8F">
              <w:rPr>
                <w:b w:val="0"/>
                <w:noProof/>
                <w:webHidden/>
                <w:color w:val="auto"/>
              </w:rPr>
              <w:fldChar w:fldCharType="separate"/>
            </w:r>
            <w:r w:rsidR="00E81E88">
              <w:rPr>
                <w:b w:val="0"/>
                <w:noProof/>
                <w:webHidden/>
                <w:color w:val="auto"/>
              </w:rPr>
              <w:t>39</w:t>
            </w:r>
            <w:r w:rsidR="006459CD" w:rsidRPr="00036D8F">
              <w:rPr>
                <w:b w:val="0"/>
                <w:noProof/>
                <w:webHidden/>
                <w:color w:val="auto"/>
              </w:rPr>
              <w:fldChar w:fldCharType="end"/>
            </w:r>
          </w:hyperlink>
        </w:p>
        <w:p w14:paraId="04F9EB4E" w14:textId="05FF3E1C" w:rsidR="006459CD" w:rsidRPr="00036D8F" w:rsidRDefault="001A1EF8" w:rsidP="0036069C">
          <w:pPr>
            <w:pStyle w:val="TOC1"/>
            <w:tabs>
              <w:tab w:val="right" w:leader="dot" w:pos="10490"/>
            </w:tabs>
            <w:ind w:left="567"/>
            <w:rPr>
              <w:rFonts w:asciiTheme="minorHAnsi" w:hAnsiTheme="minorHAnsi" w:cstheme="minorBidi"/>
              <w:b w:val="0"/>
              <w:bCs w:val="0"/>
              <w:caps w:val="0"/>
              <w:noProof/>
              <w:color w:val="auto"/>
              <w:sz w:val="22"/>
              <w:szCs w:val="22"/>
              <w:lang w:eastAsia="en-GB"/>
            </w:rPr>
          </w:pPr>
          <w:hyperlink w:anchor="_Toc48318504" w:history="1">
            <w:r w:rsidR="006459CD" w:rsidRPr="00036D8F">
              <w:rPr>
                <w:rStyle w:val="Hyperlink"/>
                <w:b w:val="0"/>
                <w:noProof/>
                <w:color w:val="auto"/>
              </w:rPr>
              <w:t>Annex I – List of Interviewees</w:t>
            </w:r>
            <w:r w:rsidR="006459CD" w:rsidRPr="00036D8F">
              <w:rPr>
                <w:b w:val="0"/>
                <w:noProof/>
                <w:webHidden/>
                <w:color w:val="auto"/>
              </w:rPr>
              <w:tab/>
            </w:r>
            <w:r w:rsidR="006459CD" w:rsidRPr="00036D8F">
              <w:rPr>
                <w:b w:val="0"/>
                <w:noProof/>
                <w:webHidden/>
                <w:color w:val="auto"/>
              </w:rPr>
              <w:fldChar w:fldCharType="begin"/>
            </w:r>
            <w:r w:rsidR="006459CD" w:rsidRPr="00036D8F">
              <w:rPr>
                <w:b w:val="0"/>
                <w:noProof/>
                <w:webHidden/>
                <w:color w:val="auto"/>
              </w:rPr>
              <w:instrText xml:space="preserve"> PAGEREF _Toc48318504 \h </w:instrText>
            </w:r>
            <w:r w:rsidR="006459CD" w:rsidRPr="00036D8F">
              <w:rPr>
                <w:b w:val="0"/>
                <w:noProof/>
                <w:webHidden/>
                <w:color w:val="auto"/>
              </w:rPr>
            </w:r>
            <w:r w:rsidR="006459CD" w:rsidRPr="00036D8F">
              <w:rPr>
                <w:b w:val="0"/>
                <w:noProof/>
                <w:webHidden/>
                <w:color w:val="auto"/>
              </w:rPr>
              <w:fldChar w:fldCharType="separate"/>
            </w:r>
            <w:r w:rsidR="00E81E88">
              <w:rPr>
                <w:b w:val="0"/>
                <w:noProof/>
                <w:webHidden/>
                <w:color w:val="auto"/>
              </w:rPr>
              <w:t>42</w:t>
            </w:r>
            <w:r w:rsidR="006459CD" w:rsidRPr="00036D8F">
              <w:rPr>
                <w:b w:val="0"/>
                <w:noProof/>
                <w:webHidden/>
                <w:color w:val="auto"/>
              </w:rPr>
              <w:fldChar w:fldCharType="end"/>
            </w:r>
          </w:hyperlink>
        </w:p>
        <w:p w14:paraId="02C4B5A1" w14:textId="5D1532B6" w:rsidR="006459CD" w:rsidRPr="00036D8F" w:rsidRDefault="001A1EF8" w:rsidP="0036069C">
          <w:pPr>
            <w:pStyle w:val="TOC1"/>
            <w:tabs>
              <w:tab w:val="right" w:leader="dot" w:pos="10490"/>
            </w:tabs>
            <w:ind w:left="567"/>
            <w:rPr>
              <w:rFonts w:asciiTheme="minorHAnsi" w:hAnsiTheme="minorHAnsi" w:cstheme="minorBidi"/>
              <w:b w:val="0"/>
              <w:bCs w:val="0"/>
              <w:caps w:val="0"/>
              <w:noProof/>
              <w:color w:val="auto"/>
              <w:sz w:val="22"/>
              <w:szCs w:val="22"/>
              <w:lang w:eastAsia="en-GB"/>
            </w:rPr>
          </w:pPr>
          <w:hyperlink w:anchor="_Toc48318505" w:history="1">
            <w:r w:rsidR="006459CD" w:rsidRPr="00036D8F">
              <w:rPr>
                <w:rStyle w:val="Hyperlink"/>
                <w:b w:val="0"/>
                <w:noProof/>
                <w:color w:val="auto"/>
              </w:rPr>
              <w:t>Annex II – Review Plan</w:t>
            </w:r>
            <w:r w:rsidR="006459CD" w:rsidRPr="00036D8F">
              <w:rPr>
                <w:b w:val="0"/>
                <w:noProof/>
                <w:webHidden/>
                <w:color w:val="auto"/>
              </w:rPr>
              <w:tab/>
            </w:r>
            <w:r w:rsidR="006459CD" w:rsidRPr="00036D8F">
              <w:rPr>
                <w:b w:val="0"/>
                <w:noProof/>
                <w:webHidden/>
                <w:color w:val="auto"/>
              </w:rPr>
              <w:fldChar w:fldCharType="begin"/>
            </w:r>
            <w:r w:rsidR="006459CD" w:rsidRPr="00036D8F">
              <w:rPr>
                <w:b w:val="0"/>
                <w:noProof/>
                <w:webHidden/>
                <w:color w:val="auto"/>
              </w:rPr>
              <w:instrText xml:space="preserve"> PAGEREF _Toc48318505 \h </w:instrText>
            </w:r>
            <w:r w:rsidR="006459CD" w:rsidRPr="00036D8F">
              <w:rPr>
                <w:b w:val="0"/>
                <w:noProof/>
                <w:webHidden/>
                <w:color w:val="auto"/>
              </w:rPr>
            </w:r>
            <w:r w:rsidR="006459CD" w:rsidRPr="00036D8F">
              <w:rPr>
                <w:b w:val="0"/>
                <w:noProof/>
                <w:webHidden/>
                <w:color w:val="auto"/>
              </w:rPr>
              <w:fldChar w:fldCharType="separate"/>
            </w:r>
            <w:r w:rsidR="00E81E88">
              <w:rPr>
                <w:b w:val="0"/>
                <w:noProof/>
                <w:webHidden/>
                <w:color w:val="auto"/>
              </w:rPr>
              <w:t>44</w:t>
            </w:r>
            <w:r w:rsidR="006459CD" w:rsidRPr="00036D8F">
              <w:rPr>
                <w:b w:val="0"/>
                <w:noProof/>
                <w:webHidden/>
                <w:color w:val="auto"/>
              </w:rPr>
              <w:fldChar w:fldCharType="end"/>
            </w:r>
          </w:hyperlink>
        </w:p>
        <w:p w14:paraId="4F788DFF" w14:textId="7BD25549" w:rsidR="006459CD" w:rsidRPr="00036D8F" w:rsidRDefault="001A1EF8" w:rsidP="0036069C">
          <w:pPr>
            <w:pStyle w:val="TOC1"/>
            <w:tabs>
              <w:tab w:val="right" w:leader="dot" w:pos="10490"/>
            </w:tabs>
            <w:ind w:left="567"/>
            <w:rPr>
              <w:rFonts w:asciiTheme="minorHAnsi" w:hAnsiTheme="minorHAnsi" w:cstheme="minorBidi"/>
              <w:b w:val="0"/>
              <w:bCs w:val="0"/>
              <w:caps w:val="0"/>
              <w:noProof/>
              <w:color w:val="auto"/>
              <w:sz w:val="22"/>
              <w:szCs w:val="22"/>
              <w:lang w:eastAsia="en-GB"/>
            </w:rPr>
          </w:pPr>
          <w:hyperlink w:anchor="_Toc48318506" w:history="1">
            <w:r w:rsidR="006459CD" w:rsidRPr="00036D8F">
              <w:rPr>
                <w:rStyle w:val="Hyperlink"/>
                <w:b w:val="0"/>
                <w:noProof/>
                <w:color w:val="auto"/>
              </w:rPr>
              <w:t>Annex III – IASC Centrality of Protection and Three Levels of Action</w:t>
            </w:r>
            <w:r w:rsidR="006459CD" w:rsidRPr="00036D8F">
              <w:rPr>
                <w:b w:val="0"/>
                <w:noProof/>
                <w:webHidden/>
                <w:color w:val="auto"/>
              </w:rPr>
              <w:tab/>
            </w:r>
            <w:r w:rsidR="006459CD" w:rsidRPr="00036D8F">
              <w:rPr>
                <w:b w:val="0"/>
                <w:noProof/>
                <w:webHidden/>
                <w:color w:val="auto"/>
              </w:rPr>
              <w:fldChar w:fldCharType="begin"/>
            </w:r>
            <w:r w:rsidR="006459CD" w:rsidRPr="00036D8F">
              <w:rPr>
                <w:b w:val="0"/>
                <w:noProof/>
                <w:webHidden/>
                <w:color w:val="auto"/>
              </w:rPr>
              <w:instrText xml:space="preserve"> PAGEREF _Toc48318506 \h </w:instrText>
            </w:r>
            <w:r w:rsidR="006459CD" w:rsidRPr="00036D8F">
              <w:rPr>
                <w:b w:val="0"/>
                <w:noProof/>
                <w:webHidden/>
                <w:color w:val="auto"/>
              </w:rPr>
            </w:r>
            <w:r w:rsidR="006459CD" w:rsidRPr="00036D8F">
              <w:rPr>
                <w:b w:val="0"/>
                <w:noProof/>
                <w:webHidden/>
                <w:color w:val="auto"/>
              </w:rPr>
              <w:fldChar w:fldCharType="separate"/>
            </w:r>
            <w:r w:rsidR="00E81E88">
              <w:rPr>
                <w:b w:val="0"/>
                <w:noProof/>
                <w:webHidden/>
                <w:color w:val="auto"/>
              </w:rPr>
              <w:t>65</w:t>
            </w:r>
            <w:r w:rsidR="006459CD" w:rsidRPr="00036D8F">
              <w:rPr>
                <w:b w:val="0"/>
                <w:noProof/>
                <w:webHidden/>
                <w:color w:val="auto"/>
              </w:rPr>
              <w:fldChar w:fldCharType="end"/>
            </w:r>
          </w:hyperlink>
        </w:p>
        <w:p w14:paraId="5EEC456E" w14:textId="6D40ADDD" w:rsidR="006459CD" w:rsidRPr="00036D8F" w:rsidRDefault="001A1EF8" w:rsidP="0036069C">
          <w:pPr>
            <w:pStyle w:val="TOC1"/>
            <w:tabs>
              <w:tab w:val="right" w:leader="dot" w:pos="10490"/>
            </w:tabs>
            <w:ind w:left="567"/>
            <w:rPr>
              <w:rFonts w:asciiTheme="minorHAnsi" w:hAnsiTheme="minorHAnsi" w:cstheme="minorBidi"/>
              <w:b w:val="0"/>
              <w:bCs w:val="0"/>
              <w:caps w:val="0"/>
              <w:noProof/>
              <w:color w:val="auto"/>
              <w:sz w:val="22"/>
              <w:szCs w:val="22"/>
              <w:lang w:eastAsia="en-GB"/>
            </w:rPr>
          </w:pPr>
          <w:hyperlink w:anchor="_Toc48318507" w:history="1">
            <w:r w:rsidR="006459CD" w:rsidRPr="00036D8F">
              <w:rPr>
                <w:rStyle w:val="Hyperlink"/>
                <w:b w:val="0"/>
                <w:noProof/>
                <w:color w:val="auto"/>
              </w:rPr>
              <w:t>Annex IV – Literature Reviewed</w:t>
            </w:r>
            <w:r w:rsidR="006459CD" w:rsidRPr="00036D8F">
              <w:rPr>
                <w:b w:val="0"/>
                <w:noProof/>
                <w:webHidden/>
                <w:color w:val="auto"/>
              </w:rPr>
              <w:tab/>
            </w:r>
            <w:r w:rsidR="006459CD" w:rsidRPr="00036D8F">
              <w:rPr>
                <w:b w:val="0"/>
                <w:noProof/>
                <w:webHidden/>
                <w:color w:val="auto"/>
              </w:rPr>
              <w:fldChar w:fldCharType="begin"/>
            </w:r>
            <w:r w:rsidR="006459CD" w:rsidRPr="00036D8F">
              <w:rPr>
                <w:b w:val="0"/>
                <w:noProof/>
                <w:webHidden/>
                <w:color w:val="auto"/>
              </w:rPr>
              <w:instrText xml:space="preserve"> PAGEREF _Toc48318507 \h </w:instrText>
            </w:r>
            <w:r w:rsidR="006459CD" w:rsidRPr="00036D8F">
              <w:rPr>
                <w:b w:val="0"/>
                <w:noProof/>
                <w:webHidden/>
                <w:color w:val="auto"/>
              </w:rPr>
            </w:r>
            <w:r w:rsidR="006459CD" w:rsidRPr="00036D8F">
              <w:rPr>
                <w:b w:val="0"/>
                <w:noProof/>
                <w:webHidden/>
                <w:color w:val="auto"/>
              </w:rPr>
              <w:fldChar w:fldCharType="separate"/>
            </w:r>
            <w:r w:rsidR="00E81E88">
              <w:rPr>
                <w:b w:val="0"/>
                <w:noProof/>
                <w:webHidden/>
                <w:color w:val="auto"/>
              </w:rPr>
              <w:t>67</w:t>
            </w:r>
            <w:r w:rsidR="006459CD" w:rsidRPr="00036D8F">
              <w:rPr>
                <w:b w:val="0"/>
                <w:noProof/>
                <w:webHidden/>
                <w:color w:val="auto"/>
              </w:rPr>
              <w:fldChar w:fldCharType="end"/>
            </w:r>
          </w:hyperlink>
        </w:p>
        <w:p w14:paraId="29307CFB" w14:textId="6CA1B5EB" w:rsidR="006459CD" w:rsidRPr="00036D8F" w:rsidRDefault="001A1EF8" w:rsidP="0036069C">
          <w:pPr>
            <w:pStyle w:val="TOC1"/>
            <w:tabs>
              <w:tab w:val="right" w:leader="dot" w:pos="10490"/>
            </w:tabs>
            <w:ind w:left="567"/>
            <w:rPr>
              <w:rFonts w:asciiTheme="minorHAnsi" w:hAnsiTheme="minorHAnsi" w:cstheme="minorBidi"/>
              <w:b w:val="0"/>
              <w:bCs w:val="0"/>
              <w:caps w:val="0"/>
              <w:noProof/>
              <w:color w:val="auto"/>
              <w:sz w:val="22"/>
              <w:szCs w:val="22"/>
              <w:lang w:eastAsia="en-GB"/>
            </w:rPr>
          </w:pPr>
          <w:hyperlink w:anchor="_Toc48318508" w:history="1">
            <w:r w:rsidR="006459CD" w:rsidRPr="00036D8F">
              <w:rPr>
                <w:rStyle w:val="Hyperlink"/>
                <w:b w:val="0"/>
                <w:noProof/>
                <w:color w:val="auto"/>
              </w:rPr>
              <w:t>Annex V – Iraq Package Program Logic</w:t>
            </w:r>
            <w:r w:rsidR="006459CD" w:rsidRPr="00036D8F">
              <w:rPr>
                <w:b w:val="0"/>
                <w:noProof/>
                <w:webHidden/>
                <w:color w:val="auto"/>
              </w:rPr>
              <w:tab/>
            </w:r>
            <w:r w:rsidR="006459CD" w:rsidRPr="00036D8F">
              <w:rPr>
                <w:b w:val="0"/>
                <w:noProof/>
                <w:webHidden/>
                <w:color w:val="auto"/>
              </w:rPr>
              <w:fldChar w:fldCharType="begin"/>
            </w:r>
            <w:r w:rsidR="006459CD" w:rsidRPr="00036D8F">
              <w:rPr>
                <w:b w:val="0"/>
                <w:noProof/>
                <w:webHidden/>
                <w:color w:val="auto"/>
              </w:rPr>
              <w:instrText xml:space="preserve"> PAGEREF _Toc48318508 \h </w:instrText>
            </w:r>
            <w:r w:rsidR="006459CD" w:rsidRPr="00036D8F">
              <w:rPr>
                <w:b w:val="0"/>
                <w:noProof/>
                <w:webHidden/>
                <w:color w:val="auto"/>
              </w:rPr>
            </w:r>
            <w:r w:rsidR="006459CD" w:rsidRPr="00036D8F">
              <w:rPr>
                <w:b w:val="0"/>
                <w:noProof/>
                <w:webHidden/>
                <w:color w:val="auto"/>
              </w:rPr>
              <w:fldChar w:fldCharType="separate"/>
            </w:r>
            <w:r w:rsidR="00E81E88">
              <w:rPr>
                <w:b w:val="0"/>
                <w:noProof/>
                <w:webHidden/>
                <w:color w:val="auto"/>
              </w:rPr>
              <w:t>69</w:t>
            </w:r>
            <w:r w:rsidR="006459CD" w:rsidRPr="00036D8F">
              <w:rPr>
                <w:b w:val="0"/>
                <w:noProof/>
                <w:webHidden/>
                <w:color w:val="auto"/>
              </w:rPr>
              <w:fldChar w:fldCharType="end"/>
            </w:r>
          </w:hyperlink>
        </w:p>
        <w:p w14:paraId="739B94E0" w14:textId="62D9BF46" w:rsidR="00F72EA1" w:rsidRPr="003D0A27" w:rsidRDefault="006459CD" w:rsidP="006459CD">
          <w:pPr>
            <w:tabs>
              <w:tab w:val="left" w:pos="1134"/>
              <w:tab w:val="right" w:pos="9498"/>
            </w:tabs>
            <w:ind w:left="851" w:right="138" w:firstLine="851"/>
            <w:rPr>
              <w:rFonts w:cstheme="majorHAnsi"/>
              <w:b/>
              <w:bCs/>
              <w:sz w:val="20"/>
            </w:rPr>
          </w:pPr>
          <w:r w:rsidRPr="00036D8F">
            <w:rPr>
              <w:rFonts w:asciiTheme="majorHAnsi" w:hAnsiTheme="majorHAnsi" w:cstheme="majorHAnsi"/>
              <w:bCs/>
              <w:caps/>
              <w:sz w:val="24"/>
            </w:rPr>
            <w:fldChar w:fldCharType="end"/>
          </w:r>
        </w:p>
      </w:sdtContent>
    </w:sdt>
    <w:p w14:paraId="2263A8AE" w14:textId="77777777" w:rsidR="00985AED" w:rsidRPr="003D0A27" w:rsidRDefault="00985AED" w:rsidP="003D0A27">
      <w:pPr>
        <w:spacing w:after="0"/>
        <w:ind w:left="142"/>
        <w:rPr>
          <w:rFonts w:ascii="Georgia" w:hAnsi="Georgia"/>
          <w:b/>
          <w:color w:val="595959" w:themeColor="text1" w:themeTint="A6"/>
          <w:sz w:val="44"/>
        </w:rPr>
      </w:pPr>
      <w:r w:rsidRPr="003D0A27">
        <w:rPr>
          <w:sz w:val="20"/>
        </w:rPr>
        <w:br w:type="page"/>
      </w:r>
    </w:p>
    <w:p w14:paraId="73F7A488" w14:textId="7F1BAAEE" w:rsidR="001A5CB0" w:rsidRPr="0056018B" w:rsidRDefault="001A5CB0" w:rsidP="00620581">
      <w:pPr>
        <w:pStyle w:val="Heading1"/>
        <w:ind w:left="1418"/>
        <w:rPr>
          <w:rFonts w:cstheme="majorHAnsi"/>
          <w:sz w:val="48"/>
        </w:rPr>
      </w:pPr>
      <w:bookmarkStart w:id="0" w:name="_Toc48318490"/>
      <w:r w:rsidRPr="0056018B">
        <w:rPr>
          <w:sz w:val="48"/>
        </w:rPr>
        <w:lastRenderedPageBreak/>
        <w:t>A</w:t>
      </w:r>
      <w:r w:rsidR="007E0A64" w:rsidRPr="0056018B">
        <w:rPr>
          <w:sz w:val="48"/>
        </w:rPr>
        <w:t>cronyms</w:t>
      </w:r>
      <w:bookmarkEnd w:id="0"/>
    </w:p>
    <w:tbl>
      <w:tblPr>
        <w:tblStyle w:val="TableGrid"/>
        <w:tblW w:w="9497" w:type="dxa"/>
        <w:tblInd w:w="1526" w:type="dxa"/>
        <w:tblLook w:val="04A0" w:firstRow="1" w:lastRow="0" w:firstColumn="1" w:lastColumn="0" w:noHBand="0" w:noVBand="1"/>
      </w:tblPr>
      <w:tblGrid>
        <w:gridCol w:w="3685"/>
        <w:gridCol w:w="5812"/>
      </w:tblGrid>
      <w:tr w:rsidR="0014526C" w:rsidRPr="00BD1C03" w14:paraId="20C76945" w14:textId="77777777" w:rsidTr="00D52C60">
        <w:tc>
          <w:tcPr>
            <w:tcW w:w="3685" w:type="dxa"/>
          </w:tcPr>
          <w:p w14:paraId="6480F25E" w14:textId="77777777" w:rsidR="0014526C" w:rsidRPr="0056018B" w:rsidRDefault="0014526C" w:rsidP="0008435D">
            <w:pPr>
              <w:spacing w:after="0"/>
              <w:rPr>
                <w:sz w:val="20"/>
              </w:rPr>
            </w:pPr>
            <w:r w:rsidRPr="0056018B">
              <w:rPr>
                <w:sz w:val="20"/>
              </w:rPr>
              <w:t>AAP</w:t>
            </w:r>
          </w:p>
        </w:tc>
        <w:tc>
          <w:tcPr>
            <w:tcW w:w="5812" w:type="dxa"/>
          </w:tcPr>
          <w:p w14:paraId="41DEF0C4" w14:textId="77777777" w:rsidR="0014526C" w:rsidRPr="0056018B" w:rsidRDefault="0014526C" w:rsidP="0008435D">
            <w:pPr>
              <w:spacing w:after="0"/>
              <w:rPr>
                <w:sz w:val="20"/>
              </w:rPr>
            </w:pPr>
            <w:r w:rsidRPr="0056018B">
              <w:rPr>
                <w:sz w:val="20"/>
              </w:rPr>
              <w:t>Accountability to Affected Populations</w:t>
            </w:r>
          </w:p>
        </w:tc>
      </w:tr>
      <w:tr w:rsidR="0014526C" w:rsidRPr="00BD1C03" w14:paraId="6618D16C" w14:textId="77777777" w:rsidTr="00D52C60">
        <w:tc>
          <w:tcPr>
            <w:tcW w:w="3685" w:type="dxa"/>
          </w:tcPr>
          <w:p w14:paraId="1D1E3C48" w14:textId="77777777" w:rsidR="0014526C" w:rsidRPr="0056018B" w:rsidRDefault="0014526C" w:rsidP="0008435D">
            <w:pPr>
              <w:spacing w:after="0"/>
              <w:rPr>
                <w:sz w:val="20"/>
              </w:rPr>
            </w:pPr>
            <w:r w:rsidRPr="0056018B">
              <w:rPr>
                <w:sz w:val="20"/>
              </w:rPr>
              <w:t>ADF</w:t>
            </w:r>
          </w:p>
        </w:tc>
        <w:tc>
          <w:tcPr>
            <w:tcW w:w="5812" w:type="dxa"/>
          </w:tcPr>
          <w:p w14:paraId="2BFB632F" w14:textId="77777777" w:rsidR="0014526C" w:rsidRPr="0056018B" w:rsidRDefault="0014526C" w:rsidP="0008435D">
            <w:pPr>
              <w:spacing w:after="0"/>
              <w:rPr>
                <w:sz w:val="20"/>
              </w:rPr>
            </w:pPr>
            <w:r w:rsidRPr="0056018B">
              <w:rPr>
                <w:sz w:val="20"/>
              </w:rPr>
              <w:t>Australian Defence Force</w:t>
            </w:r>
          </w:p>
        </w:tc>
      </w:tr>
      <w:tr w:rsidR="0014526C" w:rsidRPr="00BD1C03" w14:paraId="2C9A7AC9" w14:textId="77777777" w:rsidTr="00D52C60">
        <w:tc>
          <w:tcPr>
            <w:tcW w:w="3685" w:type="dxa"/>
          </w:tcPr>
          <w:p w14:paraId="612703C9" w14:textId="77777777" w:rsidR="0014526C" w:rsidRPr="0056018B" w:rsidRDefault="0014526C" w:rsidP="0008435D">
            <w:pPr>
              <w:spacing w:after="0"/>
              <w:rPr>
                <w:sz w:val="20"/>
              </w:rPr>
            </w:pPr>
            <w:r w:rsidRPr="0056018B">
              <w:rPr>
                <w:sz w:val="20"/>
              </w:rPr>
              <w:t>BPF</w:t>
            </w:r>
          </w:p>
        </w:tc>
        <w:tc>
          <w:tcPr>
            <w:tcW w:w="5812" w:type="dxa"/>
          </w:tcPr>
          <w:p w14:paraId="30C910E9" w14:textId="77777777" w:rsidR="0014526C" w:rsidRPr="0056018B" w:rsidRDefault="0014526C" w:rsidP="0008435D">
            <w:pPr>
              <w:spacing w:after="0"/>
              <w:rPr>
                <w:sz w:val="20"/>
              </w:rPr>
            </w:pPr>
            <w:r w:rsidRPr="0056018B">
              <w:rPr>
                <w:sz w:val="20"/>
              </w:rPr>
              <w:t>Building Peaceful Futures consortium</w:t>
            </w:r>
          </w:p>
        </w:tc>
      </w:tr>
      <w:tr w:rsidR="0014526C" w:rsidRPr="00BD1C03" w14:paraId="40278C79" w14:textId="77777777" w:rsidTr="00D52C60">
        <w:tc>
          <w:tcPr>
            <w:tcW w:w="3685" w:type="dxa"/>
          </w:tcPr>
          <w:p w14:paraId="3D653714" w14:textId="77777777" w:rsidR="0014526C" w:rsidRPr="0056018B" w:rsidRDefault="0014526C" w:rsidP="0008435D">
            <w:pPr>
              <w:spacing w:after="0"/>
              <w:rPr>
                <w:sz w:val="20"/>
              </w:rPr>
            </w:pPr>
            <w:r w:rsidRPr="0056018B">
              <w:rPr>
                <w:sz w:val="20"/>
              </w:rPr>
              <w:t>CRC</w:t>
            </w:r>
          </w:p>
        </w:tc>
        <w:tc>
          <w:tcPr>
            <w:tcW w:w="5812" w:type="dxa"/>
          </w:tcPr>
          <w:p w14:paraId="6EFECDBC" w14:textId="77777777" w:rsidR="0014526C" w:rsidRPr="0056018B" w:rsidRDefault="0014526C" w:rsidP="0008435D">
            <w:pPr>
              <w:spacing w:after="0"/>
              <w:rPr>
                <w:sz w:val="20"/>
              </w:rPr>
            </w:pPr>
            <w:r w:rsidRPr="0056018B">
              <w:rPr>
                <w:sz w:val="20"/>
              </w:rPr>
              <w:t>Community Resource Centre</w:t>
            </w:r>
          </w:p>
        </w:tc>
      </w:tr>
      <w:tr w:rsidR="0014526C" w:rsidRPr="00BD1C03" w14:paraId="19753D45" w14:textId="77777777" w:rsidTr="00D52C60">
        <w:tc>
          <w:tcPr>
            <w:tcW w:w="3685" w:type="dxa"/>
          </w:tcPr>
          <w:p w14:paraId="4844DC71" w14:textId="77777777" w:rsidR="0014526C" w:rsidRPr="0056018B" w:rsidRDefault="0014526C" w:rsidP="0008435D">
            <w:pPr>
              <w:spacing w:after="0"/>
              <w:rPr>
                <w:sz w:val="20"/>
              </w:rPr>
            </w:pPr>
            <w:r w:rsidRPr="0056018B">
              <w:rPr>
                <w:sz w:val="20"/>
              </w:rPr>
              <w:t>CSO</w:t>
            </w:r>
          </w:p>
        </w:tc>
        <w:tc>
          <w:tcPr>
            <w:tcW w:w="5812" w:type="dxa"/>
          </w:tcPr>
          <w:p w14:paraId="14C9B6C4" w14:textId="77777777" w:rsidR="0014526C" w:rsidRPr="0056018B" w:rsidRDefault="0014526C" w:rsidP="0008435D">
            <w:pPr>
              <w:spacing w:after="0"/>
              <w:rPr>
                <w:sz w:val="20"/>
              </w:rPr>
            </w:pPr>
            <w:r w:rsidRPr="0056018B">
              <w:rPr>
                <w:sz w:val="20"/>
              </w:rPr>
              <w:t>Civil Society Organisation</w:t>
            </w:r>
          </w:p>
        </w:tc>
      </w:tr>
      <w:tr w:rsidR="0014526C" w:rsidRPr="00BD1C03" w14:paraId="54FDC110" w14:textId="77777777" w:rsidTr="00D52C60">
        <w:tc>
          <w:tcPr>
            <w:tcW w:w="3685" w:type="dxa"/>
          </w:tcPr>
          <w:p w14:paraId="41BC3F28" w14:textId="77777777" w:rsidR="0014526C" w:rsidRPr="0056018B" w:rsidRDefault="0014526C" w:rsidP="0008435D">
            <w:pPr>
              <w:spacing w:after="0"/>
              <w:rPr>
                <w:sz w:val="20"/>
              </w:rPr>
            </w:pPr>
            <w:r w:rsidRPr="0056018B">
              <w:rPr>
                <w:sz w:val="20"/>
              </w:rPr>
              <w:t>DFAT</w:t>
            </w:r>
          </w:p>
        </w:tc>
        <w:tc>
          <w:tcPr>
            <w:tcW w:w="5812" w:type="dxa"/>
          </w:tcPr>
          <w:p w14:paraId="6DCFB91F" w14:textId="77777777" w:rsidR="0014526C" w:rsidRPr="0056018B" w:rsidRDefault="0014526C" w:rsidP="0008435D">
            <w:pPr>
              <w:spacing w:after="0"/>
              <w:rPr>
                <w:sz w:val="20"/>
              </w:rPr>
            </w:pPr>
            <w:r w:rsidRPr="0056018B">
              <w:rPr>
                <w:sz w:val="20"/>
              </w:rPr>
              <w:t>Australian Department of Foreign Affairs and Trade</w:t>
            </w:r>
          </w:p>
        </w:tc>
      </w:tr>
      <w:tr w:rsidR="00136197" w:rsidRPr="00BD1C03" w14:paraId="047AC4CF" w14:textId="77777777" w:rsidTr="00D52C60">
        <w:tc>
          <w:tcPr>
            <w:tcW w:w="3685" w:type="dxa"/>
          </w:tcPr>
          <w:p w14:paraId="60E7EA39" w14:textId="5A657A4B" w:rsidR="00136197" w:rsidRPr="0056018B" w:rsidRDefault="00136197" w:rsidP="0008435D">
            <w:pPr>
              <w:spacing w:after="0"/>
              <w:rPr>
                <w:sz w:val="20"/>
              </w:rPr>
            </w:pPr>
            <w:proofErr w:type="spellStart"/>
            <w:r w:rsidRPr="0056018B">
              <w:rPr>
                <w:sz w:val="20"/>
              </w:rPr>
              <w:t>dfid</w:t>
            </w:r>
            <w:proofErr w:type="spellEnd"/>
          </w:p>
        </w:tc>
        <w:tc>
          <w:tcPr>
            <w:tcW w:w="5812" w:type="dxa"/>
          </w:tcPr>
          <w:p w14:paraId="3C117322" w14:textId="17C60F76" w:rsidR="00136197" w:rsidRPr="0056018B" w:rsidRDefault="00136197" w:rsidP="0008435D">
            <w:pPr>
              <w:spacing w:after="0"/>
              <w:rPr>
                <w:sz w:val="20"/>
              </w:rPr>
            </w:pPr>
            <w:r w:rsidRPr="0056018B">
              <w:rPr>
                <w:sz w:val="20"/>
              </w:rPr>
              <w:t>Department for International Development</w:t>
            </w:r>
          </w:p>
        </w:tc>
      </w:tr>
      <w:tr w:rsidR="0014526C" w:rsidRPr="00BD1C03" w14:paraId="17D64330" w14:textId="77777777" w:rsidTr="00D52C60">
        <w:tc>
          <w:tcPr>
            <w:tcW w:w="3685" w:type="dxa"/>
          </w:tcPr>
          <w:p w14:paraId="25E464BF" w14:textId="77777777" w:rsidR="0014526C" w:rsidRPr="0056018B" w:rsidRDefault="0014526C" w:rsidP="0008435D">
            <w:pPr>
              <w:spacing w:after="0"/>
              <w:rPr>
                <w:sz w:val="20"/>
              </w:rPr>
            </w:pPr>
            <w:r w:rsidRPr="0056018B">
              <w:rPr>
                <w:sz w:val="20"/>
              </w:rPr>
              <w:t>DMA</w:t>
            </w:r>
          </w:p>
        </w:tc>
        <w:tc>
          <w:tcPr>
            <w:tcW w:w="5812" w:type="dxa"/>
          </w:tcPr>
          <w:p w14:paraId="45F9B65F" w14:textId="77777777" w:rsidR="0014526C" w:rsidRPr="0056018B" w:rsidRDefault="0014526C" w:rsidP="0008435D">
            <w:pPr>
              <w:spacing w:after="0"/>
              <w:rPr>
                <w:sz w:val="20"/>
              </w:rPr>
            </w:pPr>
            <w:r w:rsidRPr="0056018B">
              <w:rPr>
                <w:sz w:val="20"/>
              </w:rPr>
              <w:t>Directorate for Mine Action</w:t>
            </w:r>
          </w:p>
        </w:tc>
      </w:tr>
      <w:tr w:rsidR="0014526C" w:rsidRPr="00BD1C03" w14:paraId="11769982" w14:textId="77777777" w:rsidTr="00D52C60">
        <w:tc>
          <w:tcPr>
            <w:tcW w:w="3685" w:type="dxa"/>
          </w:tcPr>
          <w:p w14:paraId="11DC58C4" w14:textId="77777777" w:rsidR="0014526C" w:rsidRPr="0056018B" w:rsidRDefault="0014526C" w:rsidP="0008435D">
            <w:pPr>
              <w:spacing w:after="0"/>
              <w:rPr>
                <w:sz w:val="20"/>
              </w:rPr>
            </w:pPr>
            <w:proofErr w:type="spellStart"/>
            <w:r w:rsidRPr="0056018B">
              <w:rPr>
                <w:sz w:val="20"/>
              </w:rPr>
              <w:t>DoHA</w:t>
            </w:r>
            <w:proofErr w:type="spellEnd"/>
          </w:p>
        </w:tc>
        <w:tc>
          <w:tcPr>
            <w:tcW w:w="5812" w:type="dxa"/>
          </w:tcPr>
          <w:p w14:paraId="4D45FFE4" w14:textId="77777777" w:rsidR="0014526C" w:rsidRPr="0056018B" w:rsidRDefault="0014526C" w:rsidP="0008435D">
            <w:pPr>
              <w:spacing w:after="0"/>
              <w:rPr>
                <w:sz w:val="20"/>
              </w:rPr>
            </w:pPr>
            <w:r w:rsidRPr="0056018B">
              <w:rPr>
                <w:sz w:val="20"/>
              </w:rPr>
              <w:t>Department of Home of Affairs</w:t>
            </w:r>
          </w:p>
        </w:tc>
      </w:tr>
      <w:tr w:rsidR="0014526C" w:rsidRPr="00BD1C03" w14:paraId="2715E39E" w14:textId="77777777" w:rsidTr="00D52C60">
        <w:tc>
          <w:tcPr>
            <w:tcW w:w="3685" w:type="dxa"/>
          </w:tcPr>
          <w:p w14:paraId="0DEBD53D" w14:textId="77777777" w:rsidR="0014526C" w:rsidRPr="0056018B" w:rsidRDefault="0014526C" w:rsidP="0008435D">
            <w:pPr>
              <w:spacing w:after="0"/>
              <w:rPr>
                <w:sz w:val="20"/>
              </w:rPr>
            </w:pPr>
            <w:r w:rsidRPr="0056018B">
              <w:rPr>
                <w:sz w:val="20"/>
              </w:rPr>
              <w:t>DPO</w:t>
            </w:r>
          </w:p>
        </w:tc>
        <w:tc>
          <w:tcPr>
            <w:tcW w:w="5812" w:type="dxa"/>
          </w:tcPr>
          <w:p w14:paraId="2B6043CD" w14:textId="77777777" w:rsidR="0014526C" w:rsidRPr="0056018B" w:rsidRDefault="0014526C" w:rsidP="0008435D">
            <w:pPr>
              <w:spacing w:after="0"/>
              <w:rPr>
                <w:sz w:val="20"/>
              </w:rPr>
            </w:pPr>
            <w:r w:rsidRPr="0056018B">
              <w:rPr>
                <w:sz w:val="20"/>
              </w:rPr>
              <w:t>Disabled People’s Organisation</w:t>
            </w:r>
          </w:p>
        </w:tc>
      </w:tr>
      <w:tr w:rsidR="0014526C" w:rsidRPr="00BD1C03" w14:paraId="4A297AC1" w14:textId="77777777" w:rsidTr="00D52C60">
        <w:tc>
          <w:tcPr>
            <w:tcW w:w="3685" w:type="dxa"/>
          </w:tcPr>
          <w:p w14:paraId="0DC9FD91" w14:textId="77777777" w:rsidR="0014526C" w:rsidRPr="0056018B" w:rsidRDefault="0014526C" w:rsidP="0008435D">
            <w:pPr>
              <w:spacing w:after="0"/>
              <w:rPr>
                <w:sz w:val="20"/>
              </w:rPr>
            </w:pPr>
            <w:r w:rsidRPr="0056018B">
              <w:rPr>
                <w:sz w:val="20"/>
              </w:rPr>
              <w:t>GBV</w:t>
            </w:r>
          </w:p>
        </w:tc>
        <w:tc>
          <w:tcPr>
            <w:tcW w:w="5812" w:type="dxa"/>
          </w:tcPr>
          <w:p w14:paraId="19115D00" w14:textId="77777777" w:rsidR="0014526C" w:rsidRPr="0056018B" w:rsidRDefault="0014526C" w:rsidP="0008435D">
            <w:pPr>
              <w:spacing w:after="0"/>
              <w:rPr>
                <w:sz w:val="20"/>
              </w:rPr>
            </w:pPr>
            <w:r w:rsidRPr="0056018B">
              <w:rPr>
                <w:sz w:val="20"/>
              </w:rPr>
              <w:t>Gender Based Violence</w:t>
            </w:r>
          </w:p>
        </w:tc>
      </w:tr>
      <w:tr w:rsidR="0014526C" w:rsidRPr="00BD1C03" w14:paraId="36EEC552" w14:textId="77777777" w:rsidTr="00D52C60">
        <w:tc>
          <w:tcPr>
            <w:tcW w:w="3685" w:type="dxa"/>
          </w:tcPr>
          <w:p w14:paraId="345708F8" w14:textId="77777777" w:rsidR="0014526C" w:rsidRPr="0056018B" w:rsidRDefault="0014526C" w:rsidP="0008435D">
            <w:pPr>
              <w:spacing w:after="0"/>
              <w:rPr>
                <w:sz w:val="20"/>
              </w:rPr>
            </w:pPr>
            <w:r w:rsidRPr="0056018B">
              <w:rPr>
                <w:sz w:val="20"/>
              </w:rPr>
              <w:t>GDP</w:t>
            </w:r>
          </w:p>
        </w:tc>
        <w:tc>
          <w:tcPr>
            <w:tcW w:w="5812" w:type="dxa"/>
          </w:tcPr>
          <w:p w14:paraId="09FFD72E" w14:textId="77777777" w:rsidR="0014526C" w:rsidRPr="0056018B" w:rsidRDefault="0014526C" w:rsidP="0008435D">
            <w:pPr>
              <w:spacing w:after="0"/>
              <w:rPr>
                <w:sz w:val="20"/>
              </w:rPr>
            </w:pPr>
            <w:r w:rsidRPr="0056018B">
              <w:rPr>
                <w:sz w:val="20"/>
              </w:rPr>
              <w:t>Gross Domestic Product</w:t>
            </w:r>
          </w:p>
        </w:tc>
      </w:tr>
      <w:tr w:rsidR="0014526C" w:rsidRPr="00BD1C03" w14:paraId="73880C9B" w14:textId="77777777" w:rsidTr="00D52C60">
        <w:tc>
          <w:tcPr>
            <w:tcW w:w="3685" w:type="dxa"/>
          </w:tcPr>
          <w:p w14:paraId="0114AAD1" w14:textId="77777777" w:rsidR="0014526C" w:rsidRPr="0056018B" w:rsidRDefault="0014526C" w:rsidP="0008435D">
            <w:pPr>
              <w:spacing w:after="0"/>
              <w:rPr>
                <w:sz w:val="20"/>
              </w:rPr>
            </w:pPr>
            <w:r w:rsidRPr="0056018B">
              <w:rPr>
                <w:sz w:val="20"/>
              </w:rPr>
              <w:t>GEWE</w:t>
            </w:r>
          </w:p>
        </w:tc>
        <w:tc>
          <w:tcPr>
            <w:tcW w:w="5812" w:type="dxa"/>
          </w:tcPr>
          <w:p w14:paraId="10E9C71B" w14:textId="77777777" w:rsidR="0014526C" w:rsidRPr="0056018B" w:rsidRDefault="0014526C" w:rsidP="0008435D">
            <w:pPr>
              <w:spacing w:after="0"/>
              <w:rPr>
                <w:sz w:val="20"/>
              </w:rPr>
            </w:pPr>
            <w:r w:rsidRPr="0056018B">
              <w:rPr>
                <w:sz w:val="20"/>
              </w:rPr>
              <w:t>Gender Equality and Women’s Empowerment</w:t>
            </w:r>
          </w:p>
        </w:tc>
      </w:tr>
      <w:tr w:rsidR="0014526C" w:rsidRPr="00BD1C03" w14:paraId="4B83FB56" w14:textId="77777777" w:rsidTr="00D52C60">
        <w:tc>
          <w:tcPr>
            <w:tcW w:w="3685" w:type="dxa"/>
          </w:tcPr>
          <w:p w14:paraId="45588BAF" w14:textId="77777777" w:rsidR="0014526C" w:rsidRPr="0056018B" w:rsidRDefault="0014526C" w:rsidP="0008435D">
            <w:pPr>
              <w:spacing w:after="0"/>
              <w:rPr>
                <w:sz w:val="20"/>
              </w:rPr>
            </w:pPr>
            <w:r w:rsidRPr="0056018B">
              <w:rPr>
                <w:sz w:val="20"/>
              </w:rPr>
              <w:t>GHD</w:t>
            </w:r>
            <w:r w:rsidRPr="0056018B">
              <w:rPr>
                <w:sz w:val="20"/>
              </w:rPr>
              <w:tab/>
            </w:r>
          </w:p>
        </w:tc>
        <w:tc>
          <w:tcPr>
            <w:tcW w:w="5812" w:type="dxa"/>
          </w:tcPr>
          <w:p w14:paraId="70F3940F" w14:textId="77777777" w:rsidR="0014526C" w:rsidRPr="0056018B" w:rsidRDefault="0014526C" w:rsidP="0008435D">
            <w:pPr>
              <w:spacing w:after="0"/>
              <w:rPr>
                <w:sz w:val="20"/>
              </w:rPr>
            </w:pPr>
            <w:r w:rsidRPr="0056018B">
              <w:rPr>
                <w:sz w:val="20"/>
              </w:rPr>
              <w:t>Good Humanitarian Donorship</w:t>
            </w:r>
          </w:p>
        </w:tc>
      </w:tr>
      <w:tr w:rsidR="0014526C" w:rsidRPr="00BD1C03" w14:paraId="5B29FF5A" w14:textId="77777777" w:rsidTr="00D52C60">
        <w:tc>
          <w:tcPr>
            <w:tcW w:w="3685" w:type="dxa"/>
          </w:tcPr>
          <w:p w14:paraId="214DDDB2" w14:textId="77777777" w:rsidR="0014526C" w:rsidRPr="0056018B" w:rsidRDefault="0014526C" w:rsidP="0008435D">
            <w:pPr>
              <w:spacing w:after="0"/>
              <w:rPr>
                <w:sz w:val="20"/>
              </w:rPr>
            </w:pPr>
            <w:proofErr w:type="spellStart"/>
            <w:r w:rsidRPr="0056018B">
              <w:rPr>
                <w:sz w:val="20"/>
              </w:rPr>
              <w:t>GoI</w:t>
            </w:r>
            <w:proofErr w:type="spellEnd"/>
          </w:p>
        </w:tc>
        <w:tc>
          <w:tcPr>
            <w:tcW w:w="5812" w:type="dxa"/>
          </w:tcPr>
          <w:p w14:paraId="433ECC22" w14:textId="77777777" w:rsidR="0014526C" w:rsidRPr="0056018B" w:rsidRDefault="0014526C" w:rsidP="0008435D">
            <w:pPr>
              <w:spacing w:after="0"/>
              <w:rPr>
                <w:sz w:val="20"/>
              </w:rPr>
            </w:pPr>
            <w:r w:rsidRPr="0056018B">
              <w:rPr>
                <w:sz w:val="20"/>
              </w:rPr>
              <w:t>Government of Iraq</w:t>
            </w:r>
          </w:p>
        </w:tc>
      </w:tr>
      <w:tr w:rsidR="0014526C" w:rsidRPr="00BD1C03" w14:paraId="6A72C27B" w14:textId="77777777" w:rsidTr="00D52C60">
        <w:tc>
          <w:tcPr>
            <w:tcW w:w="3685" w:type="dxa"/>
          </w:tcPr>
          <w:p w14:paraId="75361914" w14:textId="77777777" w:rsidR="0014526C" w:rsidRPr="0056018B" w:rsidRDefault="0014526C" w:rsidP="0008435D">
            <w:pPr>
              <w:spacing w:after="0"/>
              <w:rPr>
                <w:sz w:val="20"/>
              </w:rPr>
            </w:pPr>
            <w:r w:rsidRPr="0056018B">
              <w:rPr>
                <w:sz w:val="20"/>
              </w:rPr>
              <w:t>GPC</w:t>
            </w:r>
          </w:p>
        </w:tc>
        <w:tc>
          <w:tcPr>
            <w:tcW w:w="5812" w:type="dxa"/>
          </w:tcPr>
          <w:p w14:paraId="376CF7FF" w14:textId="77777777" w:rsidR="0014526C" w:rsidRPr="0056018B" w:rsidRDefault="0014526C" w:rsidP="0008435D">
            <w:pPr>
              <w:spacing w:after="0"/>
              <w:rPr>
                <w:sz w:val="20"/>
              </w:rPr>
            </w:pPr>
            <w:r w:rsidRPr="0056018B">
              <w:rPr>
                <w:sz w:val="20"/>
              </w:rPr>
              <w:t>Global Protection Cluster</w:t>
            </w:r>
          </w:p>
        </w:tc>
      </w:tr>
      <w:tr w:rsidR="0014526C" w:rsidRPr="00BD1C03" w14:paraId="7B2AECA6" w14:textId="77777777" w:rsidTr="00D52C60">
        <w:tc>
          <w:tcPr>
            <w:tcW w:w="3685" w:type="dxa"/>
          </w:tcPr>
          <w:p w14:paraId="4F9BE883" w14:textId="77777777" w:rsidR="0014526C" w:rsidRPr="0056018B" w:rsidRDefault="0014526C" w:rsidP="0008435D">
            <w:pPr>
              <w:spacing w:after="0"/>
              <w:rPr>
                <w:sz w:val="20"/>
              </w:rPr>
            </w:pPr>
            <w:r w:rsidRPr="0056018B">
              <w:rPr>
                <w:sz w:val="20"/>
              </w:rPr>
              <w:t>HAG</w:t>
            </w:r>
          </w:p>
        </w:tc>
        <w:tc>
          <w:tcPr>
            <w:tcW w:w="5812" w:type="dxa"/>
          </w:tcPr>
          <w:p w14:paraId="2B33BEC9" w14:textId="77777777" w:rsidR="0014526C" w:rsidRPr="0056018B" w:rsidRDefault="0014526C" w:rsidP="00CC437F">
            <w:pPr>
              <w:spacing w:after="0"/>
              <w:rPr>
                <w:sz w:val="20"/>
              </w:rPr>
            </w:pPr>
            <w:r w:rsidRPr="0056018B">
              <w:rPr>
                <w:sz w:val="20"/>
              </w:rPr>
              <w:t xml:space="preserve">Humanitarian Advisory Group </w:t>
            </w:r>
          </w:p>
        </w:tc>
      </w:tr>
      <w:tr w:rsidR="0014526C" w:rsidRPr="00BD1C03" w14:paraId="1306D480" w14:textId="77777777" w:rsidTr="00D52C60">
        <w:tc>
          <w:tcPr>
            <w:tcW w:w="3685" w:type="dxa"/>
          </w:tcPr>
          <w:p w14:paraId="38C58F05" w14:textId="77777777" w:rsidR="0014526C" w:rsidRPr="0056018B" w:rsidRDefault="0014526C" w:rsidP="0008435D">
            <w:pPr>
              <w:spacing w:after="0"/>
              <w:rPr>
                <w:sz w:val="20"/>
              </w:rPr>
            </w:pPr>
            <w:r w:rsidRPr="0056018B">
              <w:rPr>
                <w:sz w:val="20"/>
              </w:rPr>
              <w:t>HAQC</w:t>
            </w:r>
            <w:r w:rsidRPr="0056018B">
              <w:rPr>
                <w:sz w:val="20"/>
              </w:rPr>
              <w:tab/>
            </w:r>
          </w:p>
        </w:tc>
        <w:tc>
          <w:tcPr>
            <w:tcW w:w="5812" w:type="dxa"/>
          </w:tcPr>
          <w:p w14:paraId="0E0C9041" w14:textId="77777777" w:rsidR="0014526C" w:rsidRPr="0056018B" w:rsidRDefault="0014526C" w:rsidP="0008435D">
            <w:pPr>
              <w:spacing w:after="0"/>
              <w:rPr>
                <w:sz w:val="20"/>
              </w:rPr>
            </w:pPr>
            <w:r w:rsidRPr="0056018B">
              <w:rPr>
                <w:sz w:val="20"/>
              </w:rPr>
              <w:t>Humanitarian Aid Quality Check</w:t>
            </w:r>
          </w:p>
        </w:tc>
      </w:tr>
      <w:tr w:rsidR="0014526C" w:rsidRPr="00BD1C03" w14:paraId="0C531D92" w14:textId="77777777" w:rsidTr="00D52C60">
        <w:tc>
          <w:tcPr>
            <w:tcW w:w="3685" w:type="dxa"/>
          </w:tcPr>
          <w:p w14:paraId="0812DF89" w14:textId="77777777" w:rsidR="0014526C" w:rsidRPr="0056018B" w:rsidRDefault="0014526C" w:rsidP="0008435D">
            <w:pPr>
              <w:spacing w:after="0"/>
              <w:rPr>
                <w:sz w:val="20"/>
              </w:rPr>
            </w:pPr>
            <w:r w:rsidRPr="0056018B">
              <w:rPr>
                <w:sz w:val="20"/>
              </w:rPr>
              <w:t>HCT</w:t>
            </w:r>
            <w:r w:rsidRPr="0056018B">
              <w:rPr>
                <w:sz w:val="20"/>
              </w:rPr>
              <w:tab/>
            </w:r>
          </w:p>
        </w:tc>
        <w:tc>
          <w:tcPr>
            <w:tcW w:w="5812" w:type="dxa"/>
          </w:tcPr>
          <w:p w14:paraId="5716449D" w14:textId="77777777" w:rsidR="0014526C" w:rsidRPr="0056018B" w:rsidRDefault="0014526C" w:rsidP="0008435D">
            <w:pPr>
              <w:spacing w:after="0"/>
              <w:rPr>
                <w:sz w:val="20"/>
              </w:rPr>
            </w:pPr>
            <w:r w:rsidRPr="0056018B">
              <w:rPr>
                <w:sz w:val="20"/>
              </w:rPr>
              <w:t>Humanitarian Country Team</w:t>
            </w:r>
          </w:p>
        </w:tc>
      </w:tr>
      <w:tr w:rsidR="0014526C" w:rsidRPr="00BD1C03" w14:paraId="2F4FFB93" w14:textId="77777777" w:rsidTr="00D52C60">
        <w:tc>
          <w:tcPr>
            <w:tcW w:w="3685" w:type="dxa"/>
          </w:tcPr>
          <w:p w14:paraId="6BA2180B" w14:textId="77777777" w:rsidR="0014526C" w:rsidRPr="0056018B" w:rsidRDefault="0014526C" w:rsidP="0008435D">
            <w:pPr>
              <w:spacing w:after="0"/>
              <w:rPr>
                <w:sz w:val="20"/>
              </w:rPr>
            </w:pPr>
            <w:r w:rsidRPr="0056018B">
              <w:rPr>
                <w:sz w:val="20"/>
              </w:rPr>
              <w:t>HDP</w:t>
            </w:r>
          </w:p>
        </w:tc>
        <w:tc>
          <w:tcPr>
            <w:tcW w:w="5812" w:type="dxa"/>
          </w:tcPr>
          <w:p w14:paraId="44814C11" w14:textId="77777777" w:rsidR="0014526C" w:rsidRPr="0056018B" w:rsidRDefault="0014526C" w:rsidP="0008435D">
            <w:pPr>
              <w:spacing w:after="0"/>
              <w:rPr>
                <w:sz w:val="20"/>
              </w:rPr>
            </w:pPr>
            <w:r w:rsidRPr="0056018B">
              <w:rPr>
                <w:sz w:val="20"/>
              </w:rPr>
              <w:t>Humanitarian Development Peace nexus</w:t>
            </w:r>
          </w:p>
        </w:tc>
      </w:tr>
      <w:tr w:rsidR="0014526C" w:rsidRPr="00BD1C03" w14:paraId="01F9743F" w14:textId="77777777" w:rsidTr="00D52C60">
        <w:tc>
          <w:tcPr>
            <w:tcW w:w="3685" w:type="dxa"/>
          </w:tcPr>
          <w:p w14:paraId="2A72F040" w14:textId="77777777" w:rsidR="0014526C" w:rsidRPr="0056018B" w:rsidRDefault="0014526C" w:rsidP="0008435D">
            <w:pPr>
              <w:spacing w:after="0"/>
              <w:rPr>
                <w:sz w:val="20"/>
              </w:rPr>
            </w:pPr>
            <w:r w:rsidRPr="0056018B">
              <w:rPr>
                <w:sz w:val="20"/>
              </w:rPr>
              <w:t>HI</w:t>
            </w:r>
          </w:p>
        </w:tc>
        <w:tc>
          <w:tcPr>
            <w:tcW w:w="5812" w:type="dxa"/>
          </w:tcPr>
          <w:p w14:paraId="1677836C" w14:textId="77777777" w:rsidR="0014526C" w:rsidRPr="0056018B" w:rsidRDefault="0014526C" w:rsidP="0008435D">
            <w:pPr>
              <w:spacing w:after="0"/>
              <w:rPr>
                <w:sz w:val="20"/>
              </w:rPr>
            </w:pPr>
            <w:r w:rsidRPr="0056018B">
              <w:rPr>
                <w:sz w:val="20"/>
              </w:rPr>
              <w:t>Humanity and Inclusion (formerly Handicap International)</w:t>
            </w:r>
          </w:p>
        </w:tc>
      </w:tr>
      <w:tr w:rsidR="0014526C" w:rsidRPr="00BD1C03" w14:paraId="2F62045B" w14:textId="77777777" w:rsidTr="00D52C60">
        <w:tc>
          <w:tcPr>
            <w:tcW w:w="3685" w:type="dxa"/>
          </w:tcPr>
          <w:p w14:paraId="59ED363B" w14:textId="77777777" w:rsidR="0014526C" w:rsidRPr="0056018B" w:rsidRDefault="0014526C" w:rsidP="0008435D">
            <w:pPr>
              <w:spacing w:after="0"/>
              <w:rPr>
                <w:sz w:val="20"/>
              </w:rPr>
            </w:pPr>
            <w:r w:rsidRPr="0056018B">
              <w:rPr>
                <w:sz w:val="20"/>
              </w:rPr>
              <w:t>HRP</w:t>
            </w:r>
          </w:p>
        </w:tc>
        <w:tc>
          <w:tcPr>
            <w:tcW w:w="5812" w:type="dxa"/>
          </w:tcPr>
          <w:p w14:paraId="7C4648C1" w14:textId="77777777" w:rsidR="0014526C" w:rsidRPr="0056018B" w:rsidRDefault="0014526C" w:rsidP="0008435D">
            <w:pPr>
              <w:spacing w:after="0"/>
              <w:rPr>
                <w:sz w:val="20"/>
              </w:rPr>
            </w:pPr>
            <w:r w:rsidRPr="0056018B">
              <w:rPr>
                <w:sz w:val="20"/>
              </w:rPr>
              <w:t>Humanitarian Response Plan</w:t>
            </w:r>
          </w:p>
        </w:tc>
      </w:tr>
      <w:tr w:rsidR="0014526C" w:rsidRPr="00BD1C03" w14:paraId="0BC801C7" w14:textId="77777777" w:rsidTr="00D52C60">
        <w:tc>
          <w:tcPr>
            <w:tcW w:w="3685" w:type="dxa"/>
          </w:tcPr>
          <w:p w14:paraId="5E4DF4CB" w14:textId="77777777" w:rsidR="0014526C" w:rsidRPr="0056018B" w:rsidRDefault="0014526C" w:rsidP="0008435D">
            <w:pPr>
              <w:spacing w:after="0"/>
              <w:rPr>
                <w:sz w:val="20"/>
              </w:rPr>
            </w:pPr>
            <w:r w:rsidRPr="0056018B">
              <w:rPr>
                <w:sz w:val="20"/>
              </w:rPr>
              <w:t>IASC</w:t>
            </w:r>
          </w:p>
        </w:tc>
        <w:tc>
          <w:tcPr>
            <w:tcW w:w="5812" w:type="dxa"/>
          </w:tcPr>
          <w:p w14:paraId="6FB4F280" w14:textId="77777777" w:rsidR="0014526C" w:rsidRPr="0056018B" w:rsidRDefault="0014526C" w:rsidP="0008435D">
            <w:pPr>
              <w:spacing w:after="0"/>
              <w:rPr>
                <w:sz w:val="20"/>
              </w:rPr>
            </w:pPr>
            <w:r w:rsidRPr="0056018B">
              <w:rPr>
                <w:sz w:val="20"/>
              </w:rPr>
              <w:t>Inter-Agency Standing Committee</w:t>
            </w:r>
          </w:p>
        </w:tc>
      </w:tr>
      <w:tr w:rsidR="00136197" w:rsidRPr="00BD1C03" w14:paraId="2DD56DD9" w14:textId="77777777" w:rsidTr="00D52C60">
        <w:tc>
          <w:tcPr>
            <w:tcW w:w="3685" w:type="dxa"/>
          </w:tcPr>
          <w:p w14:paraId="7445F373" w14:textId="327A582B" w:rsidR="00136197" w:rsidRPr="0056018B" w:rsidRDefault="00136197" w:rsidP="0008435D">
            <w:pPr>
              <w:spacing w:after="0"/>
              <w:rPr>
                <w:sz w:val="20"/>
              </w:rPr>
            </w:pPr>
            <w:r w:rsidRPr="0056018B">
              <w:rPr>
                <w:sz w:val="20"/>
              </w:rPr>
              <w:t>ICRC</w:t>
            </w:r>
          </w:p>
        </w:tc>
        <w:tc>
          <w:tcPr>
            <w:tcW w:w="5812" w:type="dxa"/>
          </w:tcPr>
          <w:p w14:paraId="3A998022" w14:textId="411DDBCF" w:rsidR="00136197" w:rsidRPr="0056018B" w:rsidRDefault="00136197" w:rsidP="0008435D">
            <w:pPr>
              <w:spacing w:after="0"/>
              <w:rPr>
                <w:sz w:val="20"/>
              </w:rPr>
            </w:pPr>
            <w:r w:rsidRPr="0056018B">
              <w:rPr>
                <w:sz w:val="20"/>
              </w:rPr>
              <w:t>International Committee of the Red Cross</w:t>
            </w:r>
          </w:p>
        </w:tc>
      </w:tr>
      <w:tr w:rsidR="0014526C" w:rsidRPr="00BD1C03" w14:paraId="2DCCE2F6" w14:textId="77777777" w:rsidTr="00D52C60">
        <w:tc>
          <w:tcPr>
            <w:tcW w:w="3685" w:type="dxa"/>
          </w:tcPr>
          <w:p w14:paraId="12F8EAB7" w14:textId="77777777" w:rsidR="0014526C" w:rsidRPr="0056018B" w:rsidRDefault="0014526C" w:rsidP="0008435D">
            <w:pPr>
              <w:spacing w:after="0"/>
              <w:rPr>
                <w:sz w:val="20"/>
              </w:rPr>
            </w:pPr>
            <w:r w:rsidRPr="0056018B">
              <w:rPr>
                <w:sz w:val="20"/>
              </w:rPr>
              <w:t>IDP</w:t>
            </w:r>
          </w:p>
        </w:tc>
        <w:tc>
          <w:tcPr>
            <w:tcW w:w="5812" w:type="dxa"/>
          </w:tcPr>
          <w:p w14:paraId="72512387" w14:textId="77777777" w:rsidR="0014526C" w:rsidRPr="0056018B" w:rsidRDefault="0014526C" w:rsidP="0008435D">
            <w:pPr>
              <w:spacing w:after="0"/>
              <w:rPr>
                <w:sz w:val="20"/>
              </w:rPr>
            </w:pPr>
            <w:r w:rsidRPr="0056018B">
              <w:rPr>
                <w:sz w:val="20"/>
              </w:rPr>
              <w:t>Internally Displaced Person</w:t>
            </w:r>
          </w:p>
        </w:tc>
      </w:tr>
      <w:tr w:rsidR="0014526C" w:rsidRPr="00BD1C03" w14:paraId="43D2AF5B" w14:textId="77777777" w:rsidTr="00D52C60">
        <w:tc>
          <w:tcPr>
            <w:tcW w:w="3685" w:type="dxa"/>
          </w:tcPr>
          <w:p w14:paraId="282BC705" w14:textId="77777777" w:rsidR="0014526C" w:rsidRPr="0056018B" w:rsidRDefault="0014526C" w:rsidP="0008435D">
            <w:pPr>
              <w:spacing w:after="0"/>
              <w:rPr>
                <w:sz w:val="20"/>
              </w:rPr>
            </w:pPr>
            <w:r w:rsidRPr="0056018B">
              <w:rPr>
                <w:sz w:val="20"/>
              </w:rPr>
              <w:t>IHO</w:t>
            </w:r>
            <w:r w:rsidRPr="0056018B">
              <w:rPr>
                <w:sz w:val="20"/>
              </w:rPr>
              <w:tab/>
            </w:r>
          </w:p>
        </w:tc>
        <w:tc>
          <w:tcPr>
            <w:tcW w:w="5812" w:type="dxa"/>
          </w:tcPr>
          <w:p w14:paraId="327EC184" w14:textId="77777777" w:rsidR="0014526C" w:rsidRPr="0056018B" w:rsidRDefault="0014526C" w:rsidP="0008435D">
            <w:pPr>
              <w:spacing w:after="0"/>
              <w:rPr>
                <w:sz w:val="20"/>
              </w:rPr>
            </w:pPr>
            <w:r w:rsidRPr="0056018B">
              <w:rPr>
                <w:sz w:val="20"/>
              </w:rPr>
              <w:t>International Humanitarian Organisation</w:t>
            </w:r>
          </w:p>
        </w:tc>
      </w:tr>
      <w:tr w:rsidR="0014526C" w:rsidRPr="00BD1C03" w14:paraId="6C4203CB" w14:textId="77777777" w:rsidTr="00D52C60">
        <w:tc>
          <w:tcPr>
            <w:tcW w:w="3685" w:type="dxa"/>
          </w:tcPr>
          <w:p w14:paraId="049E1E10" w14:textId="77777777" w:rsidR="0014526C" w:rsidRPr="0056018B" w:rsidRDefault="0014526C" w:rsidP="0008435D">
            <w:pPr>
              <w:spacing w:after="0"/>
              <w:rPr>
                <w:sz w:val="20"/>
              </w:rPr>
            </w:pPr>
            <w:r w:rsidRPr="0056018B">
              <w:rPr>
                <w:sz w:val="20"/>
              </w:rPr>
              <w:t>IOM</w:t>
            </w:r>
          </w:p>
        </w:tc>
        <w:tc>
          <w:tcPr>
            <w:tcW w:w="5812" w:type="dxa"/>
          </w:tcPr>
          <w:p w14:paraId="40F403C9" w14:textId="77777777" w:rsidR="0014526C" w:rsidRPr="0056018B" w:rsidRDefault="0014526C" w:rsidP="0008435D">
            <w:pPr>
              <w:spacing w:after="0"/>
              <w:rPr>
                <w:sz w:val="20"/>
              </w:rPr>
            </w:pPr>
            <w:r w:rsidRPr="0056018B">
              <w:rPr>
                <w:sz w:val="20"/>
              </w:rPr>
              <w:t>International Organisation for Migration</w:t>
            </w:r>
          </w:p>
        </w:tc>
      </w:tr>
      <w:tr w:rsidR="0014526C" w:rsidRPr="00BD1C03" w14:paraId="5F33DA1F" w14:textId="77777777" w:rsidTr="00D52C60">
        <w:tc>
          <w:tcPr>
            <w:tcW w:w="3685" w:type="dxa"/>
          </w:tcPr>
          <w:p w14:paraId="3B98716A" w14:textId="77777777" w:rsidR="0014526C" w:rsidRPr="0056018B" w:rsidRDefault="0014526C" w:rsidP="0008435D">
            <w:pPr>
              <w:spacing w:after="0"/>
              <w:rPr>
                <w:sz w:val="20"/>
              </w:rPr>
            </w:pPr>
            <w:r w:rsidRPr="0056018B">
              <w:rPr>
                <w:sz w:val="20"/>
              </w:rPr>
              <w:t>ISIL</w:t>
            </w:r>
          </w:p>
        </w:tc>
        <w:tc>
          <w:tcPr>
            <w:tcW w:w="5812" w:type="dxa"/>
          </w:tcPr>
          <w:p w14:paraId="6243D449" w14:textId="77777777" w:rsidR="0014526C" w:rsidRPr="0056018B" w:rsidRDefault="0014526C" w:rsidP="0008435D">
            <w:pPr>
              <w:spacing w:after="0"/>
              <w:rPr>
                <w:sz w:val="20"/>
              </w:rPr>
            </w:pPr>
            <w:r w:rsidRPr="0056018B">
              <w:rPr>
                <w:sz w:val="20"/>
              </w:rPr>
              <w:t>Islamic State of Iraq and the Levant</w:t>
            </w:r>
          </w:p>
        </w:tc>
      </w:tr>
      <w:tr w:rsidR="009477FA" w:rsidRPr="00BD1C03" w14:paraId="2666A90C" w14:textId="77777777" w:rsidTr="00D52C60">
        <w:tc>
          <w:tcPr>
            <w:tcW w:w="3685" w:type="dxa"/>
          </w:tcPr>
          <w:p w14:paraId="74C8B05F" w14:textId="1F65DFC6" w:rsidR="009477FA" w:rsidRPr="0056018B" w:rsidRDefault="009477FA" w:rsidP="0008435D">
            <w:pPr>
              <w:spacing w:after="0"/>
              <w:rPr>
                <w:sz w:val="20"/>
              </w:rPr>
            </w:pPr>
            <w:r w:rsidRPr="0056018B">
              <w:rPr>
                <w:sz w:val="20"/>
              </w:rPr>
              <w:t>IQR</w:t>
            </w:r>
          </w:p>
        </w:tc>
        <w:tc>
          <w:tcPr>
            <w:tcW w:w="5812" w:type="dxa"/>
          </w:tcPr>
          <w:p w14:paraId="52231197" w14:textId="52114514" w:rsidR="009477FA" w:rsidRPr="0056018B" w:rsidRDefault="009477FA" w:rsidP="0008435D">
            <w:pPr>
              <w:spacing w:after="0"/>
              <w:rPr>
                <w:sz w:val="20"/>
              </w:rPr>
            </w:pPr>
            <w:r w:rsidRPr="0056018B">
              <w:rPr>
                <w:sz w:val="20"/>
              </w:rPr>
              <w:t xml:space="preserve">Investment Quality Reporting </w:t>
            </w:r>
          </w:p>
        </w:tc>
      </w:tr>
      <w:tr w:rsidR="0014526C" w:rsidRPr="00BD1C03" w14:paraId="1709533C" w14:textId="77777777" w:rsidTr="00D52C60">
        <w:tc>
          <w:tcPr>
            <w:tcW w:w="3685" w:type="dxa"/>
          </w:tcPr>
          <w:p w14:paraId="6343BCCA" w14:textId="77777777" w:rsidR="0014526C" w:rsidRPr="0056018B" w:rsidRDefault="0014526C" w:rsidP="0008435D">
            <w:pPr>
              <w:spacing w:after="0"/>
              <w:rPr>
                <w:sz w:val="20"/>
              </w:rPr>
            </w:pPr>
            <w:r w:rsidRPr="0056018B">
              <w:rPr>
                <w:sz w:val="20"/>
              </w:rPr>
              <w:t>KII</w:t>
            </w:r>
          </w:p>
        </w:tc>
        <w:tc>
          <w:tcPr>
            <w:tcW w:w="5812" w:type="dxa"/>
          </w:tcPr>
          <w:p w14:paraId="38AE6FF1" w14:textId="77777777" w:rsidR="0014526C" w:rsidRPr="0056018B" w:rsidRDefault="0014526C" w:rsidP="0008435D">
            <w:pPr>
              <w:spacing w:after="0"/>
              <w:rPr>
                <w:sz w:val="20"/>
              </w:rPr>
            </w:pPr>
            <w:r w:rsidRPr="0056018B">
              <w:rPr>
                <w:sz w:val="20"/>
              </w:rPr>
              <w:t>Key Informant Interviews</w:t>
            </w:r>
          </w:p>
        </w:tc>
      </w:tr>
      <w:tr w:rsidR="0014526C" w:rsidRPr="00BD1C03" w14:paraId="1112C77C" w14:textId="77777777" w:rsidTr="00D52C60">
        <w:tc>
          <w:tcPr>
            <w:tcW w:w="3685" w:type="dxa"/>
          </w:tcPr>
          <w:p w14:paraId="5BCAE0BD" w14:textId="77777777" w:rsidR="0014526C" w:rsidRPr="0056018B" w:rsidRDefault="0014526C" w:rsidP="0008435D">
            <w:pPr>
              <w:spacing w:after="0"/>
              <w:rPr>
                <w:sz w:val="20"/>
              </w:rPr>
            </w:pPr>
            <w:r w:rsidRPr="0056018B">
              <w:rPr>
                <w:sz w:val="20"/>
              </w:rPr>
              <w:t>M&amp;E</w:t>
            </w:r>
          </w:p>
        </w:tc>
        <w:tc>
          <w:tcPr>
            <w:tcW w:w="5812" w:type="dxa"/>
          </w:tcPr>
          <w:p w14:paraId="111C987E" w14:textId="77777777" w:rsidR="0014526C" w:rsidRPr="0056018B" w:rsidRDefault="0014526C" w:rsidP="0008435D">
            <w:pPr>
              <w:spacing w:after="0"/>
              <w:rPr>
                <w:sz w:val="20"/>
              </w:rPr>
            </w:pPr>
            <w:r w:rsidRPr="0056018B">
              <w:rPr>
                <w:sz w:val="20"/>
              </w:rPr>
              <w:t>Monitoring and Evaluation</w:t>
            </w:r>
          </w:p>
        </w:tc>
      </w:tr>
      <w:tr w:rsidR="0014526C" w:rsidRPr="00BD1C03" w14:paraId="09B11E3E" w14:textId="77777777" w:rsidTr="00D52C60">
        <w:tc>
          <w:tcPr>
            <w:tcW w:w="3685" w:type="dxa"/>
          </w:tcPr>
          <w:p w14:paraId="187B8BE2" w14:textId="77777777" w:rsidR="0014526C" w:rsidRPr="0056018B" w:rsidRDefault="0014526C" w:rsidP="0008435D">
            <w:pPr>
              <w:spacing w:after="0"/>
              <w:rPr>
                <w:sz w:val="20"/>
              </w:rPr>
            </w:pPr>
            <w:r w:rsidRPr="0056018B">
              <w:rPr>
                <w:sz w:val="20"/>
              </w:rPr>
              <w:t>MHPSS</w:t>
            </w:r>
            <w:r w:rsidRPr="0056018B">
              <w:rPr>
                <w:sz w:val="20"/>
              </w:rPr>
              <w:tab/>
            </w:r>
          </w:p>
        </w:tc>
        <w:tc>
          <w:tcPr>
            <w:tcW w:w="5812" w:type="dxa"/>
          </w:tcPr>
          <w:p w14:paraId="56B21A8B" w14:textId="77777777" w:rsidR="0014526C" w:rsidRPr="0056018B" w:rsidRDefault="0014526C" w:rsidP="0008435D">
            <w:pPr>
              <w:spacing w:after="0"/>
              <w:rPr>
                <w:sz w:val="20"/>
              </w:rPr>
            </w:pPr>
            <w:r w:rsidRPr="0056018B">
              <w:rPr>
                <w:sz w:val="20"/>
              </w:rPr>
              <w:t>Mental Health and Psychosocial Support</w:t>
            </w:r>
          </w:p>
        </w:tc>
      </w:tr>
      <w:tr w:rsidR="0014526C" w:rsidRPr="00BD1C03" w14:paraId="3A6F47AE" w14:textId="77777777" w:rsidTr="00D52C60">
        <w:tc>
          <w:tcPr>
            <w:tcW w:w="3685" w:type="dxa"/>
          </w:tcPr>
          <w:p w14:paraId="6AE1D888" w14:textId="77777777" w:rsidR="0014526C" w:rsidRPr="0056018B" w:rsidRDefault="0014526C" w:rsidP="0008435D">
            <w:pPr>
              <w:spacing w:after="0"/>
              <w:rPr>
                <w:sz w:val="20"/>
              </w:rPr>
            </w:pPr>
            <w:r w:rsidRPr="0056018B">
              <w:rPr>
                <w:sz w:val="20"/>
              </w:rPr>
              <w:t>MRE</w:t>
            </w:r>
            <w:r w:rsidRPr="0056018B">
              <w:rPr>
                <w:sz w:val="20"/>
              </w:rPr>
              <w:tab/>
            </w:r>
          </w:p>
        </w:tc>
        <w:tc>
          <w:tcPr>
            <w:tcW w:w="5812" w:type="dxa"/>
          </w:tcPr>
          <w:p w14:paraId="753CD975" w14:textId="77777777" w:rsidR="0014526C" w:rsidRPr="0056018B" w:rsidRDefault="0014526C" w:rsidP="0008435D">
            <w:pPr>
              <w:spacing w:after="0"/>
              <w:rPr>
                <w:sz w:val="20"/>
              </w:rPr>
            </w:pPr>
            <w:r w:rsidRPr="0056018B">
              <w:rPr>
                <w:sz w:val="20"/>
              </w:rPr>
              <w:t>Mine Risk Education</w:t>
            </w:r>
          </w:p>
        </w:tc>
      </w:tr>
      <w:tr w:rsidR="0014526C" w:rsidRPr="00BD1C03" w14:paraId="5860C669" w14:textId="77777777" w:rsidTr="00D52C60">
        <w:tc>
          <w:tcPr>
            <w:tcW w:w="3685" w:type="dxa"/>
          </w:tcPr>
          <w:p w14:paraId="5A1DA085" w14:textId="77777777" w:rsidR="0014526C" w:rsidRPr="0056018B" w:rsidRDefault="0014526C" w:rsidP="0008435D">
            <w:pPr>
              <w:spacing w:after="0"/>
              <w:rPr>
                <w:sz w:val="20"/>
              </w:rPr>
            </w:pPr>
            <w:r w:rsidRPr="0056018B">
              <w:rPr>
                <w:sz w:val="20"/>
              </w:rPr>
              <w:t>NAP</w:t>
            </w:r>
          </w:p>
        </w:tc>
        <w:tc>
          <w:tcPr>
            <w:tcW w:w="5812" w:type="dxa"/>
          </w:tcPr>
          <w:p w14:paraId="3DA40501" w14:textId="77777777" w:rsidR="0014526C" w:rsidRPr="0056018B" w:rsidRDefault="0014526C" w:rsidP="0008435D">
            <w:pPr>
              <w:spacing w:after="0"/>
              <w:rPr>
                <w:sz w:val="20"/>
              </w:rPr>
            </w:pPr>
            <w:r w:rsidRPr="0056018B">
              <w:rPr>
                <w:sz w:val="20"/>
              </w:rPr>
              <w:t>National Action Plan</w:t>
            </w:r>
          </w:p>
        </w:tc>
      </w:tr>
      <w:tr w:rsidR="0014526C" w:rsidRPr="00BD1C03" w14:paraId="3670D46B" w14:textId="77777777" w:rsidTr="00D52C60">
        <w:tc>
          <w:tcPr>
            <w:tcW w:w="3685" w:type="dxa"/>
          </w:tcPr>
          <w:p w14:paraId="13A89C30" w14:textId="77777777" w:rsidR="0014526C" w:rsidRPr="0056018B" w:rsidRDefault="0014526C" w:rsidP="0008435D">
            <w:pPr>
              <w:spacing w:after="0"/>
              <w:rPr>
                <w:sz w:val="20"/>
              </w:rPr>
            </w:pPr>
            <w:r w:rsidRPr="0056018B">
              <w:rPr>
                <w:sz w:val="20"/>
              </w:rPr>
              <w:t>NGO</w:t>
            </w:r>
          </w:p>
        </w:tc>
        <w:tc>
          <w:tcPr>
            <w:tcW w:w="5812" w:type="dxa"/>
          </w:tcPr>
          <w:p w14:paraId="467CA272" w14:textId="369F2A19" w:rsidR="0014526C" w:rsidRPr="0056018B" w:rsidRDefault="0014526C" w:rsidP="0008435D">
            <w:pPr>
              <w:spacing w:after="0"/>
              <w:rPr>
                <w:sz w:val="20"/>
              </w:rPr>
            </w:pPr>
            <w:r w:rsidRPr="0056018B">
              <w:rPr>
                <w:sz w:val="20"/>
              </w:rPr>
              <w:t>Non-Governmental Organ</w:t>
            </w:r>
            <w:r w:rsidR="00B43345">
              <w:rPr>
                <w:sz w:val="20"/>
              </w:rPr>
              <w:t>is</w:t>
            </w:r>
            <w:r w:rsidRPr="0056018B">
              <w:rPr>
                <w:sz w:val="20"/>
              </w:rPr>
              <w:t>ation</w:t>
            </w:r>
          </w:p>
        </w:tc>
      </w:tr>
      <w:tr w:rsidR="0014526C" w:rsidRPr="00BD1C03" w14:paraId="5B99A015" w14:textId="77777777" w:rsidTr="00D52C60">
        <w:tc>
          <w:tcPr>
            <w:tcW w:w="3685" w:type="dxa"/>
          </w:tcPr>
          <w:p w14:paraId="2191E105" w14:textId="77777777" w:rsidR="0014526C" w:rsidRPr="0056018B" w:rsidRDefault="0014526C" w:rsidP="0008435D">
            <w:pPr>
              <w:spacing w:after="0"/>
              <w:rPr>
                <w:sz w:val="20"/>
              </w:rPr>
            </w:pPr>
            <w:r w:rsidRPr="0056018B">
              <w:rPr>
                <w:sz w:val="20"/>
              </w:rPr>
              <w:t>NRC</w:t>
            </w:r>
          </w:p>
        </w:tc>
        <w:tc>
          <w:tcPr>
            <w:tcW w:w="5812" w:type="dxa"/>
          </w:tcPr>
          <w:p w14:paraId="74722F9D" w14:textId="77777777" w:rsidR="0014526C" w:rsidRPr="0056018B" w:rsidRDefault="0014526C" w:rsidP="0008435D">
            <w:pPr>
              <w:spacing w:after="0"/>
              <w:rPr>
                <w:sz w:val="20"/>
              </w:rPr>
            </w:pPr>
            <w:r w:rsidRPr="0056018B">
              <w:rPr>
                <w:sz w:val="20"/>
              </w:rPr>
              <w:t>Norwegian Refugee Council</w:t>
            </w:r>
          </w:p>
        </w:tc>
      </w:tr>
      <w:tr w:rsidR="00136197" w:rsidRPr="00BD1C03" w14:paraId="34AEB03D" w14:textId="77777777" w:rsidTr="00D52C60">
        <w:tc>
          <w:tcPr>
            <w:tcW w:w="3685" w:type="dxa"/>
          </w:tcPr>
          <w:p w14:paraId="69DED602" w14:textId="2F6A84EB" w:rsidR="00136197" w:rsidRPr="0056018B" w:rsidRDefault="00136197" w:rsidP="0008435D">
            <w:pPr>
              <w:spacing w:after="0"/>
              <w:rPr>
                <w:sz w:val="20"/>
              </w:rPr>
            </w:pPr>
            <w:r w:rsidRPr="0056018B">
              <w:rPr>
                <w:sz w:val="20"/>
              </w:rPr>
              <w:t>OCHA</w:t>
            </w:r>
          </w:p>
        </w:tc>
        <w:tc>
          <w:tcPr>
            <w:tcW w:w="5812" w:type="dxa"/>
          </w:tcPr>
          <w:p w14:paraId="24C50071" w14:textId="4CFEC77C" w:rsidR="00136197" w:rsidRPr="0056018B" w:rsidRDefault="00136197" w:rsidP="0008435D">
            <w:pPr>
              <w:spacing w:after="0"/>
              <w:rPr>
                <w:sz w:val="20"/>
              </w:rPr>
            </w:pPr>
            <w:r w:rsidRPr="0056018B">
              <w:rPr>
                <w:sz w:val="20"/>
              </w:rPr>
              <w:t>United Nations Office for the Coordination of Humanitarian Affairs</w:t>
            </w:r>
          </w:p>
        </w:tc>
      </w:tr>
      <w:tr w:rsidR="0014526C" w:rsidRPr="00BD1C03" w14:paraId="0C7AC080" w14:textId="77777777" w:rsidTr="00D52C60">
        <w:tc>
          <w:tcPr>
            <w:tcW w:w="3685" w:type="dxa"/>
          </w:tcPr>
          <w:p w14:paraId="2F9F1DD2" w14:textId="77777777" w:rsidR="0014526C" w:rsidRPr="0056018B" w:rsidRDefault="0014526C" w:rsidP="0008435D">
            <w:pPr>
              <w:spacing w:after="0"/>
              <w:rPr>
                <w:sz w:val="20"/>
              </w:rPr>
            </w:pPr>
            <w:r w:rsidRPr="0056018B">
              <w:rPr>
                <w:sz w:val="20"/>
              </w:rPr>
              <w:t>PPA</w:t>
            </w:r>
          </w:p>
        </w:tc>
        <w:tc>
          <w:tcPr>
            <w:tcW w:w="5812" w:type="dxa"/>
          </w:tcPr>
          <w:p w14:paraId="0647D31D" w14:textId="77777777" w:rsidR="0014526C" w:rsidRPr="0056018B" w:rsidRDefault="0014526C" w:rsidP="0008435D">
            <w:pPr>
              <w:spacing w:after="0"/>
              <w:rPr>
                <w:sz w:val="20"/>
              </w:rPr>
            </w:pPr>
            <w:r w:rsidRPr="0056018B">
              <w:rPr>
                <w:sz w:val="20"/>
              </w:rPr>
              <w:t>Partner Performance Assessment</w:t>
            </w:r>
          </w:p>
        </w:tc>
      </w:tr>
      <w:tr w:rsidR="0014526C" w:rsidRPr="00BD1C03" w14:paraId="718E7727" w14:textId="77777777" w:rsidTr="00D52C60">
        <w:tc>
          <w:tcPr>
            <w:tcW w:w="3685" w:type="dxa"/>
          </w:tcPr>
          <w:p w14:paraId="5C37B47B" w14:textId="77777777" w:rsidR="0014526C" w:rsidRPr="0056018B" w:rsidRDefault="0014526C" w:rsidP="0008435D">
            <w:pPr>
              <w:spacing w:after="0"/>
              <w:rPr>
                <w:sz w:val="20"/>
              </w:rPr>
            </w:pPr>
            <w:r w:rsidRPr="0056018B">
              <w:rPr>
                <w:sz w:val="20"/>
              </w:rPr>
              <w:t>PSEA</w:t>
            </w:r>
          </w:p>
        </w:tc>
        <w:tc>
          <w:tcPr>
            <w:tcW w:w="5812" w:type="dxa"/>
          </w:tcPr>
          <w:p w14:paraId="6013C58C" w14:textId="77777777" w:rsidR="0014526C" w:rsidRPr="0056018B" w:rsidRDefault="0014526C" w:rsidP="0008435D">
            <w:pPr>
              <w:spacing w:after="0"/>
              <w:rPr>
                <w:sz w:val="20"/>
              </w:rPr>
            </w:pPr>
            <w:r w:rsidRPr="0056018B">
              <w:rPr>
                <w:sz w:val="20"/>
              </w:rPr>
              <w:t>Preventing Sexual Exploitation and Abuse</w:t>
            </w:r>
          </w:p>
        </w:tc>
      </w:tr>
      <w:tr w:rsidR="0014526C" w:rsidRPr="00BD1C03" w14:paraId="0469EF37" w14:textId="77777777" w:rsidTr="00D52C60">
        <w:tc>
          <w:tcPr>
            <w:tcW w:w="3685" w:type="dxa"/>
          </w:tcPr>
          <w:p w14:paraId="017E1792" w14:textId="77777777" w:rsidR="0014526C" w:rsidRPr="0056018B" w:rsidRDefault="0014526C" w:rsidP="0008435D">
            <w:pPr>
              <w:spacing w:after="0"/>
              <w:rPr>
                <w:sz w:val="20"/>
              </w:rPr>
            </w:pPr>
            <w:r w:rsidRPr="0056018B">
              <w:rPr>
                <w:sz w:val="20"/>
              </w:rPr>
              <w:t>SADD</w:t>
            </w:r>
            <w:r w:rsidRPr="0056018B">
              <w:rPr>
                <w:sz w:val="20"/>
              </w:rPr>
              <w:tab/>
            </w:r>
          </w:p>
        </w:tc>
        <w:tc>
          <w:tcPr>
            <w:tcW w:w="5812" w:type="dxa"/>
          </w:tcPr>
          <w:p w14:paraId="5D5AEE04" w14:textId="77777777" w:rsidR="0014526C" w:rsidRPr="0056018B" w:rsidRDefault="0014526C" w:rsidP="0008435D">
            <w:pPr>
              <w:spacing w:after="0"/>
              <w:rPr>
                <w:sz w:val="20"/>
              </w:rPr>
            </w:pPr>
            <w:r w:rsidRPr="0056018B">
              <w:rPr>
                <w:sz w:val="20"/>
              </w:rPr>
              <w:t>Sex, Age and Disability Disaggregated</w:t>
            </w:r>
          </w:p>
        </w:tc>
      </w:tr>
      <w:tr w:rsidR="0014526C" w:rsidRPr="00BD1C03" w14:paraId="63F46B6E" w14:textId="77777777" w:rsidTr="00D52C60">
        <w:tc>
          <w:tcPr>
            <w:tcW w:w="3685" w:type="dxa"/>
          </w:tcPr>
          <w:p w14:paraId="6F0AD52A" w14:textId="77777777" w:rsidR="0014526C" w:rsidRPr="0056018B" w:rsidRDefault="0014526C" w:rsidP="0008435D">
            <w:pPr>
              <w:spacing w:after="0"/>
              <w:rPr>
                <w:sz w:val="20"/>
              </w:rPr>
            </w:pPr>
            <w:r w:rsidRPr="0056018B">
              <w:rPr>
                <w:sz w:val="20"/>
              </w:rPr>
              <w:t>SGBV</w:t>
            </w:r>
          </w:p>
        </w:tc>
        <w:tc>
          <w:tcPr>
            <w:tcW w:w="5812" w:type="dxa"/>
          </w:tcPr>
          <w:p w14:paraId="0DA09157" w14:textId="77777777" w:rsidR="0014526C" w:rsidRPr="0056018B" w:rsidRDefault="0014526C" w:rsidP="0008435D">
            <w:pPr>
              <w:spacing w:after="0"/>
              <w:rPr>
                <w:sz w:val="20"/>
              </w:rPr>
            </w:pPr>
            <w:r w:rsidRPr="0056018B">
              <w:rPr>
                <w:sz w:val="20"/>
              </w:rPr>
              <w:t>Sexual and gender-based Violence</w:t>
            </w:r>
          </w:p>
        </w:tc>
      </w:tr>
      <w:tr w:rsidR="0014526C" w:rsidRPr="00BD1C03" w14:paraId="638059A9" w14:textId="77777777" w:rsidTr="00D52C60">
        <w:tc>
          <w:tcPr>
            <w:tcW w:w="3685" w:type="dxa"/>
          </w:tcPr>
          <w:p w14:paraId="32CA36F9" w14:textId="77777777" w:rsidR="0014526C" w:rsidRPr="0056018B" w:rsidRDefault="0014526C" w:rsidP="0008435D">
            <w:pPr>
              <w:spacing w:after="0"/>
              <w:rPr>
                <w:sz w:val="20"/>
              </w:rPr>
            </w:pPr>
            <w:r w:rsidRPr="0056018B">
              <w:rPr>
                <w:sz w:val="20"/>
              </w:rPr>
              <w:t>SOP</w:t>
            </w:r>
            <w:r w:rsidRPr="0056018B">
              <w:rPr>
                <w:sz w:val="20"/>
              </w:rPr>
              <w:tab/>
            </w:r>
          </w:p>
        </w:tc>
        <w:tc>
          <w:tcPr>
            <w:tcW w:w="5812" w:type="dxa"/>
          </w:tcPr>
          <w:p w14:paraId="12ABCA66" w14:textId="77777777" w:rsidR="0014526C" w:rsidRPr="0056018B" w:rsidRDefault="0014526C" w:rsidP="0008435D">
            <w:pPr>
              <w:spacing w:after="0"/>
              <w:rPr>
                <w:sz w:val="20"/>
              </w:rPr>
            </w:pPr>
            <w:r w:rsidRPr="0056018B">
              <w:rPr>
                <w:sz w:val="20"/>
              </w:rPr>
              <w:t>Standard Operating Procedure</w:t>
            </w:r>
          </w:p>
        </w:tc>
      </w:tr>
      <w:tr w:rsidR="0014526C" w:rsidRPr="00BD1C03" w14:paraId="0540F715" w14:textId="77777777" w:rsidTr="00D52C60">
        <w:tc>
          <w:tcPr>
            <w:tcW w:w="3685" w:type="dxa"/>
          </w:tcPr>
          <w:p w14:paraId="4DFC817C" w14:textId="77777777" w:rsidR="0014526C" w:rsidRPr="0056018B" w:rsidRDefault="0014526C" w:rsidP="0008435D">
            <w:pPr>
              <w:spacing w:after="0"/>
              <w:rPr>
                <w:sz w:val="20"/>
              </w:rPr>
            </w:pPr>
            <w:r w:rsidRPr="0056018B">
              <w:rPr>
                <w:sz w:val="20"/>
              </w:rPr>
              <w:t>SRH</w:t>
            </w:r>
            <w:r w:rsidRPr="0056018B">
              <w:rPr>
                <w:sz w:val="20"/>
              </w:rPr>
              <w:tab/>
            </w:r>
          </w:p>
        </w:tc>
        <w:tc>
          <w:tcPr>
            <w:tcW w:w="5812" w:type="dxa"/>
          </w:tcPr>
          <w:p w14:paraId="6B004AC2" w14:textId="77777777" w:rsidR="0014526C" w:rsidRPr="0056018B" w:rsidRDefault="0014526C" w:rsidP="0008435D">
            <w:pPr>
              <w:spacing w:after="0"/>
              <w:rPr>
                <w:sz w:val="20"/>
              </w:rPr>
            </w:pPr>
            <w:r w:rsidRPr="0056018B">
              <w:rPr>
                <w:sz w:val="20"/>
              </w:rPr>
              <w:t>Sexual and Reproductive Health</w:t>
            </w:r>
          </w:p>
        </w:tc>
      </w:tr>
      <w:tr w:rsidR="0014526C" w:rsidRPr="00BD1C03" w14:paraId="5AD46360" w14:textId="77777777" w:rsidTr="00D52C60">
        <w:tc>
          <w:tcPr>
            <w:tcW w:w="3685" w:type="dxa"/>
          </w:tcPr>
          <w:p w14:paraId="285384D2" w14:textId="77777777" w:rsidR="0014526C" w:rsidRPr="0056018B" w:rsidRDefault="0014526C" w:rsidP="0008435D">
            <w:pPr>
              <w:spacing w:after="0"/>
              <w:rPr>
                <w:sz w:val="20"/>
              </w:rPr>
            </w:pPr>
            <w:r w:rsidRPr="0056018B">
              <w:rPr>
                <w:sz w:val="20"/>
              </w:rPr>
              <w:t>STC</w:t>
            </w:r>
          </w:p>
        </w:tc>
        <w:tc>
          <w:tcPr>
            <w:tcW w:w="5812" w:type="dxa"/>
          </w:tcPr>
          <w:p w14:paraId="271B3BDD" w14:textId="77777777" w:rsidR="0014526C" w:rsidRPr="0056018B" w:rsidRDefault="0014526C" w:rsidP="0008435D">
            <w:pPr>
              <w:spacing w:after="0"/>
              <w:rPr>
                <w:sz w:val="20"/>
              </w:rPr>
            </w:pPr>
            <w:r w:rsidRPr="0056018B">
              <w:rPr>
                <w:sz w:val="20"/>
              </w:rPr>
              <w:t>Save the Children</w:t>
            </w:r>
          </w:p>
        </w:tc>
      </w:tr>
      <w:tr w:rsidR="0014526C" w:rsidRPr="00BD1C03" w14:paraId="675C9516" w14:textId="77777777" w:rsidTr="00D52C60">
        <w:tc>
          <w:tcPr>
            <w:tcW w:w="3685" w:type="dxa"/>
          </w:tcPr>
          <w:p w14:paraId="20F54EC4" w14:textId="77777777" w:rsidR="0014526C" w:rsidRPr="0056018B" w:rsidRDefault="0014526C" w:rsidP="0008435D">
            <w:pPr>
              <w:spacing w:after="0"/>
              <w:rPr>
                <w:sz w:val="20"/>
              </w:rPr>
            </w:pPr>
            <w:r w:rsidRPr="0056018B">
              <w:rPr>
                <w:sz w:val="20"/>
              </w:rPr>
              <w:t>UNAMI</w:t>
            </w:r>
            <w:r w:rsidRPr="0056018B">
              <w:rPr>
                <w:sz w:val="20"/>
              </w:rPr>
              <w:tab/>
            </w:r>
          </w:p>
        </w:tc>
        <w:tc>
          <w:tcPr>
            <w:tcW w:w="5812" w:type="dxa"/>
          </w:tcPr>
          <w:p w14:paraId="7DDB7676" w14:textId="77777777" w:rsidR="0014526C" w:rsidRPr="0056018B" w:rsidRDefault="0014526C" w:rsidP="0008435D">
            <w:pPr>
              <w:spacing w:after="0"/>
              <w:rPr>
                <w:sz w:val="20"/>
              </w:rPr>
            </w:pPr>
            <w:r w:rsidRPr="0056018B">
              <w:rPr>
                <w:sz w:val="20"/>
              </w:rPr>
              <w:t>UN Assistance Mission for Iraq</w:t>
            </w:r>
          </w:p>
        </w:tc>
      </w:tr>
      <w:tr w:rsidR="0014526C" w:rsidRPr="00BD1C03" w14:paraId="047A666F" w14:textId="77777777" w:rsidTr="00D52C60">
        <w:tc>
          <w:tcPr>
            <w:tcW w:w="3685" w:type="dxa"/>
          </w:tcPr>
          <w:p w14:paraId="65D04F85" w14:textId="77777777" w:rsidR="0014526C" w:rsidRPr="0056018B" w:rsidRDefault="0014526C" w:rsidP="0008435D">
            <w:pPr>
              <w:spacing w:after="0"/>
              <w:rPr>
                <w:sz w:val="20"/>
              </w:rPr>
            </w:pPr>
            <w:r w:rsidRPr="0056018B">
              <w:rPr>
                <w:sz w:val="20"/>
              </w:rPr>
              <w:t>UNDP-FFS</w:t>
            </w:r>
          </w:p>
        </w:tc>
        <w:tc>
          <w:tcPr>
            <w:tcW w:w="5812" w:type="dxa"/>
          </w:tcPr>
          <w:p w14:paraId="03879C0E" w14:textId="77777777" w:rsidR="0014526C" w:rsidRPr="0056018B" w:rsidRDefault="0014526C" w:rsidP="0008435D">
            <w:pPr>
              <w:spacing w:after="0"/>
              <w:rPr>
                <w:sz w:val="20"/>
              </w:rPr>
            </w:pPr>
            <w:r w:rsidRPr="0056018B">
              <w:rPr>
                <w:sz w:val="20"/>
              </w:rPr>
              <w:t>United Nations Development Program – Fund for Stabilisation</w:t>
            </w:r>
          </w:p>
        </w:tc>
      </w:tr>
      <w:tr w:rsidR="0014526C" w:rsidRPr="00BD1C03" w14:paraId="1B4E4559" w14:textId="77777777" w:rsidTr="00D52C60">
        <w:tc>
          <w:tcPr>
            <w:tcW w:w="3685" w:type="dxa"/>
          </w:tcPr>
          <w:p w14:paraId="66B85D47" w14:textId="77777777" w:rsidR="0014526C" w:rsidRPr="0056018B" w:rsidRDefault="0014526C" w:rsidP="0008435D">
            <w:pPr>
              <w:spacing w:after="0"/>
              <w:rPr>
                <w:sz w:val="20"/>
              </w:rPr>
            </w:pPr>
            <w:r w:rsidRPr="0056018B">
              <w:rPr>
                <w:sz w:val="20"/>
              </w:rPr>
              <w:t>UNFPA</w:t>
            </w:r>
            <w:r w:rsidRPr="0056018B">
              <w:rPr>
                <w:sz w:val="20"/>
              </w:rPr>
              <w:tab/>
            </w:r>
          </w:p>
        </w:tc>
        <w:tc>
          <w:tcPr>
            <w:tcW w:w="5812" w:type="dxa"/>
          </w:tcPr>
          <w:p w14:paraId="49DF6C65" w14:textId="77777777" w:rsidR="0014526C" w:rsidRPr="0056018B" w:rsidRDefault="0014526C" w:rsidP="0008435D">
            <w:pPr>
              <w:spacing w:after="0"/>
              <w:rPr>
                <w:sz w:val="20"/>
              </w:rPr>
            </w:pPr>
            <w:r w:rsidRPr="0056018B">
              <w:rPr>
                <w:sz w:val="20"/>
              </w:rPr>
              <w:t>United Nations Fund for Population Activities</w:t>
            </w:r>
          </w:p>
        </w:tc>
      </w:tr>
      <w:tr w:rsidR="0014526C" w:rsidRPr="00BD1C03" w14:paraId="26F028EE" w14:textId="77777777" w:rsidTr="00D52C60">
        <w:tc>
          <w:tcPr>
            <w:tcW w:w="3685" w:type="dxa"/>
          </w:tcPr>
          <w:p w14:paraId="24C714F7" w14:textId="77777777" w:rsidR="0014526C" w:rsidRPr="0056018B" w:rsidRDefault="0014526C" w:rsidP="0008435D">
            <w:pPr>
              <w:spacing w:after="0"/>
              <w:rPr>
                <w:sz w:val="20"/>
              </w:rPr>
            </w:pPr>
            <w:r w:rsidRPr="0056018B">
              <w:rPr>
                <w:sz w:val="20"/>
              </w:rPr>
              <w:t>UNICEF</w:t>
            </w:r>
          </w:p>
        </w:tc>
        <w:tc>
          <w:tcPr>
            <w:tcW w:w="5812" w:type="dxa"/>
          </w:tcPr>
          <w:p w14:paraId="047C12F6" w14:textId="77777777" w:rsidR="0014526C" w:rsidRPr="0056018B" w:rsidRDefault="0014526C" w:rsidP="0008435D">
            <w:pPr>
              <w:spacing w:after="0"/>
              <w:rPr>
                <w:sz w:val="20"/>
              </w:rPr>
            </w:pPr>
            <w:r w:rsidRPr="0056018B">
              <w:rPr>
                <w:sz w:val="20"/>
              </w:rPr>
              <w:t>United Nations Children’s Fund</w:t>
            </w:r>
          </w:p>
        </w:tc>
      </w:tr>
      <w:tr w:rsidR="0014526C" w:rsidRPr="00BD1C03" w14:paraId="59E967F0" w14:textId="77777777" w:rsidTr="00D52C60">
        <w:tc>
          <w:tcPr>
            <w:tcW w:w="3685" w:type="dxa"/>
          </w:tcPr>
          <w:p w14:paraId="665F09D3" w14:textId="77777777" w:rsidR="0014526C" w:rsidRPr="0056018B" w:rsidRDefault="0014526C" w:rsidP="0008435D">
            <w:pPr>
              <w:spacing w:after="0"/>
              <w:rPr>
                <w:sz w:val="20"/>
              </w:rPr>
            </w:pPr>
            <w:r w:rsidRPr="0056018B">
              <w:rPr>
                <w:sz w:val="20"/>
              </w:rPr>
              <w:t>UNITAD</w:t>
            </w:r>
          </w:p>
        </w:tc>
        <w:tc>
          <w:tcPr>
            <w:tcW w:w="5812" w:type="dxa"/>
          </w:tcPr>
          <w:p w14:paraId="6708DBE9" w14:textId="77777777" w:rsidR="0014526C" w:rsidRPr="0056018B" w:rsidRDefault="0014526C" w:rsidP="0081708A">
            <w:pPr>
              <w:spacing w:after="0"/>
              <w:rPr>
                <w:sz w:val="20"/>
              </w:rPr>
            </w:pPr>
            <w:r w:rsidRPr="0056018B">
              <w:rPr>
                <w:sz w:val="20"/>
              </w:rPr>
              <w:t xml:space="preserve">UN Investigative Team for the Accountability of Islamic State </w:t>
            </w:r>
          </w:p>
        </w:tc>
      </w:tr>
      <w:tr w:rsidR="0014526C" w:rsidRPr="00BD1C03" w14:paraId="048A4462" w14:textId="77777777" w:rsidTr="00D52C60">
        <w:tc>
          <w:tcPr>
            <w:tcW w:w="3685" w:type="dxa"/>
          </w:tcPr>
          <w:p w14:paraId="6A454A69" w14:textId="77777777" w:rsidR="0014526C" w:rsidRPr="0056018B" w:rsidRDefault="0014526C" w:rsidP="0008435D">
            <w:pPr>
              <w:spacing w:after="0"/>
              <w:rPr>
                <w:sz w:val="20"/>
              </w:rPr>
            </w:pPr>
            <w:r w:rsidRPr="0056018B">
              <w:rPr>
                <w:sz w:val="20"/>
              </w:rPr>
              <w:t>UNMAS</w:t>
            </w:r>
          </w:p>
        </w:tc>
        <w:tc>
          <w:tcPr>
            <w:tcW w:w="5812" w:type="dxa"/>
          </w:tcPr>
          <w:p w14:paraId="7F449161" w14:textId="77777777" w:rsidR="0014526C" w:rsidRPr="0056018B" w:rsidRDefault="0014526C" w:rsidP="0008435D">
            <w:pPr>
              <w:spacing w:after="0"/>
              <w:rPr>
                <w:sz w:val="20"/>
              </w:rPr>
            </w:pPr>
            <w:r w:rsidRPr="0056018B">
              <w:rPr>
                <w:sz w:val="20"/>
              </w:rPr>
              <w:t>United Nations Mine Action Service</w:t>
            </w:r>
          </w:p>
        </w:tc>
      </w:tr>
      <w:tr w:rsidR="0014526C" w:rsidRPr="00BD1C03" w14:paraId="66444369" w14:textId="77777777" w:rsidTr="00D52C60">
        <w:tc>
          <w:tcPr>
            <w:tcW w:w="3685" w:type="dxa"/>
          </w:tcPr>
          <w:p w14:paraId="476E06BE" w14:textId="77777777" w:rsidR="0014526C" w:rsidRPr="0056018B" w:rsidRDefault="0014526C" w:rsidP="0008435D">
            <w:pPr>
              <w:spacing w:after="0"/>
              <w:rPr>
                <w:sz w:val="20"/>
              </w:rPr>
            </w:pPr>
            <w:r w:rsidRPr="0056018B">
              <w:rPr>
                <w:sz w:val="20"/>
              </w:rPr>
              <w:t>UNSCR</w:t>
            </w:r>
            <w:r w:rsidRPr="0056018B">
              <w:rPr>
                <w:sz w:val="20"/>
              </w:rPr>
              <w:tab/>
            </w:r>
          </w:p>
        </w:tc>
        <w:tc>
          <w:tcPr>
            <w:tcW w:w="5812" w:type="dxa"/>
          </w:tcPr>
          <w:p w14:paraId="63058821" w14:textId="77777777" w:rsidR="0014526C" w:rsidRPr="0056018B" w:rsidRDefault="0014526C" w:rsidP="0008435D">
            <w:pPr>
              <w:spacing w:after="0"/>
              <w:rPr>
                <w:sz w:val="20"/>
              </w:rPr>
            </w:pPr>
            <w:r w:rsidRPr="0056018B">
              <w:rPr>
                <w:sz w:val="20"/>
              </w:rPr>
              <w:t>UN Security Council Resolution</w:t>
            </w:r>
          </w:p>
        </w:tc>
      </w:tr>
      <w:tr w:rsidR="00136197" w:rsidRPr="00BD1C03" w14:paraId="2D0D6C40" w14:textId="77777777" w:rsidTr="00D52C60">
        <w:tc>
          <w:tcPr>
            <w:tcW w:w="3685" w:type="dxa"/>
          </w:tcPr>
          <w:p w14:paraId="3A2AAFF9" w14:textId="40875073" w:rsidR="00136197" w:rsidRPr="0056018B" w:rsidRDefault="00136197" w:rsidP="0008435D">
            <w:pPr>
              <w:spacing w:after="0"/>
              <w:rPr>
                <w:sz w:val="20"/>
              </w:rPr>
            </w:pPr>
            <w:r w:rsidRPr="0056018B">
              <w:rPr>
                <w:sz w:val="20"/>
              </w:rPr>
              <w:t>USAID</w:t>
            </w:r>
          </w:p>
        </w:tc>
        <w:tc>
          <w:tcPr>
            <w:tcW w:w="5812" w:type="dxa"/>
          </w:tcPr>
          <w:p w14:paraId="12ADB535" w14:textId="2F19960C" w:rsidR="00136197" w:rsidRPr="0056018B" w:rsidRDefault="00136197" w:rsidP="0008435D">
            <w:pPr>
              <w:spacing w:after="0"/>
              <w:rPr>
                <w:sz w:val="20"/>
              </w:rPr>
            </w:pPr>
            <w:r w:rsidRPr="0056018B">
              <w:rPr>
                <w:sz w:val="20"/>
              </w:rPr>
              <w:t>United States Agency for International Development</w:t>
            </w:r>
          </w:p>
        </w:tc>
      </w:tr>
      <w:tr w:rsidR="0014526C" w:rsidRPr="00BD1C03" w14:paraId="73BD08EA" w14:textId="77777777" w:rsidTr="00D52C60">
        <w:tc>
          <w:tcPr>
            <w:tcW w:w="3685" w:type="dxa"/>
          </w:tcPr>
          <w:p w14:paraId="63DB02C9" w14:textId="77777777" w:rsidR="0014526C" w:rsidRPr="0056018B" w:rsidRDefault="0014526C" w:rsidP="0008435D">
            <w:pPr>
              <w:spacing w:after="0"/>
              <w:rPr>
                <w:sz w:val="20"/>
              </w:rPr>
            </w:pPr>
            <w:proofErr w:type="spellStart"/>
            <w:r w:rsidRPr="0056018B">
              <w:rPr>
                <w:sz w:val="20"/>
              </w:rPr>
              <w:t>VfM</w:t>
            </w:r>
            <w:proofErr w:type="spellEnd"/>
            <w:r w:rsidRPr="0056018B">
              <w:rPr>
                <w:sz w:val="20"/>
              </w:rPr>
              <w:tab/>
            </w:r>
          </w:p>
        </w:tc>
        <w:tc>
          <w:tcPr>
            <w:tcW w:w="5812" w:type="dxa"/>
          </w:tcPr>
          <w:p w14:paraId="6406CB95" w14:textId="77777777" w:rsidR="0014526C" w:rsidRPr="0056018B" w:rsidRDefault="0014526C" w:rsidP="0008435D">
            <w:pPr>
              <w:spacing w:after="0"/>
              <w:rPr>
                <w:sz w:val="20"/>
              </w:rPr>
            </w:pPr>
            <w:r w:rsidRPr="0056018B">
              <w:rPr>
                <w:sz w:val="20"/>
              </w:rPr>
              <w:t>Value for Money</w:t>
            </w:r>
          </w:p>
        </w:tc>
      </w:tr>
      <w:tr w:rsidR="0014526C" w:rsidRPr="00BD1C03" w14:paraId="709B57F2" w14:textId="77777777" w:rsidTr="00D52C60">
        <w:tc>
          <w:tcPr>
            <w:tcW w:w="3685" w:type="dxa"/>
          </w:tcPr>
          <w:p w14:paraId="360BE787" w14:textId="77777777" w:rsidR="0014526C" w:rsidRPr="0056018B" w:rsidRDefault="0014526C" w:rsidP="0008435D">
            <w:pPr>
              <w:spacing w:after="0"/>
              <w:rPr>
                <w:sz w:val="20"/>
              </w:rPr>
            </w:pPr>
            <w:r w:rsidRPr="0056018B">
              <w:rPr>
                <w:sz w:val="20"/>
              </w:rPr>
              <w:t>WASH</w:t>
            </w:r>
            <w:r w:rsidRPr="0056018B">
              <w:rPr>
                <w:sz w:val="20"/>
              </w:rPr>
              <w:tab/>
            </w:r>
          </w:p>
        </w:tc>
        <w:tc>
          <w:tcPr>
            <w:tcW w:w="5812" w:type="dxa"/>
          </w:tcPr>
          <w:p w14:paraId="01BDFCE4" w14:textId="77777777" w:rsidR="0014526C" w:rsidRPr="0056018B" w:rsidRDefault="0014526C" w:rsidP="0008435D">
            <w:pPr>
              <w:spacing w:after="0"/>
              <w:rPr>
                <w:sz w:val="20"/>
              </w:rPr>
            </w:pPr>
            <w:r w:rsidRPr="0056018B">
              <w:rPr>
                <w:sz w:val="20"/>
              </w:rPr>
              <w:t>Water, Sanitation and Hygiene</w:t>
            </w:r>
          </w:p>
        </w:tc>
      </w:tr>
      <w:tr w:rsidR="0014526C" w:rsidRPr="00BD1C03" w14:paraId="15F6F5BF" w14:textId="77777777" w:rsidTr="00D52C60">
        <w:tc>
          <w:tcPr>
            <w:tcW w:w="3685" w:type="dxa"/>
          </w:tcPr>
          <w:p w14:paraId="1289C3B3" w14:textId="77777777" w:rsidR="0014526C" w:rsidRPr="0056018B" w:rsidRDefault="0014526C" w:rsidP="0008435D">
            <w:pPr>
              <w:spacing w:after="0"/>
              <w:rPr>
                <w:sz w:val="20"/>
              </w:rPr>
            </w:pPr>
            <w:r w:rsidRPr="0056018B">
              <w:rPr>
                <w:sz w:val="20"/>
              </w:rPr>
              <w:t>WHS</w:t>
            </w:r>
          </w:p>
        </w:tc>
        <w:tc>
          <w:tcPr>
            <w:tcW w:w="5812" w:type="dxa"/>
          </w:tcPr>
          <w:p w14:paraId="4A2559E8" w14:textId="77777777" w:rsidR="0014526C" w:rsidRPr="0056018B" w:rsidRDefault="0014526C" w:rsidP="0008435D">
            <w:pPr>
              <w:spacing w:after="0"/>
              <w:rPr>
                <w:sz w:val="20"/>
              </w:rPr>
            </w:pPr>
            <w:r w:rsidRPr="0056018B">
              <w:rPr>
                <w:sz w:val="20"/>
              </w:rPr>
              <w:t>World Humanitarian Summit</w:t>
            </w:r>
          </w:p>
        </w:tc>
      </w:tr>
      <w:tr w:rsidR="0014526C" w:rsidRPr="00BD1C03" w14:paraId="7BEC2A4D" w14:textId="77777777" w:rsidTr="00D52C60">
        <w:tc>
          <w:tcPr>
            <w:tcW w:w="3685" w:type="dxa"/>
          </w:tcPr>
          <w:p w14:paraId="3E3E5968" w14:textId="77777777" w:rsidR="0014526C" w:rsidRPr="0056018B" w:rsidRDefault="0014526C" w:rsidP="0008435D">
            <w:pPr>
              <w:spacing w:after="0"/>
              <w:rPr>
                <w:sz w:val="20"/>
              </w:rPr>
            </w:pPr>
            <w:r w:rsidRPr="0056018B">
              <w:rPr>
                <w:sz w:val="20"/>
              </w:rPr>
              <w:t>WPS</w:t>
            </w:r>
            <w:r w:rsidRPr="0056018B">
              <w:rPr>
                <w:sz w:val="20"/>
              </w:rPr>
              <w:tab/>
            </w:r>
          </w:p>
        </w:tc>
        <w:tc>
          <w:tcPr>
            <w:tcW w:w="5812" w:type="dxa"/>
          </w:tcPr>
          <w:p w14:paraId="78F8CD62" w14:textId="77777777" w:rsidR="0014526C" w:rsidRPr="0056018B" w:rsidRDefault="0014526C" w:rsidP="0008435D">
            <w:pPr>
              <w:spacing w:after="0"/>
              <w:rPr>
                <w:sz w:val="20"/>
              </w:rPr>
            </w:pPr>
            <w:r w:rsidRPr="0056018B">
              <w:rPr>
                <w:sz w:val="20"/>
              </w:rPr>
              <w:t>Women, Peace and Security</w:t>
            </w:r>
          </w:p>
        </w:tc>
      </w:tr>
    </w:tbl>
    <w:p w14:paraId="73698531" w14:textId="0FAC037B" w:rsidR="00B8174F" w:rsidRPr="00BD1C03" w:rsidRDefault="00B8174F" w:rsidP="0008435D">
      <w:pPr>
        <w:ind w:left="2410" w:firstLine="284"/>
        <w:rPr>
          <w:rFonts w:asciiTheme="majorHAnsi" w:hAnsiTheme="majorHAnsi"/>
        </w:rPr>
        <w:sectPr w:rsidR="00B8174F" w:rsidRPr="00BD1C03" w:rsidSect="00183A34">
          <w:headerReference w:type="even" r:id="rId13"/>
          <w:headerReference w:type="default" r:id="rId14"/>
          <w:footerReference w:type="even" r:id="rId15"/>
          <w:footerReference w:type="default" r:id="rId16"/>
          <w:headerReference w:type="first" r:id="rId17"/>
          <w:endnotePr>
            <w:numFmt w:val="decimal"/>
          </w:endnotePr>
          <w:pgSz w:w="11900" w:h="16820"/>
          <w:pgMar w:top="1418" w:right="701" w:bottom="567" w:left="4" w:header="0" w:footer="0" w:gutter="0"/>
          <w:pgNumType w:fmt="lowerRoman"/>
          <w:cols w:space="720"/>
          <w:noEndnote/>
          <w:titlePg/>
        </w:sectPr>
      </w:pPr>
    </w:p>
    <w:p w14:paraId="7B11F986" w14:textId="5EF57AC7" w:rsidR="00B978BB" w:rsidRPr="00036D8F" w:rsidRDefault="00B978BB" w:rsidP="00CC437F">
      <w:pPr>
        <w:pStyle w:val="Heading1"/>
        <w:rPr>
          <w:color w:val="auto"/>
        </w:rPr>
      </w:pPr>
      <w:bookmarkStart w:id="1" w:name="_Toc48318491"/>
      <w:r w:rsidRPr="00036D8F">
        <w:rPr>
          <w:color w:val="auto"/>
        </w:rPr>
        <w:t>Executive Summary</w:t>
      </w:r>
      <w:bookmarkEnd w:id="1"/>
    </w:p>
    <w:p w14:paraId="7B9E83CF" w14:textId="1DA71342" w:rsidR="00B978BB" w:rsidRPr="00036D8F" w:rsidRDefault="00B978BB" w:rsidP="0008435D">
      <w:r w:rsidRPr="00036D8F">
        <w:t>The rapid rise of the Islamic State of Iraq and the Levant (ISIL) was enabled by successive conflicts from 1991 to present, political instability and sectarianism, a weakened security sector, limited government service delivery and the conflict in neighbouring Syria. Following ISIL gaining control of the city of Mosul in June 2014, the Government of Iraq (</w:t>
      </w:r>
      <w:proofErr w:type="spellStart"/>
      <w:r w:rsidRPr="00036D8F">
        <w:t>GoI</w:t>
      </w:r>
      <w:proofErr w:type="spellEnd"/>
      <w:r w:rsidRPr="00036D8F">
        <w:t>) requested assistance from the United Nat</w:t>
      </w:r>
      <w:r w:rsidR="006E5EF0" w:rsidRPr="00036D8F">
        <w:t>ions (UN) and United States to “</w:t>
      </w:r>
      <w:r w:rsidRPr="00036D8F">
        <w:t>defeat ISIL and p</w:t>
      </w:r>
      <w:r w:rsidR="006E5EF0" w:rsidRPr="00036D8F">
        <w:t>rotect our territory and people”</w:t>
      </w:r>
      <w:r w:rsidRPr="00036D8F">
        <w:t>.</w:t>
      </w:r>
      <w:r w:rsidRPr="00036D8F">
        <w:rPr>
          <w:rStyle w:val="EndnoteReference"/>
          <w:rFonts w:ascii="Calibri Light" w:hAnsi="Calibri Light" w:cs="Calibri Light"/>
          <w:szCs w:val="22"/>
        </w:rPr>
        <w:endnoteReference w:id="1"/>
      </w:r>
      <w:r w:rsidRPr="00036D8F">
        <w:t xml:space="preserve"> In 2017, the Australian Department of Foreign Affairs and Trade (DFAT) initiated the Iraq Humanitarian and St</w:t>
      </w:r>
      <w:r w:rsidR="006E5EF0" w:rsidRPr="00036D8F">
        <w:t>abilisation Package (hereafter “the Package”</w:t>
      </w:r>
      <w:r w:rsidRPr="00036D8F">
        <w:t>)</w:t>
      </w:r>
      <w:r w:rsidR="00531A36" w:rsidRPr="00036D8F">
        <w:t xml:space="preserve"> to respond to this context.</w:t>
      </w:r>
    </w:p>
    <w:p w14:paraId="0B339F67" w14:textId="73DD5421" w:rsidR="00B978BB" w:rsidRPr="00036D8F" w:rsidRDefault="00B978BB" w:rsidP="0008435D">
      <w:r w:rsidRPr="00036D8F">
        <w:t xml:space="preserve">The headline finding of this review is that the Package was appropriately conceived and has been effective in responding to a highly complex operating environment and cross section of needs. The Package was designed to respond to the humanitarian needs of Iraq’s most vulnerable conflict-affected populations and support Iraqi communities on a path toward greater resilience, cohesion and stability. By working through trusted partners, simultaneous progress has been achieved in addressing short and medium-term humanitarian needs, rapid recovery and stabilisation activities in retaken areas, and advancing social cohesion within </w:t>
      </w:r>
      <w:r w:rsidR="00BD1C03" w:rsidRPr="00036D8F">
        <w:t>conflict-affected</w:t>
      </w:r>
      <w:r w:rsidRPr="00036D8F">
        <w:t xml:space="preserve"> communities. </w:t>
      </w:r>
    </w:p>
    <w:p w14:paraId="5676E7FE" w14:textId="3AFDF407" w:rsidR="00B978BB" w:rsidRPr="00036D8F" w:rsidRDefault="00B978BB" w:rsidP="0008435D">
      <w:r w:rsidRPr="00036D8F">
        <w:t xml:space="preserve">The Package has funded a highly relevant range of mandated actors including the UNFPA, UNDP, an International Humanitarian Organisation (IHO), UNICEF, UNMAS, IOM and the Building Peaceful Futures (BPF) consortium led by Save the Children. The Package design aligns with several key policy priorities for Australia as outlined in DFAT’s </w:t>
      </w:r>
      <w:r w:rsidRPr="00036D8F">
        <w:rPr>
          <w:i/>
        </w:rPr>
        <w:t xml:space="preserve">Humanitarian Strategy </w:t>
      </w:r>
      <w:r w:rsidRPr="00036D8F">
        <w:t>(2016)</w:t>
      </w:r>
      <w:r w:rsidRPr="00036D8F">
        <w:rPr>
          <w:rStyle w:val="EndnoteReference"/>
          <w:rFonts w:ascii="Calibri Light" w:hAnsi="Calibri Light" w:cs="Calibri Light"/>
          <w:szCs w:val="22"/>
        </w:rPr>
        <w:endnoteReference w:id="2"/>
      </w:r>
      <w:r w:rsidRPr="00036D8F">
        <w:t xml:space="preserve"> and </w:t>
      </w:r>
      <w:r w:rsidRPr="00036D8F">
        <w:rPr>
          <w:i/>
          <w:iCs/>
        </w:rPr>
        <w:t>Protection Framework</w:t>
      </w:r>
      <w:r w:rsidRPr="00036D8F">
        <w:t xml:space="preserve"> (2013), notably Protection, Accountability to Affected Populations (AAP), Gender Equality and Women’s Empowerment (GEWE) and disability inclusion. The Package further aligns with DFAT’s </w:t>
      </w:r>
      <w:r w:rsidRPr="00036D8F">
        <w:rPr>
          <w:i/>
          <w:iCs/>
        </w:rPr>
        <w:t>Foreign Policy White Paper</w:t>
      </w:r>
      <w:r w:rsidRPr="00036D8F">
        <w:t xml:space="preserve"> (2017) and advances commitments made by Australia at the World Humanitarian Summit (WHS) </w:t>
      </w:r>
      <w:r w:rsidR="00531A36" w:rsidRPr="00036D8F">
        <w:t xml:space="preserve">in </w:t>
      </w:r>
      <w:r w:rsidRPr="00036D8F">
        <w:t xml:space="preserve">2016 to predictable, flexible, multi-year funding; locally-led humanitarian action; bridging the humanitarian-development divide; </w:t>
      </w:r>
      <w:r w:rsidR="00531A36" w:rsidRPr="00036D8F">
        <w:t xml:space="preserve">and </w:t>
      </w:r>
      <w:r w:rsidRPr="00036D8F">
        <w:t>promoting protection and leaving no-one behind.</w:t>
      </w:r>
    </w:p>
    <w:p w14:paraId="2AAED03E" w14:textId="1B46CE19" w:rsidR="00B978BB" w:rsidRPr="00036D8F" w:rsidRDefault="00B978BB" w:rsidP="00C36964">
      <w:pPr>
        <w:pStyle w:val="Heading2"/>
        <w:numPr>
          <w:ilvl w:val="0"/>
          <w:numId w:val="0"/>
        </w:numPr>
        <w:ind w:left="360" w:hanging="360"/>
      </w:pPr>
      <w:r w:rsidRPr="00036D8F">
        <w:t>Conclusions</w:t>
      </w:r>
    </w:p>
    <w:p w14:paraId="0F77B39E" w14:textId="77777777" w:rsidR="00B978BB" w:rsidRPr="00036D8F" w:rsidRDefault="00B978BB" w:rsidP="00942F20">
      <w:pPr>
        <w:pStyle w:val="Heading3"/>
        <w:rPr>
          <w:color w:val="auto"/>
        </w:rPr>
      </w:pPr>
      <w:r w:rsidRPr="00036D8F">
        <w:rPr>
          <w:color w:val="auto"/>
        </w:rPr>
        <w:t>Appropriateness and relevance</w:t>
      </w:r>
    </w:p>
    <w:p w14:paraId="7E3266BF" w14:textId="464D125D" w:rsidR="00B978BB" w:rsidRPr="00BD1C03" w:rsidRDefault="00B978BB" w:rsidP="0008435D">
      <w:r w:rsidRPr="00BD1C03">
        <w:t xml:space="preserve">In terms of appropriateness to context, DFAT’s Iraq Package was well conceived and relevant at the time of </w:t>
      </w:r>
      <w:proofErr w:type="gramStart"/>
      <w:r w:rsidRPr="00BD1C03">
        <w:t>design, and</w:t>
      </w:r>
      <w:proofErr w:type="gramEnd"/>
      <w:r w:rsidRPr="00BD1C03">
        <w:t xml:space="preserve"> has remained relevant throughout due to built-in flexibility to adapt to change and respond to emerging priorities. This structure has facilitated timely responses to complex social cohesion needs, and urgent Water, Sanitation and Hygiene (WASH) needs in central and southern Iraq. </w:t>
      </w:r>
    </w:p>
    <w:p w14:paraId="6E9CAFFC" w14:textId="27F0B8BD" w:rsidR="00B978BB" w:rsidRPr="00BD1C03" w:rsidRDefault="00B978BB" w:rsidP="0008435D">
      <w:r w:rsidRPr="00BD1C03">
        <w:t>Iraq w</w:t>
      </w:r>
      <w:r w:rsidR="006E5EF0">
        <w:t>as frequently referred to as a “protection crisis”</w:t>
      </w:r>
      <w:r w:rsidRPr="00BD1C03">
        <w:t xml:space="preserve"> across the literature and interviews conducted, which is reflected in the investment partnerships and programs. Successive conflicts and sanctions have further seen Iraq’s decline to 152 out of 153 countries on the global gender index.</w:t>
      </w:r>
      <w:r w:rsidRPr="00BD1C03">
        <w:rPr>
          <w:rStyle w:val="EndnoteReference"/>
          <w:rFonts w:ascii="Calibri Light" w:hAnsi="Calibri Light" w:cs="Calibri Light"/>
          <w:szCs w:val="22"/>
        </w:rPr>
        <w:endnoteReference w:id="3"/>
      </w:r>
      <w:r w:rsidRPr="00BD1C03">
        <w:t xml:space="preserve"> </w:t>
      </w:r>
    </w:p>
    <w:p w14:paraId="0C184778" w14:textId="21A4A2B4" w:rsidR="00B978BB" w:rsidRPr="00BD1C03" w:rsidRDefault="00B978BB" w:rsidP="0008435D">
      <w:pPr>
        <w:rPr>
          <w:color w:val="1F497D" w:themeColor="text2"/>
        </w:rPr>
      </w:pPr>
      <w:r w:rsidRPr="00BD1C03">
        <w:t>Iraq will continue to be</w:t>
      </w:r>
      <w:r w:rsidRPr="00BD1C03">
        <w:rPr>
          <w:color w:val="000000" w:themeColor="text1"/>
        </w:rPr>
        <w:t xml:space="preserve"> a complex operating environment with diverse and shifting conflict dynamics across the areas of operat</w:t>
      </w:r>
      <w:r w:rsidR="000030EF">
        <w:rPr>
          <w:color w:val="000000" w:themeColor="text1"/>
        </w:rPr>
        <w:t>ion of Package partners. Local</w:t>
      </w:r>
      <w:r w:rsidR="00B43345">
        <w:rPr>
          <w:color w:val="000000" w:themeColor="text1"/>
        </w:rPr>
        <w:t>is</w:t>
      </w:r>
      <w:r w:rsidRPr="00BD1C03">
        <w:rPr>
          <w:color w:val="000000" w:themeColor="text1"/>
        </w:rPr>
        <w:t>ed conflict analysis efforts undertaken by partners have helped ensure relevance and contributed to measures to meaningfully engage affected populations. Looking forward, integrating conflict analysis in future Package designs and ongoing programs, including gender and Women, Peace and Security (WPS) considerations, will be important for maintaining relevance and effectiveness.</w:t>
      </w:r>
    </w:p>
    <w:p w14:paraId="1A7A6FE2" w14:textId="77777777" w:rsidR="00B978BB" w:rsidRPr="00036D8F" w:rsidRDefault="00B978BB" w:rsidP="00942F20">
      <w:pPr>
        <w:pStyle w:val="Heading3"/>
        <w:rPr>
          <w:color w:val="auto"/>
        </w:rPr>
      </w:pPr>
      <w:r w:rsidRPr="00036D8F">
        <w:rPr>
          <w:color w:val="auto"/>
        </w:rPr>
        <w:t>Effectiveness</w:t>
      </w:r>
    </w:p>
    <w:p w14:paraId="6622E7CC" w14:textId="1600A9F0" w:rsidR="00B978BB" w:rsidRPr="00BD1C03" w:rsidRDefault="00B978BB" w:rsidP="0008435D">
      <w:r w:rsidRPr="00BD1C03">
        <w:t xml:space="preserve">Overall, the Package has made critical contributions to humanitarian, stabilisation and social cohesion objectives, and delivered significant aggregate, partner and policy level results for Australia and </w:t>
      </w:r>
      <w:r w:rsidR="00531A36" w:rsidRPr="00BD1C03">
        <w:t xml:space="preserve">most </w:t>
      </w:r>
      <w:r w:rsidRPr="00BD1C03">
        <w:t xml:space="preserve">importantly the people of Iraq. </w:t>
      </w:r>
    </w:p>
    <w:p w14:paraId="64236DE0" w14:textId="0BB593B6" w:rsidR="00B978BB" w:rsidRPr="00BD1C03" w:rsidRDefault="00B978BB" w:rsidP="0008435D">
      <w:r w:rsidRPr="00BD1C03">
        <w:rPr>
          <w:color w:val="000000" w:themeColor="text1"/>
        </w:rPr>
        <w:t xml:space="preserve">In terms of cumulative aggregate results as of 2019, compiled partner reports indicate </w:t>
      </w:r>
      <w:r w:rsidRPr="00BD1C03">
        <w:rPr>
          <w:b/>
          <w:bCs/>
          <w:color w:val="000000" w:themeColor="text1"/>
        </w:rPr>
        <w:t>2,300,217</w:t>
      </w:r>
      <w:r w:rsidRPr="00BD1C03">
        <w:rPr>
          <w:color w:val="000000" w:themeColor="text1"/>
        </w:rPr>
        <w:t xml:space="preserve"> </w:t>
      </w:r>
      <w:r w:rsidRPr="00BD1C03">
        <w:t>vulnerable women, men, boys and girls have been reached with life-saving assistance including improved access to WASH, Mine Risk Education (MRE), and Sexual Reproductive Health (SRH).</w:t>
      </w:r>
      <w:r w:rsidRPr="00BD1C03">
        <w:rPr>
          <w:rStyle w:val="EndnoteReference"/>
          <w:rFonts w:ascii="Calibri Light" w:hAnsi="Calibri Light" w:cs="Calibri Light"/>
          <w:szCs w:val="22"/>
        </w:rPr>
        <w:endnoteReference w:id="4"/>
      </w:r>
      <w:r w:rsidRPr="00BD1C03">
        <w:t xml:space="preserve"> Of these </w:t>
      </w:r>
      <w:r w:rsidRPr="00BD1C03">
        <w:rPr>
          <w:b/>
          <w:bCs/>
        </w:rPr>
        <w:t>928,307</w:t>
      </w:r>
      <w:r w:rsidRPr="00BD1C03">
        <w:t xml:space="preserve"> people have benefited from improved access to protection services and information including legal assistance to access property rights and identity documents, services for survivors of gender-based violence (GBV) and awareness sessions on preventing GBV and MRE. </w:t>
      </w:r>
      <w:r w:rsidRPr="00BD1C03">
        <w:rPr>
          <w:color w:val="000000" w:themeColor="text1"/>
        </w:rPr>
        <w:t xml:space="preserve">Access to legal documentation was widely stated across interviews as being critically important due to facilitating access to </w:t>
      </w:r>
      <w:r w:rsidRPr="00BD1C03">
        <w:t>property rights and government services, supporting women’s empowerment, and safe, dignified and durable returns.</w:t>
      </w:r>
    </w:p>
    <w:p w14:paraId="3E3B1260" w14:textId="06809AEB" w:rsidR="00B978BB" w:rsidRPr="00BD1C03" w:rsidRDefault="00B978BB" w:rsidP="0008435D">
      <w:r w:rsidRPr="00BD1C03">
        <w:t xml:space="preserve">Package performance in the thematic priority areas of GEWE and disability inclusion has achieved significant results. In terms of </w:t>
      </w:r>
      <w:r w:rsidR="00BD1C03" w:rsidRPr="00BD1C03">
        <w:t>GEWE,</w:t>
      </w:r>
      <w:r w:rsidRPr="00BD1C03">
        <w:t xml:space="preserve"> there is</w:t>
      </w:r>
      <w:r w:rsidRPr="00BD1C03">
        <w:rPr>
          <w:b/>
          <w:bCs/>
        </w:rPr>
        <w:t xml:space="preserve"> </w:t>
      </w:r>
      <w:r w:rsidRPr="00BD1C03">
        <w:t xml:space="preserve">strong evidence of a strategic approach through leveraging the access of the Ambassador and coordinating with like-minded donors to advocate on passing anti-domestic violence legislation. There is further evidence of dedicated GBV services for survivors provided through UNFPA and mainstreaming through the work of the dedicated gender advisers in UNMAS and Care. Donors consulted through this review spoke highly of the role of DFAT and the Embassy in Baghdad in progressing understanding and practice related to GEWE through leadership, advocacy and program investments. </w:t>
      </w:r>
    </w:p>
    <w:p w14:paraId="7B3CCB35" w14:textId="3058C02F" w:rsidR="00B978BB" w:rsidRPr="00BD1C03" w:rsidRDefault="00B978BB" w:rsidP="0008435D">
      <w:r w:rsidRPr="00BD1C03">
        <w:t>For disability inclusion, a strategic approach is evident through support to civil society shadow reporting on the Convention on the Rights of Persons with Disabili</w:t>
      </w:r>
      <w:r w:rsidR="000030EF">
        <w:t>ties (CRPD), dedicated special</w:t>
      </w:r>
      <w:r w:rsidR="00B43345">
        <w:t>is</w:t>
      </w:r>
      <w:r w:rsidRPr="00BD1C03">
        <w:t>ed services including 15 rehabilitation centres assisting 39,400 individuals provided through IHO, and investment in inclusion through the role of Humanity and Inclusion in the BPF consortium. IOM further report that Australia’s bilateral advocacy resulted in the development of their first country level disability inclusion strategy that has been replicated across other responses.</w:t>
      </w:r>
    </w:p>
    <w:p w14:paraId="664CA464" w14:textId="607B5E15" w:rsidR="00B978BB" w:rsidRPr="00036D8F" w:rsidRDefault="00B978BB" w:rsidP="0008435D">
      <w:r w:rsidRPr="00BD1C03">
        <w:t xml:space="preserve">Moving forward, the current Package approach and future packages would benefit from clearer alignment with </w:t>
      </w:r>
      <w:r w:rsidRPr="00BD1C03">
        <w:rPr>
          <w:i/>
        </w:rPr>
        <w:t>Inter Agency Standing Committee (IASC)</w:t>
      </w:r>
      <w:r w:rsidRPr="00BD1C03">
        <w:rPr>
          <w:rStyle w:val="EndnoteReference"/>
          <w:rFonts w:ascii="Calibri Light" w:hAnsi="Calibri Light" w:cs="Calibri Light"/>
          <w:szCs w:val="22"/>
        </w:rPr>
        <w:endnoteReference w:id="5"/>
      </w:r>
      <w:r w:rsidRPr="00BD1C03">
        <w:t xml:space="preserve"> protection standards, including being informed by a comprehensive protection risk analysis. The importance of alignment with the IASC standards relate to it being the highest-level humanitarian coordination forum with responsibility for formulating policy with system-wide implications. Aligning DFAT policy and M&amp;E guidance with IASC protection standards improves coherence with sector standards and indicators, and better frame</w:t>
      </w:r>
      <w:r w:rsidR="007314D1" w:rsidRPr="00BD1C03">
        <w:t>s</w:t>
      </w:r>
      <w:r w:rsidRPr="00BD1C03">
        <w:t xml:space="preserve"> and capture</w:t>
      </w:r>
      <w:r w:rsidR="007314D1" w:rsidRPr="00BD1C03">
        <w:t>s</w:t>
      </w:r>
      <w:r w:rsidRPr="00BD1C03">
        <w:t xml:space="preserve"> the full rang</w:t>
      </w:r>
      <w:r w:rsidRPr="00036D8F">
        <w:t>e of results achieved. The review further observed that AAP practices and results are difficult to capture with the current metrics. Looking ahead systems to ensure the inclusive and representative voice of affected populations will require greater attention.</w:t>
      </w:r>
    </w:p>
    <w:p w14:paraId="254B7F26" w14:textId="1CDC9606" w:rsidR="00B978BB" w:rsidRPr="00036D8F" w:rsidRDefault="00B978BB" w:rsidP="0008435D">
      <w:r w:rsidRPr="00036D8F">
        <w:t>Despite the significant results achieved to date, complex humanitarian, stabilisation and social cohesion needs remain in Iraq and will be exacerbated by the multi-faceted challenges of COVID-19. These complex needs in</w:t>
      </w:r>
      <w:r w:rsidR="006E5EF0" w:rsidRPr="00036D8F">
        <w:t>clude the “hardened”</w:t>
      </w:r>
      <w:r w:rsidRPr="00036D8F">
        <w:t xml:space="preserve"> internally displaced person (IDP) caseload; high levels of discrimination preventing access to government services; and </w:t>
      </w:r>
      <w:r w:rsidR="00C624B7" w:rsidRPr="00036D8F">
        <w:t>long-standing</w:t>
      </w:r>
      <w:r w:rsidR="00531A36" w:rsidRPr="00036D8F">
        <w:t xml:space="preserve"> </w:t>
      </w:r>
      <w:r w:rsidRPr="00036D8F">
        <w:t>social cohesion and reconciliation</w:t>
      </w:r>
      <w:r w:rsidR="00531A36" w:rsidRPr="00036D8F">
        <w:t xml:space="preserve"> challenges</w:t>
      </w:r>
      <w:r w:rsidRPr="00036D8F">
        <w:t xml:space="preserve">. </w:t>
      </w:r>
      <w:r w:rsidR="00531A36" w:rsidRPr="00036D8F">
        <w:t>As a result, i</w:t>
      </w:r>
      <w:r w:rsidRPr="00036D8F">
        <w:t xml:space="preserve">ncreased attention is </w:t>
      </w:r>
      <w:r w:rsidR="00531A36" w:rsidRPr="00036D8F">
        <w:t>needed</w:t>
      </w:r>
      <w:r w:rsidRPr="00036D8F">
        <w:t xml:space="preserve"> toward </w:t>
      </w:r>
      <w:r w:rsidR="00B21BA2" w:rsidRPr="00036D8F">
        <w:t xml:space="preserve">social cohesion and reconciliation, </w:t>
      </w:r>
      <w:r w:rsidRPr="00036D8F">
        <w:t>governance, rule of law, access to justice and economic reform as the FFS transitions to early recovery. Future assistance to Iraq should be informed by inclusive community engagement processes to ensure no one is left behind.</w:t>
      </w:r>
    </w:p>
    <w:p w14:paraId="5C59A115" w14:textId="77777777" w:rsidR="00B978BB" w:rsidRPr="00036D8F" w:rsidRDefault="00B978BB" w:rsidP="00942F20">
      <w:pPr>
        <w:pStyle w:val="Heading3"/>
        <w:rPr>
          <w:color w:val="auto"/>
        </w:rPr>
      </w:pPr>
      <w:r w:rsidRPr="00036D8F">
        <w:rPr>
          <w:color w:val="auto"/>
        </w:rPr>
        <w:t>Connectedness and sustainability</w:t>
      </w:r>
    </w:p>
    <w:p w14:paraId="75857905" w14:textId="23682DEB" w:rsidR="00B978BB" w:rsidRPr="00BD1C03" w:rsidRDefault="00B978BB" w:rsidP="0008435D">
      <w:pPr>
        <w:rPr>
          <w:b/>
          <w:bCs/>
        </w:rPr>
      </w:pPr>
      <w:r w:rsidRPr="00BD1C03">
        <w:t xml:space="preserve">Package partners ability to engage with </w:t>
      </w:r>
      <w:proofErr w:type="spellStart"/>
      <w:r w:rsidRPr="00BD1C03">
        <w:t>GoI</w:t>
      </w:r>
      <w:proofErr w:type="spellEnd"/>
      <w:r w:rsidRPr="00BD1C03">
        <w:t xml:space="preserve"> officials varies across geographic areas and can be complicated by the high turnover of senior staff at the central and governorate levels. Multilateral partners consulted demonstrated high levels of engagement with their </w:t>
      </w:r>
      <w:proofErr w:type="spellStart"/>
      <w:r w:rsidRPr="00BD1C03">
        <w:t>GoI</w:t>
      </w:r>
      <w:proofErr w:type="spellEnd"/>
      <w:r w:rsidRPr="00BD1C03">
        <w:t xml:space="preserve"> counterparts. The BPF consortium and IOM demonstrated investment in and support to Disabled People’s Organisations (DPO) and Civil Society Organisations (CSO) to advance disability rights and social cohesion objectives.</w:t>
      </w:r>
    </w:p>
    <w:p w14:paraId="1C809F38" w14:textId="77777777" w:rsidR="00B978BB" w:rsidRPr="00036D8F" w:rsidRDefault="00B978BB" w:rsidP="00942F20">
      <w:pPr>
        <w:pStyle w:val="Heading3"/>
        <w:rPr>
          <w:color w:val="auto"/>
        </w:rPr>
      </w:pPr>
      <w:r w:rsidRPr="00036D8F">
        <w:rPr>
          <w:color w:val="auto"/>
        </w:rPr>
        <w:t>Efficiency</w:t>
      </w:r>
    </w:p>
    <w:p w14:paraId="0D68D820" w14:textId="77AC5B8B" w:rsidR="00B978BB" w:rsidRPr="00BD1C03" w:rsidRDefault="00B978BB" w:rsidP="0008435D">
      <w:pPr>
        <w:rPr>
          <w:color w:val="1F497D" w:themeColor="text2"/>
        </w:rPr>
      </w:pPr>
      <w:r w:rsidRPr="00BD1C03">
        <w:t xml:space="preserve">Reaching firm conclusions in relation to the efficiency of Package investments is difficult due to the nature of </w:t>
      </w:r>
      <w:r w:rsidR="000B51B4">
        <w:t>un</w:t>
      </w:r>
      <w:r w:rsidR="00DD4FE3" w:rsidRPr="00BD1C03">
        <w:t>e</w:t>
      </w:r>
      <w:r w:rsidR="000B51B4">
        <w:t>ar</w:t>
      </w:r>
      <w:r w:rsidR="00DD4FE3" w:rsidRPr="00BD1C03">
        <w:t>marked</w:t>
      </w:r>
      <w:r w:rsidRPr="00BD1C03">
        <w:t xml:space="preserve"> funding and related reporting. However, annual Partner Performance Appraisals (PPA) are </w:t>
      </w:r>
      <w:r w:rsidR="00BD1C03" w:rsidRPr="00BD1C03">
        <w:t>undertaken,</w:t>
      </w:r>
      <w:r w:rsidRPr="00BD1C03">
        <w:t xml:space="preserve"> which review individual partner performance over the preceding </w:t>
      </w:r>
      <w:r w:rsidR="00DD4FE3" w:rsidRPr="00BD1C03">
        <w:t>12-month</w:t>
      </w:r>
      <w:r w:rsidRPr="00BD1C03">
        <w:t xml:space="preserve"> period. These point to relatively strong performance among partners in terms of value for money</w:t>
      </w:r>
      <w:r w:rsidR="00531A36" w:rsidRPr="00BD1C03">
        <w:t xml:space="preserve"> (</w:t>
      </w:r>
      <w:proofErr w:type="spellStart"/>
      <w:r w:rsidR="00531A36" w:rsidRPr="00BD1C03">
        <w:t>VfM</w:t>
      </w:r>
      <w:proofErr w:type="spellEnd"/>
      <w:r w:rsidR="00531A36" w:rsidRPr="00BD1C03">
        <w:t>)</w:t>
      </w:r>
      <w:r w:rsidRPr="00BD1C03">
        <w:t xml:space="preserve"> and alignment with DFAT policy priorities.</w:t>
      </w:r>
    </w:p>
    <w:p w14:paraId="0A38009F" w14:textId="717DDA67" w:rsidR="00B978BB" w:rsidRPr="00BD1C03" w:rsidRDefault="00B978BB" w:rsidP="0008435D">
      <w:r w:rsidRPr="00BD1C03">
        <w:t xml:space="preserve">Partners expressed a strong appreciation for Australia’s commitment to multi-year funding, and its contribution to programming effectiveness and efficiency in Iraq. In particular, interviewees spoke persuasively </w:t>
      </w:r>
      <w:r w:rsidR="00531A36" w:rsidRPr="00BD1C03">
        <w:t xml:space="preserve">to </w:t>
      </w:r>
      <w:r w:rsidRPr="00BD1C03">
        <w:t>the efficiency dividend of multi-year funding in terms of building trust and relationships with local partners to work on social cohesion challenges and facilitate local ownership.</w:t>
      </w:r>
    </w:p>
    <w:p w14:paraId="217C81B2" w14:textId="77777777" w:rsidR="00B978BB" w:rsidRPr="00036D8F" w:rsidRDefault="00B978BB" w:rsidP="00942F20">
      <w:pPr>
        <w:pStyle w:val="Heading3"/>
        <w:rPr>
          <w:color w:val="auto"/>
        </w:rPr>
      </w:pPr>
      <w:r w:rsidRPr="00036D8F">
        <w:rPr>
          <w:color w:val="auto"/>
        </w:rPr>
        <w:t>Monitoring and knowledge management</w:t>
      </w:r>
    </w:p>
    <w:p w14:paraId="40884A67" w14:textId="77777777" w:rsidR="00B978BB" w:rsidRPr="00BD1C03" w:rsidRDefault="00B978BB" w:rsidP="0008435D">
      <w:r w:rsidRPr="00BD1C03">
        <w:t xml:space="preserve">In line with Australia’s Grand Bargain commitments, DFAT requires limited project-specific reporting from multilateral partners and works to ensure that its information needs align with existing data collection processes. This is intended to minimise the reporting burden on partners. Periodic reporting by the Package partners is collated by the Humanitarian Advisory Group (HAG) who provide six monthly reports to DFAT. These reports are then used by DFAT Post and Canberra to review performance and identify areas for follow-up. </w:t>
      </w:r>
    </w:p>
    <w:p w14:paraId="479B28DC" w14:textId="1E1B546D" w:rsidR="00B978BB" w:rsidRPr="00BD1C03" w:rsidRDefault="00B978BB" w:rsidP="0008435D">
      <w:r w:rsidRPr="00BD1C03">
        <w:t>This process collates a wide range of data and complies with Australia’s Gran</w:t>
      </w:r>
      <w:r w:rsidR="000030EF">
        <w:t>d Bargain commitment to harmon</w:t>
      </w:r>
      <w:r w:rsidR="00B43345">
        <w:t>is</w:t>
      </w:r>
      <w:r w:rsidRPr="00BD1C03">
        <w:t xml:space="preserve">ed and simplified reporting requirements. It does however highlight uneven reporting across the Package resulting in limited line of sight on the performance of some partners and makes comparative analysis difficult. It also impacts the appropriateness and relevance of the evidence being gathered, and its ability to be “meaningfully used and applied by DFAT management to improve Package outcomes in real time” </w:t>
      </w:r>
      <w:r w:rsidR="00531A36" w:rsidRPr="00BD1C03">
        <w:t>in line with the</w:t>
      </w:r>
      <w:r w:rsidRPr="00BD1C03">
        <w:t xml:space="preserve"> stated objective of the Package M&amp;E framework. </w:t>
      </w:r>
    </w:p>
    <w:p w14:paraId="267B58CA" w14:textId="5F0E1964" w:rsidR="00B978BB" w:rsidRPr="00BD1C03" w:rsidRDefault="00B978BB" w:rsidP="0008435D">
      <w:r w:rsidRPr="00BD1C03">
        <w:t>This limitation is mitigated by the important role of the Iraq-based Humanitarian Officer who engages and follows up with partners, participates in coordination fora, and works to triangulate reported results through consultation with relevant stakeholders. These efforts are by necessity primarily Baghdad based given in-country access challenges which impedes the ability to observe community level performance. Within this operational context, like-minded donors and agencies spoke to the efficacy of third party monitoring in Iraq, and its critical contribution to helping determine the quality and effectiveness of field level performance and contribute to AAP objectives.</w:t>
      </w:r>
    </w:p>
    <w:p w14:paraId="650A0131" w14:textId="77777777" w:rsidR="00B978BB" w:rsidRPr="00BD1C03" w:rsidRDefault="00B978BB" w:rsidP="0008435D">
      <w:pPr>
        <w:rPr>
          <w:rFonts w:cstheme="minorHAnsi"/>
          <w:iCs/>
        </w:rPr>
      </w:pPr>
      <w:r w:rsidRPr="00BD1C03">
        <w:t>It is also felt that efforts to more explicitly align DFAT policy and M&amp;E guidance with current policy and normative commitments, including IASC standards, would strengthen policy coherence and enable more accurate framing and capturing of results.</w:t>
      </w:r>
    </w:p>
    <w:p w14:paraId="4BDC9D66" w14:textId="77777777" w:rsidR="00B978BB" w:rsidRPr="00036D8F" w:rsidRDefault="00B978BB" w:rsidP="00942F20">
      <w:pPr>
        <w:pStyle w:val="Heading3"/>
        <w:rPr>
          <w:color w:val="auto"/>
        </w:rPr>
      </w:pPr>
      <w:r w:rsidRPr="00036D8F">
        <w:rPr>
          <w:color w:val="auto"/>
        </w:rPr>
        <w:t>Women, Peace and Security (WPS)</w:t>
      </w:r>
    </w:p>
    <w:p w14:paraId="698F41C5" w14:textId="562F0206" w:rsidR="00B978BB" w:rsidRPr="00BD1C03" w:rsidRDefault="00B978BB" w:rsidP="0008435D">
      <w:pPr>
        <w:rPr>
          <w:rFonts w:asciiTheme="majorHAnsi" w:hAnsiTheme="majorHAnsi"/>
          <w:b/>
          <w:bCs/>
          <w:i/>
          <w:iCs/>
          <w:color w:val="1F497D" w:themeColor="text2"/>
        </w:rPr>
      </w:pPr>
      <w:r w:rsidRPr="00BD1C03">
        <w:t>Australia</w:t>
      </w:r>
      <w:r w:rsidR="00531A36" w:rsidRPr="00BD1C03">
        <w:t>,</w:t>
      </w:r>
      <w:r w:rsidRPr="00BD1C03">
        <w:t xml:space="preserve"> and the Ambassador in particular</w:t>
      </w:r>
      <w:r w:rsidR="00531A36" w:rsidRPr="00BD1C03">
        <w:t>,</w:t>
      </w:r>
      <w:r w:rsidRPr="00BD1C03">
        <w:t xml:space="preserve"> have contributed to strengthening the protective environment for women and girls in Iraq through a strategic approach to GEWE, investment in dedicated programs and mainstreaming </w:t>
      </w:r>
      <w:r w:rsidR="00701B69" w:rsidRPr="00BD1C03">
        <w:t>efforts</w:t>
      </w:r>
      <w:r w:rsidRPr="00BD1C03">
        <w:t xml:space="preserve">. Looking forward, advancing the WPS agenda in Iraq will require increased attention to women’s meaningful participation. This should include facilitating space for evidence-based dialogue with key stakeholders that gender equality reduces conflict risk and the inclusion of women leads to more durable and quality peace. WPS civil society in particular would benefit from more targeted capacity building measures including access to </w:t>
      </w:r>
      <w:r w:rsidR="00F957C4" w:rsidRPr="00BD1C03">
        <w:t>small-scale</w:t>
      </w:r>
      <w:r w:rsidRPr="00BD1C03">
        <w:t xml:space="preserve"> grants.</w:t>
      </w:r>
    </w:p>
    <w:p w14:paraId="37DB1C1A" w14:textId="77777777" w:rsidR="00B978BB" w:rsidRPr="00036D8F" w:rsidRDefault="00B978BB" w:rsidP="00942F20">
      <w:pPr>
        <w:pStyle w:val="Heading3"/>
        <w:rPr>
          <w:color w:val="auto"/>
        </w:rPr>
      </w:pPr>
      <w:r w:rsidRPr="00036D8F">
        <w:rPr>
          <w:color w:val="auto"/>
        </w:rPr>
        <w:t>Australia’s national interest</w:t>
      </w:r>
    </w:p>
    <w:p w14:paraId="6BD1DCBF" w14:textId="7159620F" w:rsidR="00B978BB" w:rsidRPr="00BD1C03" w:rsidRDefault="00B978BB" w:rsidP="0008435D">
      <w:r w:rsidRPr="00BD1C03">
        <w:t>Without minimising the importance of the humanitarian imperative and adherence to Good Humanitarian Donorship (GHD) principles, there is wide recognition that continued assistance to Iraq is critical to pave the necessary conditions for stability and peace. DFAT interviewees further noted the importance of the Package investments in facilitating Australia’s seat at the table in strategic discussions and forums to advocate on WPS and humanitarian reform among other priorities. Continued support to Iraq aligns with Australia’s seat on the Human Right Council (HRC) and commitment to advancing gender equality and respect for human rights</w:t>
      </w:r>
      <w:r w:rsidRPr="00BD1C03">
        <w:rPr>
          <w:b/>
          <w:bCs/>
        </w:rPr>
        <w:t xml:space="preserve"> </w:t>
      </w:r>
      <w:r w:rsidRPr="00BD1C03">
        <w:t xml:space="preserve">in recognition of </w:t>
      </w:r>
      <w:r w:rsidR="006E5EF0">
        <w:t>the role they play in “</w:t>
      </w:r>
      <w:r w:rsidRPr="00BD1C03">
        <w:t xml:space="preserve">making Australia and </w:t>
      </w:r>
      <w:r w:rsidR="006E5EF0">
        <w:t>the world safer and more secure”</w:t>
      </w:r>
      <w:r w:rsidRPr="00BD1C03">
        <w:t>.</w:t>
      </w:r>
      <w:r w:rsidRPr="00BD1C03">
        <w:rPr>
          <w:rStyle w:val="EndnoteReference"/>
          <w:rFonts w:ascii="Calibri Light" w:hAnsi="Calibri Light" w:cs="Calibri Light"/>
        </w:rPr>
        <w:endnoteReference w:id="6"/>
      </w:r>
      <w:r w:rsidRPr="00BD1C03">
        <w:t xml:space="preserve"> </w:t>
      </w:r>
    </w:p>
    <w:p w14:paraId="6D0E7A47" w14:textId="549A72D1" w:rsidR="00B978BB" w:rsidRPr="00036D8F" w:rsidRDefault="00B978BB" w:rsidP="00C36964">
      <w:pPr>
        <w:pStyle w:val="Heading2"/>
        <w:numPr>
          <w:ilvl w:val="0"/>
          <w:numId w:val="0"/>
        </w:numPr>
        <w:ind w:left="360" w:hanging="360"/>
      </w:pPr>
      <w:r w:rsidRPr="00036D8F">
        <w:t>Recommendations</w:t>
      </w:r>
    </w:p>
    <w:p w14:paraId="5F75EF66" w14:textId="03430482" w:rsidR="00B978BB" w:rsidRPr="00BD1C03" w:rsidRDefault="00B978BB" w:rsidP="0008435D">
      <w:r w:rsidRPr="00BD1C03">
        <w:t xml:space="preserve">Based on the above conclusions and results achieved, the review recommends a </w:t>
      </w:r>
      <w:r w:rsidR="00D95941" w:rsidRPr="00BD1C03">
        <w:t>two-year</w:t>
      </w:r>
      <w:r w:rsidRPr="00BD1C03">
        <w:t xml:space="preserve"> extension of the current package to consolidate humanitarian and stabilisation gains, with more specific recommendations detailed below. </w:t>
      </w:r>
    </w:p>
    <w:p w14:paraId="4A6E14C4" w14:textId="1595D98A" w:rsidR="00B978BB" w:rsidRPr="00036D8F" w:rsidRDefault="00B978BB" w:rsidP="001D2CE7">
      <w:pPr>
        <w:pStyle w:val="Enfasi"/>
      </w:pPr>
      <w:r w:rsidRPr="00036D8F">
        <w:t>Maintain and strengthen an appropriate, relevant and effective package approach through diplomatic leadership and programming support for the following</w:t>
      </w:r>
      <w:r w:rsidR="00F57308" w:rsidRPr="00036D8F">
        <w:t>:</w:t>
      </w:r>
    </w:p>
    <w:p w14:paraId="7C1F6E94" w14:textId="090B6AB2" w:rsidR="00B978BB" w:rsidRPr="00BD1C03" w:rsidRDefault="00B978BB" w:rsidP="00BD7A63">
      <w:pPr>
        <w:pStyle w:val="bullets0"/>
      </w:pPr>
      <w:r w:rsidRPr="00BD1C03">
        <w:t xml:space="preserve">Advocate and maintain support for critical protection services including legal information, </w:t>
      </w:r>
      <w:r w:rsidR="00D95941" w:rsidRPr="00BD1C03">
        <w:t>counse</w:t>
      </w:r>
      <w:r w:rsidR="009B2359">
        <w:t>l</w:t>
      </w:r>
      <w:r w:rsidR="003631C1">
        <w:t>ling</w:t>
      </w:r>
      <w:r w:rsidR="000030EF">
        <w:t xml:space="preserve"> and assistance, special</w:t>
      </w:r>
      <w:r w:rsidR="00B43345">
        <w:t>is</w:t>
      </w:r>
      <w:r w:rsidRPr="00BD1C03">
        <w:t>ed services for survivors of GBV and persons with disabilities, and access to detention facilities.</w:t>
      </w:r>
    </w:p>
    <w:p w14:paraId="5CE219A0" w14:textId="77777777" w:rsidR="00B978BB" w:rsidRPr="00BD1C03" w:rsidRDefault="00B978BB" w:rsidP="00BD7A63">
      <w:pPr>
        <w:pStyle w:val="bullets0"/>
      </w:pPr>
      <w:r w:rsidRPr="00BD1C03">
        <w:t>Advocate and consider support for the programming necessary to advance stabilisation objectives including social cohesion and reconciliation, governance and rule of law, economic reform and inclusive community level engagement processes.</w:t>
      </w:r>
    </w:p>
    <w:p w14:paraId="68FE04AF" w14:textId="14B95D29" w:rsidR="00B978BB" w:rsidRPr="00BD1C03" w:rsidRDefault="00B978BB" w:rsidP="00BD7A63">
      <w:pPr>
        <w:pStyle w:val="bullets0"/>
      </w:pPr>
      <w:r w:rsidRPr="00BD1C03">
        <w:t>Increase resource allocation to reconciliation and social cohesion, and co</w:t>
      </w:r>
      <w:r w:rsidR="000030EF">
        <w:t>nsider current and new special</w:t>
      </w:r>
      <w:r w:rsidR="00B43345">
        <w:t>is</w:t>
      </w:r>
      <w:r w:rsidRPr="00BD1C03">
        <w:t>ed partners.</w:t>
      </w:r>
    </w:p>
    <w:p w14:paraId="7406AD8D" w14:textId="77777777" w:rsidR="00B978BB" w:rsidRPr="00BD1C03" w:rsidRDefault="00B978BB" w:rsidP="00BD7A63">
      <w:pPr>
        <w:pStyle w:val="bullets0"/>
      </w:pPr>
      <w:r w:rsidRPr="00BD1C03">
        <w:t>Support trusted partners to adapt and respond to the health, protection and economic impacts of COVID-19 on the most vulnerable.</w:t>
      </w:r>
    </w:p>
    <w:p w14:paraId="3F3CDD5A" w14:textId="3EF18E4A" w:rsidR="00B978BB" w:rsidRPr="00BD1C03" w:rsidRDefault="000030EF" w:rsidP="00BD7A63">
      <w:pPr>
        <w:pStyle w:val="bullets0"/>
      </w:pPr>
      <w:r>
        <w:t>Continue to exerc</w:t>
      </w:r>
      <w:r w:rsidR="00B43345">
        <w:t>is</w:t>
      </w:r>
      <w:r w:rsidR="00B978BB" w:rsidRPr="00BD1C03">
        <w:t>e diplomatic leadership and engage in strategic coordination with like-minded donors on issues of common interest such as GEWE, WPS and rights-based returns.</w:t>
      </w:r>
    </w:p>
    <w:p w14:paraId="1D04AB86" w14:textId="3EB01431" w:rsidR="00B978BB" w:rsidRPr="00BD1C03" w:rsidRDefault="00B978BB" w:rsidP="00BD7A63">
      <w:pPr>
        <w:pStyle w:val="bullets0"/>
      </w:pPr>
      <w:r w:rsidRPr="00BD1C03">
        <w:t>Ensure future support and ongoing partner activities are informed by conflict analysis that integrates gender and identifies opportunities to advance WPS objectives.</w:t>
      </w:r>
    </w:p>
    <w:p w14:paraId="573507C0" w14:textId="77777777" w:rsidR="00B978BB" w:rsidRPr="00BD1C03" w:rsidRDefault="00B978BB" w:rsidP="001D2CE7">
      <w:pPr>
        <w:pStyle w:val="Enfasi"/>
      </w:pPr>
      <w:r w:rsidRPr="00BD1C03">
        <w:t xml:space="preserve">Improve effectiveness through alignment with IASC protection standards </w:t>
      </w:r>
    </w:p>
    <w:p w14:paraId="287722F3" w14:textId="1389CFA5" w:rsidR="00B978BB" w:rsidRPr="00BD1C03" w:rsidRDefault="00B978BB" w:rsidP="00BD7A63">
      <w:pPr>
        <w:pStyle w:val="bullets0"/>
        <w:rPr>
          <w:rFonts w:asciiTheme="majorHAnsi" w:hAnsiTheme="majorHAnsi" w:cstheme="minorHAnsi"/>
          <w:iCs/>
        </w:rPr>
      </w:pPr>
      <w:r w:rsidRPr="00BD1C03">
        <w:rPr>
          <w:rFonts w:asciiTheme="majorHAnsi" w:hAnsiTheme="majorHAnsi" w:cstheme="minorHAnsi"/>
          <w:iCs/>
          <w:color w:val="000000" w:themeColor="text1"/>
          <w:lang w:eastAsia="ja-JP"/>
        </w:rPr>
        <w:t xml:space="preserve">Strengthen Iraq’s M&amp;E framework and </w:t>
      </w:r>
      <w:r w:rsidRPr="00BD1C03">
        <w:rPr>
          <w:color w:val="000000" w:themeColor="text1"/>
        </w:rPr>
        <w:t xml:space="preserve">future </w:t>
      </w:r>
      <w:r w:rsidRPr="00BD1C03">
        <w:t>package designs and M&amp;E processes through alignment with IASC protection standards including a comprehensive protection risk analysis and three levels of action</w:t>
      </w:r>
      <w:r w:rsidR="006F6DA1">
        <w:t xml:space="preserve"> </w:t>
      </w:r>
      <w:r w:rsidRPr="00BD1C03">
        <w:t>– strategic approach, dedicated programs and mainstreaming.</w:t>
      </w:r>
    </w:p>
    <w:p w14:paraId="7D8481B7" w14:textId="77777777" w:rsidR="00B978BB" w:rsidRPr="00BD1C03" w:rsidRDefault="00B978BB" w:rsidP="00BD7A63">
      <w:pPr>
        <w:pStyle w:val="bullets0"/>
        <w:rPr>
          <w:rFonts w:asciiTheme="majorHAnsi" w:hAnsiTheme="majorHAnsi" w:cstheme="minorHAnsi"/>
          <w:iCs/>
        </w:rPr>
      </w:pPr>
      <w:r w:rsidRPr="00BD1C03">
        <w:t>Review and update current M&amp;E processes and indicators with reference to independently verifiable indicators for AAP and Preventing Sexual Exploitation and Abuse (PSEA).</w:t>
      </w:r>
    </w:p>
    <w:p w14:paraId="5F714795" w14:textId="77777777" w:rsidR="00B978BB" w:rsidRPr="00BD1C03" w:rsidRDefault="00B978BB" w:rsidP="001D2CE7">
      <w:pPr>
        <w:pStyle w:val="Enfasi"/>
      </w:pPr>
      <w:r w:rsidRPr="00BD1C03">
        <w:t xml:space="preserve">Progress connectedness, sustainability and efficiency </w:t>
      </w:r>
    </w:p>
    <w:p w14:paraId="17D413F2" w14:textId="04037C9D" w:rsidR="00B978BB" w:rsidRPr="00BD1C03" w:rsidRDefault="00B978BB" w:rsidP="00BD7A63">
      <w:pPr>
        <w:pStyle w:val="bullets0"/>
        <w:rPr>
          <w:b/>
          <w:bCs/>
        </w:rPr>
      </w:pPr>
      <w:r w:rsidRPr="00BD1C03">
        <w:t xml:space="preserve">Support progressive transition toward </w:t>
      </w:r>
      <w:proofErr w:type="spellStart"/>
      <w:r w:rsidRPr="00BD1C03">
        <w:t>GoI</w:t>
      </w:r>
      <w:proofErr w:type="spellEnd"/>
      <w:r w:rsidRPr="00BD1C03">
        <w:t xml:space="preserve"> leadership, continue to provide multi-year funding to partners and include indicators for tracking how they are building the financial management and reporting capacity of their local partners.</w:t>
      </w:r>
    </w:p>
    <w:p w14:paraId="3E0DE535" w14:textId="77777777" w:rsidR="00B978BB" w:rsidRPr="00BD1C03" w:rsidRDefault="00B978BB" w:rsidP="00BD7A63">
      <w:pPr>
        <w:pStyle w:val="bullets0"/>
        <w:rPr>
          <w:b/>
          <w:bCs/>
        </w:rPr>
      </w:pPr>
      <w:r w:rsidRPr="00BD1C03">
        <w:t xml:space="preserve">Advocate for an appropriate and efficient coordination structure that caters for the remaining humanitarian needs, maintains the centrality of protection and strengthens engagement with national partners. </w:t>
      </w:r>
    </w:p>
    <w:p w14:paraId="361F083B" w14:textId="77777777" w:rsidR="00B978BB" w:rsidRPr="00BD1C03" w:rsidRDefault="00B978BB" w:rsidP="001D2CE7">
      <w:pPr>
        <w:pStyle w:val="Enfasi"/>
      </w:pPr>
      <w:r w:rsidRPr="00BD1C03">
        <w:t>Enhance Package level M&amp;E, document good practice, and improve policy coherence</w:t>
      </w:r>
    </w:p>
    <w:p w14:paraId="5F8BA170" w14:textId="77777777" w:rsidR="00B978BB" w:rsidRPr="00BD1C03" w:rsidRDefault="00B978BB" w:rsidP="00BD7A63">
      <w:pPr>
        <w:pStyle w:val="bullets0"/>
        <w:rPr>
          <w:b/>
          <w:bCs/>
        </w:rPr>
      </w:pPr>
      <w:r w:rsidRPr="00BD1C03">
        <w:t>Strengthen Package level M&amp;E through third party monitoring and more structured dialogue with partners through the role of posted Humanitarian Officer.</w:t>
      </w:r>
    </w:p>
    <w:p w14:paraId="0ABD3602" w14:textId="77777777" w:rsidR="00B978BB" w:rsidRPr="00BD1C03" w:rsidRDefault="00B978BB" w:rsidP="00BD7A63">
      <w:pPr>
        <w:pStyle w:val="bullets0"/>
      </w:pPr>
      <w:r w:rsidRPr="00BD1C03">
        <w:t>Document good practice lessons from Iraq to inform ongoing and future packages.</w:t>
      </w:r>
    </w:p>
    <w:p w14:paraId="17CDA8EB" w14:textId="77777777" w:rsidR="00B978BB" w:rsidRPr="00BD1C03" w:rsidRDefault="00B978BB" w:rsidP="00BD7A63">
      <w:pPr>
        <w:pStyle w:val="bullets0"/>
      </w:pPr>
      <w:r w:rsidRPr="00BD1C03">
        <w:t>Review systemic M&amp;E challenges that result in high levels of variation in partner reporting and update guidance and tools to align with current IASC standards to more accurately frame and capture results.</w:t>
      </w:r>
    </w:p>
    <w:p w14:paraId="47D61012" w14:textId="3CC80F4E" w:rsidR="00B978BB" w:rsidRPr="00BD1C03" w:rsidRDefault="00B978BB" w:rsidP="00BD7A63">
      <w:pPr>
        <w:pStyle w:val="bullets0"/>
        <w:rPr>
          <w:b/>
          <w:bCs/>
        </w:rPr>
      </w:pPr>
      <w:r w:rsidRPr="00BD1C03">
        <w:t>Initiate DFAT policy guidance to accompany the Partnerships for Recovery: Australia’s COVID-19 Development Response (2020) to support Australia’s engagement in complex protracted crises and address the significant policy level and normative developments since the release of the Humanitarian Strategy (2016) and Protection Framework (2013)</w:t>
      </w:r>
      <w:r w:rsidR="00C5742F" w:rsidRPr="00BD1C03">
        <w:t>.</w:t>
      </w:r>
      <w:r w:rsidRPr="00BD1C03">
        <w:rPr>
          <w:rStyle w:val="EndnoteReference"/>
          <w:rFonts w:ascii="Calibri Light" w:hAnsi="Calibri Light" w:cs="Calibri Light"/>
          <w:szCs w:val="22"/>
        </w:rPr>
        <w:endnoteReference w:id="7"/>
      </w:r>
    </w:p>
    <w:p w14:paraId="7A334E10" w14:textId="77777777" w:rsidR="00B978BB" w:rsidRPr="00BD1C03" w:rsidRDefault="00B978BB" w:rsidP="001D2CE7">
      <w:pPr>
        <w:pStyle w:val="Enfasi"/>
      </w:pPr>
      <w:r w:rsidRPr="00BD1C03">
        <w:t xml:space="preserve">Advance the WPS agenda through supporting Iraqi women’s meaningful participation </w:t>
      </w:r>
    </w:p>
    <w:p w14:paraId="1D46BF9D" w14:textId="614E16BE" w:rsidR="00B978BB" w:rsidRPr="00BD1C03" w:rsidRDefault="00B978BB" w:rsidP="00BD7A63">
      <w:pPr>
        <w:pStyle w:val="bullets0"/>
      </w:pPr>
      <w:r w:rsidRPr="00BD1C03">
        <w:rPr>
          <w:color w:val="000000" w:themeColor="text1"/>
        </w:rPr>
        <w:t xml:space="preserve">Increase bilateral diplomatic engagement and coordinated advocacy with </w:t>
      </w:r>
      <w:r w:rsidRPr="00BD1C03">
        <w:t xml:space="preserve">like-minded donors on advancing </w:t>
      </w:r>
      <w:r w:rsidR="00BB0E75" w:rsidRPr="00BD1C03">
        <w:t xml:space="preserve">Iraqi </w:t>
      </w:r>
      <w:r w:rsidRPr="00BD1C03">
        <w:t>women’s meaningful participation</w:t>
      </w:r>
      <w:r w:rsidR="00BB0E75" w:rsidRPr="00BD1C03">
        <w:t>, including through an updated and appropriately resourced National Action Plan (NAP</w:t>
      </w:r>
      <w:r w:rsidR="00D95941" w:rsidRPr="00BD1C03">
        <w:t>), and</w:t>
      </w:r>
      <w:r w:rsidRPr="00BD1C03">
        <w:t xml:space="preserve"> identify opportunities to </w:t>
      </w:r>
      <w:r w:rsidR="00BB0E75" w:rsidRPr="00BD1C03">
        <w:t>strengthen</w:t>
      </w:r>
      <w:r w:rsidRPr="00BD1C03">
        <w:t xml:space="preserve"> </w:t>
      </w:r>
      <w:r w:rsidR="00BB0E75" w:rsidRPr="00BD1C03">
        <w:t xml:space="preserve">more direct </w:t>
      </w:r>
      <w:r w:rsidRPr="00BD1C03">
        <w:t>support to WPS civil society.</w:t>
      </w:r>
    </w:p>
    <w:p w14:paraId="3E31B0FE" w14:textId="77777777" w:rsidR="00B978BB" w:rsidRPr="00BD1C03" w:rsidRDefault="00B978BB" w:rsidP="0008435D">
      <w:pPr>
        <w:spacing w:before="120" w:after="120"/>
        <w:rPr>
          <w:rFonts w:ascii="Calibri Light" w:hAnsi="Calibri Light" w:cs="Calibri Light"/>
          <w:szCs w:val="22"/>
        </w:rPr>
        <w:sectPr w:rsidR="00B978BB" w:rsidRPr="00BD1C03" w:rsidSect="00230834">
          <w:footerReference w:type="default" r:id="rId18"/>
          <w:endnotePr>
            <w:numFmt w:val="decimal"/>
          </w:endnotePr>
          <w:pgSz w:w="11900" w:h="16840"/>
          <w:pgMar w:top="1440" w:right="1440" w:bottom="1440" w:left="1440" w:header="708" w:footer="708" w:gutter="0"/>
          <w:pgNumType w:fmt="upperRoman" w:start="1"/>
          <w:cols w:space="708"/>
          <w:docGrid w:linePitch="299"/>
        </w:sectPr>
      </w:pPr>
    </w:p>
    <w:p w14:paraId="135FDAA4" w14:textId="77777777" w:rsidR="00B978BB" w:rsidRPr="00BD1C03" w:rsidRDefault="00B978BB" w:rsidP="00942F20">
      <w:pPr>
        <w:pStyle w:val="Heading3"/>
        <w:sectPr w:rsidR="00B978BB" w:rsidRPr="00BD1C03" w:rsidSect="009F016D">
          <w:endnotePr>
            <w:numFmt w:val="decimal"/>
          </w:endnotePr>
          <w:type w:val="continuous"/>
          <w:pgSz w:w="11900" w:h="16840"/>
          <w:pgMar w:top="1440" w:right="1800" w:bottom="1440" w:left="1800" w:header="708" w:footer="708" w:gutter="0"/>
          <w:pgNumType w:start="1"/>
          <w:cols w:space="708"/>
        </w:sectPr>
      </w:pPr>
    </w:p>
    <w:p w14:paraId="0B7730E3" w14:textId="7FB8626A" w:rsidR="003620F2" w:rsidRPr="00044C32" w:rsidRDefault="003620F2" w:rsidP="00C25656">
      <w:pPr>
        <w:pStyle w:val="Heading1"/>
        <w:numPr>
          <w:ilvl w:val="0"/>
          <w:numId w:val="5"/>
        </w:numPr>
        <w:ind w:left="357" w:hanging="357"/>
        <w:rPr>
          <w:sz w:val="56"/>
        </w:rPr>
      </w:pPr>
      <w:bookmarkStart w:id="2" w:name="_Toc48318492"/>
      <w:r w:rsidRPr="00036D8F">
        <w:rPr>
          <w:color w:val="auto"/>
          <w:sz w:val="56"/>
        </w:rPr>
        <w:t>Background</w:t>
      </w:r>
      <w:bookmarkEnd w:id="2"/>
      <w:r w:rsidR="00E95C4A" w:rsidRPr="00036D8F">
        <w:rPr>
          <w:color w:val="auto"/>
          <w:sz w:val="56"/>
        </w:rPr>
        <w:tab/>
      </w:r>
      <w:r w:rsidR="00E95C4A" w:rsidRPr="00036D8F">
        <w:rPr>
          <w:color w:val="auto"/>
          <w:sz w:val="56"/>
        </w:rPr>
        <w:tab/>
      </w:r>
      <w:r w:rsidR="00E95C4A" w:rsidRPr="00036D8F">
        <w:rPr>
          <w:color w:val="auto"/>
          <w:sz w:val="56"/>
        </w:rPr>
        <w:tab/>
      </w:r>
      <w:r w:rsidR="00E95C4A" w:rsidRPr="00036D8F">
        <w:rPr>
          <w:color w:val="auto"/>
          <w:sz w:val="56"/>
        </w:rPr>
        <w:tab/>
      </w:r>
      <w:r w:rsidR="00E95C4A" w:rsidRPr="00036D8F">
        <w:rPr>
          <w:color w:val="auto"/>
          <w:sz w:val="56"/>
        </w:rPr>
        <w:tab/>
      </w:r>
    </w:p>
    <w:p w14:paraId="2B3CFBC7" w14:textId="1DC1C7F9" w:rsidR="004059E5" w:rsidRPr="00BD1C03" w:rsidRDefault="004059E5" w:rsidP="0008435D">
      <w:r w:rsidRPr="00BD1C03">
        <w:t>Iraq has experienced a sustained period of conflict, displacement and instability since 2003. This situation intensified as a result of the 2014-17 conflict against the Islamic State of Iraq and the Levant (ISIL). The Iraq Humanitarian and St</w:t>
      </w:r>
      <w:r w:rsidR="006E5EF0">
        <w:t>abilisation Package (hereafter “the Package”</w:t>
      </w:r>
      <w:r w:rsidRPr="00BD1C03">
        <w:t xml:space="preserve">) initiated in 2017 by the Australian Department of Foreign Affairs and Trade (DFAT) responds to this context by supporting international efforts aimed at meeting the humanitarian needs of Iraq’s most vulnerable conflict-affected populations, while also supporting Iraqi communities on a path towards greater resilience, cohesion and stability. </w:t>
      </w:r>
    </w:p>
    <w:p w14:paraId="7828D1F6" w14:textId="77777777" w:rsidR="00E7507A" w:rsidRPr="00BD1C03" w:rsidRDefault="004059E5" w:rsidP="0008435D">
      <w:r w:rsidRPr="00BD1C03">
        <w:t xml:space="preserve">Working through a strategically identified cross-section of partners, DFAT supported activities are designed to address </w:t>
      </w:r>
      <w:r w:rsidR="00644A21" w:rsidRPr="00BD1C03">
        <w:t xml:space="preserve">the </w:t>
      </w:r>
      <w:r w:rsidRPr="00BD1C03">
        <w:t xml:space="preserve">short and medium term humanitarian needs of affected populations; rapid recovery and stabilisation activities in retaken areas (including rehabilitation of essential public services and economic opportunities); and initiatives aimed at reconciliation and social cohesion within conflict affected communities. </w:t>
      </w:r>
    </w:p>
    <w:p w14:paraId="5CB08AD5" w14:textId="77777777" w:rsidR="0056018B" w:rsidRPr="00BD1C03" w:rsidRDefault="0056018B" w:rsidP="0056018B">
      <w:r w:rsidRPr="00BD1C03">
        <w:t>Collectively, these investments are intended to support two end-of-Package outcomes:</w:t>
      </w:r>
    </w:p>
    <w:p w14:paraId="7BCB02F0" w14:textId="77777777" w:rsidR="0056018B" w:rsidRPr="00BD1C03" w:rsidRDefault="0056018B" w:rsidP="0056018B">
      <w:pPr>
        <w:pStyle w:val="bullets0"/>
      </w:pPr>
      <w:r w:rsidRPr="00BD1C03">
        <w:t xml:space="preserve">Vulnerable people in Iraq affected by the conflict receive inclusive humanitarian assistance and have greater access to protection services; </w:t>
      </w:r>
    </w:p>
    <w:p w14:paraId="363CB12A" w14:textId="77777777" w:rsidR="0056018B" w:rsidRPr="00BD1C03" w:rsidRDefault="0056018B" w:rsidP="0056018B">
      <w:pPr>
        <w:pStyle w:val="bullets0"/>
        <w:spacing w:after="0"/>
      </w:pPr>
      <w:r w:rsidRPr="00BD1C03">
        <w:t>Institutions, infrastructure and social conditions improved for conflict-affected populations to recover and build resilience in a safe and stable environment.</w:t>
      </w:r>
    </w:p>
    <w:p w14:paraId="18D88B4D" w14:textId="72B8D38A" w:rsidR="008206E8" w:rsidRPr="00BD1C03" w:rsidRDefault="0056018B" w:rsidP="001D2CE7">
      <w:pPr>
        <w:pStyle w:val="Enfasi"/>
      </w:pPr>
      <w:r>
        <w:t>T</w:t>
      </w:r>
      <w:r w:rsidR="00516F22" w:rsidRPr="00BD1C03">
        <w:t>ab</w:t>
      </w:r>
      <w:r w:rsidR="0032386E" w:rsidRPr="00BD1C03">
        <w:t xml:space="preserve">. </w:t>
      </w:r>
      <w:r w:rsidR="00516F22" w:rsidRPr="00BD1C03">
        <w:t xml:space="preserve">1: </w:t>
      </w:r>
      <w:r w:rsidR="004059E5" w:rsidRPr="00BD1C03">
        <w:t>Iraq Humanitarian and Stabilisation Package Overview</w:t>
      </w:r>
    </w:p>
    <w:tbl>
      <w:tblPr>
        <w:tblStyle w:val="GridTable1Light-Accent31"/>
        <w:tblW w:w="0" w:type="auto"/>
        <w:tblLook w:val="04A0" w:firstRow="1" w:lastRow="0" w:firstColumn="1" w:lastColumn="0" w:noHBand="0" w:noVBand="1"/>
      </w:tblPr>
      <w:tblGrid>
        <w:gridCol w:w="2408"/>
        <w:gridCol w:w="1478"/>
        <w:gridCol w:w="1479"/>
        <w:gridCol w:w="1512"/>
        <w:gridCol w:w="1413"/>
      </w:tblGrid>
      <w:tr w:rsidR="00FC3FDD" w:rsidRPr="00BD1C03" w14:paraId="2046EBC0" w14:textId="77777777" w:rsidTr="00204E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Borders>
              <w:bottom w:val="single" w:sz="4" w:space="0" w:color="4F6228" w:themeColor="accent3" w:themeShade="80"/>
            </w:tcBorders>
          </w:tcPr>
          <w:p w14:paraId="60961A90" w14:textId="77777777" w:rsidR="004059E5" w:rsidRPr="0038210E" w:rsidRDefault="004059E5" w:rsidP="00CB2E00">
            <w:pPr>
              <w:spacing w:before="120" w:after="120"/>
              <w:rPr>
                <w:sz w:val="32"/>
              </w:rPr>
            </w:pPr>
            <w:r w:rsidRPr="0038210E">
              <w:rPr>
                <w:sz w:val="32"/>
              </w:rPr>
              <w:t xml:space="preserve">Partner </w:t>
            </w:r>
          </w:p>
        </w:tc>
        <w:tc>
          <w:tcPr>
            <w:tcW w:w="1499" w:type="dxa"/>
            <w:tcBorders>
              <w:bottom w:val="single" w:sz="4" w:space="0" w:color="4F6228" w:themeColor="accent3" w:themeShade="80"/>
            </w:tcBorders>
          </w:tcPr>
          <w:p w14:paraId="7985E10C" w14:textId="77777777" w:rsidR="004059E5" w:rsidRPr="0038210E" w:rsidRDefault="004059E5" w:rsidP="00CB2E00">
            <w:pPr>
              <w:spacing w:before="120" w:after="120"/>
              <w:cnfStyle w:val="100000000000" w:firstRow="1" w:lastRow="0" w:firstColumn="0" w:lastColumn="0" w:oddVBand="0" w:evenVBand="0" w:oddHBand="0" w:evenHBand="0" w:firstRowFirstColumn="0" w:firstRowLastColumn="0" w:lastRowFirstColumn="0" w:lastRowLastColumn="0"/>
              <w:rPr>
                <w:sz w:val="32"/>
              </w:rPr>
            </w:pPr>
            <w:r w:rsidRPr="0038210E">
              <w:rPr>
                <w:sz w:val="32"/>
              </w:rPr>
              <w:t>2017/18</w:t>
            </w:r>
          </w:p>
        </w:tc>
        <w:tc>
          <w:tcPr>
            <w:tcW w:w="1500" w:type="dxa"/>
            <w:tcBorders>
              <w:bottom w:val="single" w:sz="4" w:space="0" w:color="4F6228" w:themeColor="accent3" w:themeShade="80"/>
            </w:tcBorders>
          </w:tcPr>
          <w:p w14:paraId="2017884A" w14:textId="77777777" w:rsidR="004059E5" w:rsidRPr="0038210E" w:rsidRDefault="004059E5" w:rsidP="00CB2E00">
            <w:pPr>
              <w:spacing w:before="120" w:after="120"/>
              <w:cnfStyle w:val="100000000000" w:firstRow="1" w:lastRow="0" w:firstColumn="0" w:lastColumn="0" w:oddVBand="0" w:evenVBand="0" w:oddHBand="0" w:evenHBand="0" w:firstRowFirstColumn="0" w:firstRowLastColumn="0" w:lastRowFirstColumn="0" w:lastRowLastColumn="0"/>
              <w:rPr>
                <w:sz w:val="32"/>
              </w:rPr>
            </w:pPr>
            <w:r w:rsidRPr="0038210E">
              <w:rPr>
                <w:sz w:val="32"/>
              </w:rPr>
              <w:t>2018/19</w:t>
            </w:r>
          </w:p>
        </w:tc>
        <w:tc>
          <w:tcPr>
            <w:tcW w:w="1537" w:type="dxa"/>
            <w:tcBorders>
              <w:bottom w:val="single" w:sz="4" w:space="0" w:color="4F6228" w:themeColor="accent3" w:themeShade="80"/>
            </w:tcBorders>
          </w:tcPr>
          <w:p w14:paraId="41D44D55" w14:textId="77777777" w:rsidR="004059E5" w:rsidRPr="0038210E" w:rsidRDefault="004059E5" w:rsidP="00CB2E00">
            <w:pPr>
              <w:spacing w:before="120" w:after="120"/>
              <w:cnfStyle w:val="100000000000" w:firstRow="1" w:lastRow="0" w:firstColumn="0" w:lastColumn="0" w:oddVBand="0" w:evenVBand="0" w:oddHBand="0" w:evenHBand="0" w:firstRowFirstColumn="0" w:firstRowLastColumn="0" w:lastRowFirstColumn="0" w:lastRowLastColumn="0"/>
              <w:rPr>
                <w:sz w:val="32"/>
              </w:rPr>
            </w:pPr>
            <w:r w:rsidRPr="0038210E">
              <w:rPr>
                <w:sz w:val="32"/>
              </w:rPr>
              <w:t>2019/20</w:t>
            </w:r>
          </w:p>
        </w:tc>
        <w:tc>
          <w:tcPr>
            <w:tcW w:w="1462" w:type="dxa"/>
            <w:tcBorders>
              <w:bottom w:val="single" w:sz="4" w:space="0" w:color="4F6228" w:themeColor="accent3" w:themeShade="80"/>
            </w:tcBorders>
          </w:tcPr>
          <w:p w14:paraId="08A7968A" w14:textId="77777777" w:rsidR="004059E5" w:rsidRPr="0038210E" w:rsidRDefault="004059E5" w:rsidP="00CB2E00">
            <w:pPr>
              <w:spacing w:before="120" w:after="120"/>
              <w:cnfStyle w:val="100000000000" w:firstRow="1" w:lastRow="0" w:firstColumn="0" w:lastColumn="0" w:oddVBand="0" w:evenVBand="0" w:oddHBand="0" w:evenHBand="0" w:firstRowFirstColumn="0" w:firstRowLastColumn="0" w:lastRowFirstColumn="0" w:lastRowLastColumn="0"/>
              <w:rPr>
                <w:sz w:val="32"/>
              </w:rPr>
            </w:pPr>
            <w:r w:rsidRPr="0038210E">
              <w:rPr>
                <w:sz w:val="32"/>
              </w:rPr>
              <w:t>Total</w:t>
            </w:r>
          </w:p>
        </w:tc>
      </w:tr>
      <w:tr w:rsidR="00D91589" w:rsidRPr="00BD1C03" w14:paraId="479B3780" w14:textId="77777777" w:rsidTr="0038210E">
        <w:tc>
          <w:tcPr>
            <w:cnfStyle w:val="001000000000" w:firstRow="0" w:lastRow="0" w:firstColumn="1" w:lastColumn="0" w:oddVBand="0" w:evenVBand="0" w:oddHBand="0" w:evenHBand="0" w:firstRowFirstColumn="0" w:firstRowLastColumn="0" w:lastRowFirstColumn="0" w:lastRowLastColumn="0"/>
            <w:tcW w:w="2518" w:type="dxa"/>
          </w:tcPr>
          <w:p w14:paraId="5BCEE064" w14:textId="77777777" w:rsidR="004059E5" w:rsidRPr="0038210E" w:rsidRDefault="004059E5" w:rsidP="0056018B">
            <w:pPr>
              <w:spacing w:before="60" w:after="60"/>
              <w:rPr>
                <w:rFonts w:asciiTheme="majorHAnsi" w:hAnsiTheme="majorHAnsi"/>
                <w:color w:val="4F6228" w:themeColor="accent3" w:themeShade="80"/>
              </w:rPr>
            </w:pPr>
            <w:r w:rsidRPr="0038210E">
              <w:rPr>
                <w:rFonts w:asciiTheme="majorHAnsi" w:hAnsiTheme="majorHAnsi"/>
                <w:color w:val="4F6228" w:themeColor="accent3" w:themeShade="80"/>
              </w:rPr>
              <w:t xml:space="preserve">Humanitarian </w:t>
            </w:r>
          </w:p>
        </w:tc>
        <w:tc>
          <w:tcPr>
            <w:tcW w:w="1499" w:type="dxa"/>
          </w:tcPr>
          <w:p w14:paraId="2A834CA6" w14:textId="77777777" w:rsidR="004059E5" w:rsidRPr="0038210E"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b/>
                <w:color w:val="4F6228" w:themeColor="accent3" w:themeShade="80"/>
              </w:rPr>
            </w:pPr>
            <w:r w:rsidRPr="0038210E">
              <w:rPr>
                <w:rFonts w:asciiTheme="majorHAnsi" w:hAnsiTheme="majorHAnsi"/>
                <w:b/>
                <w:color w:val="4F6228" w:themeColor="accent3" w:themeShade="80"/>
              </w:rPr>
              <w:t>$18.5 million</w:t>
            </w:r>
          </w:p>
        </w:tc>
        <w:tc>
          <w:tcPr>
            <w:tcW w:w="1500" w:type="dxa"/>
          </w:tcPr>
          <w:p w14:paraId="0A203A80" w14:textId="77777777" w:rsidR="004059E5" w:rsidRPr="0038210E"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b/>
                <w:color w:val="4F6228" w:themeColor="accent3" w:themeShade="80"/>
              </w:rPr>
            </w:pPr>
            <w:r w:rsidRPr="0038210E">
              <w:rPr>
                <w:rFonts w:asciiTheme="majorHAnsi" w:hAnsiTheme="majorHAnsi"/>
                <w:b/>
                <w:color w:val="4F6228" w:themeColor="accent3" w:themeShade="80"/>
              </w:rPr>
              <w:t>$20.5 million</w:t>
            </w:r>
          </w:p>
        </w:tc>
        <w:tc>
          <w:tcPr>
            <w:tcW w:w="1537" w:type="dxa"/>
          </w:tcPr>
          <w:p w14:paraId="1170EAD6" w14:textId="77777777" w:rsidR="004059E5" w:rsidRPr="0038210E"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b/>
                <w:color w:val="4F6228" w:themeColor="accent3" w:themeShade="80"/>
              </w:rPr>
            </w:pPr>
            <w:r w:rsidRPr="0038210E">
              <w:rPr>
                <w:rFonts w:asciiTheme="majorHAnsi" w:hAnsiTheme="majorHAnsi"/>
                <w:b/>
                <w:color w:val="4F6228" w:themeColor="accent3" w:themeShade="80"/>
              </w:rPr>
              <w:t>$20.2 million</w:t>
            </w:r>
          </w:p>
        </w:tc>
        <w:tc>
          <w:tcPr>
            <w:tcW w:w="1462" w:type="dxa"/>
          </w:tcPr>
          <w:p w14:paraId="33EDDF45" w14:textId="77777777" w:rsidR="004059E5" w:rsidRPr="0038210E"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b/>
                <w:color w:val="4F6228" w:themeColor="accent3" w:themeShade="80"/>
              </w:rPr>
            </w:pPr>
            <w:r w:rsidRPr="0038210E">
              <w:rPr>
                <w:rFonts w:asciiTheme="majorHAnsi" w:hAnsiTheme="majorHAnsi"/>
                <w:b/>
                <w:color w:val="4F6228" w:themeColor="accent3" w:themeShade="80"/>
              </w:rPr>
              <w:t>$59.2 million</w:t>
            </w:r>
          </w:p>
        </w:tc>
      </w:tr>
      <w:tr w:rsidR="00FC3FDD" w:rsidRPr="00BD1C03" w14:paraId="2F93A178" w14:textId="77777777" w:rsidTr="0038210E">
        <w:tc>
          <w:tcPr>
            <w:cnfStyle w:val="001000000000" w:firstRow="0" w:lastRow="0" w:firstColumn="1" w:lastColumn="0" w:oddVBand="0" w:evenVBand="0" w:oddHBand="0" w:evenHBand="0" w:firstRowFirstColumn="0" w:firstRowLastColumn="0" w:lastRowFirstColumn="0" w:lastRowLastColumn="0"/>
            <w:tcW w:w="2518" w:type="dxa"/>
          </w:tcPr>
          <w:p w14:paraId="28AD16BF" w14:textId="151A9693" w:rsidR="004059E5" w:rsidRPr="00BD1C03" w:rsidRDefault="00644A21" w:rsidP="0056018B">
            <w:pPr>
              <w:spacing w:before="60" w:after="60"/>
              <w:rPr>
                <w:rFonts w:asciiTheme="majorHAnsi" w:hAnsiTheme="majorHAnsi"/>
                <w:b w:val="0"/>
              </w:rPr>
            </w:pPr>
            <w:r w:rsidRPr="00BD1C03">
              <w:rPr>
                <w:rFonts w:asciiTheme="majorHAnsi" w:hAnsiTheme="majorHAnsi"/>
                <w:b w:val="0"/>
              </w:rPr>
              <w:t>IHO</w:t>
            </w:r>
          </w:p>
        </w:tc>
        <w:tc>
          <w:tcPr>
            <w:tcW w:w="1499" w:type="dxa"/>
          </w:tcPr>
          <w:p w14:paraId="134E70C9" w14:textId="77777777" w:rsidR="004059E5" w:rsidRPr="00BD1C03"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D1C03">
              <w:rPr>
                <w:rFonts w:asciiTheme="majorHAnsi" w:hAnsiTheme="majorHAnsi"/>
              </w:rPr>
              <w:t>$8 million</w:t>
            </w:r>
          </w:p>
        </w:tc>
        <w:tc>
          <w:tcPr>
            <w:tcW w:w="1500" w:type="dxa"/>
          </w:tcPr>
          <w:p w14:paraId="434988DD" w14:textId="77777777" w:rsidR="004059E5" w:rsidRPr="00BD1C03"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D1C03">
              <w:rPr>
                <w:rFonts w:asciiTheme="majorHAnsi" w:hAnsiTheme="majorHAnsi"/>
              </w:rPr>
              <w:t>$5 million</w:t>
            </w:r>
          </w:p>
        </w:tc>
        <w:tc>
          <w:tcPr>
            <w:tcW w:w="1537" w:type="dxa"/>
          </w:tcPr>
          <w:p w14:paraId="771468D0" w14:textId="77777777" w:rsidR="004059E5" w:rsidRPr="00BD1C03"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D1C03">
              <w:rPr>
                <w:rFonts w:asciiTheme="majorHAnsi" w:hAnsiTheme="majorHAnsi"/>
              </w:rPr>
              <w:t>$5 million</w:t>
            </w:r>
          </w:p>
        </w:tc>
        <w:tc>
          <w:tcPr>
            <w:tcW w:w="1462" w:type="dxa"/>
          </w:tcPr>
          <w:p w14:paraId="6505EE4B" w14:textId="77777777" w:rsidR="004059E5" w:rsidRPr="00BD1C03"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D1C03">
              <w:rPr>
                <w:rFonts w:asciiTheme="majorHAnsi" w:hAnsiTheme="majorHAnsi"/>
              </w:rPr>
              <w:t>$18 million</w:t>
            </w:r>
          </w:p>
        </w:tc>
      </w:tr>
      <w:tr w:rsidR="00FC3FDD" w:rsidRPr="00BD1C03" w14:paraId="4E57D968" w14:textId="77777777" w:rsidTr="0038210E">
        <w:tc>
          <w:tcPr>
            <w:cnfStyle w:val="001000000000" w:firstRow="0" w:lastRow="0" w:firstColumn="1" w:lastColumn="0" w:oddVBand="0" w:evenVBand="0" w:oddHBand="0" w:evenHBand="0" w:firstRowFirstColumn="0" w:firstRowLastColumn="0" w:lastRowFirstColumn="0" w:lastRowLastColumn="0"/>
            <w:tcW w:w="2518" w:type="dxa"/>
          </w:tcPr>
          <w:p w14:paraId="4DA6337D" w14:textId="77777777" w:rsidR="004059E5" w:rsidRPr="00BD1C03" w:rsidRDefault="004059E5" w:rsidP="0056018B">
            <w:pPr>
              <w:spacing w:before="60" w:after="60"/>
              <w:rPr>
                <w:rFonts w:asciiTheme="majorHAnsi" w:hAnsiTheme="majorHAnsi"/>
                <w:b w:val="0"/>
              </w:rPr>
            </w:pPr>
            <w:r w:rsidRPr="00BD1C03">
              <w:rPr>
                <w:rFonts w:asciiTheme="majorHAnsi" w:hAnsiTheme="majorHAnsi"/>
                <w:b w:val="0"/>
              </w:rPr>
              <w:t>UNFPA</w:t>
            </w:r>
          </w:p>
        </w:tc>
        <w:tc>
          <w:tcPr>
            <w:tcW w:w="1499" w:type="dxa"/>
          </w:tcPr>
          <w:p w14:paraId="7C121368" w14:textId="77777777" w:rsidR="004059E5" w:rsidRPr="00BD1C03"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D1C03">
              <w:rPr>
                <w:rFonts w:asciiTheme="majorHAnsi" w:hAnsiTheme="majorHAnsi"/>
              </w:rPr>
              <w:t>$4 million</w:t>
            </w:r>
          </w:p>
        </w:tc>
        <w:tc>
          <w:tcPr>
            <w:tcW w:w="1500" w:type="dxa"/>
          </w:tcPr>
          <w:p w14:paraId="5C7F642E" w14:textId="77777777" w:rsidR="004059E5" w:rsidRPr="00BD1C03"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D1C03">
              <w:rPr>
                <w:rFonts w:asciiTheme="majorHAnsi" w:hAnsiTheme="majorHAnsi"/>
              </w:rPr>
              <w:t>$4 million</w:t>
            </w:r>
          </w:p>
        </w:tc>
        <w:tc>
          <w:tcPr>
            <w:tcW w:w="1537" w:type="dxa"/>
          </w:tcPr>
          <w:p w14:paraId="1E332C07" w14:textId="77777777" w:rsidR="004059E5" w:rsidRPr="00BD1C03"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D1C03">
              <w:rPr>
                <w:rFonts w:asciiTheme="majorHAnsi" w:hAnsiTheme="majorHAnsi"/>
              </w:rPr>
              <w:t>$4.7 million</w:t>
            </w:r>
          </w:p>
        </w:tc>
        <w:tc>
          <w:tcPr>
            <w:tcW w:w="1462" w:type="dxa"/>
          </w:tcPr>
          <w:p w14:paraId="2C2CD0ED" w14:textId="77777777" w:rsidR="004059E5" w:rsidRPr="00BD1C03"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D1C03">
              <w:rPr>
                <w:rFonts w:asciiTheme="majorHAnsi" w:hAnsiTheme="majorHAnsi"/>
              </w:rPr>
              <w:t>$12.7 million</w:t>
            </w:r>
          </w:p>
        </w:tc>
      </w:tr>
      <w:tr w:rsidR="00FC3FDD" w:rsidRPr="00BD1C03" w14:paraId="41C36E25" w14:textId="77777777" w:rsidTr="0038210E">
        <w:tc>
          <w:tcPr>
            <w:cnfStyle w:val="001000000000" w:firstRow="0" w:lastRow="0" w:firstColumn="1" w:lastColumn="0" w:oddVBand="0" w:evenVBand="0" w:oddHBand="0" w:evenHBand="0" w:firstRowFirstColumn="0" w:firstRowLastColumn="0" w:lastRowFirstColumn="0" w:lastRowLastColumn="0"/>
            <w:tcW w:w="2518" w:type="dxa"/>
          </w:tcPr>
          <w:p w14:paraId="1B3C454C" w14:textId="77777777" w:rsidR="004059E5" w:rsidRPr="00BD1C03" w:rsidRDefault="004059E5" w:rsidP="0056018B">
            <w:pPr>
              <w:spacing w:before="60" w:after="60"/>
              <w:rPr>
                <w:rFonts w:asciiTheme="majorHAnsi" w:hAnsiTheme="majorHAnsi"/>
                <w:b w:val="0"/>
              </w:rPr>
            </w:pPr>
            <w:r w:rsidRPr="00BD1C03">
              <w:rPr>
                <w:rFonts w:asciiTheme="majorHAnsi" w:hAnsiTheme="majorHAnsi"/>
                <w:b w:val="0"/>
              </w:rPr>
              <w:t>UNICEF</w:t>
            </w:r>
          </w:p>
        </w:tc>
        <w:tc>
          <w:tcPr>
            <w:tcW w:w="1499" w:type="dxa"/>
          </w:tcPr>
          <w:p w14:paraId="723B3844" w14:textId="77777777" w:rsidR="004059E5" w:rsidRPr="00BD1C03"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D1C03">
              <w:rPr>
                <w:rFonts w:asciiTheme="majorHAnsi" w:hAnsiTheme="majorHAnsi"/>
              </w:rPr>
              <w:t>Not funded</w:t>
            </w:r>
          </w:p>
        </w:tc>
        <w:tc>
          <w:tcPr>
            <w:tcW w:w="1500" w:type="dxa"/>
          </w:tcPr>
          <w:p w14:paraId="64EA89BA" w14:textId="77777777" w:rsidR="004059E5" w:rsidRPr="00BD1C03"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D1C03">
              <w:rPr>
                <w:rFonts w:asciiTheme="majorHAnsi" w:hAnsiTheme="majorHAnsi"/>
              </w:rPr>
              <w:t>$4.5 million</w:t>
            </w:r>
          </w:p>
        </w:tc>
        <w:tc>
          <w:tcPr>
            <w:tcW w:w="1537" w:type="dxa"/>
          </w:tcPr>
          <w:p w14:paraId="14B29CAF" w14:textId="77777777" w:rsidR="004059E5" w:rsidRPr="00BD1C03"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D1C03">
              <w:rPr>
                <w:rFonts w:asciiTheme="majorHAnsi" w:hAnsiTheme="majorHAnsi"/>
              </w:rPr>
              <w:t>$4 million</w:t>
            </w:r>
          </w:p>
        </w:tc>
        <w:tc>
          <w:tcPr>
            <w:tcW w:w="1462" w:type="dxa"/>
          </w:tcPr>
          <w:p w14:paraId="23319F92" w14:textId="77777777" w:rsidR="004059E5" w:rsidRPr="00BD1C03"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D1C03">
              <w:rPr>
                <w:rFonts w:asciiTheme="majorHAnsi" w:hAnsiTheme="majorHAnsi"/>
              </w:rPr>
              <w:t>$8.5 million</w:t>
            </w:r>
          </w:p>
        </w:tc>
      </w:tr>
      <w:tr w:rsidR="00FC3FDD" w:rsidRPr="00BD1C03" w14:paraId="484D50CE" w14:textId="77777777" w:rsidTr="0038210E">
        <w:tc>
          <w:tcPr>
            <w:cnfStyle w:val="001000000000" w:firstRow="0" w:lastRow="0" w:firstColumn="1" w:lastColumn="0" w:oddVBand="0" w:evenVBand="0" w:oddHBand="0" w:evenHBand="0" w:firstRowFirstColumn="0" w:firstRowLastColumn="0" w:lastRowFirstColumn="0" w:lastRowLastColumn="0"/>
            <w:tcW w:w="2518" w:type="dxa"/>
          </w:tcPr>
          <w:p w14:paraId="01654D93" w14:textId="77777777" w:rsidR="004059E5" w:rsidRPr="00BD1C03" w:rsidRDefault="004059E5" w:rsidP="0056018B">
            <w:pPr>
              <w:spacing w:before="60" w:after="60"/>
              <w:rPr>
                <w:rFonts w:asciiTheme="majorHAnsi" w:hAnsiTheme="majorHAnsi"/>
                <w:b w:val="0"/>
              </w:rPr>
            </w:pPr>
            <w:r w:rsidRPr="00BD1C03">
              <w:rPr>
                <w:rFonts w:asciiTheme="majorHAnsi" w:hAnsiTheme="majorHAnsi"/>
                <w:b w:val="0"/>
              </w:rPr>
              <w:t>Save the Children</w:t>
            </w:r>
          </w:p>
        </w:tc>
        <w:tc>
          <w:tcPr>
            <w:tcW w:w="1499" w:type="dxa"/>
          </w:tcPr>
          <w:p w14:paraId="265DA27F" w14:textId="77777777" w:rsidR="004059E5" w:rsidRPr="00BD1C03"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BD1C03">
              <w:rPr>
                <w:rFonts w:asciiTheme="majorHAnsi" w:hAnsiTheme="majorHAnsi"/>
                <w:bCs/>
              </w:rPr>
              <w:t>$6.5 million</w:t>
            </w:r>
          </w:p>
        </w:tc>
        <w:tc>
          <w:tcPr>
            <w:tcW w:w="1500" w:type="dxa"/>
          </w:tcPr>
          <w:p w14:paraId="712FAE6A" w14:textId="77777777" w:rsidR="004059E5" w:rsidRPr="00BD1C03"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BD1C03">
              <w:rPr>
                <w:rFonts w:asciiTheme="majorHAnsi" w:hAnsiTheme="majorHAnsi"/>
                <w:bCs/>
              </w:rPr>
              <w:t>$7 million</w:t>
            </w:r>
          </w:p>
        </w:tc>
        <w:tc>
          <w:tcPr>
            <w:tcW w:w="1537" w:type="dxa"/>
          </w:tcPr>
          <w:p w14:paraId="4D42FA67" w14:textId="77777777" w:rsidR="004059E5" w:rsidRPr="00BD1C03"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BD1C03">
              <w:rPr>
                <w:rFonts w:asciiTheme="majorHAnsi" w:hAnsiTheme="majorHAnsi"/>
                <w:bCs/>
              </w:rPr>
              <w:t>$6.5 million</w:t>
            </w:r>
          </w:p>
        </w:tc>
        <w:tc>
          <w:tcPr>
            <w:tcW w:w="1462" w:type="dxa"/>
          </w:tcPr>
          <w:p w14:paraId="1D8D1437" w14:textId="77777777" w:rsidR="004059E5" w:rsidRPr="00BD1C03"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BD1C03">
              <w:rPr>
                <w:rFonts w:asciiTheme="majorHAnsi" w:hAnsiTheme="majorHAnsi"/>
                <w:bCs/>
              </w:rPr>
              <w:t>$20 million</w:t>
            </w:r>
          </w:p>
        </w:tc>
      </w:tr>
      <w:tr w:rsidR="00D91589" w:rsidRPr="00BD1C03" w14:paraId="76E31542" w14:textId="77777777" w:rsidTr="0038210E">
        <w:tc>
          <w:tcPr>
            <w:cnfStyle w:val="001000000000" w:firstRow="0" w:lastRow="0" w:firstColumn="1" w:lastColumn="0" w:oddVBand="0" w:evenVBand="0" w:oddHBand="0" w:evenHBand="0" w:firstRowFirstColumn="0" w:firstRowLastColumn="0" w:lastRowFirstColumn="0" w:lastRowLastColumn="0"/>
            <w:tcW w:w="2518" w:type="dxa"/>
          </w:tcPr>
          <w:p w14:paraId="5921CBF8" w14:textId="39ACD893" w:rsidR="004059E5" w:rsidRPr="0038210E" w:rsidRDefault="00E232DE" w:rsidP="0056018B">
            <w:pPr>
              <w:spacing w:before="60" w:after="60"/>
              <w:rPr>
                <w:rFonts w:asciiTheme="majorHAnsi" w:hAnsiTheme="majorHAnsi"/>
                <w:color w:val="4F6228" w:themeColor="accent3" w:themeShade="80"/>
              </w:rPr>
            </w:pPr>
            <w:r w:rsidRPr="0038210E">
              <w:rPr>
                <w:rFonts w:asciiTheme="majorHAnsi" w:hAnsiTheme="majorHAnsi"/>
                <w:color w:val="4F6228" w:themeColor="accent3" w:themeShade="80"/>
              </w:rPr>
              <w:t>Stabilisation</w:t>
            </w:r>
            <w:r w:rsidR="004059E5" w:rsidRPr="0038210E">
              <w:rPr>
                <w:rFonts w:asciiTheme="majorHAnsi" w:hAnsiTheme="majorHAnsi"/>
                <w:color w:val="4F6228" w:themeColor="accent3" w:themeShade="80"/>
              </w:rPr>
              <w:t xml:space="preserve"> </w:t>
            </w:r>
          </w:p>
        </w:tc>
        <w:tc>
          <w:tcPr>
            <w:tcW w:w="1499" w:type="dxa"/>
          </w:tcPr>
          <w:p w14:paraId="009AE0D5" w14:textId="77777777" w:rsidR="004059E5" w:rsidRPr="0038210E"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4F6228" w:themeColor="accent3" w:themeShade="80"/>
              </w:rPr>
            </w:pPr>
            <w:r w:rsidRPr="0038210E">
              <w:rPr>
                <w:rFonts w:asciiTheme="majorHAnsi" w:hAnsiTheme="majorHAnsi"/>
                <w:b/>
                <w:bCs/>
                <w:color w:val="4F6228" w:themeColor="accent3" w:themeShade="80"/>
              </w:rPr>
              <w:t>$9 million</w:t>
            </w:r>
          </w:p>
        </w:tc>
        <w:tc>
          <w:tcPr>
            <w:tcW w:w="1500" w:type="dxa"/>
          </w:tcPr>
          <w:p w14:paraId="50B008E5" w14:textId="77777777" w:rsidR="004059E5" w:rsidRPr="0038210E"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4F6228" w:themeColor="accent3" w:themeShade="80"/>
              </w:rPr>
            </w:pPr>
            <w:r w:rsidRPr="0038210E">
              <w:rPr>
                <w:rFonts w:asciiTheme="majorHAnsi" w:hAnsiTheme="majorHAnsi"/>
                <w:b/>
                <w:bCs/>
                <w:color w:val="4F6228" w:themeColor="accent3" w:themeShade="80"/>
              </w:rPr>
              <w:t>$12 million</w:t>
            </w:r>
          </w:p>
        </w:tc>
        <w:tc>
          <w:tcPr>
            <w:tcW w:w="1537" w:type="dxa"/>
          </w:tcPr>
          <w:p w14:paraId="0C5217E8" w14:textId="77777777" w:rsidR="004059E5" w:rsidRPr="0038210E"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4F6228" w:themeColor="accent3" w:themeShade="80"/>
              </w:rPr>
            </w:pPr>
            <w:r w:rsidRPr="0038210E">
              <w:rPr>
                <w:rFonts w:asciiTheme="majorHAnsi" w:hAnsiTheme="majorHAnsi"/>
                <w:b/>
                <w:bCs/>
                <w:color w:val="4F6228" w:themeColor="accent3" w:themeShade="80"/>
              </w:rPr>
              <w:t>$10 million</w:t>
            </w:r>
          </w:p>
        </w:tc>
        <w:tc>
          <w:tcPr>
            <w:tcW w:w="1462" w:type="dxa"/>
          </w:tcPr>
          <w:p w14:paraId="446BCEA3" w14:textId="77777777" w:rsidR="004059E5" w:rsidRPr="0038210E"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4F6228" w:themeColor="accent3" w:themeShade="80"/>
              </w:rPr>
            </w:pPr>
            <w:r w:rsidRPr="0038210E">
              <w:rPr>
                <w:rFonts w:asciiTheme="majorHAnsi" w:hAnsiTheme="majorHAnsi"/>
                <w:b/>
                <w:bCs/>
                <w:color w:val="4F6228" w:themeColor="accent3" w:themeShade="80"/>
              </w:rPr>
              <w:t>$31 million</w:t>
            </w:r>
          </w:p>
        </w:tc>
      </w:tr>
      <w:tr w:rsidR="00FC3FDD" w:rsidRPr="00BD1C03" w14:paraId="387D5325" w14:textId="77777777" w:rsidTr="0038210E">
        <w:tc>
          <w:tcPr>
            <w:cnfStyle w:val="001000000000" w:firstRow="0" w:lastRow="0" w:firstColumn="1" w:lastColumn="0" w:oddVBand="0" w:evenVBand="0" w:oddHBand="0" w:evenHBand="0" w:firstRowFirstColumn="0" w:firstRowLastColumn="0" w:lastRowFirstColumn="0" w:lastRowLastColumn="0"/>
            <w:tcW w:w="2518" w:type="dxa"/>
          </w:tcPr>
          <w:p w14:paraId="00B38136" w14:textId="77777777" w:rsidR="004059E5" w:rsidRPr="00BD1C03" w:rsidRDefault="004059E5" w:rsidP="0056018B">
            <w:pPr>
              <w:spacing w:before="60" w:after="60"/>
              <w:rPr>
                <w:rFonts w:asciiTheme="majorHAnsi" w:hAnsiTheme="majorHAnsi"/>
                <w:b w:val="0"/>
              </w:rPr>
            </w:pPr>
            <w:r w:rsidRPr="00BD1C03">
              <w:rPr>
                <w:rFonts w:asciiTheme="majorHAnsi" w:hAnsiTheme="majorHAnsi"/>
                <w:b w:val="0"/>
              </w:rPr>
              <w:t>UNDP</w:t>
            </w:r>
          </w:p>
        </w:tc>
        <w:tc>
          <w:tcPr>
            <w:tcW w:w="1499" w:type="dxa"/>
          </w:tcPr>
          <w:p w14:paraId="0170AE64" w14:textId="77777777" w:rsidR="004059E5" w:rsidRPr="00BD1C03"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BD1C03">
              <w:rPr>
                <w:rFonts w:asciiTheme="majorHAnsi" w:hAnsiTheme="majorHAnsi"/>
                <w:bCs/>
              </w:rPr>
              <w:t>$6 million</w:t>
            </w:r>
          </w:p>
        </w:tc>
        <w:tc>
          <w:tcPr>
            <w:tcW w:w="1500" w:type="dxa"/>
          </w:tcPr>
          <w:p w14:paraId="5ADEE787" w14:textId="77777777" w:rsidR="004059E5" w:rsidRPr="00BD1C03"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BD1C03">
              <w:rPr>
                <w:rFonts w:asciiTheme="majorHAnsi" w:hAnsiTheme="majorHAnsi"/>
                <w:bCs/>
              </w:rPr>
              <w:t>$6 million</w:t>
            </w:r>
          </w:p>
        </w:tc>
        <w:tc>
          <w:tcPr>
            <w:tcW w:w="1537" w:type="dxa"/>
          </w:tcPr>
          <w:p w14:paraId="34650A09" w14:textId="77777777" w:rsidR="004059E5" w:rsidRPr="00BD1C03"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BD1C03">
              <w:rPr>
                <w:rFonts w:asciiTheme="majorHAnsi" w:hAnsiTheme="majorHAnsi"/>
                <w:bCs/>
              </w:rPr>
              <w:t>$6 million</w:t>
            </w:r>
          </w:p>
        </w:tc>
        <w:tc>
          <w:tcPr>
            <w:tcW w:w="1462" w:type="dxa"/>
          </w:tcPr>
          <w:p w14:paraId="233EBA49" w14:textId="77777777" w:rsidR="004059E5" w:rsidRPr="00BD1C03"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BD1C03">
              <w:rPr>
                <w:rFonts w:asciiTheme="majorHAnsi" w:hAnsiTheme="majorHAnsi"/>
                <w:bCs/>
              </w:rPr>
              <w:t>$18 million</w:t>
            </w:r>
          </w:p>
        </w:tc>
      </w:tr>
      <w:tr w:rsidR="00FC3FDD" w:rsidRPr="00BD1C03" w14:paraId="2235E420" w14:textId="77777777" w:rsidTr="0038210E">
        <w:tc>
          <w:tcPr>
            <w:cnfStyle w:val="001000000000" w:firstRow="0" w:lastRow="0" w:firstColumn="1" w:lastColumn="0" w:oddVBand="0" w:evenVBand="0" w:oddHBand="0" w:evenHBand="0" w:firstRowFirstColumn="0" w:firstRowLastColumn="0" w:lastRowFirstColumn="0" w:lastRowLastColumn="0"/>
            <w:tcW w:w="2518" w:type="dxa"/>
          </w:tcPr>
          <w:p w14:paraId="3AEB7700" w14:textId="77777777" w:rsidR="004059E5" w:rsidRPr="00BD1C03" w:rsidRDefault="004059E5" w:rsidP="0056018B">
            <w:pPr>
              <w:spacing w:before="60" w:after="60"/>
              <w:rPr>
                <w:rFonts w:asciiTheme="majorHAnsi" w:hAnsiTheme="majorHAnsi"/>
                <w:b w:val="0"/>
              </w:rPr>
            </w:pPr>
            <w:r w:rsidRPr="00BD1C03">
              <w:rPr>
                <w:rFonts w:asciiTheme="majorHAnsi" w:hAnsiTheme="majorHAnsi"/>
                <w:b w:val="0"/>
              </w:rPr>
              <w:t>UNMAS</w:t>
            </w:r>
          </w:p>
        </w:tc>
        <w:tc>
          <w:tcPr>
            <w:tcW w:w="1499" w:type="dxa"/>
          </w:tcPr>
          <w:p w14:paraId="76411C8E" w14:textId="77777777" w:rsidR="004059E5" w:rsidRPr="00BD1C03"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D1C03">
              <w:rPr>
                <w:rFonts w:asciiTheme="majorHAnsi" w:hAnsiTheme="majorHAnsi"/>
              </w:rPr>
              <w:t>$3 million</w:t>
            </w:r>
          </w:p>
        </w:tc>
        <w:tc>
          <w:tcPr>
            <w:tcW w:w="1500" w:type="dxa"/>
          </w:tcPr>
          <w:p w14:paraId="3AF16075" w14:textId="77777777" w:rsidR="004059E5" w:rsidRPr="00BD1C03"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D1C03">
              <w:rPr>
                <w:rFonts w:asciiTheme="majorHAnsi" w:hAnsiTheme="majorHAnsi"/>
              </w:rPr>
              <w:t>$6 million</w:t>
            </w:r>
          </w:p>
        </w:tc>
        <w:tc>
          <w:tcPr>
            <w:tcW w:w="1537" w:type="dxa"/>
          </w:tcPr>
          <w:p w14:paraId="590E3F7F" w14:textId="77777777" w:rsidR="004059E5" w:rsidRPr="00BD1C03"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D1C03">
              <w:rPr>
                <w:rFonts w:asciiTheme="majorHAnsi" w:hAnsiTheme="majorHAnsi"/>
              </w:rPr>
              <w:t>$4 million</w:t>
            </w:r>
          </w:p>
        </w:tc>
        <w:tc>
          <w:tcPr>
            <w:tcW w:w="1462" w:type="dxa"/>
          </w:tcPr>
          <w:p w14:paraId="12A6C08F" w14:textId="77777777" w:rsidR="004059E5" w:rsidRPr="00BD1C03"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D1C03">
              <w:rPr>
                <w:rFonts w:asciiTheme="majorHAnsi" w:hAnsiTheme="majorHAnsi"/>
              </w:rPr>
              <w:t>$13 million</w:t>
            </w:r>
          </w:p>
        </w:tc>
      </w:tr>
      <w:tr w:rsidR="00D91589" w:rsidRPr="00BD1C03" w14:paraId="12CD8153" w14:textId="77777777" w:rsidTr="0038210E">
        <w:tc>
          <w:tcPr>
            <w:cnfStyle w:val="001000000000" w:firstRow="0" w:lastRow="0" w:firstColumn="1" w:lastColumn="0" w:oddVBand="0" w:evenVBand="0" w:oddHBand="0" w:evenHBand="0" w:firstRowFirstColumn="0" w:firstRowLastColumn="0" w:lastRowFirstColumn="0" w:lastRowLastColumn="0"/>
            <w:tcW w:w="2518" w:type="dxa"/>
          </w:tcPr>
          <w:p w14:paraId="087D5F9E" w14:textId="77777777" w:rsidR="004059E5" w:rsidRPr="0038210E" w:rsidRDefault="004059E5" w:rsidP="0056018B">
            <w:pPr>
              <w:spacing w:before="60" w:after="60"/>
              <w:rPr>
                <w:rFonts w:asciiTheme="majorHAnsi" w:hAnsiTheme="majorHAnsi"/>
                <w:color w:val="4F6228" w:themeColor="accent3" w:themeShade="80"/>
              </w:rPr>
            </w:pPr>
            <w:r w:rsidRPr="0038210E">
              <w:rPr>
                <w:rFonts w:asciiTheme="majorHAnsi" w:hAnsiTheme="majorHAnsi"/>
                <w:color w:val="4F6228" w:themeColor="accent3" w:themeShade="80"/>
              </w:rPr>
              <w:t xml:space="preserve">Social Cohesion/ Reconciliation </w:t>
            </w:r>
          </w:p>
        </w:tc>
        <w:tc>
          <w:tcPr>
            <w:tcW w:w="1499" w:type="dxa"/>
          </w:tcPr>
          <w:p w14:paraId="4CC9E885" w14:textId="77777777" w:rsidR="004059E5" w:rsidRPr="0038210E"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4F6228" w:themeColor="accent3" w:themeShade="80"/>
              </w:rPr>
            </w:pPr>
            <w:r w:rsidRPr="0038210E">
              <w:rPr>
                <w:rFonts w:asciiTheme="majorHAnsi" w:hAnsiTheme="majorHAnsi"/>
                <w:b/>
                <w:bCs/>
                <w:color w:val="4F6228" w:themeColor="accent3" w:themeShade="80"/>
              </w:rPr>
              <w:t>$500,000</w:t>
            </w:r>
          </w:p>
        </w:tc>
        <w:tc>
          <w:tcPr>
            <w:tcW w:w="1500" w:type="dxa"/>
          </w:tcPr>
          <w:p w14:paraId="78EA1207" w14:textId="77777777" w:rsidR="004059E5" w:rsidRPr="0038210E"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4F6228" w:themeColor="accent3" w:themeShade="80"/>
              </w:rPr>
            </w:pPr>
            <w:r w:rsidRPr="0038210E">
              <w:rPr>
                <w:rFonts w:asciiTheme="majorHAnsi" w:hAnsiTheme="majorHAnsi"/>
                <w:b/>
                <w:bCs/>
                <w:color w:val="4F6228" w:themeColor="accent3" w:themeShade="80"/>
              </w:rPr>
              <w:t>$3 million</w:t>
            </w:r>
          </w:p>
        </w:tc>
        <w:tc>
          <w:tcPr>
            <w:tcW w:w="1537" w:type="dxa"/>
          </w:tcPr>
          <w:p w14:paraId="46C27CF8" w14:textId="77777777" w:rsidR="004059E5" w:rsidRPr="0038210E"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4F6228" w:themeColor="accent3" w:themeShade="80"/>
              </w:rPr>
            </w:pPr>
            <w:r w:rsidRPr="0038210E">
              <w:rPr>
                <w:rFonts w:asciiTheme="majorHAnsi" w:hAnsiTheme="majorHAnsi"/>
                <w:b/>
                <w:bCs/>
                <w:color w:val="4F6228" w:themeColor="accent3" w:themeShade="80"/>
              </w:rPr>
              <w:t>$1.5 million</w:t>
            </w:r>
          </w:p>
        </w:tc>
        <w:tc>
          <w:tcPr>
            <w:tcW w:w="1462" w:type="dxa"/>
          </w:tcPr>
          <w:p w14:paraId="2E411B9F" w14:textId="77777777" w:rsidR="004059E5" w:rsidRPr="0038210E"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4F6228" w:themeColor="accent3" w:themeShade="80"/>
              </w:rPr>
            </w:pPr>
            <w:r w:rsidRPr="0038210E">
              <w:rPr>
                <w:rFonts w:asciiTheme="majorHAnsi" w:hAnsiTheme="majorHAnsi"/>
                <w:b/>
                <w:bCs/>
                <w:color w:val="4F6228" w:themeColor="accent3" w:themeShade="80"/>
              </w:rPr>
              <w:t>$5 million</w:t>
            </w:r>
          </w:p>
        </w:tc>
      </w:tr>
      <w:tr w:rsidR="00FC3FDD" w:rsidRPr="00BD1C03" w14:paraId="35445CC2" w14:textId="77777777" w:rsidTr="0038210E">
        <w:tc>
          <w:tcPr>
            <w:cnfStyle w:val="001000000000" w:firstRow="0" w:lastRow="0" w:firstColumn="1" w:lastColumn="0" w:oddVBand="0" w:evenVBand="0" w:oddHBand="0" w:evenHBand="0" w:firstRowFirstColumn="0" w:firstRowLastColumn="0" w:lastRowFirstColumn="0" w:lastRowLastColumn="0"/>
            <w:tcW w:w="2518" w:type="dxa"/>
          </w:tcPr>
          <w:p w14:paraId="70E70978" w14:textId="77777777" w:rsidR="004059E5" w:rsidRPr="00BD1C03" w:rsidRDefault="004059E5" w:rsidP="0056018B">
            <w:pPr>
              <w:spacing w:before="60" w:after="60"/>
              <w:rPr>
                <w:rFonts w:asciiTheme="majorHAnsi" w:hAnsiTheme="majorHAnsi"/>
                <w:b w:val="0"/>
              </w:rPr>
            </w:pPr>
            <w:r w:rsidRPr="00BD1C03">
              <w:rPr>
                <w:rFonts w:asciiTheme="majorHAnsi" w:hAnsiTheme="majorHAnsi"/>
                <w:b w:val="0"/>
              </w:rPr>
              <w:t>IOM</w:t>
            </w:r>
          </w:p>
        </w:tc>
        <w:tc>
          <w:tcPr>
            <w:tcW w:w="1499" w:type="dxa"/>
          </w:tcPr>
          <w:p w14:paraId="6A6322E6" w14:textId="77777777" w:rsidR="004059E5" w:rsidRPr="00BD1C03"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D1C03">
              <w:rPr>
                <w:rFonts w:asciiTheme="majorHAnsi" w:hAnsiTheme="majorHAnsi"/>
              </w:rPr>
              <w:t>Not funded</w:t>
            </w:r>
          </w:p>
        </w:tc>
        <w:tc>
          <w:tcPr>
            <w:tcW w:w="1500" w:type="dxa"/>
          </w:tcPr>
          <w:p w14:paraId="783EB761" w14:textId="77777777" w:rsidR="004059E5" w:rsidRPr="00BD1C03"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D1C03">
              <w:rPr>
                <w:rFonts w:asciiTheme="majorHAnsi" w:hAnsiTheme="majorHAnsi"/>
              </w:rPr>
              <w:t>$3 million</w:t>
            </w:r>
          </w:p>
        </w:tc>
        <w:tc>
          <w:tcPr>
            <w:tcW w:w="1537" w:type="dxa"/>
          </w:tcPr>
          <w:p w14:paraId="190DFEAC" w14:textId="77777777" w:rsidR="004059E5" w:rsidRPr="00BD1C03"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D1C03">
              <w:rPr>
                <w:rFonts w:asciiTheme="majorHAnsi" w:hAnsiTheme="majorHAnsi"/>
              </w:rPr>
              <w:t>$1.5 million</w:t>
            </w:r>
          </w:p>
        </w:tc>
        <w:tc>
          <w:tcPr>
            <w:tcW w:w="1462" w:type="dxa"/>
          </w:tcPr>
          <w:p w14:paraId="48EFDED5" w14:textId="77777777" w:rsidR="004059E5" w:rsidRPr="00BD1C03"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D1C03">
              <w:rPr>
                <w:rFonts w:asciiTheme="majorHAnsi" w:hAnsiTheme="majorHAnsi"/>
              </w:rPr>
              <w:t>$4.5 million</w:t>
            </w:r>
          </w:p>
        </w:tc>
      </w:tr>
      <w:tr w:rsidR="00FC3FDD" w:rsidRPr="00BD1C03" w14:paraId="001222E9" w14:textId="77777777" w:rsidTr="0038210E">
        <w:tc>
          <w:tcPr>
            <w:cnfStyle w:val="001000000000" w:firstRow="0" w:lastRow="0" w:firstColumn="1" w:lastColumn="0" w:oddVBand="0" w:evenVBand="0" w:oddHBand="0" w:evenHBand="0" w:firstRowFirstColumn="0" w:firstRowLastColumn="0" w:lastRowFirstColumn="0" w:lastRowLastColumn="0"/>
            <w:tcW w:w="2518" w:type="dxa"/>
          </w:tcPr>
          <w:p w14:paraId="1AA74DFA" w14:textId="77777777" w:rsidR="004059E5" w:rsidRPr="00BD1C03" w:rsidRDefault="004059E5" w:rsidP="0056018B">
            <w:pPr>
              <w:spacing w:before="60" w:after="60"/>
              <w:rPr>
                <w:rFonts w:asciiTheme="majorHAnsi" w:hAnsiTheme="majorHAnsi"/>
                <w:b w:val="0"/>
              </w:rPr>
            </w:pPr>
            <w:r w:rsidRPr="00BD1C03">
              <w:rPr>
                <w:rFonts w:asciiTheme="majorHAnsi" w:hAnsiTheme="majorHAnsi"/>
                <w:b w:val="0"/>
              </w:rPr>
              <w:t>Mosul project</w:t>
            </w:r>
          </w:p>
        </w:tc>
        <w:tc>
          <w:tcPr>
            <w:tcW w:w="1499" w:type="dxa"/>
          </w:tcPr>
          <w:p w14:paraId="1F673EF2" w14:textId="77777777" w:rsidR="004059E5" w:rsidRPr="00BD1C03"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BD1C03">
              <w:rPr>
                <w:rFonts w:asciiTheme="majorHAnsi" w:hAnsiTheme="majorHAnsi"/>
                <w:bCs/>
              </w:rPr>
              <w:t>$500,000</w:t>
            </w:r>
          </w:p>
        </w:tc>
        <w:tc>
          <w:tcPr>
            <w:tcW w:w="1500" w:type="dxa"/>
          </w:tcPr>
          <w:p w14:paraId="56E69C8F" w14:textId="77777777" w:rsidR="004059E5" w:rsidRPr="00BD1C03"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BD1C03">
              <w:rPr>
                <w:rFonts w:asciiTheme="majorHAnsi" w:hAnsiTheme="majorHAnsi"/>
                <w:bCs/>
              </w:rPr>
              <w:t>Not funded</w:t>
            </w:r>
          </w:p>
        </w:tc>
        <w:tc>
          <w:tcPr>
            <w:tcW w:w="1537" w:type="dxa"/>
          </w:tcPr>
          <w:p w14:paraId="68110133" w14:textId="77777777" w:rsidR="004059E5" w:rsidRPr="00BD1C03"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BD1C03">
              <w:rPr>
                <w:rFonts w:asciiTheme="majorHAnsi" w:hAnsiTheme="majorHAnsi"/>
                <w:bCs/>
              </w:rPr>
              <w:t>Not funded</w:t>
            </w:r>
          </w:p>
        </w:tc>
        <w:tc>
          <w:tcPr>
            <w:tcW w:w="1462" w:type="dxa"/>
          </w:tcPr>
          <w:p w14:paraId="6F67E6E7" w14:textId="77777777" w:rsidR="004059E5" w:rsidRPr="00BD1C03"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BD1C03">
              <w:rPr>
                <w:rFonts w:asciiTheme="majorHAnsi" w:hAnsiTheme="majorHAnsi"/>
                <w:bCs/>
              </w:rPr>
              <w:t>$0.5 million</w:t>
            </w:r>
          </w:p>
        </w:tc>
      </w:tr>
      <w:tr w:rsidR="00D91589" w:rsidRPr="00BD1C03" w14:paraId="46D6392E" w14:textId="77777777" w:rsidTr="0038210E">
        <w:tc>
          <w:tcPr>
            <w:cnfStyle w:val="001000000000" w:firstRow="0" w:lastRow="0" w:firstColumn="1" w:lastColumn="0" w:oddVBand="0" w:evenVBand="0" w:oddHBand="0" w:evenHBand="0" w:firstRowFirstColumn="0" w:firstRowLastColumn="0" w:lastRowFirstColumn="0" w:lastRowLastColumn="0"/>
            <w:tcW w:w="2518" w:type="dxa"/>
          </w:tcPr>
          <w:p w14:paraId="52D1E2D7" w14:textId="77777777" w:rsidR="004059E5" w:rsidRPr="0038210E" w:rsidRDefault="004059E5" w:rsidP="0056018B">
            <w:pPr>
              <w:spacing w:before="60" w:after="60"/>
              <w:rPr>
                <w:rFonts w:asciiTheme="majorHAnsi" w:hAnsiTheme="majorHAnsi"/>
                <w:color w:val="4F6228" w:themeColor="accent3" w:themeShade="80"/>
              </w:rPr>
            </w:pPr>
            <w:r w:rsidRPr="0038210E">
              <w:rPr>
                <w:rFonts w:asciiTheme="majorHAnsi" w:hAnsiTheme="majorHAnsi"/>
                <w:color w:val="4F6228" w:themeColor="accent3" w:themeShade="80"/>
              </w:rPr>
              <w:t>Administration</w:t>
            </w:r>
          </w:p>
        </w:tc>
        <w:tc>
          <w:tcPr>
            <w:tcW w:w="1499" w:type="dxa"/>
          </w:tcPr>
          <w:p w14:paraId="58F833AA" w14:textId="77777777" w:rsidR="004059E5" w:rsidRPr="0038210E"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4F6228" w:themeColor="accent3" w:themeShade="80"/>
              </w:rPr>
            </w:pPr>
            <w:r w:rsidRPr="0038210E">
              <w:rPr>
                <w:rFonts w:asciiTheme="majorHAnsi" w:hAnsiTheme="majorHAnsi"/>
                <w:b/>
                <w:bCs/>
                <w:color w:val="4F6228" w:themeColor="accent3" w:themeShade="80"/>
              </w:rPr>
              <w:t>$29,000</w:t>
            </w:r>
          </w:p>
        </w:tc>
        <w:tc>
          <w:tcPr>
            <w:tcW w:w="1500" w:type="dxa"/>
          </w:tcPr>
          <w:p w14:paraId="44E2D4E7" w14:textId="77777777" w:rsidR="004059E5" w:rsidRPr="0038210E"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4F6228" w:themeColor="accent3" w:themeShade="80"/>
              </w:rPr>
            </w:pPr>
            <w:r w:rsidRPr="0038210E">
              <w:rPr>
                <w:rFonts w:asciiTheme="majorHAnsi" w:hAnsiTheme="majorHAnsi"/>
                <w:b/>
                <w:bCs/>
                <w:color w:val="4F6228" w:themeColor="accent3" w:themeShade="80"/>
              </w:rPr>
              <w:t>$456,000</w:t>
            </w:r>
          </w:p>
        </w:tc>
        <w:tc>
          <w:tcPr>
            <w:tcW w:w="1537" w:type="dxa"/>
          </w:tcPr>
          <w:p w14:paraId="4D0E7B15" w14:textId="77777777" w:rsidR="004059E5" w:rsidRPr="0038210E"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4F6228" w:themeColor="accent3" w:themeShade="80"/>
              </w:rPr>
            </w:pPr>
            <w:r w:rsidRPr="0038210E">
              <w:rPr>
                <w:rFonts w:asciiTheme="majorHAnsi" w:hAnsiTheme="majorHAnsi"/>
                <w:b/>
                <w:bCs/>
                <w:color w:val="4F6228" w:themeColor="accent3" w:themeShade="80"/>
              </w:rPr>
              <w:t>$469,000</w:t>
            </w:r>
          </w:p>
        </w:tc>
        <w:tc>
          <w:tcPr>
            <w:tcW w:w="1462" w:type="dxa"/>
          </w:tcPr>
          <w:p w14:paraId="3F94B450" w14:textId="77777777" w:rsidR="004059E5" w:rsidRPr="0038210E"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b/>
                <w:bCs/>
                <w:color w:val="4F6228" w:themeColor="accent3" w:themeShade="80"/>
              </w:rPr>
            </w:pPr>
            <w:r w:rsidRPr="0038210E">
              <w:rPr>
                <w:rFonts w:asciiTheme="majorHAnsi" w:hAnsiTheme="majorHAnsi"/>
                <w:b/>
                <w:bCs/>
                <w:color w:val="4F6228" w:themeColor="accent3" w:themeShade="80"/>
              </w:rPr>
              <w:t>$954,000</w:t>
            </w:r>
          </w:p>
        </w:tc>
      </w:tr>
      <w:tr w:rsidR="00FC3FDD" w:rsidRPr="00BD1C03" w14:paraId="45C03540" w14:textId="77777777" w:rsidTr="0038210E">
        <w:tc>
          <w:tcPr>
            <w:cnfStyle w:val="001000000000" w:firstRow="0" w:lastRow="0" w:firstColumn="1" w:lastColumn="0" w:oddVBand="0" w:evenVBand="0" w:oddHBand="0" w:evenHBand="0" w:firstRowFirstColumn="0" w:firstRowLastColumn="0" w:lastRowFirstColumn="0" w:lastRowLastColumn="0"/>
            <w:tcW w:w="2518" w:type="dxa"/>
          </w:tcPr>
          <w:p w14:paraId="235C6491" w14:textId="77777777" w:rsidR="004059E5" w:rsidRPr="00BD1C03" w:rsidRDefault="004059E5" w:rsidP="0056018B">
            <w:pPr>
              <w:spacing w:before="60" w:after="60"/>
              <w:rPr>
                <w:rFonts w:asciiTheme="majorHAnsi" w:hAnsiTheme="majorHAnsi"/>
                <w:b w:val="0"/>
              </w:rPr>
            </w:pPr>
            <w:r w:rsidRPr="00BD1C03">
              <w:rPr>
                <w:rFonts w:asciiTheme="majorHAnsi" w:hAnsiTheme="majorHAnsi"/>
                <w:b w:val="0"/>
              </w:rPr>
              <w:t>Admin and M&amp;E</w:t>
            </w:r>
          </w:p>
        </w:tc>
        <w:tc>
          <w:tcPr>
            <w:tcW w:w="1499" w:type="dxa"/>
          </w:tcPr>
          <w:p w14:paraId="2A8AD3C3" w14:textId="77777777" w:rsidR="004059E5" w:rsidRPr="00BD1C03"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BD1C03">
              <w:rPr>
                <w:rFonts w:asciiTheme="majorHAnsi" w:hAnsiTheme="majorHAnsi"/>
                <w:bCs/>
              </w:rPr>
              <w:t>$29,000</w:t>
            </w:r>
          </w:p>
        </w:tc>
        <w:tc>
          <w:tcPr>
            <w:tcW w:w="1500" w:type="dxa"/>
          </w:tcPr>
          <w:p w14:paraId="2AEAA573" w14:textId="77777777" w:rsidR="004059E5" w:rsidRPr="00BD1C03"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BD1C03">
              <w:rPr>
                <w:rFonts w:asciiTheme="majorHAnsi" w:hAnsiTheme="majorHAnsi"/>
                <w:bCs/>
              </w:rPr>
              <w:t>$456,000</w:t>
            </w:r>
          </w:p>
        </w:tc>
        <w:tc>
          <w:tcPr>
            <w:tcW w:w="1537" w:type="dxa"/>
          </w:tcPr>
          <w:p w14:paraId="06D9FCCE" w14:textId="77777777" w:rsidR="004059E5" w:rsidRPr="00BD1C03"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BD1C03">
              <w:rPr>
                <w:rFonts w:asciiTheme="majorHAnsi" w:hAnsiTheme="majorHAnsi"/>
                <w:bCs/>
              </w:rPr>
              <w:t>$469,000</w:t>
            </w:r>
          </w:p>
        </w:tc>
        <w:tc>
          <w:tcPr>
            <w:tcW w:w="1462" w:type="dxa"/>
          </w:tcPr>
          <w:p w14:paraId="73C41E02" w14:textId="77777777" w:rsidR="004059E5" w:rsidRPr="00BD1C03"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BD1C03">
              <w:rPr>
                <w:rFonts w:asciiTheme="majorHAnsi" w:hAnsiTheme="majorHAnsi"/>
                <w:bCs/>
              </w:rPr>
              <w:t>$954,000</w:t>
            </w:r>
          </w:p>
        </w:tc>
      </w:tr>
      <w:tr w:rsidR="003D6D9B" w:rsidRPr="00BD1C03" w14:paraId="2FCE3663" w14:textId="77777777" w:rsidTr="0038210E">
        <w:tc>
          <w:tcPr>
            <w:cnfStyle w:val="001000000000" w:firstRow="0" w:lastRow="0" w:firstColumn="1" w:lastColumn="0" w:oddVBand="0" w:evenVBand="0" w:oddHBand="0" w:evenHBand="0" w:firstRowFirstColumn="0" w:firstRowLastColumn="0" w:lastRowFirstColumn="0" w:lastRowLastColumn="0"/>
            <w:tcW w:w="2518" w:type="dxa"/>
          </w:tcPr>
          <w:p w14:paraId="79C7C245" w14:textId="77777777" w:rsidR="004059E5" w:rsidRPr="0038210E" w:rsidRDefault="004059E5" w:rsidP="0056018B">
            <w:pPr>
              <w:spacing w:before="60" w:after="60"/>
              <w:rPr>
                <w:rFonts w:asciiTheme="majorHAnsi" w:hAnsiTheme="majorHAnsi"/>
                <w:color w:val="4F6228" w:themeColor="accent3" w:themeShade="80"/>
              </w:rPr>
            </w:pPr>
            <w:r w:rsidRPr="0038210E">
              <w:rPr>
                <w:rFonts w:asciiTheme="majorHAnsi" w:hAnsiTheme="majorHAnsi"/>
                <w:color w:val="4F6228" w:themeColor="accent3" w:themeShade="80"/>
              </w:rPr>
              <w:t>Total</w:t>
            </w:r>
          </w:p>
        </w:tc>
        <w:tc>
          <w:tcPr>
            <w:tcW w:w="1499" w:type="dxa"/>
          </w:tcPr>
          <w:p w14:paraId="7F74D217" w14:textId="77777777" w:rsidR="004059E5" w:rsidRPr="0038210E"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b/>
                <w:color w:val="4F6228" w:themeColor="accent3" w:themeShade="80"/>
              </w:rPr>
            </w:pPr>
            <w:r w:rsidRPr="0038210E">
              <w:rPr>
                <w:rFonts w:asciiTheme="majorHAnsi" w:hAnsiTheme="majorHAnsi"/>
                <w:b/>
                <w:bCs/>
                <w:color w:val="4F6228" w:themeColor="accent3" w:themeShade="80"/>
              </w:rPr>
              <w:t>$28 million</w:t>
            </w:r>
          </w:p>
        </w:tc>
        <w:tc>
          <w:tcPr>
            <w:tcW w:w="1500" w:type="dxa"/>
          </w:tcPr>
          <w:p w14:paraId="3FACB477" w14:textId="77777777" w:rsidR="004059E5" w:rsidRPr="0038210E"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b/>
                <w:color w:val="4F6228" w:themeColor="accent3" w:themeShade="80"/>
              </w:rPr>
            </w:pPr>
            <w:r w:rsidRPr="0038210E">
              <w:rPr>
                <w:rFonts w:asciiTheme="majorHAnsi" w:hAnsiTheme="majorHAnsi"/>
                <w:b/>
                <w:bCs/>
                <w:color w:val="4F6228" w:themeColor="accent3" w:themeShade="80"/>
              </w:rPr>
              <w:t>$36 million</w:t>
            </w:r>
          </w:p>
        </w:tc>
        <w:tc>
          <w:tcPr>
            <w:tcW w:w="1537" w:type="dxa"/>
          </w:tcPr>
          <w:p w14:paraId="5F9419A9" w14:textId="77777777" w:rsidR="004059E5" w:rsidRPr="0038210E"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b/>
                <w:color w:val="4F6228" w:themeColor="accent3" w:themeShade="80"/>
              </w:rPr>
            </w:pPr>
            <w:r w:rsidRPr="0038210E">
              <w:rPr>
                <w:rFonts w:asciiTheme="majorHAnsi" w:hAnsiTheme="majorHAnsi"/>
                <w:b/>
                <w:bCs/>
                <w:color w:val="4F6228" w:themeColor="accent3" w:themeShade="80"/>
              </w:rPr>
              <w:t>$32.2 million</w:t>
            </w:r>
          </w:p>
        </w:tc>
        <w:tc>
          <w:tcPr>
            <w:tcW w:w="1462" w:type="dxa"/>
          </w:tcPr>
          <w:p w14:paraId="4FA95FD4" w14:textId="77777777" w:rsidR="004059E5" w:rsidRPr="0038210E" w:rsidRDefault="004059E5" w:rsidP="0056018B">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b/>
                <w:color w:val="4F6228" w:themeColor="accent3" w:themeShade="80"/>
              </w:rPr>
            </w:pPr>
            <w:r w:rsidRPr="0038210E">
              <w:rPr>
                <w:rFonts w:asciiTheme="majorHAnsi" w:hAnsiTheme="majorHAnsi"/>
                <w:b/>
                <w:bCs/>
                <w:color w:val="4F6228" w:themeColor="accent3" w:themeShade="80"/>
              </w:rPr>
              <w:t>$96.2 million</w:t>
            </w:r>
          </w:p>
        </w:tc>
      </w:tr>
    </w:tbl>
    <w:p w14:paraId="4CE4E947" w14:textId="77777777" w:rsidR="00516F22" w:rsidRPr="00BD1C03" w:rsidRDefault="00516F22" w:rsidP="0008435D">
      <w:pPr>
        <w:spacing w:after="0"/>
      </w:pPr>
    </w:p>
    <w:p w14:paraId="60439298" w14:textId="47EE51A5" w:rsidR="004059E5" w:rsidRPr="00BD1C03" w:rsidRDefault="004059E5" w:rsidP="0008435D">
      <w:r w:rsidRPr="00BD1C03">
        <w:t xml:space="preserve">The Package aims to align with key priorities for Australia as outlined in DFAT’s </w:t>
      </w:r>
      <w:r w:rsidRPr="00BD1C03">
        <w:rPr>
          <w:rStyle w:val="Emphasis"/>
          <w:rFonts w:ascii="Calibri Light" w:hAnsi="Calibri Light" w:cs="Calibri Light"/>
        </w:rPr>
        <w:t>Humanitarian Strategy</w:t>
      </w:r>
      <w:r w:rsidRPr="00BD1C03">
        <w:t xml:space="preserve"> (2016)</w:t>
      </w:r>
      <w:r w:rsidRPr="00BD1C03">
        <w:rPr>
          <w:rStyle w:val="EndnoteReference"/>
          <w:rFonts w:ascii="Calibri Light" w:hAnsi="Calibri Light" w:cs="Calibri Light"/>
        </w:rPr>
        <w:endnoteReference w:id="8"/>
      </w:r>
      <w:r w:rsidRPr="00BD1C03">
        <w:t xml:space="preserve"> and Protection Framework (2013), notably Protection, Accountability to Affected Populations (AAP), Gender Equality and Women’s Empowerment (GEWE) and disability inclusion. The Package also aligns with DFAT’s Foreign Policy White Paper </w:t>
      </w:r>
      <w:r w:rsidR="00644A21" w:rsidRPr="00BD1C03">
        <w:t xml:space="preserve">(2017) </w:t>
      </w:r>
      <w:r w:rsidRPr="00BD1C03">
        <w:t>and advances commitments made by Australia at the World Humanitarian Summit</w:t>
      </w:r>
      <w:r w:rsidR="00644A21" w:rsidRPr="00BD1C03">
        <w:t xml:space="preserve"> (2016) to </w:t>
      </w:r>
      <w:r w:rsidRPr="00BD1C03">
        <w:t>predictable and flexible funding, locally-led humanitarian action, bridging the humanitarian-development divide and promoting protection and leaving no-one behind.</w:t>
      </w:r>
    </w:p>
    <w:p w14:paraId="289D07B2" w14:textId="06D5A01D" w:rsidR="00CA116D" w:rsidRPr="00BD1C03" w:rsidRDefault="004059E5" w:rsidP="0008435D">
      <w:r w:rsidRPr="00BD1C03">
        <w:t xml:space="preserve">Australia (through DFAT) has </w:t>
      </w:r>
      <w:r w:rsidR="00E7507A" w:rsidRPr="00BD1C03">
        <w:t xml:space="preserve">also </w:t>
      </w:r>
      <w:r w:rsidRPr="00BD1C03">
        <w:t xml:space="preserve">supported the OECD DAC </w:t>
      </w:r>
      <w:r w:rsidR="00E7507A" w:rsidRPr="00BD1C03">
        <w:t>r</w:t>
      </w:r>
      <w:r w:rsidRPr="00BD1C03">
        <w:t>ecommendation on the Humanitarian Development Peace (HDP) nexus coherence which sets out principles for good practice including “prevention always, development where we can and humanitarian support when we must”</w:t>
      </w:r>
      <w:r w:rsidR="00C5742F" w:rsidRPr="00BD1C03">
        <w:t>.</w:t>
      </w:r>
      <w:r w:rsidRPr="00BD1C03">
        <w:rPr>
          <w:rStyle w:val="EndnoteReference"/>
          <w:rFonts w:ascii="Calibri Light" w:hAnsi="Calibri Light" w:cs="Calibri Light"/>
        </w:rPr>
        <w:endnoteReference w:id="9"/>
      </w:r>
      <w:r w:rsidRPr="00BD1C03">
        <w:t xml:space="preserve"> This </w:t>
      </w:r>
      <w:r w:rsidR="00E7507A" w:rsidRPr="00BD1C03">
        <w:t>r</w:t>
      </w:r>
      <w:r w:rsidRPr="00BD1C03">
        <w:t xml:space="preserve">ecommendation was endorsed after the Iraq Package design but </w:t>
      </w:r>
      <w:r w:rsidR="005D22FD" w:rsidRPr="00BD1C03">
        <w:t>together with Australia’s 2016 WHS commitment to the HDP</w:t>
      </w:r>
      <w:r w:rsidR="00A6530A" w:rsidRPr="00BD1C03">
        <w:t xml:space="preserve"> nexus</w:t>
      </w:r>
      <w:r w:rsidR="005D22FD" w:rsidRPr="00BD1C03">
        <w:t xml:space="preserve">, both </w:t>
      </w:r>
      <w:r w:rsidRPr="00BD1C03">
        <w:t>will be used to inform this review and f</w:t>
      </w:r>
      <w:r w:rsidR="009D66CB" w:rsidRPr="00BD1C03">
        <w:t>orward-looking</w:t>
      </w:r>
      <w:r w:rsidRPr="00BD1C03">
        <w:t xml:space="preserve"> recommendations.</w:t>
      </w:r>
    </w:p>
    <w:p w14:paraId="7B8205E1" w14:textId="77777777" w:rsidR="00CA116D" w:rsidRPr="00BD1C03" w:rsidRDefault="00CA116D">
      <w:pPr>
        <w:spacing w:after="0"/>
      </w:pPr>
      <w:r w:rsidRPr="00BD1C03">
        <w:br w:type="page"/>
      </w:r>
    </w:p>
    <w:p w14:paraId="1CC9EC08" w14:textId="0DB05EAF" w:rsidR="00F874E1" w:rsidRPr="00036D8F" w:rsidRDefault="003620F2" w:rsidP="00044C32">
      <w:pPr>
        <w:pStyle w:val="Heading1"/>
        <w:numPr>
          <w:ilvl w:val="0"/>
          <w:numId w:val="5"/>
        </w:numPr>
        <w:rPr>
          <w:color w:val="auto"/>
          <w:sz w:val="56"/>
        </w:rPr>
      </w:pPr>
      <w:bookmarkStart w:id="3" w:name="_Toc48318493"/>
      <w:r w:rsidRPr="00036D8F">
        <w:rPr>
          <w:color w:val="auto"/>
          <w:sz w:val="56"/>
        </w:rPr>
        <w:t>Context analysis</w:t>
      </w:r>
      <w:bookmarkEnd w:id="3"/>
      <w:r w:rsidR="00937E87" w:rsidRPr="00036D8F">
        <w:rPr>
          <w:color w:val="auto"/>
          <w:sz w:val="56"/>
        </w:rPr>
        <w:t xml:space="preserve"> </w:t>
      </w:r>
      <w:r w:rsidR="001C509E" w:rsidRPr="00036D8F">
        <w:rPr>
          <w:color w:val="auto"/>
          <w:sz w:val="32"/>
        </w:rPr>
        <w:t>(</w:t>
      </w:r>
      <w:r w:rsidR="00937E87" w:rsidRPr="00036D8F">
        <w:rPr>
          <w:color w:val="auto"/>
          <w:sz w:val="32"/>
        </w:rPr>
        <w:t xml:space="preserve">including </w:t>
      </w:r>
      <w:r w:rsidR="00DD7A1B" w:rsidRPr="00036D8F">
        <w:rPr>
          <w:color w:val="auto"/>
          <w:sz w:val="32"/>
        </w:rPr>
        <w:t>UN</w:t>
      </w:r>
      <w:r w:rsidR="000D77AA" w:rsidRPr="00036D8F">
        <w:rPr>
          <w:color w:val="auto"/>
          <w:sz w:val="32"/>
        </w:rPr>
        <w:t xml:space="preserve"> </w:t>
      </w:r>
      <w:r w:rsidR="009D66CB" w:rsidRPr="00036D8F">
        <w:rPr>
          <w:color w:val="auto"/>
          <w:sz w:val="32"/>
        </w:rPr>
        <w:t>S</w:t>
      </w:r>
      <w:r w:rsidR="000D77AA" w:rsidRPr="00036D8F">
        <w:rPr>
          <w:color w:val="auto"/>
          <w:sz w:val="32"/>
        </w:rPr>
        <w:t xml:space="preserve">ecurity </w:t>
      </w:r>
      <w:r w:rsidR="009D66CB" w:rsidRPr="00036D8F">
        <w:rPr>
          <w:color w:val="auto"/>
          <w:sz w:val="32"/>
        </w:rPr>
        <w:t>C</w:t>
      </w:r>
      <w:r w:rsidR="000D77AA" w:rsidRPr="00036D8F">
        <w:rPr>
          <w:color w:val="auto"/>
          <w:sz w:val="32"/>
        </w:rPr>
        <w:t xml:space="preserve">ouncil </w:t>
      </w:r>
      <w:r w:rsidR="009D66CB" w:rsidRPr="00036D8F">
        <w:rPr>
          <w:color w:val="auto"/>
          <w:sz w:val="32"/>
        </w:rPr>
        <w:t>R</w:t>
      </w:r>
      <w:r w:rsidR="00213868" w:rsidRPr="00036D8F">
        <w:rPr>
          <w:color w:val="auto"/>
          <w:sz w:val="32"/>
        </w:rPr>
        <w:t xml:space="preserve">esolution </w:t>
      </w:r>
      <w:r w:rsidR="00DD7A1B" w:rsidRPr="00036D8F">
        <w:rPr>
          <w:color w:val="auto"/>
          <w:sz w:val="32"/>
        </w:rPr>
        <w:t>1325</w:t>
      </w:r>
      <w:r w:rsidR="009D66CB" w:rsidRPr="00036D8F">
        <w:rPr>
          <w:color w:val="auto"/>
          <w:sz w:val="32"/>
        </w:rPr>
        <w:t xml:space="preserve"> </w:t>
      </w:r>
      <w:r w:rsidR="000D77AA" w:rsidRPr="00036D8F">
        <w:rPr>
          <w:color w:val="auto"/>
          <w:sz w:val="32"/>
        </w:rPr>
        <w:t>WPS</w:t>
      </w:r>
      <w:r w:rsidR="00DD7A1B" w:rsidRPr="00036D8F">
        <w:rPr>
          <w:color w:val="auto"/>
          <w:sz w:val="32"/>
        </w:rPr>
        <w:t xml:space="preserve"> and C</w:t>
      </w:r>
      <w:r w:rsidR="00B21BA2" w:rsidRPr="00036D8F">
        <w:rPr>
          <w:color w:val="auto"/>
          <w:sz w:val="32"/>
        </w:rPr>
        <w:t>OVID</w:t>
      </w:r>
      <w:r w:rsidR="00DD7A1B" w:rsidRPr="00036D8F">
        <w:rPr>
          <w:color w:val="auto"/>
          <w:sz w:val="32"/>
        </w:rPr>
        <w:t>-19</w:t>
      </w:r>
      <w:r w:rsidR="001C509E" w:rsidRPr="00036D8F">
        <w:rPr>
          <w:color w:val="auto"/>
          <w:sz w:val="32"/>
        </w:rPr>
        <w:t>)</w:t>
      </w:r>
    </w:p>
    <w:p w14:paraId="6C403B15" w14:textId="5BA98B84" w:rsidR="00C50E9C" w:rsidRPr="00BD1C03" w:rsidRDefault="00DD7A1B" w:rsidP="00044C32">
      <w:pPr>
        <w:spacing w:before="120"/>
        <w:rPr>
          <w:rFonts w:asciiTheme="majorHAnsi" w:hAnsiTheme="majorHAnsi" w:cstheme="majorHAnsi"/>
        </w:rPr>
      </w:pPr>
      <w:r w:rsidRPr="00BD1C03">
        <w:t xml:space="preserve">The following is intended to provide an </w:t>
      </w:r>
      <w:r w:rsidR="00DD1D56" w:rsidRPr="00BD1C03">
        <w:t>updated</w:t>
      </w:r>
      <w:r w:rsidRPr="00BD1C03">
        <w:t xml:space="preserve"> context analysis</w:t>
      </w:r>
      <w:r w:rsidR="00D43DA7" w:rsidRPr="00BD1C03">
        <w:t xml:space="preserve"> that</w:t>
      </w:r>
      <w:r w:rsidRPr="00BD1C03">
        <w:t xml:space="preserve"> includ</w:t>
      </w:r>
      <w:r w:rsidR="00D43DA7" w:rsidRPr="00BD1C03">
        <w:t>es a</w:t>
      </w:r>
      <w:r w:rsidRPr="00BD1C03">
        <w:t xml:space="preserve"> </w:t>
      </w:r>
      <w:r w:rsidR="00601F77" w:rsidRPr="00BD1C03">
        <w:t>brief</w:t>
      </w:r>
      <w:r w:rsidR="00C50E9C" w:rsidRPr="00BD1C03">
        <w:t xml:space="preserve"> </w:t>
      </w:r>
      <w:r w:rsidRPr="00BD1C03">
        <w:t xml:space="preserve">overview of key developments since the package </w:t>
      </w:r>
      <w:r w:rsidR="00AA4C6C" w:rsidRPr="00BD1C03">
        <w:t>design</w:t>
      </w:r>
      <w:r w:rsidR="006C4691" w:rsidRPr="00BD1C03">
        <w:t xml:space="preserve">, </w:t>
      </w:r>
      <w:r w:rsidR="00601F77" w:rsidRPr="00BD1C03">
        <w:t>factors</w:t>
      </w:r>
      <w:r w:rsidRPr="00BD1C03">
        <w:t xml:space="preserve"> relevant to evaluating </w:t>
      </w:r>
      <w:r w:rsidR="00A4350B" w:rsidRPr="00BD1C03">
        <w:t>the</w:t>
      </w:r>
      <w:r w:rsidRPr="00BD1C03">
        <w:t xml:space="preserve"> relevance, effectiveness and efficiency</w:t>
      </w:r>
      <w:r w:rsidR="00A4350B" w:rsidRPr="00BD1C03">
        <w:t>,</w:t>
      </w:r>
      <w:r w:rsidRPr="00BD1C03">
        <w:t xml:space="preserve"> </w:t>
      </w:r>
      <w:r w:rsidR="006C4691" w:rsidRPr="00BD1C03">
        <w:t>and</w:t>
      </w:r>
      <w:r w:rsidR="00D43DA7" w:rsidRPr="00BD1C03">
        <w:t xml:space="preserve"> </w:t>
      </w:r>
      <w:r w:rsidR="006C4691" w:rsidRPr="00BD1C03">
        <w:t>grounding the recommendations moving forward</w:t>
      </w:r>
      <w:r w:rsidRPr="00BD1C03">
        <w:t xml:space="preserve">. </w:t>
      </w:r>
      <w:r w:rsidR="00E73A9B" w:rsidRPr="00BD1C03">
        <w:t>T</w:t>
      </w:r>
      <w:r w:rsidRPr="00BD1C03">
        <w:t>he following is non-exhaustive and further sector level analysis can be found in the Iraq Humanitarian Response Plan</w:t>
      </w:r>
      <w:r w:rsidR="00644A21" w:rsidRPr="00BD1C03">
        <w:t xml:space="preserve"> (HRP)</w:t>
      </w:r>
      <w:r w:rsidR="00605304" w:rsidRPr="00BD1C03">
        <w:t xml:space="preserve"> (2020)</w:t>
      </w:r>
      <w:r w:rsidRPr="00BD1C03">
        <w:t>.</w:t>
      </w:r>
    </w:p>
    <w:p w14:paraId="411308C1" w14:textId="7B82463A" w:rsidR="00C50E9C" w:rsidRPr="000B478B" w:rsidRDefault="00C50E9C" w:rsidP="00B13F20">
      <w:pPr>
        <w:pStyle w:val="Heading2"/>
        <w:numPr>
          <w:ilvl w:val="1"/>
          <w:numId w:val="5"/>
        </w:numPr>
        <w:rPr>
          <w:sz w:val="40"/>
          <w:szCs w:val="40"/>
        </w:rPr>
      </w:pPr>
      <w:r w:rsidRPr="00036D8F">
        <w:rPr>
          <w:sz w:val="40"/>
          <w:szCs w:val="40"/>
        </w:rPr>
        <w:t>Conflict and fragility</w:t>
      </w:r>
    </w:p>
    <w:p w14:paraId="77CAC1E2" w14:textId="7EC0393C" w:rsidR="00E21836" w:rsidRPr="00BD1C03" w:rsidRDefault="00DD7A1B" w:rsidP="0008435D">
      <w:pPr>
        <w:rPr>
          <w:rFonts w:asciiTheme="majorHAnsi" w:hAnsiTheme="majorHAnsi" w:cstheme="majorHAnsi"/>
        </w:rPr>
      </w:pPr>
      <w:r w:rsidRPr="00BD1C03">
        <w:t xml:space="preserve">Successive conflicts from 1991 to present, political instability and sectarianism, a weakened security sector and limited government service delivery, </w:t>
      </w:r>
      <w:r w:rsidR="00644A21" w:rsidRPr="00BD1C03">
        <w:t>combined with the</w:t>
      </w:r>
      <w:r w:rsidRPr="00BD1C03">
        <w:t xml:space="preserve"> conflict in neighbouring Syria contributed to the </w:t>
      </w:r>
      <w:r w:rsidR="00644A21" w:rsidRPr="00BD1C03">
        <w:t xml:space="preserve">rapid </w:t>
      </w:r>
      <w:r w:rsidRPr="00BD1C03">
        <w:t>rise of ISIL in Iraq. In June 2014 following IS</w:t>
      </w:r>
      <w:r w:rsidR="007E62B6" w:rsidRPr="00BD1C03">
        <w:t>IL</w:t>
      </w:r>
      <w:r w:rsidRPr="00BD1C03">
        <w:t xml:space="preserve"> gaining control of Mosul, the </w:t>
      </w:r>
      <w:proofErr w:type="spellStart"/>
      <w:r w:rsidRPr="00BD1C03">
        <w:t>GoI</w:t>
      </w:r>
      <w:proofErr w:type="spellEnd"/>
      <w:r w:rsidRPr="00BD1C03">
        <w:t xml:space="preserve"> requested as</w:t>
      </w:r>
      <w:r w:rsidR="006E5EF0">
        <w:t>sistance from the UN and US to “</w:t>
      </w:r>
      <w:r w:rsidRPr="00BD1C03">
        <w:t>defeat ISIL and p</w:t>
      </w:r>
      <w:r w:rsidR="006E5EF0">
        <w:t>rotect our territory and people”</w:t>
      </w:r>
      <w:r w:rsidRPr="00BD1C03">
        <w:t>.</w:t>
      </w:r>
      <w:r w:rsidRPr="00BD1C03">
        <w:rPr>
          <w:rStyle w:val="EndnoteReference"/>
          <w:rFonts w:ascii="Calibri Light" w:hAnsi="Calibri Light" w:cs="Calibri Light"/>
        </w:rPr>
        <w:endnoteReference w:id="10"/>
      </w:r>
      <w:r w:rsidRPr="00BD1C03">
        <w:t xml:space="preserve"> The Australian Defence Force</w:t>
      </w:r>
      <w:r w:rsidR="00044CF7" w:rsidRPr="00BD1C03">
        <w:t xml:space="preserve"> (ADF)</w:t>
      </w:r>
      <w:r w:rsidRPr="00BD1C03">
        <w:t xml:space="preserve"> has been a key partner of the US-led coalition military intervention to defeat IS</w:t>
      </w:r>
      <w:r w:rsidR="00130CFD" w:rsidRPr="00BD1C03">
        <w:t>IL</w:t>
      </w:r>
      <w:r w:rsidRPr="00BD1C03">
        <w:t xml:space="preserve">, including Operation Inherent Resolve. </w:t>
      </w:r>
    </w:p>
    <w:p w14:paraId="428E7D26" w14:textId="4718E25C" w:rsidR="006832A4" w:rsidRPr="00BD1C03" w:rsidRDefault="007E62B6" w:rsidP="0008435D">
      <w:r w:rsidRPr="00BD1C03">
        <w:t xml:space="preserve">Over the past three </w:t>
      </w:r>
      <w:r w:rsidR="00F957C4" w:rsidRPr="00BD1C03">
        <w:t>decades,</w:t>
      </w:r>
      <w:r w:rsidRPr="00BD1C03">
        <w:t xml:space="preserve"> </w:t>
      </w:r>
      <w:r w:rsidR="00FD1886" w:rsidRPr="00BD1C03">
        <w:t xml:space="preserve">Iraq has experienced several cumulative shocks </w:t>
      </w:r>
      <w:r w:rsidR="00E74FE9" w:rsidRPr="00BD1C03">
        <w:t>that</w:t>
      </w:r>
      <w:r w:rsidR="00FD1886" w:rsidRPr="00BD1C03">
        <w:t xml:space="preserve"> have presented significant political, economic and social cohesion challenges for the </w:t>
      </w:r>
      <w:proofErr w:type="spellStart"/>
      <w:r w:rsidR="00FD1886" w:rsidRPr="00BD1C03">
        <w:t>GoI</w:t>
      </w:r>
      <w:proofErr w:type="spellEnd"/>
      <w:r w:rsidR="00FD1886" w:rsidRPr="00BD1C03">
        <w:t xml:space="preserve"> and its institutions, and between the </w:t>
      </w:r>
      <w:proofErr w:type="spellStart"/>
      <w:r w:rsidR="00FD1886" w:rsidRPr="00BD1C03">
        <w:t>GoI</w:t>
      </w:r>
      <w:proofErr w:type="spellEnd"/>
      <w:r w:rsidR="00FD1886" w:rsidRPr="00BD1C03">
        <w:t xml:space="preserve"> and its people.</w:t>
      </w:r>
      <w:r w:rsidR="00B47F76" w:rsidRPr="00BD1C03">
        <w:rPr>
          <w:rStyle w:val="EndnoteReference"/>
          <w:rFonts w:ascii="Calibri Light" w:hAnsi="Calibri Light" w:cs="Calibri Light"/>
        </w:rPr>
        <w:endnoteReference w:id="11"/>
      </w:r>
      <w:r w:rsidR="00FD1886" w:rsidRPr="00BD1C03">
        <w:t xml:space="preserve"> </w:t>
      </w:r>
      <w:r w:rsidR="00F80C30" w:rsidRPr="00BD1C03">
        <w:t>Successive conflicts ha</w:t>
      </w:r>
      <w:r w:rsidR="00605304" w:rsidRPr="00BD1C03">
        <w:t>ve</w:t>
      </w:r>
      <w:r w:rsidR="00EC1710" w:rsidRPr="00BD1C03">
        <w:t xml:space="preserve"> also resulted in Iraq being</w:t>
      </w:r>
      <w:r w:rsidR="00605304" w:rsidRPr="00BD1C03">
        <w:t xml:space="preserve"> classified as</w:t>
      </w:r>
      <w:r w:rsidR="00EC1710" w:rsidRPr="00BD1C03">
        <w:t xml:space="preserve"> the “most contaminated country by extent of mined area”.</w:t>
      </w:r>
    </w:p>
    <w:p w14:paraId="528E38C1" w14:textId="0B545409" w:rsidR="009F50DE" w:rsidRPr="00BD1C03" w:rsidRDefault="00FD1886" w:rsidP="0008435D">
      <w:r w:rsidRPr="00BD1C03">
        <w:t>Iraq’s economy is</w:t>
      </w:r>
      <w:r w:rsidR="009F50DE" w:rsidRPr="00BD1C03">
        <w:t xml:space="preserve"> state run and</w:t>
      </w:r>
      <w:r w:rsidRPr="00BD1C03">
        <w:t xml:space="preserve"> highly dependent on the oil sector which </w:t>
      </w:r>
      <w:r w:rsidR="00495DB3">
        <w:t>constitutes an estimated 90 per</w:t>
      </w:r>
      <w:r w:rsidRPr="00BD1C03">
        <w:t>cent o</w:t>
      </w:r>
      <w:r w:rsidR="00495DB3">
        <w:t>f government revenue and 65 per</w:t>
      </w:r>
      <w:r w:rsidRPr="00BD1C03">
        <w:t>cent of GDP.</w:t>
      </w:r>
      <w:r w:rsidRPr="00BD1C03">
        <w:rPr>
          <w:rStyle w:val="EndnoteReference"/>
          <w:rFonts w:ascii="Calibri Light" w:hAnsi="Calibri Light" w:cs="Calibri Light"/>
        </w:rPr>
        <w:endnoteReference w:id="12"/>
      </w:r>
      <w:r w:rsidRPr="00BD1C03">
        <w:t xml:space="preserve"> </w:t>
      </w:r>
      <w:r w:rsidR="00F15FBE" w:rsidRPr="00BD1C03">
        <w:t>Despite</w:t>
      </w:r>
      <w:r w:rsidRPr="00BD1C03">
        <w:t xml:space="preserve"> the declared defeat of ISIL in late 2017, Iraq </w:t>
      </w:r>
      <w:r w:rsidR="00601F77" w:rsidRPr="00BD1C03">
        <w:t>continue</w:t>
      </w:r>
      <w:r w:rsidR="00044CF7" w:rsidRPr="00BD1C03">
        <w:t>s to</w:t>
      </w:r>
      <w:r w:rsidR="00601F77" w:rsidRPr="00BD1C03">
        <w:t xml:space="preserve"> </w:t>
      </w:r>
      <w:r w:rsidRPr="00BD1C03">
        <w:t>experience political instability</w:t>
      </w:r>
      <w:r w:rsidR="00644A21" w:rsidRPr="00BD1C03">
        <w:t>,</w:t>
      </w:r>
      <w:r w:rsidR="00601F77" w:rsidRPr="00BD1C03">
        <w:t xml:space="preserve"> endemic discrimination</w:t>
      </w:r>
      <w:r w:rsidR="00644A21" w:rsidRPr="00BD1C03">
        <w:t xml:space="preserve"> and</w:t>
      </w:r>
      <w:r w:rsidR="00044CF7" w:rsidRPr="00BD1C03">
        <w:t xml:space="preserve"> </w:t>
      </w:r>
      <w:r w:rsidRPr="00BD1C03">
        <w:t>regional tensions</w:t>
      </w:r>
      <w:r w:rsidR="00644A21" w:rsidRPr="00BD1C03">
        <w:t>,</w:t>
      </w:r>
      <w:r w:rsidRPr="00BD1C03">
        <w:t xml:space="preserve"> a</w:t>
      </w:r>
      <w:r w:rsidR="00F15FBE" w:rsidRPr="00BD1C03">
        <w:t>s well as</w:t>
      </w:r>
      <w:r w:rsidRPr="00BD1C03">
        <w:t xml:space="preserve"> a popular protest movement that has been met with disproportionate and excessive use of force</w:t>
      </w:r>
      <w:r w:rsidR="00044CF7" w:rsidRPr="00BD1C03">
        <w:t xml:space="preserve"> by state security actors</w:t>
      </w:r>
      <w:r w:rsidR="00C5742F" w:rsidRPr="00BD1C03">
        <w:t>.</w:t>
      </w:r>
      <w:r w:rsidR="005B11D8" w:rsidRPr="00BD1C03">
        <w:rPr>
          <w:rStyle w:val="EndnoteReference"/>
          <w:rFonts w:ascii="Calibri Light" w:hAnsi="Calibri Light" w:cs="Calibri Light"/>
        </w:rPr>
        <w:endnoteReference w:id="13"/>
      </w:r>
      <w:r w:rsidRPr="00BD1C03">
        <w:t xml:space="preserve"> </w:t>
      </w:r>
      <w:r w:rsidR="00751789" w:rsidRPr="00BD1C03">
        <w:t>Humanitarian access is impacted by high levels of insecurity and bureaucratic impediments.</w:t>
      </w:r>
    </w:p>
    <w:p w14:paraId="6C903448" w14:textId="659F7B3C" w:rsidR="00FD1886" w:rsidRPr="00BD1C03" w:rsidRDefault="000B0547" w:rsidP="0008435D">
      <w:r w:rsidRPr="00BD1C03">
        <w:t xml:space="preserve">ISIL conducted widespread and systematic violations </w:t>
      </w:r>
      <w:r w:rsidR="002974B6" w:rsidRPr="00BD1C03">
        <w:t>against civilian population</w:t>
      </w:r>
      <w:r w:rsidR="00F957C4">
        <w:t>s – including minority groups,</w:t>
      </w:r>
      <w:r w:rsidR="002974B6" w:rsidRPr="00BD1C03">
        <w:t xml:space="preserve"> women</w:t>
      </w:r>
      <w:r w:rsidR="00F957C4">
        <w:t>, and girls –</w:t>
      </w:r>
      <w:r w:rsidR="002974B6" w:rsidRPr="00BD1C03">
        <w:t xml:space="preserve"> that may amount to crimes against humanity, war crimes and genocide.</w:t>
      </w:r>
      <w:r w:rsidR="00EE697C" w:rsidRPr="00BD1C03">
        <w:rPr>
          <w:rStyle w:val="EndnoteReference"/>
          <w:rFonts w:ascii="Calibri Light" w:hAnsi="Calibri Light" w:cs="Calibri Light"/>
        </w:rPr>
        <w:endnoteReference w:id="14"/>
      </w:r>
      <w:r w:rsidR="002974B6" w:rsidRPr="00BD1C03">
        <w:t xml:space="preserve"> In September </w:t>
      </w:r>
      <w:r w:rsidR="00F957C4" w:rsidRPr="00BD1C03">
        <w:t>2017,</w:t>
      </w:r>
      <w:r w:rsidR="002974B6" w:rsidRPr="00BD1C03">
        <w:t xml:space="preserve"> the UN Investigative Team to promote Accountability for crimes committed by Da’esh/ ISIL (UNITAD) was established under U</w:t>
      </w:r>
      <w:r w:rsidR="00605304" w:rsidRPr="00BD1C03">
        <w:t xml:space="preserve">nited </w:t>
      </w:r>
      <w:r w:rsidR="002974B6" w:rsidRPr="00BD1C03">
        <w:t>N</w:t>
      </w:r>
      <w:r w:rsidR="00605304" w:rsidRPr="00BD1C03">
        <w:t xml:space="preserve">ations </w:t>
      </w:r>
      <w:r w:rsidR="002974B6" w:rsidRPr="00BD1C03">
        <w:t>S</w:t>
      </w:r>
      <w:r w:rsidR="00605304" w:rsidRPr="00BD1C03">
        <w:t xml:space="preserve">ecurity </w:t>
      </w:r>
      <w:r w:rsidR="002974B6" w:rsidRPr="00BD1C03">
        <w:t>C</w:t>
      </w:r>
      <w:r w:rsidR="00605304" w:rsidRPr="00BD1C03">
        <w:t xml:space="preserve">ouncil </w:t>
      </w:r>
      <w:r w:rsidR="002974B6" w:rsidRPr="00BD1C03">
        <w:t>R</w:t>
      </w:r>
      <w:r w:rsidR="00605304" w:rsidRPr="00BD1C03">
        <w:t xml:space="preserve">esolution (UNSCR) </w:t>
      </w:r>
      <w:r w:rsidR="002974B6" w:rsidRPr="00BD1C03">
        <w:t xml:space="preserve">2379. </w:t>
      </w:r>
      <w:r w:rsidRPr="00BD1C03">
        <w:t>T</w:t>
      </w:r>
      <w:r w:rsidR="00FD1886" w:rsidRPr="00BD1C03">
        <w:t>here has yet to be any</w:t>
      </w:r>
      <w:r w:rsidRPr="00BD1C03">
        <w:t xml:space="preserve"> domestic or international</w:t>
      </w:r>
      <w:r w:rsidR="00FD1886" w:rsidRPr="00BD1C03">
        <w:t xml:space="preserve"> legal accountability for rape or sexual slavery committed by an ISIL member.</w:t>
      </w:r>
      <w:r w:rsidR="00FD1886" w:rsidRPr="00BD1C03">
        <w:rPr>
          <w:rStyle w:val="EndnoteReference"/>
          <w:rFonts w:ascii="Calibri Light" w:hAnsi="Calibri Light" w:cs="Calibri Light"/>
        </w:rPr>
        <w:endnoteReference w:id="15"/>
      </w:r>
      <w:r w:rsidR="00FD1886" w:rsidRPr="00BD1C03">
        <w:t xml:space="preserve"> These </w:t>
      </w:r>
      <w:r w:rsidR="007E62B6" w:rsidRPr="00BD1C03">
        <w:t xml:space="preserve">grave violations </w:t>
      </w:r>
      <w:r w:rsidR="00FD1886" w:rsidRPr="00BD1C03">
        <w:t>combined with increasing gender inequality</w:t>
      </w:r>
      <w:r w:rsidR="002974B6" w:rsidRPr="00BD1C03">
        <w:t xml:space="preserve"> and</w:t>
      </w:r>
      <w:r w:rsidR="00FD1886" w:rsidRPr="00BD1C03">
        <w:t xml:space="preserve"> </w:t>
      </w:r>
      <w:r w:rsidR="007E62B6" w:rsidRPr="00BD1C03">
        <w:t xml:space="preserve">additional </w:t>
      </w:r>
      <w:r w:rsidR="00FD1886" w:rsidRPr="00BD1C03">
        <w:t xml:space="preserve">human rights concerns </w:t>
      </w:r>
      <w:r w:rsidR="00044CF7" w:rsidRPr="00BD1C03">
        <w:t xml:space="preserve">present significant challenges </w:t>
      </w:r>
      <w:r w:rsidR="00FD1886" w:rsidRPr="00BD1C03">
        <w:t xml:space="preserve">for </w:t>
      </w:r>
      <w:r w:rsidRPr="00BD1C03">
        <w:t xml:space="preserve">reconciliation and </w:t>
      </w:r>
      <w:r w:rsidR="00FD1886" w:rsidRPr="00BD1C03">
        <w:t>future peace and security in Iraq</w:t>
      </w:r>
      <w:r w:rsidR="00C5742F" w:rsidRPr="00BD1C03">
        <w:t>.</w:t>
      </w:r>
      <w:r w:rsidR="00C5742F" w:rsidRPr="00BD1C03">
        <w:rPr>
          <w:rStyle w:val="EndnoteReference"/>
        </w:rPr>
        <w:endnoteReference w:id="16"/>
      </w:r>
      <w:r w:rsidRPr="00BD1C03">
        <w:t xml:space="preserve"> They further</w:t>
      </w:r>
      <w:r w:rsidR="00FD1886" w:rsidRPr="00BD1C03">
        <w:t xml:space="preserve"> highlight the importance of </w:t>
      </w:r>
      <w:r w:rsidR="007558AC" w:rsidRPr="00BD1C03">
        <w:t>continued</w:t>
      </w:r>
      <w:r w:rsidR="00FD1886" w:rsidRPr="00BD1C03">
        <w:t xml:space="preserve"> </w:t>
      </w:r>
      <w:r w:rsidR="009F50DE" w:rsidRPr="00BD1C03">
        <w:t>investment in</w:t>
      </w:r>
      <w:r w:rsidR="007558AC" w:rsidRPr="00BD1C03">
        <w:t xml:space="preserve"> accountability measures</w:t>
      </w:r>
      <w:r w:rsidR="008D2F73" w:rsidRPr="00BD1C03">
        <w:t xml:space="preserve"> and GEWE</w:t>
      </w:r>
      <w:r w:rsidR="00B25F9C" w:rsidRPr="00BD1C03">
        <w:t xml:space="preserve"> across the humanitarian-development-peace (HDP) </w:t>
      </w:r>
      <w:r w:rsidR="00EC1710" w:rsidRPr="00BD1C03">
        <w:t>continuum</w:t>
      </w:r>
      <w:r w:rsidR="007558AC" w:rsidRPr="00BD1C03">
        <w:t>.</w:t>
      </w:r>
    </w:p>
    <w:p w14:paraId="5768E052" w14:textId="5D52883D" w:rsidR="001D71E2" w:rsidRPr="00036D8F" w:rsidRDefault="001D71E2" w:rsidP="00B13F20">
      <w:pPr>
        <w:pStyle w:val="Heading2"/>
        <w:numPr>
          <w:ilvl w:val="1"/>
          <w:numId w:val="5"/>
        </w:numPr>
        <w:rPr>
          <w:sz w:val="40"/>
          <w:szCs w:val="40"/>
        </w:rPr>
      </w:pPr>
      <w:r w:rsidRPr="00036D8F">
        <w:rPr>
          <w:sz w:val="40"/>
          <w:szCs w:val="40"/>
        </w:rPr>
        <w:t>UN</w:t>
      </w:r>
      <w:r w:rsidR="000D77AA" w:rsidRPr="00036D8F">
        <w:rPr>
          <w:sz w:val="40"/>
          <w:szCs w:val="40"/>
        </w:rPr>
        <w:t>SCR</w:t>
      </w:r>
      <w:r w:rsidRPr="00036D8F">
        <w:rPr>
          <w:sz w:val="40"/>
          <w:szCs w:val="40"/>
        </w:rPr>
        <w:t xml:space="preserve"> 1325 Women, Peace and Security </w:t>
      </w:r>
    </w:p>
    <w:p w14:paraId="01A1F7E8" w14:textId="0BF66306" w:rsidR="006A2CF7" w:rsidRPr="00BD1C03" w:rsidRDefault="001D71E2" w:rsidP="0008435D">
      <w:r w:rsidRPr="00BD1C03">
        <w:t>Historically</w:t>
      </w:r>
      <w:r w:rsidR="005652B7" w:rsidRPr="00BD1C03">
        <w:t>,</w:t>
      </w:r>
      <w:r w:rsidRPr="00BD1C03">
        <w:t xml:space="preserve"> women and girls in Iraq enjoyed</w:t>
      </w:r>
      <w:r w:rsidR="00044CF7" w:rsidRPr="00BD1C03">
        <w:t xml:space="preserve"> more rights and freedoms than their regional counterparts</w:t>
      </w:r>
      <w:r w:rsidR="00605304" w:rsidRPr="00BD1C03">
        <w:t>. This</w:t>
      </w:r>
      <w:r w:rsidR="009559FF" w:rsidRPr="00BD1C03">
        <w:t xml:space="preserve"> i</w:t>
      </w:r>
      <w:r w:rsidR="00044CF7" w:rsidRPr="00BD1C03">
        <w:t>nclud</w:t>
      </w:r>
      <w:r w:rsidR="00605304" w:rsidRPr="00BD1C03">
        <w:t>es</w:t>
      </w:r>
      <w:r w:rsidR="00044CF7" w:rsidRPr="00BD1C03">
        <w:t xml:space="preserve"> </w:t>
      </w:r>
      <w:r w:rsidR="001244BD" w:rsidRPr="00BD1C03">
        <w:t xml:space="preserve">the </w:t>
      </w:r>
      <w:r w:rsidR="00044CF7" w:rsidRPr="00BD1C03">
        <w:t>right to vote, run for political office, attend school and own property.</w:t>
      </w:r>
      <w:r w:rsidR="00044CF7" w:rsidRPr="00BD1C03">
        <w:rPr>
          <w:rStyle w:val="EndnoteReference"/>
          <w:rFonts w:ascii="Calibri Light" w:hAnsi="Calibri Light" w:cs="Calibri Light"/>
        </w:rPr>
        <w:endnoteReference w:id="17"/>
      </w:r>
      <w:r w:rsidR="00044CF7" w:rsidRPr="00BD1C03">
        <w:t xml:space="preserve"> </w:t>
      </w:r>
      <w:r w:rsidRPr="00BD1C03">
        <w:t>However, successive conflicts and sanctions from 1991 to present have seen Iraq’s decline to 152 out of 153 countries on the global gender index.</w:t>
      </w:r>
      <w:r w:rsidRPr="00BD1C03">
        <w:rPr>
          <w:rStyle w:val="EndnoteReference"/>
          <w:rFonts w:ascii="Calibri Light" w:hAnsi="Calibri Light" w:cs="Calibri Light"/>
        </w:rPr>
        <w:endnoteReference w:id="18"/>
      </w:r>
      <w:r w:rsidRPr="00BD1C03">
        <w:t xml:space="preserve"> Patriarchal norms and discriminatory legal frameworks combined with conflict and fragility have significantly weakened the protective environment for women and girls and </w:t>
      </w:r>
      <w:r w:rsidR="00605304" w:rsidRPr="00BD1C03">
        <w:t xml:space="preserve">reduced their </w:t>
      </w:r>
      <w:r w:rsidRPr="00BD1C03">
        <w:t xml:space="preserve">engagement in the public sphere. </w:t>
      </w:r>
    </w:p>
    <w:p w14:paraId="7438D83A" w14:textId="5DB333FE" w:rsidR="006A2CF7" w:rsidRPr="00BD1C03" w:rsidRDefault="006A2CF7" w:rsidP="0008435D">
      <w:r w:rsidRPr="00BD1C03">
        <w:t xml:space="preserve">The Iraqi constitution established a </w:t>
      </w:r>
      <w:r w:rsidR="005652B7" w:rsidRPr="00BD1C03">
        <w:t xml:space="preserve">minimum </w:t>
      </w:r>
      <w:r w:rsidRPr="00BD1C03">
        <w:t xml:space="preserve">25 </w:t>
      </w:r>
      <w:r w:rsidR="003631C1">
        <w:t>per</w:t>
      </w:r>
      <w:r w:rsidRPr="003631C1">
        <w:t>cent</w:t>
      </w:r>
      <w:r w:rsidRPr="00BD1C03">
        <w:t xml:space="preserve"> quota for women in parliament, however their access to influence and power remains constrained by patriarchal norms</w:t>
      </w:r>
      <w:r w:rsidR="00E73A9B" w:rsidRPr="00BD1C03">
        <w:t>, evidenced by the</w:t>
      </w:r>
      <w:r w:rsidRPr="00BD1C03">
        <w:t xml:space="preserve"> 21 member parliamentary Committee on Security and Defence </w:t>
      </w:r>
      <w:r w:rsidR="00E73A9B" w:rsidRPr="00BD1C03">
        <w:t>having no female members</w:t>
      </w:r>
      <w:r w:rsidRPr="00BD1C03">
        <w:t>.</w:t>
      </w:r>
      <w:r w:rsidRPr="00BD1C03">
        <w:rPr>
          <w:rStyle w:val="EndnoteReference"/>
          <w:rFonts w:ascii="Calibri Light" w:hAnsi="Calibri Light" w:cs="Calibri Light"/>
        </w:rPr>
        <w:endnoteReference w:id="19"/>
      </w:r>
      <w:r w:rsidRPr="00BD1C03">
        <w:t xml:space="preserve"> </w:t>
      </w:r>
    </w:p>
    <w:p w14:paraId="1513DA67" w14:textId="0C115577" w:rsidR="00660B0C" w:rsidRPr="00BD1C03" w:rsidRDefault="006A2CF7" w:rsidP="00614BD3">
      <w:pPr>
        <w:pStyle w:val="Quote1"/>
      </w:pPr>
      <w:r w:rsidRPr="00BD1C03">
        <w:t xml:space="preserve">“Women make up 50 </w:t>
      </w:r>
      <w:r w:rsidR="00495DB3">
        <w:t>percent</w:t>
      </w:r>
      <w:r w:rsidRPr="00BD1C03">
        <w:t xml:space="preserve"> of the population, how can you possibly attempt to create and maintain international peace and security when you’re excluding 50 </w:t>
      </w:r>
      <w:r w:rsidR="00495DB3">
        <w:t>percent</w:t>
      </w:r>
      <w:r w:rsidRPr="00BD1C03">
        <w:t xml:space="preserve"> of the population?”</w:t>
      </w:r>
      <w:r w:rsidR="00B90408" w:rsidRPr="00BD1C03">
        <w:t xml:space="preserve"> </w:t>
      </w:r>
    </w:p>
    <w:p w14:paraId="2A3F292B" w14:textId="795A3799" w:rsidR="006A2CF7" w:rsidRPr="00BD1C03" w:rsidRDefault="00B90408" w:rsidP="00270BF1">
      <w:pPr>
        <w:ind w:left="851" w:right="645"/>
        <w:jc w:val="right"/>
      </w:pPr>
      <w:r w:rsidRPr="00BD1C03">
        <w:t>Sarah Taylor NGO Working Group WPS</w:t>
      </w:r>
      <w:r w:rsidR="006817E1" w:rsidRPr="00BD1C03">
        <w:t xml:space="preserve"> </w:t>
      </w:r>
      <w:r w:rsidR="006A2CF7" w:rsidRPr="00BD1C03">
        <w:rPr>
          <w:rStyle w:val="EndnoteReference"/>
          <w:rFonts w:asciiTheme="majorHAnsi" w:hAnsiTheme="majorHAnsi" w:cstheme="majorHAnsi"/>
          <w:iCs/>
          <w:szCs w:val="22"/>
        </w:rPr>
        <w:endnoteReference w:id="20"/>
      </w:r>
    </w:p>
    <w:p w14:paraId="5E9AB8DD" w14:textId="7D2A5D84" w:rsidR="001D71E2" w:rsidRPr="00BD1C03" w:rsidRDefault="005659A5" w:rsidP="0008435D">
      <w:r w:rsidRPr="00BD1C03">
        <w:t xml:space="preserve">Iraq’s </w:t>
      </w:r>
      <w:r w:rsidR="00605304" w:rsidRPr="00BD1C03">
        <w:t>current peace and security c</w:t>
      </w:r>
      <w:r w:rsidR="00FE57FB" w:rsidRPr="00BD1C03">
        <w:t>hallenges</w:t>
      </w:r>
      <w:r w:rsidR="00605304" w:rsidRPr="00BD1C03">
        <w:t xml:space="preserve"> and increasing gender inequality align with </w:t>
      </w:r>
      <w:r w:rsidR="00FE57FB" w:rsidRPr="00BD1C03">
        <w:t xml:space="preserve">global evidence </w:t>
      </w:r>
      <w:r w:rsidR="00605304" w:rsidRPr="00BD1C03">
        <w:t xml:space="preserve">on the importance of the </w:t>
      </w:r>
      <w:r w:rsidRPr="00BD1C03">
        <w:t xml:space="preserve">investing in the </w:t>
      </w:r>
      <w:r w:rsidR="00605304" w:rsidRPr="00BD1C03">
        <w:t>W</w:t>
      </w:r>
      <w:r w:rsidR="00044C32">
        <w:t>omen, Peace and Security (W</w:t>
      </w:r>
      <w:r w:rsidR="00605304" w:rsidRPr="00BD1C03">
        <w:t>PS</w:t>
      </w:r>
      <w:r w:rsidR="00044C32">
        <w:t>)</w:t>
      </w:r>
      <w:r w:rsidR="00605304" w:rsidRPr="00BD1C03">
        <w:t xml:space="preserve"> agenda.</w:t>
      </w:r>
      <w:r w:rsidR="00F80C30" w:rsidRPr="00BD1C03">
        <w:t xml:space="preserve"> </w:t>
      </w:r>
      <w:r w:rsidR="00605304" w:rsidRPr="00BD1C03">
        <w:t xml:space="preserve">The </w:t>
      </w:r>
      <w:r w:rsidR="00F80C30" w:rsidRPr="00BD1C03">
        <w:t>p</w:t>
      </w:r>
      <w:r w:rsidR="001D71E2" w:rsidRPr="00BD1C03">
        <w:t>olitical participation and inclusion of women in peace processes as well as being rights-based, is empirically linked to improv</w:t>
      </w:r>
      <w:r w:rsidR="005652B7" w:rsidRPr="00BD1C03">
        <w:t>ing the</w:t>
      </w:r>
      <w:r w:rsidR="001D71E2" w:rsidRPr="00BD1C03">
        <w:t xml:space="preserve"> quality and durability of peace.</w:t>
      </w:r>
      <w:r w:rsidR="003A7C29" w:rsidRPr="00BD1C03">
        <w:rPr>
          <w:rStyle w:val="EndnoteReference"/>
          <w:rFonts w:ascii="Calibri Light" w:hAnsi="Calibri Light" w:cs="Calibri Light"/>
          <w:szCs w:val="22"/>
        </w:rPr>
        <w:endnoteReference w:id="21"/>
      </w:r>
      <w:r w:rsidR="001D71E2" w:rsidRPr="00BD1C03">
        <w:t xml:space="preserve"> </w:t>
      </w:r>
      <w:r w:rsidR="00260E68" w:rsidRPr="00BD1C03">
        <w:t>E</w:t>
      </w:r>
      <w:r w:rsidR="001D71E2" w:rsidRPr="00BD1C03">
        <w:t>mpirical studies demonstrate gender equality is the greatest predictor of peace ahead of economic prosperity, level of democracy or religious identity.</w:t>
      </w:r>
      <w:r w:rsidR="001D71E2" w:rsidRPr="00BD1C03">
        <w:rPr>
          <w:rStyle w:val="EndnoteReference"/>
          <w:rFonts w:ascii="Calibri Light" w:hAnsi="Calibri Light" w:cs="Calibri Light"/>
          <w:szCs w:val="22"/>
        </w:rPr>
        <w:endnoteReference w:id="22"/>
      </w:r>
      <w:r w:rsidR="00756A00" w:rsidRPr="00BD1C03">
        <w:t xml:space="preserve"> Conversely, lower levels of gender inequality increase internal and inter-state conflict risks.</w:t>
      </w:r>
    </w:p>
    <w:tbl>
      <w:tblPr>
        <w:tblStyle w:val="GridTable1Light-Accent3"/>
        <w:tblW w:w="0" w:type="auto"/>
        <w:tblLook w:val="04A0" w:firstRow="1" w:lastRow="0" w:firstColumn="1" w:lastColumn="0" w:noHBand="0" w:noVBand="1"/>
      </w:tblPr>
      <w:tblGrid>
        <w:gridCol w:w="8188"/>
      </w:tblGrid>
      <w:tr w:rsidR="00FA667F" w:rsidRPr="00BD1C03" w14:paraId="4EB2F27D" w14:textId="77777777" w:rsidTr="00204E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14:paraId="71C71F61" w14:textId="41026AB0" w:rsidR="00FA667F" w:rsidRPr="001D2CE7" w:rsidRDefault="00FA667F" w:rsidP="003E7F2F">
            <w:pPr>
              <w:spacing w:before="240"/>
              <w:ind w:left="176" w:right="228"/>
              <w:rPr>
                <w:color w:val="000000" w:themeColor="text1"/>
              </w:rPr>
            </w:pPr>
            <w:r w:rsidRPr="001D2CE7">
              <w:rPr>
                <w:color w:val="000000" w:themeColor="text1"/>
              </w:rPr>
              <w:t xml:space="preserve">The </w:t>
            </w:r>
            <w:r w:rsidRPr="001D2CE7">
              <w:rPr>
                <w:rStyle w:val="EnfasiChar"/>
                <w:color w:val="000000" w:themeColor="text1" w:themeShade="80"/>
              </w:rPr>
              <w:t>WPS Agenda</w:t>
            </w:r>
            <w:r w:rsidRPr="001D2CE7">
              <w:rPr>
                <w:b w:val="0"/>
                <w:bCs w:val="0"/>
                <w:color w:val="000000" w:themeColor="text1"/>
              </w:rPr>
              <w:t xml:space="preserve"> </w:t>
            </w:r>
            <w:r w:rsidRPr="001D2CE7">
              <w:rPr>
                <w:color w:val="000000" w:themeColor="text1"/>
              </w:rPr>
              <w:t xml:space="preserve">can be broken down into four pillars: </w:t>
            </w:r>
            <w:proofErr w:type="spellStart"/>
            <w:r w:rsidRPr="001D2CE7">
              <w:rPr>
                <w:color w:val="000000" w:themeColor="text1"/>
              </w:rPr>
              <w:t>i</w:t>
            </w:r>
            <w:proofErr w:type="spellEnd"/>
            <w:r w:rsidRPr="001D2CE7">
              <w:rPr>
                <w:color w:val="000000" w:themeColor="text1"/>
              </w:rPr>
              <w:t xml:space="preserve">) </w:t>
            </w:r>
            <w:r w:rsidRPr="001D2CE7">
              <w:rPr>
                <w:rStyle w:val="EnfasiChar"/>
                <w:color w:val="000000" w:themeColor="text1" w:themeShade="80"/>
              </w:rPr>
              <w:t>Participation</w:t>
            </w:r>
            <w:r w:rsidRPr="001D2CE7">
              <w:rPr>
                <w:color w:val="000000" w:themeColor="text1"/>
              </w:rPr>
              <w:t xml:space="preserve">, ii) </w:t>
            </w:r>
            <w:r w:rsidRPr="001D2CE7">
              <w:rPr>
                <w:rStyle w:val="EnfasiChar"/>
                <w:color w:val="000000" w:themeColor="text1" w:themeShade="80"/>
              </w:rPr>
              <w:t>Conflict prevention</w:t>
            </w:r>
            <w:r w:rsidRPr="001D2CE7">
              <w:rPr>
                <w:color w:val="000000" w:themeColor="text1"/>
              </w:rPr>
              <w:t>, iii)</w:t>
            </w:r>
            <w:r w:rsidRPr="001D2CE7">
              <w:rPr>
                <w:b w:val="0"/>
                <w:bCs w:val="0"/>
                <w:color w:val="000000" w:themeColor="text1"/>
              </w:rPr>
              <w:t xml:space="preserve"> </w:t>
            </w:r>
            <w:r w:rsidRPr="001D2CE7">
              <w:rPr>
                <w:rStyle w:val="EnfasiChar"/>
                <w:color w:val="000000" w:themeColor="text1" w:themeShade="80"/>
              </w:rPr>
              <w:t>Protection</w:t>
            </w:r>
            <w:r w:rsidRPr="001D2CE7">
              <w:rPr>
                <w:color w:val="000000" w:themeColor="text1"/>
              </w:rPr>
              <w:t xml:space="preserve"> and </w:t>
            </w:r>
            <w:r w:rsidRPr="001D2CE7">
              <w:rPr>
                <w:rStyle w:val="EnfasiChar"/>
                <w:color w:val="000000" w:themeColor="text1" w:themeShade="80"/>
              </w:rPr>
              <w:t>Relief and Recovery</w:t>
            </w:r>
            <w:r w:rsidR="004E24B0" w:rsidRPr="001D2CE7">
              <w:rPr>
                <w:rStyle w:val="EnfasiChar"/>
                <w:color w:val="000000" w:themeColor="text1" w:themeShade="80"/>
              </w:rPr>
              <w:t>.</w:t>
            </w:r>
          </w:p>
          <w:p w14:paraId="7F0BC40C" w14:textId="77777777" w:rsidR="00FA667F" w:rsidRPr="001D2CE7" w:rsidRDefault="00FA667F" w:rsidP="003E7F2F">
            <w:pPr>
              <w:ind w:left="176" w:right="228"/>
              <w:rPr>
                <w:color w:val="000000" w:themeColor="text1"/>
              </w:rPr>
            </w:pPr>
            <w:r w:rsidRPr="001D2CE7">
              <w:rPr>
                <w:color w:val="000000" w:themeColor="text1"/>
              </w:rPr>
              <w:t xml:space="preserve">These can then be further broken down into the following sub-thematic issues: </w:t>
            </w:r>
            <w:r w:rsidRPr="001D2CE7">
              <w:rPr>
                <w:rStyle w:val="EnfasiChar"/>
                <w:color w:val="000000" w:themeColor="text1" w:themeShade="80"/>
              </w:rPr>
              <w:t>peace processes, disarmament, sexual and gender-based violence, peacekeeping, displacement and humanitarian response, human rights, justice, rule of law, participation, security sector reform and reconstruction</w:t>
            </w:r>
            <w:r w:rsidRPr="001D2CE7">
              <w:rPr>
                <w:color w:val="000000" w:themeColor="text1"/>
              </w:rPr>
              <w:t>.</w:t>
            </w:r>
          </w:p>
          <w:p w14:paraId="016CEB49" w14:textId="77777777" w:rsidR="00FA667F" w:rsidRPr="001D2CE7" w:rsidRDefault="00FA667F" w:rsidP="003E7F2F">
            <w:pPr>
              <w:ind w:left="176" w:right="228"/>
              <w:rPr>
                <w:color w:val="000000" w:themeColor="text1"/>
              </w:rPr>
            </w:pPr>
            <w:r w:rsidRPr="001D2CE7">
              <w:rPr>
                <w:color w:val="000000" w:themeColor="text1"/>
              </w:rPr>
              <w:t xml:space="preserve">Current practice tends to focus on </w:t>
            </w:r>
            <w:r w:rsidRPr="001D2CE7">
              <w:rPr>
                <w:rStyle w:val="EnfasiChar"/>
                <w:color w:val="000000" w:themeColor="text1" w:themeShade="80"/>
              </w:rPr>
              <w:t>women’s leadership in peace making and conflict prevention</w:t>
            </w:r>
            <w:r w:rsidRPr="001D2CE7">
              <w:rPr>
                <w:color w:val="000000" w:themeColor="text1"/>
              </w:rPr>
              <w:t xml:space="preserve"> – and </w:t>
            </w:r>
            <w:r w:rsidRPr="001D2CE7">
              <w:rPr>
                <w:rStyle w:val="EnfasiChar"/>
                <w:color w:val="000000" w:themeColor="text1" w:themeShade="80"/>
              </w:rPr>
              <w:t>prevention and response to conflict-related sexual violence</w:t>
            </w:r>
            <w:r w:rsidRPr="001D2CE7">
              <w:rPr>
                <w:color w:val="000000" w:themeColor="text1"/>
              </w:rPr>
              <w:t>. While the latter dominates media coverage and discourse, it is increasing attention and investment in women’s participation and leadership that is needed to prevent the latter and facilitate durable peace.</w:t>
            </w:r>
            <w:r w:rsidRPr="001D2CE7">
              <w:rPr>
                <w:color w:val="000000" w:themeColor="text1"/>
                <w:vertAlign w:val="superscript"/>
              </w:rPr>
              <w:endnoteReference w:id="23"/>
            </w:r>
          </w:p>
          <w:p w14:paraId="5E0A5D87" w14:textId="4AD5F589" w:rsidR="00FA667F" w:rsidRPr="004E24B0" w:rsidRDefault="00FA667F" w:rsidP="003E7F2F">
            <w:pPr>
              <w:ind w:left="176" w:right="228"/>
              <w:rPr>
                <w:i/>
              </w:rPr>
            </w:pPr>
            <w:r w:rsidRPr="001D2CE7">
              <w:rPr>
                <w:i/>
                <w:color w:val="000000" w:themeColor="text1"/>
              </w:rPr>
              <w:t xml:space="preserve">Adapted from </w:t>
            </w:r>
            <w:hyperlink r:id="rId19" w:history="1">
              <w:r w:rsidRPr="001D2CE7">
                <w:rPr>
                  <w:rStyle w:val="Hyperlink"/>
                  <w:i/>
                  <w:color w:val="000000" w:themeColor="text1"/>
                  <w:u w:val="none"/>
                </w:rPr>
                <w:t>Advancing Women, Peace in the Security in the Middle East</w:t>
              </w:r>
            </w:hyperlink>
            <w:r w:rsidRPr="001D2CE7">
              <w:rPr>
                <w:i/>
                <w:color w:val="000000" w:themeColor="text1"/>
              </w:rPr>
              <w:t xml:space="preserve"> (2019</w:t>
            </w:r>
            <w:r w:rsidR="009B2359" w:rsidRPr="001D2CE7">
              <w:rPr>
                <w:rStyle w:val="EndnoteReference"/>
                <w:i/>
                <w:color w:val="000000" w:themeColor="text1"/>
              </w:rPr>
              <w:endnoteReference w:id="24"/>
            </w:r>
            <w:r w:rsidRPr="001D2CE7">
              <w:rPr>
                <w:i/>
                <w:color w:val="000000" w:themeColor="text1"/>
              </w:rPr>
              <w:t>)</w:t>
            </w:r>
          </w:p>
        </w:tc>
      </w:tr>
    </w:tbl>
    <w:p w14:paraId="696DF1D7" w14:textId="77777777" w:rsidR="00FA667F" w:rsidRPr="00BD1C03" w:rsidRDefault="00FA667F" w:rsidP="000E4247">
      <w:pPr>
        <w:spacing w:after="0"/>
      </w:pPr>
    </w:p>
    <w:p w14:paraId="10458E18" w14:textId="55F35E9F" w:rsidR="001D71E2" w:rsidRPr="00BD1C03" w:rsidRDefault="001D71E2" w:rsidP="0008435D">
      <w:r w:rsidRPr="00BD1C03">
        <w:t xml:space="preserve">Iraq’s </w:t>
      </w:r>
      <w:r w:rsidRPr="00BD1C03">
        <w:rPr>
          <w:i/>
        </w:rPr>
        <w:t>WPS National Action Plan (NAP)</w:t>
      </w:r>
      <w:r w:rsidR="00FB1A57" w:rsidRPr="00BD1C03">
        <w:rPr>
          <w:rStyle w:val="EndnoteReference"/>
          <w:rFonts w:ascii="Calibri Light" w:hAnsi="Calibri Light" w:cs="Calibri Light"/>
          <w:szCs w:val="22"/>
        </w:rPr>
        <w:endnoteReference w:id="25"/>
      </w:r>
      <w:r w:rsidRPr="00BD1C03">
        <w:t xml:space="preserve"> expired in 2018 and challenges </w:t>
      </w:r>
      <w:r w:rsidR="006E1AF5" w:rsidRPr="00BD1C03">
        <w:t xml:space="preserve">were reported in </w:t>
      </w:r>
      <w:r w:rsidRPr="00BD1C03">
        <w:t xml:space="preserve">securing an updated plan that engages the necessary ministries. It is understood there is a revised draft in circulation at the time of writing. The Ambassador has been actively advocating </w:t>
      </w:r>
      <w:r w:rsidR="00756A00" w:rsidRPr="00BD1C03">
        <w:t xml:space="preserve">with </w:t>
      </w:r>
      <w:r w:rsidRPr="00BD1C03">
        <w:t xml:space="preserve">the </w:t>
      </w:r>
      <w:proofErr w:type="spellStart"/>
      <w:r w:rsidRPr="00BD1C03">
        <w:t>GoI</w:t>
      </w:r>
      <w:proofErr w:type="spellEnd"/>
      <w:r w:rsidRPr="00BD1C03">
        <w:t xml:space="preserve"> </w:t>
      </w:r>
      <w:r w:rsidR="00756A00" w:rsidRPr="00BD1C03">
        <w:t xml:space="preserve">on </w:t>
      </w:r>
      <w:r w:rsidRPr="00BD1C03">
        <w:t>the importance of an agreed and fully funded NAP. In terms of the Iraq Package, the humanitarian and stabilisation components have advanced the protecti</w:t>
      </w:r>
      <w:r w:rsidR="006E1AF5" w:rsidRPr="00BD1C03">
        <w:t>on</w:t>
      </w:r>
      <w:r w:rsidRPr="00BD1C03">
        <w:t xml:space="preserve"> and relief and recovery pillars of WPS and </w:t>
      </w:r>
      <w:r w:rsidR="003652FB" w:rsidRPr="00BD1C03">
        <w:t xml:space="preserve">will </w:t>
      </w:r>
      <w:r w:rsidRPr="00BD1C03">
        <w:t>need continued support. Looking forward</w:t>
      </w:r>
      <w:r w:rsidR="006E1AF5" w:rsidRPr="00BD1C03">
        <w:t>, increas</w:t>
      </w:r>
      <w:r w:rsidR="00756A00" w:rsidRPr="00BD1C03">
        <w:t>ed</w:t>
      </w:r>
      <w:r w:rsidR="006E1AF5" w:rsidRPr="00BD1C03">
        <w:t xml:space="preserve"> attention to </w:t>
      </w:r>
      <w:r w:rsidR="00936480">
        <w:t>the participation pillar</w:t>
      </w:r>
      <w:r w:rsidRPr="00BD1C03">
        <w:t xml:space="preserve"> and </w:t>
      </w:r>
      <w:r w:rsidR="006E1AF5" w:rsidRPr="00BD1C03">
        <w:t xml:space="preserve">engaging </w:t>
      </w:r>
      <w:r w:rsidRPr="00BD1C03">
        <w:t xml:space="preserve">representative </w:t>
      </w:r>
      <w:r w:rsidR="003652FB" w:rsidRPr="00BD1C03">
        <w:t xml:space="preserve">WPS </w:t>
      </w:r>
      <w:r w:rsidRPr="00BD1C03">
        <w:t xml:space="preserve">civil society </w:t>
      </w:r>
      <w:r w:rsidR="006E1AF5" w:rsidRPr="00BD1C03">
        <w:t xml:space="preserve">will </w:t>
      </w:r>
      <w:r w:rsidR="003652FB" w:rsidRPr="00BD1C03">
        <w:t xml:space="preserve">need more </w:t>
      </w:r>
      <w:r w:rsidRPr="00BD1C03">
        <w:t>dedicated attention</w:t>
      </w:r>
      <w:r w:rsidR="004C31A1" w:rsidRPr="00BD1C03">
        <w:t xml:space="preserve"> and diplomatic engagement</w:t>
      </w:r>
      <w:r w:rsidRPr="00BD1C03">
        <w:t>.</w:t>
      </w:r>
      <w:r w:rsidR="00D50777" w:rsidRPr="00BD1C03">
        <w:rPr>
          <w:rStyle w:val="EndnoteReference"/>
        </w:rPr>
        <w:endnoteReference w:id="26"/>
      </w:r>
      <w:r w:rsidRPr="00BD1C03">
        <w:t xml:space="preserve"> </w:t>
      </w:r>
    </w:p>
    <w:p w14:paraId="445A1BF9" w14:textId="4AF993E2" w:rsidR="00AA4C6C" w:rsidRPr="000B478B" w:rsidRDefault="00AA4C6C" w:rsidP="00B13F20">
      <w:pPr>
        <w:pStyle w:val="Heading2"/>
        <w:numPr>
          <w:ilvl w:val="1"/>
          <w:numId w:val="5"/>
        </w:numPr>
        <w:rPr>
          <w:sz w:val="40"/>
          <w:szCs w:val="40"/>
        </w:rPr>
      </w:pPr>
      <w:r w:rsidRPr="001D2CE7">
        <w:rPr>
          <w:color w:val="000000" w:themeColor="text1"/>
          <w:sz w:val="40"/>
          <w:szCs w:val="40"/>
        </w:rPr>
        <w:t>Situation as of April 2020</w:t>
      </w:r>
    </w:p>
    <w:p w14:paraId="4D82EF75" w14:textId="3298E766" w:rsidR="001D71E2" w:rsidRPr="00BD1C03" w:rsidRDefault="00FD1886" w:rsidP="0008435D">
      <w:r w:rsidRPr="00BD1C03">
        <w:t xml:space="preserve">According to the </w:t>
      </w:r>
      <w:r w:rsidR="005D7EE4" w:rsidRPr="00BD1C03">
        <w:t xml:space="preserve">2020 </w:t>
      </w:r>
      <w:r w:rsidRPr="00BD1C03">
        <w:t xml:space="preserve">Iraq Humanitarian Response Plan (HRP) </w:t>
      </w:r>
      <w:r w:rsidR="00C17E70" w:rsidRPr="00BD1C03">
        <w:t>almost</w:t>
      </w:r>
      <w:r w:rsidRPr="00BD1C03">
        <w:t xml:space="preserve"> 1.</w:t>
      </w:r>
      <w:r w:rsidR="00C17E70" w:rsidRPr="00BD1C03">
        <w:t>4</w:t>
      </w:r>
      <w:r w:rsidRPr="00BD1C03">
        <w:t xml:space="preserve"> million Iraqi’s remain displaced, with </w:t>
      </w:r>
      <w:r w:rsidR="00C17E70" w:rsidRPr="00BD1C03">
        <w:t>370</w:t>
      </w:r>
      <w:r w:rsidRPr="00BD1C03">
        <w:t>,000 remaining in camps. Between 2018 and mid 2019</w:t>
      </w:r>
      <w:r w:rsidR="00936480">
        <w:t xml:space="preserve"> an estimated 4.5 million Iraqi</w:t>
      </w:r>
      <w:r w:rsidRPr="00BD1C03">
        <w:t>s returned to their places of origin.</w:t>
      </w:r>
      <w:r w:rsidR="007F3435" w:rsidRPr="00BD1C03">
        <w:rPr>
          <w:rStyle w:val="EndnoteReference"/>
          <w:rFonts w:ascii="Calibri Light" w:hAnsi="Calibri Light" w:cs="Calibri Light"/>
          <w:szCs w:val="22"/>
        </w:rPr>
        <w:endnoteReference w:id="27"/>
      </w:r>
      <w:r w:rsidRPr="00BD1C03">
        <w:t xml:space="preserve"> Since </w:t>
      </w:r>
      <w:r w:rsidR="00190421" w:rsidRPr="00BD1C03">
        <w:t>mid-2019</w:t>
      </w:r>
      <w:r w:rsidRPr="00BD1C03">
        <w:t xml:space="preserve">, returns have slowed significantly and in late 2019 the </w:t>
      </w:r>
      <w:proofErr w:type="spellStart"/>
      <w:r w:rsidRPr="00BD1C03">
        <w:t>GoI</w:t>
      </w:r>
      <w:proofErr w:type="spellEnd"/>
      <w:r w:rsidRPr="00BD1C03">
        <w:t xml:space="preserve"> increased pressure to close remaining camps resulting in </w:t>
      </w:r>
      <w:r w:rsidR="007558AC" w:rsidRPr="00BD1C03">
        <w:t xml:space="preserve">some </w:t>
      </w:r>
      <w:r w:rsidRPr="00BD1C03">
        <w:t>forced returns. Those that remain in IDP camps are</w:t>
      </w:r>
      <w:r w:rsidR="006E5EF0">
        <w:t xml:space="preserve"> frequently referred to as the “hardened caseload”</w:t>
      </w:r>
      <w:r w:rsidRPr="00BD1C03">
        <w:t xml:space="preserve"> – those with a perceived affiliation to ISIL and/or without the means or likelihood to achieve a durable solution in their place of origin. At </w:t>
      </w:r>
      <w:r w:rsidR="00936480" w:rsidRPr="00BD1C03">
        <w:t>present,</w:t>
      </w:r>
      <w:r w:rsidRPr="00BD1C03">
        <w:t xml:space="preserve"> the </w:t>
      </w:r>
      <w:proofErr w:type="spellStart"/>
      <w:r w:rsidRPr="00BD1C03">
        <w:t>GoI’s</w:t>
      </w:r>
      <w:proofErr w:type="spellEnd"/>
      <w:r w:rsidRPr="00BD1C03">
        <w:t xml:space="preserve"> only accepted durable solution is return to place of origin, which appears impractical for </w:t>
      </w:r>
      <w:r w:rsidR="00C17E70" w:rsidRPr="00BD1C03">
        <w:t>all within this</w:t>
      </w:r>
      <w:r w:rsidRPr="00BD1C03">
        <w:t xml:space="preserve"> caseload.</w:t>
      </w:r>
    </w:p>
    <w:p w14:paraId="07D93A7A" w14:textId="317B1597" w:rsidR="005D7EE4" w:rsidRPr="00BD1C03" w:rsidRDefault="00FD667E" w:rsidP="0008435D">
      <w:r w:rsidRPr="00BD1C03">
        <w:t>In Iraq, t</w:t>
      </w:r>
      <w:r w:rsidR="005D7EE4" w:rsidRPr="00BD1C03">
        <w:t xml:space="preserve">he 2013 Inter-agency Standing Committee (IASC) commitment to ensuring the centrality of protection </w:t>
      </w:r>
      <w:r w:rsidR="00183C05" w:rsidRPr="00BD1C03">
        <w:t>has been</w:t>
      </w:r>
      <w:r w:rsidR="005D7EE4" w:rsidRPr="00BD1C03">
        <w:t xml:space="preserve"> reinforced in </w:t>
      </w:r>
      <w:r w:rsidR="00183C05" w:rsidRPr="00BD1C03">
        <w:t xml:space="preserve">successive </w:t>
      </w:r>
      <w:r w:rsidR="005D7EE4" w:rsidRPr="00BD1C03">
        <w:t>HRP</w:t>
      </w:r>
      <w:r w:rsidR="00183C05" w:rsidRPr="00BD1C03">
        <w:t>s</w:t>
      </w:r>
      <w:r w:rsidR="005D7EE4" w:rsidRPr="00BD1C03">
        <w:t xml:space="preserve"> as a strategic objecti</w:t>
      </w:r>
      <w:r w:rsidR="00183C05" w:rsidRPr="00BD1C03">
        <w:t xml:space="preserve">ve and is </w:t>
      </w:r>
      <w:r w:rsidR="002057D9" w:rsidRPr="00BD1C03">
        <w:t xml:space="preserve">supported by the </w:t>
      </w:r>
      <w:r w:rsidR="000153E3" w:rsidRPr="00BD1C03">
        <w:t xml:space="preserve">2019-21 </w:t>
      </w:r>
      <w:r w:rsidRPr="00BD1C03">
        <w:t>Humanitarian Country Team (</w:t>
      </w:r>
      <w:r w:rsidR="00183C05" w:rsidRPr="00BD1C03">
        <w:t>HCT</w:t>
      </w:r>
      <w:r w:rsidRPr="00BD1C03">
        <w:t>)</w:t>
      </w:r>
      <w:r w:rsidR="00183C05" w:rsidRPr="00BD1C03">
        <w:t xml:space="preserve"> level protection strategy</w:t>
      </w:r>
      <w:r w:rsidR="00095E52" w:rsidRPr="00BD1C03">
        <w:t xml:space="preserve">. The strategy is informed by a comprehensive protection risk analysis and </w:t>
      </w:r>
      <w:r w:rsidR="002057D9" w:rsidRPr="00BD1C03">
        <w:t xml:space="preserve">accountable through an </w:t>
      </w:r>
      <w:r w:rsidR="00095E52" w:rsidRPr="00BD1C03">
        <w:t xml:space="preserve">accompanying </w:t>
      </w:r>
      <w:r w:rsidR="00183C05" w:rsidRPr="00BD1C03">
        <w:t>action plan and regular standing agenda item</w:t>
      </w:r>
      <w:r w:rsidR="00095E52" w:rsidRPr="00BD1C03">
        <w:t xml:space="preserve"> at the HCT.</w:t>
      </w:r>
      <w:r w:rsidR="000153E3" w:rsidRPr="00BD1C03">
        <w:t xml:space="preserve"> The strategy reinforces the IASC commitments to AAP and P</w:t>
      </w:r>
      <w:r w:rsidR="005659A5" w:rsidRPr="00BD1C03">
        <w:t xml:space="preserve">reventing </w:t>
      </w:r>
      <w:r w:rsidR="000153E3" w:rsidRPr="00BD1C03">
        <w:t>S</w:t>
      </w:r>
      <w:r w:rsidR="005659A5" w:rsidRPr="00BD1C03">
        <w:t xml:space="preserve">exual </w:t>
      </w:r>
      <w:r w:rsidR="000153E3" w:rsidRPr="00BD1C03">
        <w:t>E</w:t>
      </w:r>
      <w:r w:rsidR="005659A5" w:rsidRPr="00BD1C03">
        <w:t xml:space="preserve">xploitation and </w:t>
      </w:r>
      <w:r w:rsidR="000153E3" w:rsidRPr="00BD1C03">
        <w:t>A</w:t>
      </w:r>
      <w:r w:rsidR="005659A5" w:rsidRPr="00BD1C03">
        <w:t>buse (PSEA)</w:t>
      </w:r>
      <w:r w:rsidR="000153E3" w:rsidRPr="00BD1C03">
        <w:t xml:space="preserve"> recogn</w:t>
      </w:r>
      <w:r w:rsidR="00B43345">
        <w:t>is</w:t>
      </w:r>
      <w:r w:rsidR="000153E3" w:rsidRPr="00BD1C03">
        <w:t>ing the critical importance of regular and structured engagement with age, gender and diversity representative populations to understand their needs, vulnerabilities and coping strategies. The strategy calls for a system wide approach that engages human rights, recovery and development partners, civil society and member states to assist Iraq in strengthening its governance through “security, rule of law, access to justice, socio-economic protection, and crucially, to ensure non-discriminatory access to public services”.</w:t>
      </w:r>
      <w:r w:rsidR="002057D9" w:rsidRPr="00BD1C03">
        <w:rPr>
          <w:rStyle w:val="EndnoteReference"/>
          <w:rFonts w:ascii="Calibri Light" w:hAnsi="Calibri Light" w:cs="Calibri Light"/>
          <w:szCs w:val="22"/>
        </w:rPr>
        <w:endnoteReference w:id="28"/>
      </w:r>
      <w:r w:rsidR="000153E3" w:rsidRPr="00BD1C03">
        <w:t xml:space="preserve"> </w:t>
      </w:r>
    </w:p>
    <w:p w14:paraId="37D6E40F" w14:textId="712A4477" w:rsidR="007C4525" w:rsidRPr="00BD1C03" w:rsidRDefault="007C4525" w:rsidP="0008435D">
      <w:r w:rsidRPr="00BD1C03">
        <w:t>Despite the challenging context, significant progress has been made through DFAT’s humanitarian and stabilisation funding in terms of assistance, reconstruction and the level of internally displaced person (IDP) returns. A recent Global Protection Cluster (GPC) mission found</w:t>
      </w:r>
      <w:r w:rsidR="005659A5" w:rsidRPr="00BD1C03">
        <w:t xml:space="preserve"> that</w:t>
      </w:r>
      <w:r w:rsidRPr="00BD1C03">
        <w:t xml:space="preserve"> “In some governorates, joint efforts by Iraqi institutions, humanitarians and development actors have seen substantial progress: delivery of humanitarian aid, creation of compensation schemes, return of displaced people, resumption of services, reconstruction of destroyed infrastructure, creation of laws and the reinstatement of the rule of law.”</w:t>
      </w:r>
      <w:r w:rsidRPr="00BD1C03">
        <w:rPr>
          <w:rStyle w:val="EndnoteReference"/>
          <w:rFonts w:ascii="Calibri Light" w:hAnsi="Calibri Light" w:cs="Calibri Light"/>
          <w:szCs w:val="22"/>
        </w:rPr>
        <w:endnoteReference w:id="29"/>
      </w:r>
      <w:r w:rsidRPr="00BD1C03">
        <w:t xml:space="preserve"> The mission further noted that progress has been uneven, and some of the more challenging underserved conflict-affected areas require continued support to address the underlying drivers of conflict and ethno-religious tensions that present residual conflict risks</w:t>
      </w:r>
      <w:r w:rsidR="005659A5" w:rsidRPr="00BD1C03">
        <w:t>,</w:t>
      </w:r>
      <w:r w:rsidRPr="00BD1C03">
        <w:t xml:space="preserve"> and prevent durable peace and returns.</w:t>
      </w:r>
      <w:r w:rsidRPr="00BD1C03">
        <w:rPr>
          <w:rStyle w:val="EndnoteReference"/>
          <w:rFonts w:ascii="Calibri Light" w:hAnsi="Calibri Light" w:cs="Calibri Light"/>
          <w:szCs w:val="22"/>
        </w:rPr>
        <w:endnoteReference w:id="30"/>
      </w:r>
    </w:p>
    <w:p w14:paraId="32BA4C97" w14:textId="69C223F3" w:rsidR="00DD7A1B" w:rsidRPr="000B478B" w:rsidRDefault="00DD7A1B" w:rsidP="00B13F20">
      <w:pPr>
        <w:pStyle w:val="Heading2"/>
        <w:numPr>
          <w:ilvl w:val="1"/>
          <w:numId w:val="5"/>
        </w:numPr>
        <w:rPr>
          <w:sz w:val="40"/>
          <w:szCs w:val="40"/>
        </w:rPr>
      </w:pPr>
      <w:r w:rsidRPr="000B478B">
        <w:rPr>
          <w:sz w:val="40"/>
          <w:szCs w:val="40"/>
        </w:rPr>
        <w:t>C</w:t>
      </w:r>
      <w:r w:rsidR="00B21BA2" w:rsidRPr="000B478B">
        <w:rPr>
          <w:sz w:val="40"/>
          <w:szCs w:val="40"/>
        </w:rPr>
        <w:t>OVID</w:t>
      </w:r>
      <w:r w:rsidR="00305051" w:rsidRPr="000B478B">
        <w:rPr>
          <w:sz w:val="40"/>
          <w:szCs w:val="40"/>
        </w:rPr>
        <w:t>-19</w:t>
      </w:r>
    </w:p>
    <w:p w14:paraId="04ABF9B9" w14:textId="1D59D834" w:rsidR="00A32C87" w:rsidRPr="00BD1C03" w:rsidRDefault="00444A1E" w:rsidP="0008435D">
      <w:r w:rsidRPr="00BD1C03">
        <w:t>C</w:t>
      </w:r>
      <w:r w:rsidR="00B21BA2" w:rsidRPr="00BD1C03">
        <w:t>OVID</w:t>
      </w:r>
      <w:r w:rsidRPr="00BD1C03">
        <w:t>-19 will exacerbate pre-existing vulnerabilities</w:t>
      </w:r>
      <w:r w:rsidR="00F765A6" w:rsidRPr="00BD1C03">
        <w:t xml:space="preserve"> and </w:t>
      </w:r>
      <w:r w:rsidRPr="00BD1C03">
        <w:t xml:space="preserve">inequalities in Iraq. </w:t>
      </w:r>
      <w:r w:rsidR="00FD1886" w:rsidRPr="00BD1C03">
        <w:t>The intersection of C</w:t>
      </w:r>
      <w:r w:rsidR="00B21BA2" w:rsidRPr="00BD1C03">
        <w:t>OVID</w:t>
      </w:r>
      <w:r w:rsidR="00FD1886" w:rsidRPr="00BD1C03">
        <w:t xml:space="preserve">-19 and conflict </w:t>
      </w:r>
      <w:r w:rsidR="00F765A6" w:rsidRPr="00BD1C03">
        <w:t>risk</w:t>
      </w:r>
      <w:r w:rsidR="00FD1886" w:rsidRPr="00BD1C03">
        <w:t xml:space="preserve"> i</w:t>
      </w:r>
      <w:r w:rsidR="0053610E" w:rsidRPr="00BD1C03">
        <w:t>n Iraq is</w:t>
      </w:r>
      <w:r w:rsidR="00FD1886" w:rsidRPr="00BD1C03">
        <w:t xml:space="preserve"> </w:t>
      </w:r>
      <w:r w:rsidR="005659A5" w:rsidRPr="00BD1C03">
        <w:t>aggravated</w:t>
      </w:r>
      <w:r w:rsidR="00FD1886" w:rsidRPr="00BD1C03">
        <w:t xml:space="preserve"> by low levels of trust in </w:t>
      </w:r>
      <w:proofErr w:type="spellStart"/>
      <w:r w:rsidR="00FD1886" w:rsidRPr="00BD1C03">
        <w:t>GoI</w:t>
      </w:r>
      <w:proofErr w:type="spellEnd"/>
      <w:r w:rsidR="00FD1886" w:rsidRPr="00BD1C03">
        <w:t xml:space="preserve"> institutions, </w:t>
      </w:r>
      <w:r w:rsidR="00AA4C6C" w:rsidRPr="00BD1C03">
        <w:t>a weak</w:t>
      </w:r>
      <w:r w:rsidR="00601F77" w:rsidRPr="00BD1C03">
        <w:t>ened</w:t>
      </w:r>
      <w:r w:rsidR="00AA4C6C" w:rsidRPr="00BD1C03">
        <w:t xml:space="preserve"> health system </w:t>
      </w:r>
      <w:r w:rsidR="00FD1886" w:rsidRPr="00BD1C03">
        <w:t>and</w:t>
      </w:r>
      <w:r w:rsidR="0091141E" w:rsidRPr="00BD1C03">
        <w:t xml:space="preserve"> limited </w:t>
      </w:r>
      <w:r w:rsidR="00FE73C8" w:rsidRPr="00BD1C03">
        <w:t xml:space="preserve">and uneven </w:t>
      </w:r>
      <w:r w:rsidR="0091141E" w:rsidRPr="00BD1C03">
        <w:t>basic</w:t>
      </w:r>
      <w:r w:rsidR="00AA4C6C" w:rsidRPr="00BD1C03">
        <w:t xml:space="preserve"> </w:t>
      </w:r>
      <w:r w:rsidR="00FD1886" w:rsidRPr="00BD1C03">
        <w:t>service delivery across the country.</w:t>
      </w:r>
      <w:r w:rsidR="00D50777" w:rsidRPr="00BD1C03">
        <w:rPr>
          <w:rStyle w:val="EndnoteReference"/>
        </w:rPr>
        <w:endnoteReference w:id="31"/>
      </w:r>
      <w:r w:rsidR="00FD1886" w:rsidRPr="00BD1C03">
        <w:t xml:space="preserve"> </w:t>
      </w:r>
      <w:r w:rsidR="008D6ECC" w:rsidRPr="00BD1C03">
        <w:t>The impact of C</w:t>
      </w:r>
      <w:r w:rsidR="00B21BA2" w:rsidRPr="00BD1C03">
        <w:t>OVID</w:t>
      </w:r>
      <w:r w:rsidR="008D6ECC" w:rsidRPr="00BD1C03">
        <w:t xml:space="preserve">-19 </w:t>
      </w:r>
      <w:r w:rsidR="00A75937" w:rsidRPr="00BD1C03">
        <w:t>combined with</w:t>
      </w:r>
      <w:r w:rsidR="008D6ECC" w:rsidRPr="00BD1C03">
        <w:t xml:space="preserve"> declining oil revenue </w:t>
      </w:r>
      <w:r w:rsidR="004C31A1" w:rsidRPr="00BD1C03">
        <w:t>will</w:t>
      </w:r>
      <w:r w:rsidR="008D6ECC" w:rsidRPr="00BD1C03">
        <w:t xml:space="preserve"> increase demand on a weakened health system that will have </w:t>
      </w:r>
      <w:r w:rsidR="00FD667E" w:rsidRPr="00BD1C03">
        <w:t xml:space="preserve">fewer </w:t>
      </w:r>
      <w:r w:rsidR="008D6ECC" w:rsidRPr="00BD1C03">
        <w:t>resources to deliver.</w:t>
      </w:r>
      <w:r w:rsidR="008D6ECC" w:rsidRPr="00BD1C03">
        <w:rPr>
          <w:rStyle w:val="EndnoteReference"/>
          <w:rFonts w:ascii="Calibri Light" w:hAnsi="Calibri Light" w:cs="Calibri Light"/>
          <w:szCs w:val="22"/>
        </w:rPr>
        <w:endnoteReference w:id="32"/>
      </w:r>
      <w:r w:rsidR="008D6ECC" w:rsidRPr="00BD1C03">
        <w:t xml:space="preserve"> </w:t>
      </w:r>
      <w:r w:rsidR="0091141E" w:rsidRPr="00BD1C03">
        <w:t xml:space="preserve">International organisations have highlighted the pre-existing vulnerability and high impact of socio-economic aftershocks if measures are not taken now to save lives, and protect livelihoods and food security.  </w:t>
      </w:r>
      <w:r w:rsidR="002057D9" w:rsidRPr="00BD1C03">
        <w:t>C</w:t>
      </w:r>
      <w:r w:rsidR="00B21BA2" w:rsidRPr="00BD1C03">
        <w:t>OVID</w:t>
      </w:r>
      <w:r w:rsidR="00FD1886" w:rsidRPr="00BD1C03">
        <w:t>-19</w:t>
      </w:r>
      <w:r w:rsidR="00601F77" w:rsidRPr="00BD1C03">
        <w:t xml:space="preserve"> </w:t>
      </w:r>
      <w:r w:rsidR="00FD1886" w:rsidRPr="00BD1C03">
        <w:t>presents opportunities for non</w:t>
      </w:r>
      <w:r w:rsidR="000030EF">
        <w:t>-state armed actors to capital</w:t>
      </w:r>
      <w:r w:rsidR="00B43345">
        <w:t>is</w:t>
      </w:r>
      <w:r w:rsidR="00FD1886" w:rsidRPr="00BD1C03">
        <w:t>e on grievances</w:t>
      </w:r>
      <w:r w:rsidR="00525AB1" w:rsidRPr="00BD1C03">
        <w:t xml:space="preserve">, as </w:t>
      </w:r>
      <w:r w:rsidR="00A32C87" w:rsidRPr="00BD1C03">
        <w:t>evidenced by an increase in ISIL operations over April-May 2020.</w:t>
      </w:r>
      <w:r w:rsidR="00F80C30" w:rsidRPr="00BD1C03">
        <w:rPr>
          <w:rStyle w:val="EndnoteReference"/>
          <w:rFonts w:ascii="Calibri Light" w:hAnsi="Calibri Light" w:cs="Calibri Light"/>
          <w:szCs w:val="22"/>
        </w:rPr>
        <w:endnoteReference w:id="33"/>
      </w:r>
      <w:r w:rsidR="00FD1886" w:rsidRPr="00BD1C03">
        <w:t xml:space="preserve"> </w:t>
      </w:r>
    </w:p>
    <w:p w14:paraId="50187B8C" w14:textId="62EFD44A" w:rsidR="00CA116D" w:rsidRPr="00BD1C03" w:rsidRDefault="00FD1886" w:rsidP="00044C32">
      <w:r w:rsidRPr="00BD1C03">
        <w:t xml:space="preserve">While </w:t>
      </w:r>
      <w:r w:rsidR="0091141E" w:rsidRPr="00BD1C03">
        <w:t>C</w:t>
      </w:r>
      <w:r w:rsidR="00B21BA2" w:rsidRPr="00BD1C03">
        <w:t>OVID</w:t>
      </w:r>
      <w:r w:rsidR="00E403F8" w:rsidRPr="00BD1C03">
        <w:t xml:space="preserve">-19 </w:t>
      </w:r>
      <w:r w:rsidR="0091141E" w:rsidRPr="00BD1C03">
        <w:t xml:space="preserve">presents additional </w:t>
      </w:r>
      <w:r w:rsidRPr="00BD1C03">
        <w:t xml:space="preserve">challenges, </w:t>
      </w:r>
      <w:r w:rsidR="0091141E" w:rsidRPr="00BD1C03">
        <w:t>a</w:t>
      </w:r>
      <w:r w:rsidR="00AA4C6C" w:rsidRPr="00BD1C03">
        <w:t xml:space="preserve">n adequately resourced response presents an </w:t>
      </w:r>
      <w:r w:rsidRPr="00BD1C03">
        <w:t>opportunit</w:t>
      </w:r>
      <w:r w:rsidR="00AA4C6C" w:rsidRPr="00BD1C03">
        <w:t>y</w:t>
      </w:r>
      <w:r w:rsidRPr="00BD1C03">
        <w:t xml:space="preserve"> </w:t>
      </w:r>
      <w:r w:rsidR="002057D9" w:rsidRPr="00BD1C03">
        <w:t>in the Iraq context. I</w:t>
      </w:r>
      <w:r w:rsidR="00A32C87" w:rsidRPr="00BD1C03">
        <w:t>n</w:t>
      </w:r>
      <w:r w:rsidR="002057D9" w:rsidRPr="00BD1C03">
        <w:t xml:space="preserve"> </w:t>
      </w:r>
      <w:r w:rsidR="002D5973" w:rsidRPr="00BD1C03">
        <w:t xml:space="preserve">addition to </w:t>
      </w:r>
      <w:r w:rsidRPr="00BD1C03">
        <w:t>enhanc</w:t>
      </w:r>
      <w:r w:rsidR="002D5973" w:rsidRPr="00BD1C03">
        <w:t>ing</w:t>
      </w:r>
      <w:r w:rsidRPr="00BD1C03">
        <w:t xml:space="preserve"> Australia’s reputation as a good humanitarian donor</w:t>
      </w:r>
      <w:r w:rsidR="0091141E" w:rsidRPr="00BD1C03">
        <w:t xml:space="preserve"> in responding to humanitarian needs</w:t>
      </w:r>
      <w:r w:rsidR="005659A5" w:rsidRPr="00BD1C03">
        <w:t xml:space="preserve"> if delivered sensit</w:t>
      </w:r>
      <w:r w:rsidR="002B00BC" w:rsidRPr="00BD1C03">
        <w:t>i</w:t>
      </w:r>
      <w:r w:rsidR="005659A5" w:rsidRPr="00BD1C03">
        <w:t>vely</w:t>
      </w:r>
      <w:r w:rsidR="002D5973" w:rsidRPr="00BD1C03">
        <w:t xml:space="preserve">, it could facilitate higher trust levels in </w:t>
      </w:r>
      <w:proofErr w:type="spellStart"/>
      <w:r w:rsidR="002D5973" w:rsidRPr="00BD1C03">
        <w:t>GoI</w:t>
      </w:r>
      <w:proofErr w:type="spellEnd"/>
      <w:r w:rsidR="002D5973" w:rsidRPr="00BD1C03">
        <w:t xml:space="preserve"> institutions</w:t>
      </w:r>
      <w:r w:rsidRPr="00BD1C03">
        <w:t xml:space="preserve"> </w:t>
      </w:r>
      <w:r w:rsidR="006F5CB0" w:rsidRPr="00BD1C03">
        <w:t xml:space="preserve">amongst the Iraqi people, </w:t>
      </w:r>
      <w:r w:rsidRPr="00BD1C03">
        <w:t>and further progress stabilisation objectives throug</w:t>
      </w:r>
      <w:r w:rsidR="00AA4C6C" w:rsidRPr="00BD1C03">
        <w:t>h</w:t>
      </w:r>
      <w:r w:rsidRPr="00BD1C03">
        <w:t xml:space="preserve"> minimis</w:t>
      </w:r>
      <w:r w:rsidR="00AA4C6C" w:rsidRPr="00BD1C03">
        <w:t>ing</w:t>
      </w:r>
      <w:r w:rsidRPr="00BD1C03">
        <w:t xml:space="preserve"> the impact of C</w:t>
      </w:r>
      <w:r w:rsidR="00B21BA2" w:rsidRPr="00BD1C03">
        <w:t>OVID</w:t>
      </w:r>
      <w:r w:rsidRPr="00BD1C03">
        <w:t>-19 on vulnerable populations and</w:t>
      </w:r>
      <w:r w:rsidR="00444A1E" w:rsidRPr="00BD1C03">
        <w:t xml:space="preserve"> </w:t>
      </w:r>
      <w:r w:rsidR="0091141E" w:rsidRPr="00BD1C03">
        <w:t xml:space="preserve">future </w:t>
      </w:r>
      <w:r w:rsidRPr="00BD1C03">
        <w:t>drivers of conflict.</w:t>
      </w:r>
    </w:p>
    <w:p w14:paraId="3BE77CBD" w14:textId="64AE1AF1" w:rsidR="003620F2" w:rsidRPr="00044C32" w:rsidRDefault="00F874E1" w:rsidP="00CC437F">
      <w:pPr>
        <w:pStyle w:val="Heading1"/>
        <w:numPr>
          <w:ilvl w:val="0"/>
          <w:numId w:val="5"/>
        </w:numPr>
        <w:rPr>
          <w:sz w:val="56"/>
        </w:rPr>
      </w:pPr>
      <w:bookmarkStart w:id="4" w:name="_Toc48318494"/>
      <w:r w:rsidRPr="00044C32">
        <w:rPr>
          <w:sz w:val="56"/>
        </w:rPr>
        <w:t>Methodology</w:t>
      </w:r>
      <w:bookmarkEnd w:id="4"/>
      <w:r w:rsidRPr="00044C32">
        <w:rPr>
          <w:sz w:val="56"/>
        </w:rPr>
        <w:t xml:space="preserve"> </w:t>
      </w:r>
    </w:p>
    <w:p w14:paraId="3062B250" w14:textId="0454850C" w:rsidR="003E6971" w:rsidRPr="00BD1C03" w:rsidRDefault="00C030F3" w:rsidP="0008435D">
      <w:r w:rsidRPr="00BD1C03">
        <w:t>The purpose of th</w:t>
      </w:r>
      <w:r w:rsidR="00997E0D" w:rsidRPr="00BD1C03">
        <w:t>is</w:t>
      </w:r>
      <w:r w:rsidRPr="00BD1C03">
        <w:t xml:space="preserve"> review </w:t>
      </w:r>
      <w:r w:rsidR="00997E0D" w:rsidRPr="00BD1C03">
        <w:t>is</w:t>
      </w:r>
      <w:r w:rsidRPr="00BD1C03">
        <w:t xml:space="preserve"> to assess the effectiveness, appropriateness and relevance of the Package</w:t>
      </w:r>
      <w:r w:rsidR="00264DD2" w:rsidRPr="00BD1C03">
        <w:t>, provide</w:t>
      </w:r>
      <w:r w:rsidRPr="00BD1C03">
        <w:t xml:space="preserve"> </w:t>
      </w:r>
      <w:r w:rsidR="00264DD2" w:rsidRPr="00BD1C03">
        <w:t xml:space="preserve">an important accountability mechanism </w:t>
      </w:r>
      <w:r w:rsidR="00EE1BE7" w:rsidRPr="00BD1C03">
        <w:t xml:space="preserve">for DFAT </w:t>
      </w:r>
      <w:r w:rsidR="00264DD2" w:rsidRPr="00BD1C03">
        <w:t>a</w:t>
      </w:r>
      <w:r w:rsidR="003D125A" w:rsidRPr="00BD1C03">
        <w:t xml:space="preserve">nd </w:t>
      </w:r>
      <w:r w:rsidR="00997E0D" w:rsidRPr="00BD1C03">
        <w:t>facilitate</w:t>
      </w:r>
      <w:r w:rsidR="00264DD2" w:rsidRPr="00BD1C03">
        <w:t xml:space="preserve"> evidence</w:t>
      </w:r>
      <w:r w:rsidR="00EE1BE7" w:rsidRPr="00BD1C03">
        <w:t>-based decision-making with respect</w:t>
      </w:r>
      <w:r w:rsidR="00264DD2" w:rsidRPr="00BD1C03">
        <w:t xml:space="preserve"> </w:t>
      </w:r>
      <w:r w:rsidR="00997E0D" w:rsidRPr="00BD1C03">
        <w:t xml:space="preserve">to future assistance to Iraq. </w:t>
      </w:r>
      <w:r w:rsidR="00F242CA" w:rsidRPr="00BD1C03">
        <w:t>T</w:t>
      </w:r>
      <w:r w:rsidR="00945DDE" w:rsidRPr="00BD1C03">
        <w:t>he review approach was desk-based</w:t>
      </w:r>
      <w:r w:rsidR="00F242CA" w:rsidRPr="00BD1C03">
        <w:t xml:space="preserve"> primarily due to security considerations and access issues</w:t>
      </w:r>
      <w:r w:rsidR="00F17A16" w:rsidRPr="00BD1C03">
        <w:t>. The</w:t>
      </w:r>
      <w:r w:rsidR="00945DDE" w:rsidRPr="00BD1C03">
        <w:t xml:space="preserve"> Review Plan</w:t>
      </w:r>
      <w:r w:rsidR="00F17A16" w:rsidRPr="00BD1C03">
        <w:t xml:space="preserve"> w</w:t>
      </w:r>
      <w:r w:rsidR="000030EF">
        <w:t>as final</w:t>
      </w:r>
      <w:r w:rsidR="00B43345">
        <w:t>is</w:t>
      </w:r>
      <w:r w:rsidR="00F17A16" w:rsidRPr="00BD1C03">
        <w:t xml:space="preserve">ed following a literature review and consultations with key DFAT staff in </w:t>
      </w:r>
      <w:r w:rsidR="005659A5" w:rsidRPr="00BD1C03">
        <w:t>March</w:t>
      </w:r>
      <w:r w:rsidR="00F17A16" w:rsidRPr="00BD1C03">
        <w:t xml:space="preserve"> 2020 (</w:t>
      </w:r>
      <w:r w:rsidR="00F17A16" w:rsidRPr="00BD1C03">
        <w:rPr>
          <w:b/>
          <w:bCs/>
        </w:rPr>
        <w:t>Annex II</w:t>
      </w:r>
      <w:r w:rsidR="00F17A16" w:rsidRPr="00BD1C03">
        <w:t>)</w:t>
      </w:r>
      <w:r w:rsidR="00945DDE" w:rsidRPr="00BD1C03">
        <w:t xml:space="preserve">. </w:t>
      </w:r>
    </w:p>
    <w:p w14:paraId="63148D22" w14:textId="425D2A29" w:rsidR="00945DDE" w:rsidRPr="00BD1C03" w:rsidRDefault="00945DDE" w:rsidP="0008435D">
      <w:r w:rsidRPr="00BD1C03">
        <w:t xml:space="preserve">Key Informant Interviews (KII) constituted the primary data collection method. From the 2 March to 14 April </w:t>
      </w:r>
      <w:r w:rsidR="00936480" w:rsidRPr="00BD1C03">
        <w:t>2020,</w:t>
      </w:r>
      <w:r w:rsidRPr="00BD1C03">
        <w:t xml:space="preserve"> </w:t>
      </w:r>
      <w:r w:rsidRPr="00BD1C03">
        <w:rPr>
          <w:b/>
          <w:bCs/>
        </w:rPr>
        <w:t>33 KIIs were undertaken with 43 individuals</w:t>
      </w:r>
      <w:r w:rsidRPr="00BD1C03">
        <w:t xml:space="preserve"> (20 female and 23 male) across DFAT and whole of government partners</w:t>
      </w:r>
      <w:r w:rsidR="00EC0354" w:rsidRPr="00BD1C03">
        <w:t xml:space="preserve"> (8)</w:t>
      </w:r>
      <w:r w:rsidRPr="00BD1C03">
        <w:t>, Package partners</w:t>
      </w:r>
      <w:r w:rsidR="00EC0354" w:rsidRPr="00BD1C03">
        <w:t xml:space="preserve"> (15)</w:t>
      </w:r>
      <w:r w:rsidRPr="00BD1C03">
        <w:t>, like-minded donors</w:t>
      </w:r>
      <w:r w:rsidR="00EC0354" w:rsidRPr="00BD1C03">
        <w:t xml:space="preserve"> (4)</w:t>
      </w:r>
      <w:r w:rsidRPr="00BD1C03">
        <w:t xml:space="preserve"> and other relevant stakeholders</w:t>
      </w:r>
      <w:r w:rsidR="00EC0354" w:rsidRPr="00BD1C03">
        <w:t xml:space="preserve"> (6)</w:t>
      </w:r>
      <w:r w:rsidRPr="00BD1C03">
        <w:t xml:space="preserve">. KIIs were undertaken in a semi-structured manner, responsive to the context, experience and expertise of the interviewee, and encouraging of additional relevant information. </w:t>
      </w:r>
      <w:r w:rsidR="00EC0354" w:rsidRPr="00BD1C03">
        <w:t>Several key actors were interviewed multiple times but have only be</w:t>
      </w:r>
      <w:r w:rsidR="000D77AA" w:rsidRPr="00BD1C03">
        <w:t>en</w:t>
      </w:r>
      <w:r w:rsidR="00EC0354" w:rsidRPr="00BD1C03">
        <w:t xml:space="preserve"> counted once. </w:t>
      </w:r>
      <w:r w:rsidRPr="00BD1C03">
        <w:t xml:space="preserve">The full list of interviewees can be found in </w:t>
      </w:r>
      <w:r w:rsidRPr="00BD1C03">
        <w:rPr>
          <w:b/>
          <w:bCs/>
        </w:rPr>
        <w:t>Annex I</w:t>
      </w:r>
      <w:r w:rsidRPr="00BD1C03">
        <w:t>.</w:t>
      </w:r>
    </w:p>
    <w:p w14:paraId="251750B0" w14:textId="5847F68A" w:rsidR="00DF1632" w:rsidRPr="000B478B" w:rsidRDefault="00DF1632" w:rsidP="00B13F20">
      <w:pPr>
        <w:pStyle w:val="Heading2"/>
        <w:numPr>
          <w:ilvl w:val="1"/>
          <w:numId w:val="5"/>
        </w:numPr>
        <w:rPr>
          <w:sz w:val="40"/>
          <w:szCs w:val="40"/>
        </w:rPr>
      </w:pPr>
      <w:r w:rsidRPr="000B478B">
        <w:rPr>
          <w:sz w:val="40"/>
          <w:szCs w:val="40"/>
        </w:rPr>
        <w:t>Limitations and mitigation measures</w:t>
      </w:r>
    </w:p>
    <w:p w14:paraId="26774112" w14:textId="65DD404F" w:rsidR="00945DDE" w:rsidRPr="00BD1C03" w:rsidRDefault="00945DDE" w:rsidP="0008435D">
      <w:r w:rsidRPr="00BD1C03">
        <w:t xml:space="preserve">Being desk based, the approach was reliant on available literature and phone interviews with partner agency representatives and other key informants </w:t>
      </w:r>
      <w:r w:rsidR="001D5757" w:rsidRPr="00BD1C03">
        <w:t>from</w:t>
      </w:r>
      <w:r w:rsidRPr="00BD1C03">
        <w:t xml:space="preserve"> the donor and humanitarian </w:t>
      </w:r>
      <w:r w:rsidR="001D5757" w:rsidRPr="00BD1C03">
        <w:t>community</w:t>
      </w:r>
      <w:r w:rsidRPr="00BD1C03">
        <w:t xml:space="preserve">. While every effort was made to identify those best placed within each partner agency to comment on Australia’s contribution, there was considerable variance across interviewees in terms of their understanding of the specific intent of Australia’s Iraq Package, and also their understanding of field level programming, practice and issues – </w:t>
      </w:r>
      <w:r w:rsidR="005659A5" w:rsidRPr="00BD1C03">
        <w:t xml:space="preserve">most </w:t>
      </w:r>
      <w:r w:rsidRPr="00BD1C03">
        <w:t xml:space="preserve">notably practices related to AAP. </w:t>
      </w:r>
    </w:p>
    <w:p w14:paraId="480822B6" w14:textId="77777777" w:rsidR="00945DDE" w:rsidRPr="00BD1C03" w:rsidRDefault="00945DDE" w:rsidP="0008435D">
      <w:r w:rsidRPr="00BD1C03">
        <w:t xml:space="preserve">When there were outstanding questions following interviews, further information was sought from the partner by email, or augmented through interviews with other key informants such as donors, cluster representatives and agencies working in related fields. </w:t>
      </w:r>
    </w:p>
    <w:p w14:paraId="7B286B6B" w14:textId="7C75E49D" w:rsidR="00945DDE" w:rsidRPr="00BD1C03" w:rsidRDefault="00945DDE" w:rsidP="0008435D">
      <w:r w:rsidRPr="00BD1C03">
        <w:t>The primary limitation of the review process was the inability of the review team to observe on the ground performance of partners and consult with affected populations</w:t>
      </w:r>
      <w:r w:rsidR="00FC035A" w:rsidRPr="00BD1C03">
        <w:t xml:space="preserve"> and government representatives</w:t>
      </w:r>
      <w:r w:rsidRPr="00BD1C03">
        <w:t xml:space="preserve"> to validate </w:t>
      </w:r>
      <w:r w:rsidR="00936480" w:rsidRPr="00BD1C03">
        <w:t>partner-reporting</w:t>
      </w:r>
      <w:r w:rsidRPr="00BD1C03">
        <w:t xml:space="preserve"> assertions. While the decision for the review to be desk based is understandable given the context, it requires the review to rely heavily on partner reporting as a true and accurate representation of partner performance. While qualitative aspects of partner performance were explored during interviews with representatives</w:t>
      </w:r>
      <w:r w:rsidR="00F17A16" w:rsidRPr="00BD1C03">
        <w:t>,</w:t>
      </w:r>
      <w:r w:rsidRPr="00BD1C03">
        <w:t xml:space="preserve"> and triangulated through discussions with other donors, quantitative data is drawn directly from partner reporting as aggregated within the Package M&amp;E framework.</w:t>
      </w:r>
    </w:p>
    <w:p w14:paraId="51B374BD" w14:textId="4057FDD4" w:rsidR="00FC035A" w:rsidRPr="00BD1C03" w:rsidRDefault="00997E0D" w:rsidP="0008435D">
      <w:r w:rsidRPr="00BD1C03">
        <w:t>The review team c</w:t>
      </w:r>
      <w:r w:rsidR="009F4B4C" w:rsidRPr="00BD1C03">
        <w:t>onsider</w:t>
      </w:r>
      <w:r w:rsidRPr="00BD1C03">
        <w:t xml:space="preserve">ed modalities </w:t>
      </w:r>
      <w:r w:rsidR="009F4B4C" w:rsidRPr="00BD1C03">
        <w:t>to consult</w:t>
      </w:r>
      <w:r w:rsidRPr="00BD1C03">
        <w:t xml:space="preserve"> </w:t>
      </w:r>
      <w:r w:rsidR="009F4B4C" w:rsidRPr="00BD1C03">
        <w:t>affected populations remotely</w:t>
      </w:r>
      <w:r w:rsidRPr="00BD1C03">
        <w:t>, however</w:t>
      </w:r>
      <w:r w:rsidR="00785BA0" w:rsidRPr="00BD1C03">
        <w:t xml:space="preserve"> </w:t>
      </w:r>
      <w:r w:rsidR="009F4B4C" w:rsidRPr="00BD1C03">
        <w:t xml:space="preserve">this </w:t>
      </w:r>
      <w:r w:rsidR="00785BA0" w:rsidRPr="00BD1C03">
        <w:t xml:space="preserve">was not considered </w:t>
      </w:r>
      <w:r w:rsidR="009F4B4C" w:rsidRPr="00BD1C03">
        <w:t xml:space="preserve">feasible </w:t>
      </w:r>
      <w:r w:rsidR="00785BA0" w:rsidRPr="00BD1C03">
        <w:t>due to the</w:t>
      </w:r>
      <w:r w:rsidR="009F4B4C" w:rsidRPr="00BD1C03">
        <w:t xml:space="preserve"> limited time </w:t>
      </w:r>
      <w:r w:rsidR="00801429" w:rsidRPr="00BD1C03">
        <w:t xml:space="preserve">and resources </w:t>
      </w:r>
      <w:r w:rsidR="009F4B4C" w:rsidRPr="00BD1C03">
        <w:t>available</w:t>
      </w:r>
      <w:r w:rsidR="00801429" w:rsidRPr="00BD1C03">
        <w:t xml:space="preserve">. </w:t>
      </w:r>
      <w:r w:rsidR="00A95B8D" w:rsidRPr="00BD1C03">
        <w:t>T</w:t>
      </w:r>
      <w:r w:rsidR="00FC035A" w:rsidRPr="00BD1C03">
        <w:t xml:space="preserve">he review team </w:t>
      </w:r>
      <w:r w:rsidR="00785BA0" w:rsidRPr="00BD1C03">
        <w:t>were not able to</w:t>
      </w:r>
      <w:r w:rsidR="00FC035A" w:rsidRPr="00BD1C03">
        <w:t xml:space="preserve"> consult with </w:t>
      </w:r>
      <w:proofErr w:type="spellStart"/>
      <w:r w:rsidR="00FC035A" w:rsidRPr="00BD1C03">
        <w:t>GoI</w:t>
      </w:r>
      <w:proofErr w:type="spellEnd"/>
      <w:r w:rsidR="00FC035A" w:rsidRPr="00BD1C03">
        <w:t xml:space="preserve"> representatives</w:t>
      </w:r>
      <w:r w:rsidR="00056B70" w:rsidRPr="00BD1C03">
        <w:t xml:space="preserve"> at </w:t>
      </w:r>
      <w:r w:rsidR="00785BA0" w:rsidRPr="00BD1C03">
        <w:t xml:space="preserve">the </w:t>
      </w:r>
      <w:r w:rsidR="00056B70" w:rsidRPr="00BD1C03">
        <w:t>national or sub-national levels</w:t>
      </w:r>
      <w:r w:rsidR="00F17A16" w:rsidRPr="00BD1C03">
        <w:t xml:space="preserve"> or local partners, but were able to interview the NGO Coordination Committee for Iraq (NCCI) which represents national and international NGOs</w:t>
      </w:r>
      <w:r w:rsidR="00A95B8D" w:rsidRPr="00BD1C03">
        <w:t>. While t</w:t>
      </w:r>
      <w:r w:rsidR="00785BA0" w:rsidRPr="00BD1C03">
        <w:t xml:space="preserve">he review team did discuss several options with DFAT to secure </w:t>
      </w:r>
      <w:proofErr w:type="spellStart"/>
      <w:r w:rsidR="00785BA0" w:rsidRPr="00BD1C03">
        <w:t>GoI</w:t>
      </w:r>
      <w:proofErr w:type="spellEnd"/>
      <w:r w:rsidR="00785BA0" w:rsidRPr="00BD1C03">
        <w:t xml:space="preserve"> participation</w:t>
      </w:r>
      <w:r w:rsidR="0059593A" w:rsidRPr="00BD1C03">
        <w:t>,</w:t>
      </w:r>
      <w:r w:rsidR="00A95B8D" w:rsidRPr="00BD1C03">
        <w:t xml:space="preserve"> u</w:t>
      </w:r>
      <w:r w:rsidR="00785BA0" w:rsidRPr="00BD1C03">
        <w:t xml:space="preserve">ltimately it was not deemed appropriate due to </w:t>
      </w:r>
      <w:r w:rsidR="00A95B8D" w:rsidRPr="00BD1C03">
        <w:t xml:space="preserve">ongoing </w:t>
      </w:r>
      <w:r w:rsidR="00785BA0" w:rsidRPr="00BD1C03">
        <w:t xml:space="preserve">political uncertainty </w:t>
      </w:r>
      <w:r w:rsidR="00056B70" w:rsidRPr="00BD1C03">
        <w:t xml:space="preserve">and </w:t>
      </w:r>
      <w:r w:rsidR="00F17A16" w:rsidRPr="00BD1C03">
        <w:t xml:space="preserve">the </w:t>
      </w:r>
      <w:r w:rsidR="00785BA0" w:rsidRPr="00BD1C03">
        <w:t>lack of</w:t>
      </w:r>
      <w:r w:rsidR="00056B70" w:rsidRPr="00BD1C03">
        <w:t xml:space="preserve"> </w:t>
      </w:r>
      <w:r w:rsidR="009B6994" w:rsidRPr="00BD1C03">
        <w:t xml:space="preserve">individuals </w:t>
      </w:r>
      <w:r w:rsidR="00A95B8D" w:rsidRPr="00BD1C03">
        <w:t xml:space="preserve">within </w:t>
      </w:r>
      <w:proofErr w:type="spellStart"/>
      <w:r w:rsidR="00A95B8D" w:rsidRPr="00BD1C03">
        <w:t>GoI</w:t>
      </w:r>
      <w:proofErr w:type="spellEnd"/>
      <w:r w:rsidR="00A95B8D" w:rsidRPr="00BD1C03">
        <w:t xml:space="preserve"> </w:t>
      </w:r>
      <w:r w:rsidR="009B6994" w:rsidRPr="00BD1C03">
        <w:t>sufficiently well positioned to comment on the overall Australian package</w:t>
      </w:r>
      <w:r w:rsidR="0059593A" w:rsidRPr="00BD1C03">
        <w:t>.</w:t>
      </w:r>
    </w:p>
    <w:p w14:paraId="1507960F" w14:textId="2CB20471" w:rsidR="00614BD3" w:rsidRPr="00BD1C03" w:rsidRDefault="00945DDE" w:rsidP="0008435D">
      <w:r w:rsidRPr="00BD1C03">
        <w:t xml:space="preserve">Overall, the complementary expertise and gender composition of the </w:t>
      </w:r>
      <w:r w:rsidR="00442D14" w:rsidRPr="00BD1C03">
        <w:t>review</w:t>
      </w:r>
      <w:r w:rsidRPr="00BD1C03">
        <w:t xml:space="preserve"> team assisted with navigating the challenges presented by the review context and situating the following findings</w:t>
      </w:r>
      <w:r w:rsidR="00013988" w:rsidRPr="00BD1C03">
        <w:t>, conclusions</w:t>
      </w:r>
      <w:r w:rsidRPr="00BD1C03">
        <w:t xml:space="preserve"> and recommendations.</w:t>
      </w:r>
    </w:p>
    <w:p w14:paraId="44613805" w14:textId="77777777" w:rsidR="00614BD3" w:rsidRPr="00BD1C03" w:rsidRDefault="00614BD3">
      <w:pPr>
        <w:spacing w:after="0"/>
      </w:pPr>
      <w:r w:rsidRPr="00BD1C03">
        <w:br w:type="page"/>
      </w:r>
    </w:p>
    <w:p w14:paraId="480578A8" w14:textId="40BF5088" w:rsidR="00945DDE" w:rsidRPr="0056018B" w:rsidRDefault="003620F2" w:rsidP="00CC437F">
      <w:pPr>
        <w:pStyle w:val="Heading1"/>
        <w:numPr>
          <w:ilvl w:val="0"/>
          <w:numId w:val="5"/>
        </w:numPr>
        <w:rPr>
          <w:rFonts w:cstheme="majorHAnsi"/>
          <w:bCs/>
          <w:sz w:val="56"/>
        </w:rPr>
      </w:pPr>
      <w:bookmarkStart w:id="5" w:name="_Toc48318495"/>
      <w:r w:rsidRPr="0056018B">
        <w:rPr>
          <w:sz w:val="56"/>
        </w:rPr>
        <w:t>Appropriateness and relevance</w:t>
      </w:r>
      <w:bookmarkEnd w:id="5"/>
      <w:r w:rsidR="00C55EAB" w:rsidRPr="0056018B">
        <w:rPr>
          <w:sz w:val="56"/>
        </w:rPr>
        <w:tab/>
      </w:r>
      <w:r w:rsidR="00E95C4A" w:rsidRPr="0056018B">
        <w:rPr>
          <w:rFonts w:cstheme="majorHAnsi"/>
          <w:bCs/>
          <w:sz w:val="56"/>
        </w:rPr>
        <w:tab/>
      </w:r>
    </w:p>
    <w:p w14:paraId="4F754C34" w14:textId="45B423B2" w:rsidR="00945DDE" w:rsidRPr="000B478B" w:rsidRDefault="00945DDE" w:rsidP="00B13F20">
      <w:pPr>
        <w:pStyle w:val="Heading2"/>
        <w:numPr>
          <w:ilvl w:val="1"/>
          <w:numId w:val="5"/>
        </w:numPr>
        <w:rPr>
          <w:sz w:val="40"/>
          <w:szCs w:val="40"/>
        </w:rPr>
      </w:pPr>
      <w:r w:rsidRPr="000B478B">
        <w:rPr>
          <w:sz w:val="40"/>
          <w:szCs w:val="40"/>
        </w:rPr>
        <w:t>Context at design (late 2017)</w:t>
      </w:r>
    </w:p>
    <w:p w14:paraId="34853CF7" w14:textId="1FD25CA8" w:rsidR="00945DDE" w:rsidRPr="00BD1C03" w:rsidRDefault="00945DDE" w:rsidP="0008435D">
      <w:r w:rsidRPr="00BD1C03">
        <w:t>From the outset, the Iraq Package was conceiv</w:t>
      </w:r>
      <w:r w:rsidR="006E5EF0">
        <w:t>ed by DFAT as needing to be an “umbrella design”</w:t>
      </w:r>
      <w:r w:rsidRPr="00BD1C03">
        <w:t xml:space="preserve"> capable of providing a framework through which Australia could invest and support partner led activities a</w:t>
      </w:r>
      <w:r w:rsidR="00307807" w:rsidRPr="00BD1C03">
        <w:t xml:space="preserve">cross </w:t>
      </w:r>
      <w:r w:rsidR="005F7CB3" w:rsidRPr="00BD1C03">
        <w:t>humanitarian, stabilisation and social cohesion needs</w:t>
      </w:r>
      <w:r w:rsidRPr="00BD1C03">
        <w:t xml:space="preserve">. Implicit within the design logic was recognition that continued high levels of humanitarian programming were immediately required given the situation </w:t>
      </w:r>
      <w:r w:rsidR="000D77AA" w:rsidRPr="00BD1C03">
        <w:t xml:space="preserve">in </w:t>
      </w:r>
      <w:r w:rsidRPr="00BD1C03">
        <w:t xml:space="preserve">late 2017 </w:t>
      </w:r>
      <w:r w:rsidR="005F7CB3" w:rsidRPr="00BD1C03">
        <w:t xml:space="preserve">and </w:t>
      </w:r>
      <w:r w:rsidR="007C5179" w:rsidRPr="00BD1C03">
        <w:t xml:space="preserve">3.2 </w:t>
      </w:r>
      <w:r w:rsidR="005F7CB3" w:rsidRPr="00BD1C03">
        <w:t xml:space="preserve">million Iraqis </w:t>
      </w:r>
      <w:r w:rsidRPr="00BD1C03">
        <w:t>remain</w:t>
      </w:r>
      <w:r w:rsidR="007C5179" w:rsidRPr="00BD1C03">
        <w:t>ing</w:t>
      </w:r>
      <w:r w:rsidRPr="00BD1C03">
        <w:t xml:space="preserve"> displaced </w:t>
      </w:r>
      <w:r w:rsidR="00307807" w:rsidRPr="00BD1C03">
        <w:t xml:space="preserve">following </w:t>
      </w:r>
      <w:r w:rsidRPr="00BD1C03">
        <w:t>ISIL’s defeat</w:t>
      </w:r>
      <w:r w:rsidR="00132917" w:rsidRPr="00BD1C03">
        <w:t>.</w:t>
      </w:r>
      <w:r w:rsidR="00151D71" w:rsidRPr="00BD1C03">
        <w:rPr>
          <w:rStyle w:val="EndnoteReference"/>
          <w:rFonts w:ascii="Calibri Light" w:hAnsi="Calibri Light" w:cs="Calibri Light"/>
          <w:szCs w:val="22"/>
        </w:rPr>
        <w:endnoteReference w:id="34"/>
      </w:r>
      <w:r w:rsidRPr="00BD1C03">
        <w:t xml:space="preserve"> A</w:t>
      </w:r>
      <w:r w:rsidR="000030EF">
        <w:t>t the same time, it was recogn</w:t>
      </w:r>
      <w:r w:rsidR="00B43345">
        <w:t>is</w:t>
      </w:r>
      <w:r w:rsidRPr="00BD1C03">
        <w:t xml:space="preserve">ed that opportunities for </w:t>
      </w:r>
      <w:r w:rsidR="007C5179" w:rsidRPr="00BD1C03">
        <w:t>durable</w:t>
      </w:r>
      <w:r w:rsidRPr="00BD1C03">
        <w:t xml:space="preserve"> return</w:t>
      </w:r>
      <w:r w:rsidR="007C5179" w:rsidRPr="00BD1C03">
        <w:t>s</w:t>
      </w:r>
      <w:r w:rsidRPr="00BD1C03">
        <w:t xml:space="preserve"> and stabilisation would be negatively impacted </w:t>
      </w:r>
      <w:r w:rsidR="007C5179" w:rsidRPr="00BD1C03">
        <w:t xml:space="preserve">without addressing the </w:t>
      </w:r>
      <w:r w:rsidRPr="00BD1C03">
        <w:t>high levels of infrastructure destruction and widespread collapse of essential services.</w:t>
      </w:r>
    </w:p>
    <w:p w14:paraId="7680A42C" w14:textId="33A3249A" w:rsidR="00945DDE" w:rsidRPr="00BD1C03" w:rsidRDefault="00466803" w:rsidP="0008435D">
      <w:r w:rsidRPr="00BD1C03">
        <w:rPr>
          <w:noProof/>
          <w:lang w:val="en-US"/>
        </w:rPr>
        <w:drawing>
          <wp:anchor distT="0" distB="0" distL="114300" distR="114300" simplePos="0" relativeHeight="251658240" behindDoc="1" locked="0" layoutInCell="1" allowOverlap="1" wp14:anchorId="5EDE0E53" wp14:editId="6C8E9FA8">
            <wp:simplePos x="0" y="0"/>
            <wp:positionH relativeFrom="column">
              <wp:posOffset>0</wp:posOffset>
            </wp:positionH>
            <wp:positionV relativeFrom="paragraph">
              <wp:posOffset>-2540</wp:posOffset>
            </wp:positionV>
            <wp:extent cx="3007360" cy="5326380"/>
            <wp:effectExtent l="0" t="0" r="2540" b="7620"/>
            <wp:wrapTight wrapText="bothSides">
              <wp:wrapPolygon edited="0">
                <wp:start x="0" y="0"/>
                <wp:lineTo x="0" y="21554"/>
                <wp:lineTo x="21481" y="21554"/>
                <wp:lineTo x="21481" y="0"/>
                <wp:lineTo x="0" y="0"/>
              </wp:wrapPolygon>
            </wp:wrapTight>
            <wp:docPr id="3" name="Picture 3" descr="Map of Iraq with partner organisations distributed according to political sub-divi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 of Iraq with partner organisations distributed according to political sub-divisions."/>
                    <pic:cNvPicPr/>
                  </pic:nvPicPr>
                  <pic:blipFill>
                    <a:blip r:embed="rId20">
                      <a:extLst>
                        <a:ext uri="{28A0092B-C50C-407E-A947-70E740481C1C}">
                          <a14:useLocalDpi xmlns:a14="http://schemas.microsoft.com/office/drawing/2010/main" val="0"/>
                        </a:ext>
                      </a:extLst>
                    </a:blip>
                    <a:stretch>
                      <a:fillRect/>
                    </a:stretch>
                  </pic:blipFill>
                  <pic:spPr>
                    <a:xfrm>
                      <a:off x="0" y="0"/>
                      <a:ext cx="3007360" cy="5326380"/>
                    </a:xfrm>
                    <a:prstGeom prst="rect">
                      <a:avLst/>
                    </a:prstGeom>
                  </pic:spPr>
                </pic:pic>
              </a:graphicData>
            </a:graphic>
          </wp:anchor>
        </w:drawing>
      </w:r>
      <w:r w:rsidR="00945DDE" w:rsidRPr="00BD1C03">
        <w:t>While aiming to work</w:t>
      </w:r>
      <w:r w:rsidR="007C5179" w:rsidRPr="00BD1C03">
        <w:t xml:space="preserve"> across the</w:t>
      </w:r>
      <w:r w:rsidR="00151D71" w:rsidRPr="00BD1C03">
        <w:t>se</w:t>
      </w:r>
      <w:r w:rsidR="007C5179" w:rsidRPr="00BD1C03">
        <w:t xml:space="preserve"> different needs</w:t>
      </w:r>
      <w:r w:rsidR="00945DDE" w:rsidRPr="00BD1C03">
        <w:t xml:space="preserve">, the Package approach reflected </w:t>
      </w:r>
      <w:r w:rsidR="007C5179" w:rsidRPr="00BD1C03">
        <w:t xml:space="preserve">an </w:t>
      </w:r>
      <w:r w:rsidR="00945DDE" w:rsidRPr="00BD1C03">
        <w:t>understanding of the complex needs of a returning population</w:t>
      </w:r>
      <w:r w:rsidR="007C5179" w:rsidRPr="00BD1C03">
        <w:t>, many of which had been displaced multiple times,</w:t>
      </w:r>
      <w:r w:rsidR="00945DDE" w:rsidRPr="00BD1C03">
        <w:t xml:space="preserve"> had been severely impacted by the physical and psychological impacts of ISI</w:t>
      </w:r>
      <w:r w:rsidR="007C5179" w:rsidRPr="00BD1C03">
        <w:t>L</w:t>
      </w:r>
      <w:r w:rsidR="00945DDE" w:rsidRPr="00BD1C03">
        <w:t xml:space="preserve"> rule, and who remained extremely vulnerable to a range of protection threats – notably women and girls. In late 2017, key </w:t>
      </w:r>
      <w:r w:rsidR="005659A5" w:rsidRPr="00BD1C03">
        <w:t>challenges</w:t>
      </w:r>
      <w:r w:rsidR="00945DDE" w:rsidRPr="00BD1C03">
        <w:t xml:space="preserve"> included ongoing and frequent security incidents; tensions and viola</w:t>
      </w:r>
      <w:r w:rsidR="00054F41" w:rsidRPr="00BD1C03">
        <w:t>tions related to the principles</w:t>
      </w:r>
      <w:r w:rsidR="008C42FB" w:rsidRPr="00BD1C03">
        <w:rPr>
          <w:rStyle w:val="EndnoteReference"/>
          <w:rFonts w:ascii="Calibri Light" w:hAnsi="Calibri Light" w:cs="Calibri Light"/>
          <w:szCs w:val="22"/>
        </w:rPr>
        <w:endnoteReference w:id="35"/>
      </w:r>
      <w:r w:rsidR="00762B31" w:rsidRPr="00BD1C03">
        <w:t xml:space="preserve"> </w:t>
      </w:r>
      <w:r w:rsidR="00945DDE" w:rsidRPr="00BD1C03">
        <w:t xml:space="preserve">of safe return; secondary displacement; risks related to sexual violence and abuse; and widespread threats posed by </w:t>
      </w:r>
      <w:r w:rsidR="00054F41" w:rsidRPr="00BD1C03">
        <w:t>explosive hazards.</w:t>
      </w:r>
      <w:r w:rsidR="00925CC6" w:rsidRPr="00BD1C03">
        <w:rPr>
          <w:rStyle w:val="EndnoteReference"/>
          <w:rFonts w:ascii="Calibri Light" w:hAnsi="Calibri Light" w:cs="Calibri Light"/>
          <w:szCs w:val="22"/>
        </w:rPr>
        <w:endnoteReference w:id="36"/>
      </w:r>
    </w:p>
    <w:p w14:paraId="7BB5209E" w14:textId="74915366" w:rsidR="00413A82" w:rsidRPr="00BD1C03" w:rsidRDefault="00945DDE" w:rsidP="0008435D">
      <w:pPr>
        <w:rPr>
          <w:rFonts w:asciiTheme="majorHAnsi" w:hAnsiTheme="majorHAnsi" w:cstheme="majorHAnsi"/>
        </w:rPr>
      </w:pPr>
      <w:r w:rsidRPr="00BD1C03">
        <w:t>By placing emphasis on protection, the Package respond</w:t>
      </w:r>
      <w:r w:rsidR="00151D71" w:rsidRPr="00BD1C03">
        <w:t>ed clearly</w:t>
      </w:r>
      <w:r w:rsidRPr="00BD1C03">
        <w:t xml:space="preserve"> to the wi</w:t>
      </w:r>
      <w:r w:rsidR="006F7272">
        <w:t>dely held view of Iraq being a “crisis of protection”</w:t>
      </w:r>
      <w:r w:rsidR="00132917" w:rsidRPr="00BD1C03">
        <w:t>.</w:t>
      </w:r>
      <w:r w:rsidR="00DE75CE" w:rsidRPr="00BD1C03">
        <w:rPr>
          <w:rStyle w:val="EndnoteReference"/>
          <w:rFonts w:ascii="Calibri Light" w:hAnsi="Calibri Light" w:cs="Calibri Light"/>
          <w:szCs w:val="22"/>
        </w:rPr>
        <w:endnoteReference w:id="37"/>
      </w:r>
      <w:r w:rsidRPr="00BD1C03">
        <w:t xml:space="preserve"> This is reflected in the centrality of protection being a strategic objective of the </w:t>
      </w:r>
      <w:r w:rsidR="00151D71" w:rsidRPr="00BD1C03">
        <w:t>Humanitarian Response Plan (</w:t>
      </w:r>
      <w:r w:rsidRPr="00BD1C03">
        <w:t>HRP</w:t>
      </w:r>
      <w:r w:rsidR="00151D71" w:rsidRPr="00BD1C03">
        <w:t>)</w:t>
      </w:r>
      <w:r w:rsidRPr="00BD1C03">
        <w:t xml:space="preserve">, a standing agenda item at HCT meetings and having </w:t>
      </w:r>
      <w:r w:rsidR="00151D71" w:rsidRPr="00BD1C03">
        <w:t xml:space="preserve">its own </w:t>
      </w:r>
      <w:r w:rsidRPr="00BD1C03">
        <w:t xml:space="preserve">dedicated action plan. </w:t>
      </w:r>
    </w:p>
    <w:p w14:paraId="522EBEC2" w14:textId="111DB823" w:rsidR="00413A82" w:rsidRPr="000B478B" w:rsidRDefault="00945DDE" w:rsidP="00B13F20">
      <w:pPr>
        <w:pStyle w:val="Heading2"/>
        <w:numPr>
          <w:ilvl w:val="1"/>
          <w:numId w:val="5"/>
        </w:numPr>
        <w:rPr>
          <w:sz w:val="40"/>
          <w:szCs w:val="40"/>
        </w:rPr>
      </w:pPr>
      <w:r w:rsidRPr="000B478B">
        <w:rPr>
          <w:sz w:val="40"/>
          <w:szCs w:val="40"/>
        </w:rPr>
        <w:t>Package structure</w:t>
      </w:r>
    </w:p>
    <w:p w14:paraId="209C59E8" w14:textId="4F23710A" w:rsidR="00413A82" w:rsidRPr="00BD1C03" w:rsidRDefault="00945DDE" w:rsidP="0008435D">
      <w:r w:rsidRPr="00BD1C03">
        <w:t>The above context was seen as requiring a multi-</w:t>
      </w:r>
      <w:r w:rsidR="005A257E" w:rsidRPr="00BD1C03">
        <w:t>faceted,</w:t>
      </w:r>
      <w:r w:rsidRPr="00BD1C03">
        <w:t xml:space="preserve"> multi-partner approach that could be tailored to context and adapted over time, given the near certainty of flux and shifting priorities. This </w:t>
      </w:r>
      <w:r w:rsidR="00151D71" w:rsidRPr="00BD1C03">
        <w:t xml:space="preserve">capacity for adaptability </w:t>
      </w:r>
      <w:r w:rsidRPr="00BD1C03">
        <w:t xml:space="preserve">was highly appropriate to what was a complex and rapidly evolving context at the time of Package </w:t>
      </w:r>
      <w:r w:rsidR="00AF4EA0" w:rsidRPr="00BD1C03">
        <w:t>design and</w:t>
      </w:r>
      <w:r w:rsidRPr="00BD1C03">
        <w:t xml:space="preserve"> has facilitated </w:t>
      </w:r>
      <w:r w:rsidR="00151D71" w:rsidRPr="00BD1C03">
        <w:t xml:space="preserve">rapid response </w:t>
      </w:r>
      <w:r w:rsidRPr="00BD1C03">
        <w:t xml:space="preserve">to changing circumstances. Such an approach allowed Australia to provide support that helped </w:t>
      </w:r>
      <w:r w:rsidR="0032385D" w:rsidRPr="00BD1C03">
        <w:t>respond to</w:t>
      </w:r>
      <w:r w:rsidRPr="00BD1C03">
        <w:t xml:space="preserve"> pressing humanitarian needs, while also ensuring immediate support to commencement of stabilisation efforts, including infrastructure rehabilitation and resumption of service delivery. Significantly and logically, the Package</w:t>
      </w:r>
      <w:r w:rsidR="00151D71" w:rsidRPr="00BD1C03">
        <w:t xml:space="preserve"> </w:t>
      </w:r>
      <w:r w:rsidRPr="00BD1C03">
        <w:t xml:space="preserve">reserved resources </w:t>
      </w:r>
      <w:r w:rsidR="00151D71" w:rsidRPr="00BD1C03">
        <w:t xml:space="preserve">at commencement </w:t>
      </w:r>
      <w:r w:rsidRPr="00BD1C03">
        <w:t xml:space="preserve">to ensure capacity to respond to emerging needs. </w:t>
      </w:r>
    </w:p>
    <w:p w14:paraId="4E28BE1B" w14:textId="544E6A8D" w:rsidR="00945DDE" w:rsidRPr="00BD1C03" w:rsidRDefault="0032385D" w:rsidP="0008435D">
      <w:r w:rsidRPr="00BD1C03">
        <w:t>T</w:t>
      </w:r>
      <w:r w:rsidR="00945DDE" w:rsidRPr="00BD1C03">
        <w:t>here was an explicit statement of intent within the Package design document that gender equality, women’s empowerment, disability inclusion and protection were key priorities for Australia’s programming in Iraq. A less explicit, but highly appropriate aspect of th</w:t>
      </w:r>
      <w:r w:rsidR="006F7272">
        <w:t>e Package has been Australia’s “soft diplomacy”</w:t>
      </w:r>
      <w:r w:rsidR="00945DDE" w:rsidRPr="00BD1C03">
        <w:t xml:space="preserve"> in terms of pressing upon partners the importance of </w:t>
      </w:r>
      <w:r w:rsidRPr="00BD1C03">
        <w:t>GEWE,</w:t>
      </w:r>
      <w:r w:rsidR="00945DDE" w:rsidRPr="00BD1C03">
        <w:t xml:space="preserve"> </w:t>
      </w:r>
      <w:r w:rsidRPr="00BD1C03">
        <w:t xml:space="preserve">Sex and Age Disaggregated Data (SADD), </w:t>
      </w:r>
      <w:r w:rsidR="00945DDE" w:rsidRPr="00BD1C03">
        <w:t>disability</w:t>
      </w:r>
      <w:r w:rsidRPr="00BD1C03">
        <w:t xml:space="preserve"> inclusion</w:t>
      </w:r>
      <w:r w:rsidR="00945DDE" w:rsidRPr="00BD1C03">
        <w:t xml:space="preserve"> and AAP considerations in particular. The impact of this commitment was seen through the </w:t>
      </w:r>
      <w:r w:rsidR="00442D14" w:rsidRPr="00BD1C03">
        <w:t>review</w:t>
      </w:r>
      <w:r w:rsidR="00945DDE" w:rsidRPr="00BD1C03">
        <w:t xml:space="preserve"> in terms of multiple partners speaking highly of Australian efforts to strengthen the protective environment for women and girls, including the Ambassador’s active role</w:t>
      </w:r>
      <w:r w:rsidR="00945DDE" w:rsidRPr="00BD1C03">
        <w:rPr>
          <w:rFonts w:asciiTheme="majorHAnsi" w:hAnsiTheme="majorHAnsi" w:cstheme="majorHAnsi"/>
        </w:rPr>
        <w:t xml:space="preserve"> </w:t>
      </w:r>
      <w:r w:rsidR="00945DDE" w:rsidRPr="00BD1C03">
        <w:t xml:space="preserve">in helping promote and progress anti-domestic violence legislation within the </w:t>
      </w:r>
      <w:proofErr w:type="spellStart"/>
      <w:r w:rsidR="00945DDE" w:rsidRPr="00BD1C03">
        <w:t>GoI</w:t>
      </w:r>
      <w:proofErr w:type="spellEnd"/>
      <w:r w:rsidR="00945DDE" w:rsidRPr="00BD1C03">
        <w:t xml:space="preserve"> and across the donor community.</w:t>
      </w:r>
      <w:r w:rsidR="00945DDE" w:rsidRPr="00BD1C03">
        <w:tab/>
      </w:r>
    </w:p>
    <w:p w14:paraId="0C11F850" w14:textId="05FD0C24" w:rsidR="00945DDE" w:rsidRPr="00BD1C03" w:rsidRDefault="0032385D" w:rsidP="0008435D">
      <w:r w:rsidRPr="00BD1C03">
        <w:t>T</w:t>
      </w:r>
      <w:r w:rsidR="00945DDE" w:rsidRPr="00BD1C03">
        <w:t>he foundation of DFAT’s approach at the time of design was to ensure close alignment with the Iraq HRP</w:t>
      </w:r>
      <w:r w:rsidRPr="00BD1C03">
        <w:t xml:space="preserve"> (201</w:t>
      </w:r>
      <w:r w:rsidR="00BD510B" w:rsidRPr="00BD1C03">
        <w:t>7</w:t>
      </w:r>
      <w:r w:rsidRPr="00BD1C03">
        <w:t>)</w:t>
      </w:r>
      <w:r w:rsidR="006F7272">
        <w:t>, and to work through “existing and trusted” partners. Identification of “trusted partners”</w:t>
      </w:r>
      <w:r w:rsidR="00945DDE" w:rsidRPr="00BD1C03">
        <w:t xml:space="preserve"> was based on an extensive desk-based assessment by DFAT of needs augmented by field visits, DFAT experience across the preceding three years of Iraq programming, and review of potential partner performance to date. </w:t>
      </w:r>
      <w:r w:rsidR="006B2FC8" w:rsidRPr="00BD1C03">
        <w:t xml:space="preserve">Decision-making was also affected by DFAT’s broader history of involvement with each partner, including findings of due diligence undertaken by DFAT of partners. </w:t>
      </w:r>
      <w:r w:rsidR="002071F9" w:rsidRPr="00BD1C03">
        <w:t>Consultations</w:t>
      </w:r>
      <w:r w:rsidR="006B2FC8" w:rsidRPr="00BD1C03">
        <w:t xml:space="preserve"> were held in Amman, Washington D.C. and New York with </w:t>
      </w:r>
      <w:r w:rsidR="002071F9" w:rsidRPr="00BD1C03">
        <w:t xml:space="preserve">the </w:t>
      </w:r>
      <w:r w:rsidR="006B2FC8" w:rsidRPr="00BD1C03">
        <w:t xml:space="preserve">leadership of potential partners. </w:t>
      </w:r>
      <w:r w:rsidR="00945DDE" w:rsidRPr="00BD1C03">
        <w:t xml:space="preserve">The overall composition </w:t>
      </w:r>
      <w:r w:rsidR="00151D71" w:rsidRPr="00BD1C03">
        <w:t xml:space="preserve">and complementarity </w:t>
      </w:r>
      <w:r w:rsidR="00945DDE" w:rsidRPr="00BD1C03">
        <w:t>of different partners</w:t>
      </w:r>
      <w:r w:rsidR="00945DDE" w:rsidRPr="00BD1C03">
        <w:rPr>
          <w:rFonts w:asciiTheme="majorHAnsi" w:hAnsiTheme="majorHAnsi" w:cstheme="majorHAnsi"/>
        </w:rPr>
        <w:t xml:space="preserve"> </w:t>
      </w:r>
      <w:r w:rsidR="00945DDE" w:rsidRPr="00BD1C03">
        <w:t xml:space="preserve">was another significant consideration in terms of ensuring </w:t>
      </w:r>
      <w:r w:rsidR="000D3E31" w:rsidRPr="00BD1C03">
        <w:t xml:space="preserve">a </w:t>
      </w:r>
      <w:r w:rsidR="00945DDE" w:rsidRPr="00BD1C03">
        <w:t>coheren</w:t>
      </w:r>
      <w:r w:rsidR="000D3E31" w:rsidRPr="00BD1C03">
        <w:t xml:space="preserve">t package that addressed important needs across humanitarian, stabilisation and social cohesion. </w:t>
      </w:r>
      <w:r w:rsidR="00945DDE" w:rsidRPr="00BD1C03">
        <w:t xml:space="preserve"> </w:t>
      </w:r>
    </w:p>
    <w:p w14:paraId="663607BB" w14:textId="38A81234" w:rsidR="00945DDE" w:rsidRPr="00BD1C03" w:rsidRDefault="00945DDE" w:rsidP="0008435D">
      <w:r w:rsidRPr="00BD1C03">
        <w:t xml:space="preserve">The inner workings of the overall Package are outlined within the design document in a Package logic that </w:t>
      </w:r>
      <w:r w:rsidR="00BE76FB" w:rsidRPr="00BD1C03">
        <w:t>outlines how the</w:t>
      </w:r>
      <w:r w:rsidRPr="00BD1C03">
        <w:t xml:space="preserve"> supported activities collectively contribute to achievement of the two end of Package outcomes. The Package logic reflects a coherent approach leveraging a range of appropriately mandated and skilled partners, and </w:t>
      </w:r>
      <w:r w:rsidR="00936480" w:rsidRPr="00BD1C03">
        <w:t>well-considered</w:t>
      </w:r>
      <w:r w:rsidRPr="00BD1C03">
        <w:t xml:space="preserve"> activities designed to progress and address high priority needs </w:t>
      </w:r>
      <w:r w:rsidR="000D3E31" w:rsidRPr="00BD1C03">
        <w:t>across</w:t>
      </w:r>
      <w:r w:rsidRPr="00BD1C03">
        <w:t xml:space="preserve"> the </w:t>
      </w:r>
      <w:r w:rsidR="00570548" w:rsidRPr="00BD1C03">
        <w:t xml:space="preserve">HDP </w:t>
      </w:r>
      <w:r w:rsidR="000D3E31" w:rsidRPr="00BD1C03">
        <w:t>continuum</w:t>
      </w:r>
      <w:r w:rsidRPr="00BD1C03">
        <w:t xml:space="preserve">. </w:t>
      </w:r>
      <w:r w:rsidR="00151D71" w:rsidRPr="00BD1C03">
        <w:t xml:space="preserve">The Package logic is attached at </w:t>
      </w:r>
      <w:r w:rsidR="00151D71" w:rsidRPr="00AB5EC6">
        <w:rPr>
          <w:b/>
        </w:rPr>
        <w:t xml:space="preserve">Annex </w:t>
      </w:r>
      <w:r w:rsidR="00130A15" w:rsidRPr="00AB5EC6">
        <w:rPr>
          <w:b/>
        </w:rPr>
        <w:t>V</w:t>
      </w:r>
      <w:r w:rsidR="004C31A1" w:rsidRPr="00BD1C03">
        <w:t>.</w:t>
      </w:r>
      <w:r w:rsidR="00D85E64" w:rsidRPr="00BD1C03">
        <w:t xml:space="preserve"> </w:t>
      </w:r>
      <w:r w:rsidRPr="00BD1C03">
        <w:t xml:space="preserve">It is important to note that in </w:t>
      </w:r>
      <w:r w:rsidR="00BE76FB" w:rsidRPr="00BD1C03">
        <w:t>several</w:t>
      </w:r>
      <w:r w:rsidRPr="00BD1C03">
        <w:t xml:space="preserve"> cases, </w:t>
      </w:r>
      <w:r w:rsidR="00151D71" w:rsidRPr="00BD1C03">
        <w:t>Package</w:t>
      </w:r>
      <w:r w:rsidR="00FC3B5D" w:rsidRPr="00BD1C03">
        <w:t xml:space="preserve"> partners</w:t>
      </w:r>
      <w:r w:rsidR="00151D71" w:rsidRPr="00BD1C03">
        <w:t xml:space="preserve"> </w:t>
      </w:r>
      <w:r w:rsidR="00FC3B5D" w:rsidRPr="00BD1C03">
        <w:t xml:space="preserve">and investments </w:t>
      </w:r>
      <w:r w:rsidR="000D3E31" w:rsidRPr="00BD1C03">
        <w:t>may</w:t>
      </w:r>
      <w:r w:rsidRPr="00BD1C03">
        <w:t xml:space="preserve"> contribute to humanitarian</w:t>
      </w:r>
      <w:r w:rsidR="00FC3B5D" w:rsidRPr="00BD1C03">
        <w:t xml:space="preserve"> and </w:t>
      </w:r>
      <w:r w:rsidRPr="00BD1C03">
        <w:t>stabilisation</w:t>
      </w:r>
      <w:r w:rsidR="007809D8" w:rsidRPr="00BD1C03">
        <w:t xml:space="preserve"> </w:t>
      </w:r>
      <w:r w:rsidRPr="00BD1C03">
        <w:t xml:space="preserve">outcomes, </w:t>
      </w:r>
      <w:r w:rsidR="00BE76FB" w:rsidRPr="00BD1C03">
        <w:t xml:space="preserve">such as </w:t>
      </w:r>
      <w:r w:rsidRPr="00BD1C03">
        <w:t>UNMAS</w:t>
      </w:r>
      <w:r w:rsidR="00925CC6" w:rsidRPr="00BD1C03">
        <w:t xml:space="preserve">, </w:t>
      </w:r>
      <w:r w:rsidR="00FE73C8" w:rsidRPr="00BD1C03">
        <w:t xml:space="preserve">UNICEF, </w:t>
      </w:r>
      <w:r w:rsidR="00925CC6" w:rsidRPr="00BD1C03">
        <w:t>IOM</w:t>
      </w:r>
      <w:r w:rsidR="00BA310C" w:rsidRPr="00BD1C03">
        <w:t xml:space="preserve"> and the BPF consortium</w:t>
      </w:r>
      <w:r w:rsidRPr="00BD1C03">
        <w:t>.</w:t>
      </w:r>
    </w:p>
    <w:p w14:paraId="41D3781C" w14:textId="03BFC658" w:rsidR="00945DDE" w:rsidRPr="000B478B" w:rsidRDefault="00945DDE" w:rsidP="00B13F20">
      <w:pPr>
        <w:pStyle w:val="Heading2"/>
        <w:numPr>
          <w:ilvl w:val="1"/>
          <w:numId w:val="5"/>
        </w:numPr>
        <w:rPr>
          <w:sz w:val="40"/>
          <w:szCs w:val="40"/>
        </w:rPr>
      </w:pPr>
      <w:r w:rsidRPr="000B478B">
        <w:rPr>
          <w:sz w:val="40"/>
          <w:szCs w:val="40"/>
        </w:rPr>
        <w:t>Humanitarian action</w:t>
      </w:r>
    </w:p>
    <w:p w14:paraId="68B3A894" w14:textId="397EF693" w:rsidR="00945DDE" w:rsidRPr="00BD1C03" w:rsidRDefault="00BE76FB" w:rsidP="0008435D">
      <w:r w:rsidRPr="00BD1C03">
        <w:t xml:space="preserve">Following the </w:t>
      </w:r>
      <w:r w:rsidR="0014519C" w:rsidRPr="00BD1C03">
        <w:t xml:space="preserve">military </w:t>
      </w:r>
      <w:r w:rsidRPr="00BD1C03">
        <w:t xml:space="preserve">defeat of ISIL </w:t>
      </w:r>
      <w:r w:rsidR="00945DDE" w:rsidRPr="00BD1C03">
        <w:t>acute humanitarian</w:t>
      </w:r>
      <w:r w:rsidR="00F34386" w:rsidRPr="00BD1C03">
        <w:t xml:space="preserve"> </w:t>
      </w:r>
      <w:r w:rsidR="00945DDE" w:rsidRPr="00BD1C03">
        <w:t xml:space="preserve">needs </w:t>
      </w:r>
      <w:r w:rsidR="00925CC6" w:rsidRPr="00BD1C03">
        <w:t xml:space="preserve">remained </w:t>
      </w:r>
      <w:r w:rsidR="00D04879" w:rsidRPr="00BD1C03">
        <w:t>which</w:t>
      </w:r>
      <w:r w:rsidR="00925CC6" w:rsidRPr="00BD1C03">
        <w:t xml:space="preserve"> </w:t>
      </w:r>
      <w:r w:rsidR="00945DDE" w:rsidRPr="00BD1C03">
        <w:t>requir</w:t>
      </w:r>
      <w:r w:rsidR="00B92B64" w:rsidRPr="00BD1C03">
        <w:t>ed</w:t>
      </w:r>
      <w:r w:rsidR="00945DDE" w:rsidRPr="00BD1C03">
        <w:t xml:space="preserve"> response at the time of Package commencement</w:t>
      </w:r>
      <w:r w:rsidR="00925CC6" w:rsidRPr="00BD1C03">
        <w:t xml:space="preserve"> – </w:t>
      </w:r>
      <w:r w:rsidR="00F34386" w:rsidRPr="00BD1C03">
        <w:t>s</w:t>
      </w:r>
      <w:r w:rsidR="00B81D98" w:rsidRPr="00BD1C03">
        <w:t>everal</w:t>
      </w:r>
      <w:r w:rsidR="0014519C" w:rsidRPr="00BD1C03">
        <w:t xml:space="preserve"> of which</w:t>
      </w:r>
      <w:r w:rsidR="00F34386" w:rsidRPr="00BD1C03">
        <w:t xml:space="preserve"> remain today</w:t>
      </w:r>
      <w:r w:rsidR="00945DDE" w:rsidRPr="00BD1C03">
        <w:t xml:space="preserve">. This </w:t>
      </w:r>
      <w:r w:rsidR="00FC3B5D" w:rsidRPr="00BD1C03">
        <w:t>situation</w:t>
      </w:r>
      <w:r w:rsidR="00945DDE" w:rsidRPr="00BD1C03">
        <w:t xml:space="preserve"> was clearly reflected in the Package with the majority of resources being allocated to </w:t>
      </w:r>
      <w:r w:rsidR="0014519C" w:rsidRPr="00BD1C03">
        <w:t xml:space="preserve">trusted </w:t>
      </w:r>
      <w:r w:rsidR="00945DDE" w:rsidRPr="00BD1C03">
        <w:t>humanitarian partners best positioned to contribute to Package outputs and outcomes.</w:t>
      </w:r>
    </w:p>
    <w:p w14:paraId="4B924FB8" w14:textId="05B1A378" w:rsidR="00DE75CE" w:rsidRPr="00BD1C03" w:rsidRDefault="00945DDE" w:rsidP="0008435D">
      <w:r w:rsidRPr="00BD1C03">
        <w:t>The HRP</w:t>
      </w:r>
      <w:r w:rsidR="00FC3B5D" w:rsidRPr="00BD1C03">
        <w:t xml:space="preserve"> (2018)</w:t>
      </w:r>
      <w:r w:rsidRPr="00BD1C03">
        <w:t xml:space="preserve"> targeted 3.4 million people, while estimating 8.7 million people across Iraq would need some form of humanitarian assistance. In terms of protection priorities, the HRP highlighted the need for services in camp and non-camp settings to identify people in need of special</w:t>
      </w:r>
      <w:r w:rsidR="00B43345">
        <w:t>is</w:t>
      </w:r>
      <w:r w:rsidRPr="00BD1C03">
        <w:t>ed protection services, including psychosocial support, sexual and reproductive health</w:t>
      </w:r>
      <w:r w:rsidR="00FC3B5D" w:rsidRPr="00BD1C03">
        <w:t xml:space="preserve"> (SRH)</w:t>
      </w:r>
      <w:r w:rsidRPr="00BD1C03">
        <w:t>, victim assistance, and legal assistance with civil documentation</w:t>
      </w:r>
      <w:r w:rsidR="00354663" w:rsidRPr="00BD1C03">
        <w:t>.</w:t>
      </w:r>
      <w:r w:rsidR="00354663" w:rsidRPr="00BD1C03" w:rsidDel="00354663">
        <w:t xml:space="preserve"> </w:t>
      </w:r>
      <w:r w:rsidR="00354663" w:rsidRPr="00BD1C03">
        <w:t>T</w:t>
      </w:r>
      <w:r w:rsidRPr="00BD1C03">
        <w:t>he need for dissemination of information to ensure informed, voluntary decisions on returns</w:t>
      </w:r>
      <w:r w:rsidR="00354663" w:rsidRPr="00BD1C03">
        <w:t xml:space="preserve"> was also highlighted</w:t>
      </w:r>
      <w:r w:rsidRPr="00BD1C03">
        <w:t xml:space="preserve">. </w:t>
      </w:r>
      <w:r w:rsidR="00DE75CE" w:rsidRPr="00BD1C03">
        <w:t>Surveying, clearing of access routes and provision of emergency mine risk education were also cited as an important priority (contributing to both humanitarian and stabilisa</w:t>
      </w:r>
      <w:r w:rsidR="0014519C" w:rsidRPr="00BD1C03">
        <w:t>t</w:t>
      </w:r>
      <w:r w:rsidR="00DE75CE" w:rsidRPr="00BD1C03">
        <w:t>ion outcomes).</w:t>
      </w:r>
    </w:p>
    <w:p w14:paraId="402DBBA8" w14:textId="4B91A308" w:rsidR="00945DDE" w:rsidRPr="00BD1C03" w:rsidRDefault="00945DDE" w:rsidP="0008435D">
      <w:r w:rsidRPr="00BD1C03">
        <w:t xml:space="preserve">In terms of health and education priorities, the HRP highlighted the acute disruption of services noting that the number of health related consultations performed in health clinics had risen eight-fold in the preceding eight years, and that schools in affected areas were operating double and triple shifts. Furthermore, 50 </w:t>
      </w:r>
      <w:r w:rsidR="00495DB3">
        <w:t>percent</w:t>
      </w:r>
      <w:r w:rsidRPr="00BD1C03">
        <w:t xml:space="preserve"> of children in displaced camps at that time were not able to access quality education and 3.2 million children were attending school irregularly or not at all.</w:t>
      </w:r>
      <w:r w:rsidR="00413A82" w:rsidRPr="00BD1C03">
        <w:rPr>
          <w:rStyle w:val="EndnoteReference"/>
          <w:rFonts w:ascii="Calibri Light" w:hAnsi="Calibri Light" w:cs="Calibri Light"/>
          <w:szCs w:val="22"/>
        </w:rPr>
        <w:endnoteReference w:id="38"/>
      </w:r>
    </w:p>
    <w:p w14:paraId="3584F113" w14:textId="28A52187" w:rsidR="00945DDE" w:rsidRPr="00BD1C03" w:rsidRDefault="00945DDE" w:rsidP="0008435D">
      <w:r w:rsidRPr="00BD1C03">
        <w:t>A wide range of W</w:t>
      </w:r>
      <w:r w:rsidR="00B25E35" w:rsidRPr="00BD1C03">
        <w:t>ater, Sanitation and Hygiene (WA</w:t>
      </w:r>
      <w:r w:rsidRPr="00BD1C03">
        <w:t>SH</w:t>
      </w:r>
      <w:r w:rsidR="00B25E35" w:rsidRPr="00BD1C03">
        <w:t>)</w:t>
      </w:r>
      <w:r w:rsidRPr="00BD1C03">
        <w:t xml:space="preserve"> needs were also apparent, given </w:t>
      </w:r>
      <w:r w:rsidR="00B25E35" w:rsidRPr="00BD1C03">
        <w:t xml:space="preserve">the </w:t>
      </w:r>
      <w:r w:rsidRPr="00BD1C03">
        <w:t xml:space="preserve">different needs of people living in camps or informal settlements; people who were newly or secondarily displaced, and those who were unable to return without assistance. Similarly, continued needs existed across these different </w:t>
      </w:r>
      <w:r w:rsidR="00B25E35" w:rsidRPr="00BD1C03">
        <w:t>caseloads</w:t>
      </w:r>
      <w:r w:rsidRPr="00BD1C03">
        <w:t xml:space="preserve"> in relation to ensuring food security and access to shelter and non-food items. </w:t>
      </w:r>
    </w:p>
    <w:p w14:paraId="482145F6" w14:textId="40BC72A8" w:rsidR="00945DDE" w:rsidRPr="00BD1C03" w:rsidRDefault="00945DDE" w:rsidP="0008435D">
      <w:r w:rsidRPr="00BD1C03">
        <w:t xml:space="preserve">The HRP </w:t>
      </w:r>
      <w:r w:rsidR="0014519C" w:rsidRPr="00BD1C03">
        <w:t>priorit</w:t>
      </w:r>
      <w:r w:rsidR="00B43345">
        <w:t>is</w:t>
      </w:r>
      <w:r w:rsidR="0014519C" w:rsidRPr="00BD1C03">
        <w:t xml:space="preserve">ed </w:t>
      </w:r>
      <w:r w:rsidRPr="00BD1C03">
        <w:t>geographic areas of need, highlighting Ninewa, Kirkuk and Anbar governorates based on 80</w:t>
      </w:r>
      <w:r w:rsidR="000D77AA" w:rsidRPr="00BD1C03">
        <w:t xml:space="preserve"> </w:t>
      </w:r>
      <w:r w:rsidR="00495DB3">
        <w:t>percent</w:t>
      </w:r>
      <w:r w:rsidRPr="00BD1C03">
        <w:t xml:space="preserve"> of the estimated 8.7 million </w:t>
      </w:r>
      <w:r w:rsidR="00382448" w:rsidRPr="00BD1C03">
        <w:t xml:space="preserve">Iraqi’s </w:t>
      </w:r>
      <w:r w:rsidRPr="00BD1C03">
        <w:t>requiring assistance being in those three governorates, and Ninewa</w:t>
      </w:r>
      <w:r w:rsidR="00382448" w:rsidRPr="00BD1C03">
        <w:t xml:space="preserve"> in particular with</w:t>
      </w:r>
      <w:r w:rsidRPr="00BD1C03">
        <w:t xml:space="preserve"> 40</w:t>
      </w:r>
      <w:r w:rsidR="000D77AA" w:rsidRPr="00BD1C03">
        <w:t xml:space="preserve"> </w:t>
      </w:r>
      <w:r w:rsidR="00495DB3">
        <w:t>percent</w:t>
      </w:r>
      <w:r w:rsidRPr="00BD1C03">
        <w:t xml:space="preserve"> of all assessed need</w:t>
      </w:r>
      <w:r w:rsidR="00382448" w:rsidRPr="00BD1C03">
        <w:t>s</w:t>
      </w:r>
      <w:r w:rsidRPr="00BD1C03">
        <w:t xml:space="preserve"> </w:t>
      </w:r>
      <w:r w:rsidR="001543FE" w:rsidRPr="00BD1C03">
        <w:t>based</w:t>
      </w:r>
      <w:r w:rsidRPr="00BD1C03">
        <w:t xml:space="preserve"> there.</w:t>
      </w:r>
      <w:r w:rsidR="00925CC6" w:rsidRPr="00BD1C03">
        <w:rPr>
          <w:rStyle w:val="EndnoteReference"/>
          <w:rFonts w:ascii="Calibri Light" w:hAnsi="Calibri Light" w:cs="Calibri Light"/>
          <w:szCs w:val="22"/>
        </w:rPr>
        <w:endnoteReference w:id="39"/>
      </w:r>
    </w:p>
    <w:p w14:paraId="3F85C2F6" w14:textId="63BD8371" w:rsidR="00945DDE" w:rsidRPr="00BD1C03" w:rsidRDefault="00945DDE" w:rsidP="0008435D">
      <w:r w:rsidRPr="00BD1C03">
        <w:t>The relevance of the Australian Package to these priorities can be seen across its investment portfolio as follows:</w:t>
      </w:r>
    </w:p>
    <w:p w14:paraId="3F6C0B79" w14:textId="1DBA3B6E" w:rsidR="00026AF6" w:rsidRPr="00BD1C03" w:rsidRDefault="00026AF6" w:rsidP="00312826">
      <w:pPr>
        <w:pStyle w:val="bullets0"/>
        <w:ind w:left="284" w:hanging="284"/>
        <w:contextualSpacing w:val="0"/>
      </w:pPr>
      <w:r w:rsidRPr="00BD1C03">
        <w:t>Responding to the</w:t>
      </w:r>
      <w:r w:rsidR="0014519C" w:rsidRPr="00BD1C03">
        <w:t xml:space="preserve"> priorit</w:t>
      </w:r>
      <w:r w:rsidR="00B43345">
        <w:t>is</w:t>
      </w:r>
      <w:r w:rsidR="0014519C" w:rsidRPr="00BD1C03">
        <w:t>ed needs</w:t>
      </w:r>
      <w:r w:rsidRPr="00BD1C03">
        <w:t xml:space="preserve"> through investing in critical protection services:</w:t>
      </w:r>
    </w:p>
    <w:p w14:paraId="706C3E73" w14:textId="654B72B3" w:rsidR="00026AF6" w:rsidRPr="00BD1C03" w:rsidRDefault="00026AF6" w:rsidP="00312826">
      <w:pPr>
        <w:pStyle w:val="bullets0"/>
        <w:numPr>
          <w:ilvl w:val="1"/>
          <w:numId w:val="14"/>
        </w:numPr>
        <w:ind w:left="851"/>
      </w:pPr>
      <w:r w:rsidRPr="00BD1C03">
        <w:t>Partnering with UNFPA address</w:t>
      </w:r>
      <w:r w:rsidR="00925CC6" w:rsidRPr="00BD1C03">
        <w:t>es</w:t>
      </w:r>
      <w:r w:rsidRPr="00BD1C03">
        <w:t xml:space="preserve"> specific challenges and risks faced by women and girls and ensure</w:t>
      </w:r>
      <w:r w:rsidR="00925CC6" w:rsidRPr="00BD1C03">
        <w:t>s</w:t>
      </w:r>
      <w:r w:rsidRPr="00BD1C03">
        <w:t xml:space="preserve"> women, adolescents and youth have improved access to sexual and reproductive health </w:t>
      </w:r>
      <w:r w:rsidR="00BE76FB" w:rsidRPr="00BD1C03">
        <w:t>(SRH) and related services</w:t>
      </w:r>
      <w:r w:rsidRPr="00BD1C03">
        <w:t xml:space="preserve"> to prevent and respond to GBV in six provinces.</w:t>
      </w:r>
    </w:p>
    <w:p w14:paraId="0F31C7C6" w14:textId="3C394323" w:rsidR="00026AF6" w:rsidRPr="00BD1C03" w:rsidRDefault="00026AF6" w:rsidP="00312826">
      <w:pPr>
        <w:pStyle w:val="bullets0"/>
        <w:numPr>
          <w:ilvl w:val="1"/>
          <w:numId w:val="14"/>
        </w:numPr>
        <w:ind w:left="851"/>
      </w:pPr>
      <w:r w:rsidRPr="00BD1C03">
        <w:t>The BPF consortium brings together five leading NGOs, with complementary skills not necessarily available through the A</w:t>
      </w:r>
      <w:r w:rsidR="000D77AA" w:rsidRPr="00BD1C03">
        <w:t xml:space="preserve">ustralian </w:t>
      </w:r>
      <w:r w:rsidRPr="00BD1C03">
        <w:t>H</w:t>
      </w:r>
      <w:r w:rsidR="000D77AA" w:rsidRPr="00BD1C03">
        <w:t xml:space="preserve">umanitarian </w:t>
      </w:r>
      <w:r w:rsidRPr="00BD1C03">
        <w:t>P</w:t>
      </w:r>
      <w:r w:rsidR="000D77AA" w:rsidRPr="00BD1C03">
        <w:t>artnership (AHP)</w:t>
      </w:r>
      <w:r w:rsidRPr="00BD1C03">
        <w:t xml:space="preserve"> mechanism such as legal assistance </w:t>
      </w:r>
      <w:r w:rsidR="00B25E35" w:rsidRPr="00BD1C03">
        <w:t xml:space="preserve">and civil documentation </w:t>
      </w:r>
      <w:r w:rsidRPr="00BD1C03">
        <w:t xml:space="preserve">through NRC and peacebuilding through Non-violent </w:t>
      </w:r>
      <w:proofErr w:type="spellStart"/>
      <w:r w:rsidRPr="00BD1C03">
        <w:t>Peaceforce</w:t>
      </w:r>
      <w:proofErr w:type="spellEnd"/>
      <w:r w:rsidR="00CA1C94" w:rsidRPr="00BD1C03">
        <w:t>. The consortium</w:t>
      </w:r>
      <w:r w:rsidRPr="00BD1C03">
        <w:t xml:space="preserve"> brought a clear focus to people with disabilit</w:t>
      </w:r>
      <w:r w:rsidR="00463ACF" w:rsidRPr="00BD1C03">
        <w:t>ies</w:t>
      </w:r>
      <w:r w:rsidRPr="00BD1C03">
        <w:t xml:space="preserve"> through Humanity and Inclusion</w:t>
      </w:r>
      <w:r w:rsidR="00CA1C94" w:rsidRPr="00BD1C03">
        <w:t xml:space="preserve"> and gende</w:t>
      </w:r>
      <w:r w:rsidR="009E6446" w:rsidRPr="00BD1C03">
        <w:t>r</w:t>
      </w:r>
      <w:r w:rsidR="00CA1C94" w:rsidRPr="00BD1C03">
        <w:t xml:space="preserve"> through C</w:t>
      </w:r>
      <w:r w:rsidR="000D77AA" w:rsidRPr="00BD1C03">
        <w:t>ARE</w:t>
      </w:r>
      <w:r w:rsidR="00CA1C94" w:rsidRPr="00BD1C03">
        <w:t>.</w:t>
      </w:r>
      <w:r w:rsidR="009E6446" w:rsidRPr="00BD1C03">
        <w:t xml:space="preserve"> </w:t>
      </w:r>
    </w:p>
    <w:p w14:paraId="70AA0E84" w14:textId="1FAB74F8" w:rsidR="00026AF6" w:rsidRPr="00BD1C03" w:rsidRDefault="00026AF6" w:rsidP="00312826">
      <w:pPr>
        <w:pStyle w:val="bullets0"/>
        <w:numPr>
          <w:ilvl w:val="1"/>
          <w:numId w:val="14"/>
        </w:numPr>
        <w:ind w:left="851"/>
      </w:pPr>
      <w:r w:rsidRPr="00BD1C03">
        <w:t xml:space="preserve">Given the threat posed by </w:t>
      </w:r>
      <w:r w:rsidR="00ED1E11" w:rsidRPr="00BD1C03">
        <w:t>explosive hazards</w:t>
      </w:r>
      <w:r w:rsidRPr="00BD1C03">
        <w:t>, Australia</w:t>
      </w:r>
      <w:r w:rsidR="000D77AA" w:rsidRPr="00BD1C03">
        <w:t>’s</w:t>
      </w:r>
      <w:r w:rsidRPr="00BD1C03">
        <w:t xml:space="preserve"> support to UNMAS is acutely relevant, and strengthened by UNMAS working closely with the Directorate of Mine Action</w:t>
      </w:r>
      <w:r w:rsidR="009E6446" w:rsidRPr="00BD1C03">
        <w:t xml:space="preserve"> (DMA)</w:t>
      </w:r>
      <w:r w:rsidRPr="00BD1C03">
        <w:t xml:space="preserve"> to build capacity and ownership for a threat that will remain for decades to come.</w:t>
      </w:r>
    </w:p>
    <w:p w14:paraId="2B7C96D6" w14:textId="5947C32C" w:rsidR="00BE76FB" w:rsidRPr="00BD1C03" w:rsidRDefault="00BE76FB" w:rsidP="003645D3">
      <w:pPr>
        <w:pStyle w:val="bullets0"/>
        <w:numPr>
          <w:ilvl w:val="1"/>
          <w:numId w:val="14"/>
        </w:numPr>
        <w:ind w:left="850" w:hanging="357"/>
        <w:contextualSpacing w:val="0"/>
      </w:pPr>
      <w:r w:rsidRPr="00BD1C03">
        <w:t>Partnering with an IHO on detention monitoring</w:t>
      </w:r>
      <w:r w:rsidR="00925CC6" w:rsidRPr="00BD1C03">
        <w:t xml:space="preserve"> and </w:t>
      </w:r>
      <w:r w:rsidRPr="00BD1C03">
        <w:t>family tracing</w:t>
      </w:r>
      <w:r w:rsidR="00354663" w:rsidRPr="00BD1C03">
        <w:t xml:space="preserve"> </w:t>
      </w:r>
      <w:r w:rsidR="00B25E35" w:rsidRPr="00BD1C03">
        <w:t xml:space="preserve">recognising the high number of people detained. </w:t>
      </w:r>
    </w:p>
    <w:p w14:paraId="099533FB" w14:textId="3297C250" w:rsidR="00945DDE" w:rsidRPr="00BD1C03" w:rsidRDefault="00BE76FB" w:rsidP="00F350F2">
      <w:pPr>
        <w:pStyle w:val="bullets0"/>
        <w:ind w:left="284" w:hanging="284"/>
      </w:pPr>
      <w:r w:rsidRPr="00BD1C03">
        <w:t>Balancing support to camp</w:t>
      </w:r>
      <w:r w:rsidR="00EA019E" w:rsidRPr="00BD1C03">
        <w:t xml:space="preserve"> </w:t>
      </w:r>
      <w:r w:rsidRPr="00BD1C03">
        <w:t>based IDPs through partnering with</w:t>
      </w:r>
      <w:r w:rsidR="00945DDE" w:rsidRPr="00BD1C03">
        <w:t xml:space="preserve"> </w:t>
      </w:r>
      <w:r w:rsidR="000676C7" w:rsidRPr="00BD1C03">
        <w:t>IHO</w:t>
      </w:r>
      <w:r w:rsidR="00945DDE" w:rsidRPr="00BD1C03">
        <w:t xml:space="preserve">, to </w:t>
      </w:r>
      <w:r w:rsidRPr="00BD1C03">
        <w:t xml:space="preserve">deliver </w:t>
      </w:r>
      <w:r w:rsidR="00026AF6" w:rsidRPr="00BD1C03">
        <w:t xml:space="preserve">protection and </w:t>
      </w:r>
      <w:r w:rsidR="00945DDE" w:rsidRPr="00BD1C03">
        <w:t>servic</w:t>
      </w:r>
      <w:r w:rsidR="0014519C" w:rsidRPr="00BD1C03">
        <w:t>es</w:t>
      </w:r>
      <w:r w:rsidR="00945DDE" w:rsidRPr="00BD1C03">
        <w:t xml:space="preserve"> for displaced people in non</w:t>
      </w:r>
      <w:r w:rsidR="000676C7" w:rsidRPr="00BD1C03">
        <w:t>-</w:t>
      </w:r>
      <w:r w:rsidR="00945DDE" w:rsidRPr="00BD1C03">
        <w:t xml:space="preserve">camp settings, including food aid, cash assistance, provision of NFI, health care access and WASH programming. </w:t>
      </w:r>
    </w:p>
    <w:p w14:paraId="31049E71" w14:textId="32BEFA61" w:rsidR="00945DDE" w:rsidRPr="00BD1C03" w:rsidRDefault="00945DDE" w:rsidP="00312826">
      <w:pPr>
        <w:pStyle w:val="bullets0"/>
      </w:pPr>
      <w:r w:rsidRPr="00BD1C03">
        <w:t>Geographically, programming has focused on the provinces of Ninewa, Kirkuk and Anbar</w:t>
      </w:r>
      <w:r w:rsidR="00ED6062" w:rsidRPr="00BD1C03">
        <w:t xml:space="preserve"> due to these being areas </w:t>
      </w:r>
      <w:r w:rsidR="00CC0EE8" w:rsidRPr="00BD1C03">
        <w:t>experiencing high levels of displacement</w:t>
      </w:r>
      <w:r w:rsidRPr="00BD1C03">
        <w:t xml:space="preserve">, with the largest single investment – the multi-sector </w:t>
      </w:r>
      <w:r w:rsidR="000676C7" w:rsidRPr="00BD1C03">
        <w:t>BPF</w:t>
      </w:r>
      <w:r w:rsidRPr="00BD1C03">
        <w:t xml:space="preserve"> </w:t>
      </w:r>
      <w:r w:rsidR="000676C7" w:rsidRPr="00BD1C03">
        <w:t>consortium</w:t>
      </w:r>
      <w:r w:rsidRPr="00BD1C03">
        <w:t>, led by Save the Children, based in Kirkuk (Al-</w:t>
      </w:r>
      <w:proofErr w:type="spellStart"/>
      <w:r w:rsidRPr="00BD1C03">
        <w:t>Hawija</w:t>
      </w:r>
      <w:proofErr w:type="spellEnd"/>
      <w:r w:rsidRPr="00BD1C03">
        <w:t xml:space="preserve"> District) and Ninewa (Sinjar district). </w:t>
      </w:r>
    </w:p>
    <w:p w14:paraId="193F3124" w14:textId="347D3B9E" w:rsidR="00945DDE" w:rsidRPr="00BD1C03" w:rsidRDefault="00925CC6" w:rsidP="00312826">
      <w:pPr>
        <w:pStyle w:val="bullets0"/>
      </w:pPr>
      <w:r w:rsidRPr="00BD1C03">
        <w:t>A</w:t>
      </w:r>
      <w:r w:rsidR="00945DDE" w:rsidRPr="00BD1C03">
        <w:t>dapt</w:t>
      </w:r>
      <w:r w:rsidR="0014519C" w:rsidRPr="00BD1C03">
        <w:t>ing</w:t>
      </w:r>
      <w:r w:rsidR="00945DDE" w:rsidRPr="00BD1C03">
        <w:t xml:space="preserve"> to</w:t>
      </w:r>
      <w:r w:rsidR="0014519C" w:rsidRPr="00BD1C03">
        <w:t xml:space="preserve"> </w:t>
      </w:r>
      <w:r w:rsidRPr="00BD1C03">
        <w:t xml:space="preserve">a changing </w:t>
      </w:r>
      <w:r w:rsidR="00945DDE" w:rsidRPr="00BD1C03">
        <w:t>context</w:t>
      </w:r>
      <w:r w:rsidRPr="00BD1C03">
        <w:t xml:space="preserve"> in 2018</w:t>
      </w:r>
      <w:r w:rsidR="00354663" w:rsidRPr="00BD1C03">
        <w:t>,</w:t>
      </w:r>
      <w:r w:rsidR="00945DDE" w:rsidRPr="00BD1C03">
        <w:t xml:space="preserve"> DFAT drew on its emerging </w:t>
      </w:r>
      <w:r w:rsidR="000676C7" w:rsidRPr="00BD1C03">
        <w:t xml:space="preserve">priorities </w:t>
      </w:r>
      <w:r w:rsidR="00382448" w:rsidRPr="00BD1C03">
        <w:t>funding</w:t>
      </w:r>
      <w:r w:rsidR="00945DDE" w:rsidRPr="00BD1C03">
        <w:t xml:space="preserve"> to support UNICEF to address acute water shortages in </w:t>
      </w:r>
      <w:r w:rsidR="00662780" w:rsidRPr="00BD1C03">
        <w:t xml:space="preserve">Baghdad and </w:t>
      </w:r>
      <w:r w:rsidR="00945DDE" w:rsidRPr="00BD1C03">
        <w:t>southern governorate</w:t>
      </w:r>
      <w:r w:rsidR="00662780" w:rsidRPr="00BD1C03">
        <w:t xml:space="preserve">s (Basra, </w:t>
      </w:r>
      <w:proofErr w:type="spellStart"/>
      <w:r w:rsidR="00662780" w:rsidRPr="00BD1C03">
        <w:t>Thiqar</w:t>
      </w:r>
      <w:proofErr w:type="spellEnd"/>
      <w:r w:rsidR="00662780" w:rsidRPr="00BD1C03">
        <w:t xml:space="preserve">, Muthanna, </w:t>
      </w:r>
      <w:proofErr w:type="spellStart"/>
      <w:r w:rsidR="00662780" w:rsidRPr="00BD1C03">
        <w:t>Maysan</w:t>
      </w:r>
      <w:proofErr w:type="spellEnd"/>
      <w:r w:rsidR="00662780" w:rsidRPr="00BD1C03">
        <w:t>)</w:t>
      </w:r>
      <w:r w:rsidR="00945DDE" w:rsidRPr="00BD1C03">
        <w:t xml:space="preserve"> </w:t>
      </w:r>
      <w:r w:rsidR="00B25E35" w:rsidRPr="00BD1C03">
        <w:t xml:space="preserve">and balance the perceived assistance bias toward </w:t>
      </w:r>
      <w:r w:rsidR="00A8723D" w:rsidRPr="00BD1C03">
        <w:t>the North.</w:t>
      </w:r>
    </w:p>
    <w:p w14:paraId="69E8AC22" w14:textId="74B9741D" w:rsidR="00945DDE" w:rsidRPr="000B478B" w:rsidRDefault="00945DDE" w:rsidP="00B13F20">
      <w:pPr>
        <w:pStyle w:val="Heading2"/>
        <w:numPr>
          <w:ilvl w:val="1"/>
          <w:numId w:val="5"/>
        </w:numPr>
        <w:rPr>
          <w:sz w:val="40"/>
          <w:szCs w:val="40"/>
        </w:rPr>
      </w:pPr>
      <w:r w:rsidRPr="000B478B">
        <w:rPr>
          <w:sz w:val="40"/>
          <w:szCs w:val="40"/>
        </w:rPr>
        <w:t>Stab</w:t>
      </w:r>
      <w:r w:rsidR="002D688F" w:rsidRPr="000B478B">
        <w:rPr>
          <w:sz w:val="40"/>
          <w:szCs w:val="40"/>
        </w:rPr>
        <w:t>i</w:t>
      </w:r>
      <w:r w:rsidRPr="000B478B">
        <w:rPr>
          <w:sz w:val="40"/>
          <w:szCs w:val="40"/>
        </w:rPr>
        <w:t>lisation</w:t>
      </w:r>
      <w:r w:rsidR="00D56D13" w:rsidRPr="000B478B">
        <w:rPr>
          <w:sz w:val="40"/>
          <w:szCs w:val="40"/>
        </w:rPr>
        <w:t xml:space="preserve"> </w:t>
      </w:r>
    </w:p>
    <w:p w14:paraId="32B511D6" w14:textId="484FEBD0" w:rsidR="006B2FC8" w:rsidRPr="00BD1C03" w:rsidRDefault="009F4B4C" w:rsidP="0008435D">
      <w:r w:rsidRPr="00BD1C03">
        <w:t>I</w:t>
      </w:r>
      <w:r w:rsidR="00945DDE" w:rsidRPr="00BD1C03">
        <w:t xml:space="preserve">mplicit in the </w:t>
      </w:r>
      <w:r w:rsidRPr="00BD1C03">
        <w:t xml:space="preserve">Package </w:t>
      </w:r>
      <w:r w:rsidR="00945DDE" w:rsidRPr="00BD1C03">
        <w:t xml:space="preserve">logic </w:t>
      </w:r>
      <w:r w:rsidR="007D48F9" w:rsidRPr="00BD1C03">
        <w:t>i</w:t>
      </w:r>
      <w:r w:rsidR="00945DDE" w:rsidRPr="00BD1C03">
        <w:t xml:space="preserve">s the critical importance of </w:t>
      </w:r>
      <w:r w:rsidR="00D9474C" w:rsidRPr="00BD1C03">
        <w:t xml:space="preserve">investing in </w:t>
      </w:r>
      <w:r w:rsidR="00945DDE" w:rsidRPr="00BD1C03">
        <w:t xml:space="preserve">humanitarian and </w:t>
      </w:r>
      <w:r w:rsidR="00D9474C" w:rsidRPr="00BD1C03">
        <w:t>stabili</w:t>
      </w:r>
      <w:r w:rsidR="00EA019E" w:rsidRPr="00BD1C03">
        <w:t>s</w:t>
      </w:r>
      <w:r w:rsidR="00D9474C" w:rsidRPr="00BD1C03">
        <w:t xml:space="preserve">ation programming </w:t>
      </w:r>
      <w:r w:rsidR="00B22BC5" w:rsidRPr="00BD1C03">
        <w:t xml:space="preserve">to facilitate </w:t>
      </w:r>
      <w:r w:rsidR="00945DDE" w:rsidRPr="00BD1C03">
        <w:t>durable solutions as proposed in the</w:t>
      </w:r>
      <w:r w:rsidR="006B2FC8" w:rsidRPr="00BD1C03">
        <w:t xml:space="preserve"> 2018</w:t>
      </w:r>
      <w:r w:rsidR="00945DDE" w:rsidRPr="00BD1C03">
        <w:t xml:space="preserve"> UN Recovery and Resilience Plan. While </w:t>
      </w:r>
      <w:r w:rsidR="008C42FB" w:rsidRPr="00BD1C03">
        <w:t>s</w:t>
      </w:r>
      <w:r w:rsidR="00A8723D" w:rsidRPr="00BD1C03">
        <w:t>tabili</w:t>
      </w:r>
      <w:r w:rsidR="008C42FB" w:rsidRPr="00BD1C03">
        <w:t>s</w:t>
      </w:r>
      <w:r w:rsidR="00A8723D" w:rsidRPr="00BD1C03">
        <w:t>ation</w:t>
      </w:r>
      <w:r w:rsidRPr="00BD1C03">
        <w:t xml:space="preserve"> </w:t>
      </w:r>
      <w:r w:rsidR="00D9474C" w:rsidRPr="00BD1C03">
        <w:t>is</w:t>
      </w:r>
      <w:r w:rsidRPr="00BD1C03">
        <w:t xml:space="preserve"> </w:t>
      </w:r>
      <w:r w:rsidR="007D48F9" w:rsidRPr="00BD1C03">
        <w:t xml:space="preserve">necessarily </w:t>
      </w:r>
      <w:r w:rsidRPr="00BD1C03">
        <w:t>seen as separate to humanitarian action</w:t>
      </w:r>
      <w:r w:rsidR="00D9474C" w:rsidRPr="00BD1C03">
        <w:t xml:space="preserve"> due to </w:t>
      </w:r>
      <w:r w:rsidR="00354663" w:rsidRPr="00BD1C03">
        <w:t>its</w:t>
      </w:r>
      <w:r w:rsidR="00D9474C" w:rsidRPr="00BD1C03">
        <w:t xml:space="preserve"> political and security dimensions</w:t>
      </w:r>
      <w:r w:rsidRPr="00BD1C03">
        <w:t xml:space="preserve">, </w:t>
      </w:r>
      <w:r w:rsidR="00945DDE" w:rsidRPr="00BD1C03">
        <w:t>much of the humanitarian work described above</w:t>
      </w:r>
      <w:r w:rsidR="00B22BC5" w:rsidRPr="00BD1C03">
        <w:t>,</w:t>
      </w:r>
      <w:r w:rsidR="00D9474C" w:rsidRPr="00BD1C03">
        <w:t xml:space="preserve"> related to service delivery</w:t>
      </w:r>
      <w:r w:rsidR="00B22BC5" w:rsidRPr="00BD1C03">
        <w:t xml:space="preserve"> in par</w:t>
      </w:r>
      <w:r w:rsidR="006B2FC8" w:rsidRPr="00BD1C03">
        <w:t>t</w:t>
      </w:r>
      <w:r w:rsidR="00B22BC5" w:rsidRPr="00BD1C03">
        <w:t>icular,</w:t>
      </w:r>
      <w:r w:rsidR="00945DDE" w:rsidRPr="00BD1C03">
        <w:t xml:space="preserve"> </w:t>
      </w:r>
      <w:r w:rsidR="008E4D79" w:rsidRPr="00BD1C03">
        <w:t>may</w:t>
      </w:r>
      <w:r w:rsidR="00945DDE" w:rsidRPr="00BD1C03">
        <w:t xml:space="preserve"> </w:t>
      </w:r>
      <w:r w:rsidR="00A8723D" w:rsidRPr="00BD1C03">
        <w:t xml:space="preserve">in </w:t>
      </w:r>
      <w:r w:rsidR="008E4D79" w:rsidRPr="00BD1C03">
        <w:t>practice</w:t>
      </w:r>
      <w:r w:rsidR="002071F9" w:rsidRPr="00BD1C03">
        <w:t xml:space="preserve"> </w:t>
      </w:r>
      <w:r w:rsidR="00945DDE" w:rsidRPr="00BD1C03">
        <w:t xml:space="preserve">contribute to stabilisation </w:t>
      </w:r>
      <w:r w:rsidR="00903136" w:rsidRPr="00BD1C03">
        <w:t xml:space="preserve">and social cohesion </w:t>
      </w:r>
      <w:r w:rsidR="00945DDE" w:rsidRPr="00BD1C03">
        <w:t>outcomes</w:t>
      </w:r>
      <w:r w:rsidR="00D9474C" w:rsidRPr="00BD1C03">
        <w:t>.</w:t>
      </w:r>
      <w:r w:rsidR="00945DDE" w:rsidRPr="00BD1C03">
        <w:t xml:space="preserve"> </w:t>
      </w:r>
    </w:p>
    <w:tbl>
      <w:tblPr>
        <w:tblStyle w:val="GridTable1Light-Accent31"/>
        <w:tblW w:w="0" w:type="auto"/>
        <w:tblLook w:val="04A0" w:firstRow="1" w:lastRow="0" w:firstColumn="1" w:lastColumn="0" w:noHBand="0" w:noVBand="1"/>
      </w:tblPr>
      <w:tblGrid>
        <w:gridCol w:w="8188"/>
      </w:tblGrid>
      <w:tr w:rsidR="002928F8" w:rsidRPr="00BD1C03" w14:paraId="1440454C" w14:textId="77777777" w:rsidTr="004A57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bottom w:val="single" w:sz="12" w:space="0" w:color="4F6228" w:themeColor="accent3" w:themeShade="80"/>
            </w:tcBorders>
          </w:tcPr>
          <w:p w14:paraId="2FA62759" w14:textId="5CABD02F" w:rsidR="002928F8" w:rsidRPr="00BD1C03" w:rsidRDefault="00152AB1" w:rsidP="003E7F2F">
            <w:pPr>
              <w:spacing w:before="240"/>
              <w:ind w:left="176" w:right="228"/>
            </w:pPr>
            <w:r w:rsidRPr="001D2CE7">
              <w:rPr>
                <w:rStyle w:val="EnfasiChar"/>
                <w:b/>
                <w:bCs/>
                <w:color w:val="000000" w:themeColor="text1" w:themeShade="80"/>
              </w:rPr>
              <w:t>DFAT guidance (2018) defines stabilisation</w:t>
            </w:r>
            <w:r w:rsidRPr="001D2CE7">
              <w:rPr>
                <w:color w:val="000000" w:themeColor="text1"/>
              </w:rPr>
              <w:t xml:space="preserve"> </w:t>
            </w:r>
            <w:r w:rsidRPr="001D2CE7">
              <w:rPr>
                <w:b w:val="0"/>
                <w:bCs w:val="0"/>
              </w:rPr>
              <w:t>as providing support to countries emerging from, or at risk of descending into, violent conflict and involves working with international and local partners to “prevent or reduce violence, protect people and key institutions, promote political processes which are conducted without resort to armed violence, allow the delivery of basic services to affected people, and help create conditions for longer term development wh</w:t>
            </w:r>
            <w:r w:rsidR="008A412D" w:rsidRPr="001D2CE7">
              <w:rPr>
                <w:b w:val="0"/>
                <w:bCs w:val="0"/>
              </w:rPr>
              <w:t>ich fosters societal resilience</w:t>
            </w:r>
            <w:r w:rsidRPr="001D2CE7">
              <w:rPr>
                <w:b w:val="0"/>
                <w:bCs w:val="0"/>
              </w:rPr>
              <w:t>”</w:t>
            </w:r>
            <w:r w:rsidR="008A412D" w:rsidRPr="001D2CE7">
              <w:rPr>
                <w:b w:val="0"/>
                <w:bCs w:val="0"/>
              </w:rPr>
              <w:t>.</w:t>
            </w:r>
            <w:r w:rsidRPr="001D2CE7">
              <w:rPr>
                <w:b w:val="0"/>
                <w:bCs w:val="0"/>
                <w:vertAlign w:val="superscript"/>
              </w:rPr>
              <w:endnoteReference w:id="40"/>
            </w:r>
          </w:p>
        </w:tc>
      </w:tr>
    </w:tbl>
    <w:p w14:paraId="3D165E08" w14:textId="2410DEE7" w:rsidR="002928F8" w:rsidRPr="00BD1C03" w:rsidRDefault="002928F8" w:rsidP="00152AB1">
      <w:pPr>
        <w:spacing w:after="0"/>
      </w:pPr>
    </w:p>
    <w:p w14:paraId="76884979" w14:textId="6BB1B154" w:rsidR="006B2FC8" w:rsidRPr="00BD1C03" w:rsidRDefault="00945DDE" w:rsidP="0008435D">
      <w:r w:rsidRPr="00BD1C03">
        <w:t>Australia’s primary stab</w:t>
      </w:r>
      <w:r w:rsidR="009F4B4C" w:rsidRPr="00BD1C03">
        <w:t>i</w:t>
      </w:r>
      <w:r w:rsidRPr="00BD1C03">
        <w:t xml:space="preserve">lisation investments are through UNDP’s Financing Facility for </w:t>
      </w:r>
      <w:r w:rsidR="00511997" w:rsidRPr="00BD1C03">
        <w:t>Stabilisation</w:t>
      </w:r>
      <w:r w:rsidR="00413A82" w:rsidRPr="00BD1C03">
        <w:t xml:space="preserve"> (FFS)</w:t>
      </w:r>
      <w:r w:rsidR="00903136" w:rsidRPr="00BD1C03">
        <w:t xml:space="preserve"> and UNMAS</w:t>
      </w:r>
      <w:r w:rsidR="008E4D79" w:rsidRPr="00BD1C03">
        <w:t xml:space="preserve">. The </w:t>
      </w:r>
      <w:r w:rsidR="006B2FC8" w:rsidRPr="00BD1C03">
        <w:t xml:space="preserve">aim of the </w:t>
      </w:r>
      <w:r w:rsidR="008E4D79" w:rsidRPr="00BD1C03">
        <w:t xml:space="preserve">FFS </w:t>
      </w:r>
      <w:r w:rsidR="006B2FC8" w:rsidRPr="00BD1C03">
        <w:t>is</w:t>
      </w:r>
      <w:r w:rsidRPr="00BD1C03">
        <w:t xml:space="preserve"> to support conditions for the safe return of IDPs to their areas of origin and to reassert the role of the </w:t>
      </w:r>
      <w:proofErr w:type="spellStart"/>
      <w:r w:rsidR="00853DC1" w:rsidRPr="00BD1C03">
        <w:t>GoI</w:t>
      </w:r>
      <w:proofErr w:type="spellEnd"/>
      <w:r w:rsidRPr="00BD1C03">
        <w:t xml:space="preserve"> in its ability to restore basic services and create opportunities </w:t>
      </w:r>
      <w:r w:rsidR="008E4D79" w:rsidRPr="00BD1C03">
        <w:t>f</w:t>
      </w:r>
      <w:r w:rsidRPr="00BD1C03">
        <w:t>or livelihood restoration to the Iraqi people.</w:t>
      </w:r>
      <w:r w:rsidR="007D48F9" w:rsidRPr="00BD1C03">
        <w:t xml:space="preserve"> </w:t>
      </w:r>
    </w:p>
    <w:p w14:paraId="2A0DB6BB" w14:textId="22BC959B" w:rsidR="007D48F9" w:rsidRPr="00BD1C03" w:rsidRDefault="002071F9" w:rsidP="0008435D">
      <w:r w:rsidRPr="00BD1C03">
        <w:t>S</w:t>
      </w:r>
      <w:r w:rsidR="006B2FC8" w:rsidRPr="00BD1C03">
        <w:t xml:space="preserve">tabilisation efforts are led by the </w:t>
      </w:r>
      <w:proofErr w:type="spellStart"/>
      <w:r w:rsidR="006B2FC8" w:rsidRPr="00BD1C03">
        <w:t>GoI</w:t>
      </w:r>
      <w:proofErr w:type="spellEnd"/>
      <w:r w:rsidR="006B2FC8" w:rsidRPr="00BD1C03">
        <w:t xml:space="preserve">, with </w:t>
      </w:r>
      <w:r w:rsidR="00727A79" w:rsidRPr="00BD1C03">
        <w:t xml:space="preserve">the </w:t>
      </w:r>
      <w:r w:rsidR="006B2FC8" w:rsidRPr="00BD1C03">
        <w:t xml:space="preserve">UNDP-FFS having been set up to work in the name of and in partnership with the </w:t>
      </w:r>
      <w:proofErr w:type="spellStart"/>
      <w:r w:rsidR="006B2FC8" w:rsidRPr="00BD1C03">
        <w:t>GoI</w:t>
      </w:r>
      <w:proofErr w:type="spellEnd"/>
      <w:r w:rsidR="006B2FC8" w:rsidRPr="00BD1C03">
        <w:t xml:space="preserve">. However, instability, churn of government staff, capacity issues and concerns in relation to corruption have contributed to a context where </w:t>
      </w:r>
      <w:r w:rsidR="00727A79" w:rsidRPr="00BD1C03">
        <w:t xml:space="preserve">the </w:t>
      </w:r>
      <w:r w:rsidR="006B2FC8" w:rsidRPr="00BD1C03">
        <w:t xml:space="preserve">UNDP-FFS needed to take more responsibility for delivery of projects than was originally intended. </w:t>
      </w:r>
      <w:r w:rsidR="00354663" w:rsidRPr="00BD1C03">
        <w:t xml:space="preserve">An implication of this </w:t>
      </w:r>
      <w:r w:rsidR="006B2FC8" w:rsidRPr="00BD1C03">
        <w:t xml:space="preserve">shift in balance is </w:t>
      </w:r>
      <w:r w:rsidR="00354663" w:rsidRPr="00BD1C03">
        <w:t xml:space="preserve">that </w:t>
      </w:r>
      <w:r w:rsidR="006B2FC8" w:rsidRPr="00BD1C03">
        <w:t xml:space="preserve">it detracts from government </w:t>
      </w:r>
      <w:r w:rsidRPr="00BD1C03">
        <w:t xml:space="preserve">leadership and </w:t>
      </w:r>
      <w:r w:rsidR="006B2FC8" w:rsidRPr="00BD1C03">
        <w:t>ownership</w:t>
      </w:r>
      <w:r w:rsidRPr="00BD1C03">
        <w:t>.</w:t>
      </w:r>
    </w:p>
    <w:p w14:paraId="745921FC" w14:textId="4C399D63" w:rsidR="00413A82" w:rsidRPr="00BD1C03" w:rsidRDefault="007D48F9" w:rsidP="0008435D">
      <w:r w:rsidRPr="00BD1C03">
        <w:t>Australian support to UNMAS made a critical contribution to stabilisation efforts with a REACH/CCM Cluster intentions survey</w:t>
      </w:r>
      <w:r w:rsidR="00727A79" w:rsidRPr="00BD1C03">
        <w:t xml:space="preserve"> (2017)</w:t>
      </w:r>
      <w:r w:rsidRPr="00BD1C03">
        <w:t xml:space="preserve"> reporting 21 </w:t>
      </w:r>
      <w:r w:rsidR="00495DB3">
        <w:t>percent</w:t>
      </w:r>
      <w:r w:rsidRPr="00BD1C03">
        <w:t xml:space="preserve"> of IDPs were not willing to return home primarily due to concerns related t</w:t>
      </w:r>
      <w:r w:rsidR="000030EF">
        <w:t xml:space="preserve">o explosive hazards and </w:t>
      </w:r>
      <w:r w:rsidR="002328F2">
        <w:t>improvised</w:t>
      </w:r>
      <w:r w:rsidRPr="00BD1C03">
        <w:t xml:space="preserve"> explosive devices.</w:t>
      </w:r>
      <w:r w:rsidRPr="00BD1C03">
        <w:rPr>
          <w:rStyle w:val="EndnoteReference"/>
          <w:rFonts w:ascii="Calibri Light" w:hAnsi="Calibri Light" w:cs="Calibri Light"/>
        </w:rPr>
        <w:endnoteReference w:id="41"/>
      </w:r>
      <w:r w:rsidRPr="00BD1C03">
        <w:t xml:space="preserve"> Support </w:t>
      </w:r>
      <w:r w:rsidR="00B22BC5" w:rsidRPr="00BD1C03">
        <w:t>for</w:t>
      </w:r>
      <w:r w:rsidRPr="00BD1C03">
        <w:t xml:space="preserve"> mine clearance </w:t>
      </w:r>
      <w:r w:rsidR="00067B37" w:rsidRPr="00BD1C03">
        <w:t>was therefore viewed as</w:t>
      </w:r>
      <w:r w:rsidRPr="00BD1C03">
        <w:t xml:space="preserve"> </w:t>
      </w:r>
      <w:r w:rsidR="00B22BC5" w:rsidRPr="00BD1C03">
        <w:t xml:space="preserve">a necessary </w:t>
      </w:r>
      <w:r w:rsidRPr="00BD1C03">
        <w:t>precondition to stabili</w:t>
      </w:r>
      <w:r w:rsidR="00EA019E" w:rsidRPr="00BD1C03">
        <w:t>s</w:t>
      </w:r>
      <w:r w:rsidRPr="00BD1C03">
        <w:t xml:space="preserve">ation, </w:t>
      </w:r>
      <w:r w:rsidR="00A62682" w:rsidRPr="00BD1C03">
        <w:t xml:space="preserve">to </w:t>
      </w:r>
      <w:r w:rsidRPr="00BD1C03">
        <w:t>enabl</w:t>
      </w:r>
      <w:r w:rsidR="00B22BC5" w:rsidRPr="00BD1C03">
        <w:t>e</w:t>
      </w:r>
      <w:r w:rsidRPr="00BD1C03">
        <w:t xml:space="preserve"> safe returns and facilitat</w:t>
      </w:r>
      <w:r w:rsidR="00B22BC5" w:rsidRPr="00BD1C03">
        <w:t xml:space="preserve">e </w:t>
      </w:r>
      <w:r w:rsidRPr="00BD1C03">
        <w:t>the work of</w:t>
      </w:r>
      <w:r w:rsidR="00B22BC5" w:rsidRPr="00BD1C03">
        <w:t xml:space="preserve"> the </w:t>
      </w:r>
      <w:r w:rsidRPr="00BD1C03">
        <w:t>FFS.</w:t>
      </w:r>
    </w:p>
    <w:p w14:paraId="623DA546" w14:textId="60FB7247" w:rsidR="00945DDE" w:rsidRPr="00BD1C03" w:rsidRDefault="00945DDE" w:rsidP="00510434">
      <w:pPr>
        <w:spacing w:after="0"/>
      </w:pPr>
      <w:r w:rsidRPr="00BD1C03">
        <w:t>The table below demonstrate</w:t>
      </w:r>
      <w:r w:rsidR="00E80563" w:rsidRPr="00BD1C03">
        <w:t xml:space="preserve">s close geographic alignment of </w:t>
      </w:r>
      <w:r w:rsidRPr="00BD1C03">
        <w:t>DFAT</w:t>
      </w:r>
      <w:r w:rsidR="00E80563" w:rsidRPr="00BD1C03">
        <w:t xml:space="preserve"> investment</w:t>
      </w:r>
      <w:r w:rsidR="00853DC1" w:rsidRPr="00BD1C03">
        <w:t>s</w:t>
      </w:r>
      <w:r w:rsidRPr="00BD1C03">
        <w:t xml:space="preserve"> </w:t>
      </w:r>
      <w:r w:rsidR="00E80563" w:rsidRPr="00BD1C03">
        <w:t xml:space="preserve">with both the scale and anticipated flow of </w:t>
      </w:r>
      <w:r w:rsidR="00997E0D" w:rsidRPr="00BD1C03">
        <w:t xml:space="preserve">IDP </w:t>
      </w:r>
      <w:r w:rsidR="00E80563" w:rsidRPr="00BD1C03">
        <w:t>returns i</w:t>
      </w:r>
      <w:r w:rsidRPr="00BD1C03">
        <w:t>n April 2018 (the time of contract signing between DFAT and UNDP)</w:t>
      </w:r>
      <w:r w:rsidR="00E80563" w:rsidRPr="00BD1C03">
        <w:t xml:space="preserve">. At that time, </w:t>
      </w:r>
      <w:r w:rsidRPr="00BD1C03">
        <w:t xml:space="preserve">UNDP </w:t>
      </w:r>
      <w:r w:rsidR="00727A79" w:rsidRPr="00BD1C03">
        <w:t>briefed</w:t>
      </w:r>
      <w:r w:rsidRPr="00BD1C03">
        <w:t xml:space="preserve"> donors that 2.1 million people </w:t>
      </w:r>
      <w:r w:rsidR="00727A79" w:rsidRPr="00BD1C03">
        <w:t xml:space="preserve">remained </w:t>
      </w:r>
      <w:r w:rsidR="00E62470" w:rsidRPr="00BD1C03">
        <w:t>displaced,</w:t>
      </w:r>
      <w:r w:rsidRPr="00BD1C03">
        <w:t xml:space="preserve"> breaking down numbers by governorate. In March 2020, UNDP FFS reported to DFAT that its support had funded a total of 58 projects, distributed as follows:</w:t>
      </w:r>
    </w:p>
    <w:p w14:paraId="54844449" w14:textId="63764CED" w:rsidR="008877A5" w:rsidRPr="001D2CE7" w:rsidRDefault="008877A5" w:rsidP="001D2CE7">
      <w:pPr>
        <w:pStyle w:val="Enfasi"/>
      </w:pPr>
      <w:r w:rsidRPr="001D2CE7">
        <w:t xml:space="preserve">Tab. 2: </w:t>
      </w:r>
      <w:r w:rsidR="00404C07" w:rsidRPr="001D2CE7">
        <w:t>Investments</w:t>
      </w:r>
    </w:p>
    <w:tbl>
      <w:tblPr>
        <w:tblStyle w:val="GridTable1Light-Accent31"/>
        <w:tblW w:w="0" w:type="auto"/>
        <w:tblLook w:val="04A0" w:firstRow="1" w:lastRow="0" w:firstColumn="1" w:lastColumn="0" w:noHBand="0" w:noVBand="1"/>
      </w:tblPr>
      <w:tblGrid>
        <w:gridCol w:w="1892"/>
        <w:gridCol w:w="1543"/>
        <w:gridCol w:w="1585"/>
        <w:gridCol w:w="1646"/>
        <w:gridCol w:w="1624"/>
      </w:tblGrid>
      <w:tr w:rsidR="00CD4471" w:rsidRPr="00BD1C03" w14:paraId="3E40EE3A" w14:textId="77777777" w:rsidTr="00204E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bottom w:val="single" w:sz="4" w:space="0" w:color="4F6228" w:themeColor="accent3" w:themeShade="80"/>
            </w:tcBorders>
          </w:tcPr>
          <w:p w14:paraId="71FA6124" w14:textId="77777777" w:rsidR="00945DDE" w:rsidRPr="001D2CE7" w:rsidRDefault="00945DDE" w:rsidP="00510434">
            <w:pPr>
              <w:spacing w:before="120" w:after="120"/>
              <w:rPr>
                <w:rFonts w:cs="Calibri"/>
                <w:bCs w:val="0"/>
                <w:iCs/>
                <w:color w:val="000000" w:themeColor="text1"/>
                <w:sz w:val="24"/>
                <w:szCs w:val="32"/>
              </w:rPr>
            </w:pPr>
            <w:r w:rsidRPr="001D2CE7">
              <w:rPr>
                <w:rFonts w:cs="Calibri"/>
                <w:bCs w:val="0"/>
                <w:iCs/>
                <w:color w:val="000000" w:themeColor="text1"/>
                <w:sz w:val="24"/>
                <w:szCs w:val="32"/>
              </w:rPr>
              <w:t>Governorate</w:t>
            </w:r>
          </w:p>
        </w:tc>
        <w:tc>
          <w:tcPr>
            <w:tcW w:w="1610" w:type="dxa"/>
            <w:tcBorders>
              <w:bottom w:val="single" w:sz="4" w:space="0" w:color="4F6228" w:themeColor="accent3" w:themeShade="80"/>
            </w:tcBorders>
          </w:tcPr>
          <w:p w14:paraId="2D6DA5CE" w14:textId="56843075" w:rsidR="00945DDE" w:rsidRPr="001D2CE7" w:rsidRDefault="00214E8A" w:rsidP="00510434">
            <w:pPr>
              <w:spacing w:before="120" w:after="120"/>
              <w:cnfStyle w:val="100000000000" w:firstRow="1" w:lastRow="0" w:firstColumn="0" w:lastColumn="0" w:oddVBand="0" w:evenVBand="0" w:oddHBand="0" w:evenHBand="0" w:firstRowFirstColumn="0" w:firstRowLastColumn="0" w:lastRowFirstColumn="0" w:lastRowLastColumn="0"/>
              <w:rPr>
                <w:rFonts w:cs="Calibri"/>
                <w:bCs w:val="0"/>
                <w:iCs/>
                <w:color w:val="000000" w:themeColor="text1"/>
                <w:sz w:val="24"/>
                <w:szCs w:val="32"/>
              </w:rPr>
            </w:pPr>
            <w:r w:rsidRPr="001D2CE7">
              <w:rPr>
                <w:rFonts w:cs="Calibri"/>
                <w:bCs w:val="0"/>
                <w:iCs/>
                <w:color w:val="000000" w:themeColor="text1"/>
                <w:sz w:val="24"/>
                <w:szCs w:val="32"/>
              </w:rPr>
              <w:t xml:space="preserve">IDPs as of </w:t>
            </w:r>
            <w:r w:rsidR="00945DDE" w:rsidRPr="001D2CE7">
              <w:rPr>
                <w:rFonts w:cs="Calibri"/>
                <w:bCs w:val="0"/>
                <w:iCs/>
                <w:color w:val="000000" w:themeColor="text1"/>
                <w:sz w:val="24"/>
                <w:szCs w:val="32"/>
              </w:rPr>
              <w:t>April 2018</w:t>
            </w:r>
            <w:r w:rsidR="00B61BBC" w:rsidRPr="001D2CE7">
              <w:rPr>
                <w:rStyle w:val="EndnoteReference"/>
                <w:rFonts w:cs="Calibri"/>
                <w:bCs w:val="0"/>
                <w:iCs/>
                <w:color w:val="000000" w:themeColor="text1"/>
                <w:sz w:val="24"/>
                <w:szCs w:val="32"/>
              </w:rPr>
              <w:endnoteReference w:id="42"/>
            </w:r>
          </w:p>
        </w:tc>
        <w:tc>
          <w:tcPr>
            <w:tcW w:w="1651" w:type="dxa"/>
            <w:tcBorders>
              <w:bottom w:val="single" w:sz="4" w:space="0" w:color="4F6228" w:themeColor="accent3" w:themeShade="80"/>
            </w:tcBorders>
          </w:tcPr>
          <w:p w14:paraId="627E8FE6" w14:textId="77777777" w:rsidR="00945DDE" w:rsidRPr="001D2CE7" w:rsidRDefault="00945DDE" w:rsidP="00510434">
            <w:pPr>
              <w:spacing w:before="120" w:after="120"/>
              <w:cnfStyle w:val="100000000000" w:firstRow="1" w:lastRow="0" w:firstColumn="0" w:lastColumn="0" w:oddVBand="0" w:evenVBand="0" w:oddHBand="0" w:evenHBand="0" w:firstRowFirstColumn="0" w:firstRowLastColumn="0" w:lastRowFirstColumn="0" w:lastRowLastColumn="0"/>
              <w:rPr>
                <w:rFonts w:cs="Calibri"/>
                <w:bCs w:val="0"/>
                <w:iCs/>
                <w:color w:val="000000" w:themeColor="text1"/>
                <w:sz w:val="24"/>
                <w:szCs w:val="32"/>
              </w:rPr>
            </w:pPr>
            <w:r w:rsidRPr="001D2CE7">
              <w:rPr>
                <w:rFonts w:cs="Calibri"/>
                <w:bCs w:val="0"/>
                <w:iCs/>
                <w:color w:val="000000" w:themeColor="text1"/>
                <w:sz w:val="24"/>
                <w:szCs w:val="32"/>
              </w:rPr>
              <w:t>% of total, April 2018 displaced</w:t>
            </w:r>
          </w:p>
        </w:tc>
        <w:tc>
          <w:tcPr>
            <w:tcW w:w="1652" w:type="dxa"/>
            <w:tcBorders>
              <w:bottom w:val="single" w:sz="4" w:space="0" w:color="4F6228" w:themeColor="accent3" w:themeShade="80"/>
            </w:tcBorders>
          </w:tcPr>
          <w:p w14:paraId="2C635002" w14:textId="76187617" w:rsidR="00945DDE" w:rsidRPr="001D2CE7" w:rsidRDefault="00CD4471" w:rsidP="00510434">
            <w:pPr>
              <w:spacing w:before="120" w:after="120"/>
              <w:cnfStyle w:val="100000000000" w:firstRow="1" w:lastRow="0" w:firstColumn="0" w:lastColumn="0" w:oddVBand="0" w:evenVBand="0" w:oddHBand="0" w:evenHBand="0" w:firstRowFirstColumn="0" w:firstRowLastColumn="0" w:lastRowFirstColumn="0" w:lastRowLastColumn="0"/>
              <w:rPr>
                <w:rFonts w:cs="Calibri"/>
                <w:bCs w:val="0"/>
                <w:iCs/>
                <w:color w:val="000000" w:themeColor="text1"/>
                <w:sz w:val="24"/>
                <w:szCs w:val="32"/>
              </w:rPr>
            </w:pPr>
            <w:r w:rsidRPr="001D2CE7">
              <w:rPr>
                <w:rFonts w:cs="Calibri"/>
                <w:bCs w:val="0"/>
                <w:iCs/>
                <w:color w:val="000000" w:themeColor="text1"/>
                <w:sz w:val="24"/>
                <w:szCs w:val="32"/>
              </w:rPr>
              <w:t xml:space="preserve">DFAT </w:t>
            </w:r>
            <w:r w:rsidR="00945DDE" w:rsidRPr="001D2CE7">
              <w:rPr>
                <w:rFonts w:cs="Calibri"/>
                <w:bCs w:val="0"/>
                <w:iCs/>
                <w:color w:val="000000" w:themeColor="text1"/>
                <w:sz w:val="24"/>
                <w:szCs w:val="32"/>
              </w:rPr>
              <w:t>supported projects by governorate</w:t>
            </w:r>
            <w:r w:rsidR="00B61BBC" w:rsidRPr="001D2CE7">
              <w:rPr>
                <w:rStyle w:val="EndnoteReference"/>
                <w:rFonts w:cs="Calibri"/>
                <w:bCs w:val="0"/>
                <w:iCs/>
                <w:color w:val="000000" w:themeColor="text1"/>
                <w:sz w:val="24"/>
                <w:szCs w:val="32"/>
              </w:rPr>
              <w:endnoteReference w:id="43"/>
            </w:r>
          </w:p>
        </w:tc>
        <w:tc>
          <w:tcPr>
            <w:tcW w:w="1652" w:type="dxa"/>
            <w:tcBorders>
              <w:bottom w:val="single" w:sz="4" w:space="0" w:color="4F6228" w:themeColor="accent3" w:themeShade="80"/>
            </w:tcBorders>
          </w:tcPr>
          <w:p w14:paraId="79013451" w14:textId="77777777" w:rsidR="00945DDE" w:rsidRPr="001D2CE7" w:rsidRDefault="00945DDE" w:rsidP="00510434">
            <w:pPr>
              <w:spacing w:before="120" w:after="120"/>
              <w:cnfStyle w:val="100000000000" w:firstRow="1" w:lastRow="0" w:firstColumn="0" w:lastColumn="0" w:oddVBand="0" w:evenVBand="0" w:oddHBand="0" w:evenHBand="0" w:firstRowFirstColumn="0" w:firstRowLastColumn="0" w:lastRowFirstColumn="0" w:lastRowLastColumn="0"/>
              <w:rPr>
                <w:rFonts w:cs="Calibri"/>
                <w:bCs w:val="0"/>
                <w:iCs/>
                <w:color w:val="000000" w:themeColor="text1"/>
                <w:sz w:val="24"/>
                <w:szCs w:val="32"/>
              </w:rPr>
            </w:pPr>
            <w:r w:rsidRPr="001D2CE7">
              <w:rPr>
                <w:rFonts w:cs="Calibri"/>
                <w:bCs w:val="0"/>
                <w:iCs/>
                <w:color w:val="000000" w:themeColor="text1"/>
                <w:sz w:val="24"/>
                <w:szCs w:val="32"/>
              </w:rPr>
              <w:t>DFAT project allocation by governorate</w:t>
            </w:r>
          </w:p>
        </w:tc>
      </w:tr>
      <w:tr w:rsidR="00945DDE" w:rsidRPr="00BD1C03" w14:paraId="5C8A229B" w14:textId="77777777" w:rsidTr="0038210E">
        <w:tc>
          <w:tcPr>
            <w:cnfStyle w:val="001000000000" w:firstRow="0" w:lastRow="0" w:firstColumn="1" w:lastColumn="0" w:oddVBand="0" w:evenVBand="0" w:oddHBand="0" w:evenHBand="0" w:firstRowFirstColumn="0" w:firstRowLastColumn="0" w:lastRowFirstColumn="0" w:lastRowLastColumn="0"/>
            <w:tcW w:w="1951" w:type="dxa"/>
          </w:tcPr>
          <w:p w14:paraId="5C000900" w14:textId="77777777" w:rsidR="00945DDE" w:rsidRPr="0038210E" w:rsidRDefault="00945DDE" w:rsidP="00510434">
            <w:pPr>
              <w:spacing w:before="120" w:after="120"/>
              <w:rPr>
                <w:rFonts w:asciiTheme="majorHAnsi" w:hAnsiTheme="majorHAnsi" w:cstheme="majorHAnsi"/>
                <w:iCs/>
                <w:color w:val="4F6228" w:themeColor="accent3" w:themeShade="80"/>
              </w:rPr>
            </w:pPr>
            <w:r w:rsidRPr="0038210E">
              <w:rPr>
                <w:rFonts w:asciiTheme="majorHAnsi" w:hAnsiTheme="majorHAnsi" w:cstheme="majorHAnsi"/>
                <w:iCs/>
                <w:color w:val="4F6228" w:themeColor="accent3" w:themeShade="80"/>
              </w:rPr>
              <w:t>Ninewa</w:t>
            </w:r>
          </w:p>
        </w:tc>
        <w:tc>
          <w:tcPr>
            <w:tcW w:w="1610" w:type="dxa"/>
          </w:tcPr>
          <w:p w14:paraId="08662E5A" w14:textId="77777777" w:rsidR="00945DDE" w:rsidRPr="00BD1C03" w:rsidRDefault="00945DDE" w:rsidP="00E52F5D">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sidRPr="00BD1C03">
              <w:rPr>
                <w:rFonts w:asciiTheme="majorHAnsi" w:hAnsiTheme="majorHAnsi" w:cstheme="majorHAnsi"/>
                <w:iCs/>
              </w:rPr>
              <w:t>1,230,000</w:t>
            </w:r>
          </w:p>
        </w:tc>
        <w:tc>
          <w:tcPr>
            <w:tcW w:w="1651" w:type="dxa"/>
          </w:tcPr>
          <w:p w14:paraId="530CF502" w14:textId="77777777" w:rsidR="00945DDE" w:rsidRPr="00BD1C03" w:rsidRDefault="00945DDE" w:rsidP="00E52F5D">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sidRPr="00BD1C03">
              <w:rPr>
                <w:rFonts w:asciiTheme="majorHAnsi" w:hAnsiTheme="majorHAnsi" w:cstheme="majorHAnsi"/>
                <w:iCs/>
              </w:rPr>
              <w:t>61.5%</w:t>
            </w:r>
          </w:p>
        </w:tc>
        <w:tc>
          <w:tcPr>
            <w:tcW w:w="1652" w:type="dxa"/>
          </w:tcPr>
          <w:p w14:paraId="33201E0D" w14:textId="77777777" w:rsidR="00945DDE" w:rsidRPr="00BD1C03" w:rsidRDefault="00945DDE" w:rsidP="00E52F5D">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sidRPr="00BD1C03">
              <w:rPr>
                <w:rFonts w:asciiTheme="majorHAnsi" w:hAnsiTheme="majorHAnsi" w:cstheme="majorHAnsi"/>
                <w:iCs/>
              </w:rPr>
              <w:t>41</w:t>
            </w:r>
          </w:p>
        </w:tc>
        <w:tc>
          <w:tcPr>
            <w:tcW w:w="1652" w:type="dxa"/>
          </w:tcPr>
          <w:p w14:paraId="722DA7C5" w14:textId="77777777" w:rsidR="00945DDE" w:rsidRPr="00BD1C03" w:rsidRDefault="00945DDE" w:rsidP="00E52F5D">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sidRPr="00BD1C03">
              <w:rPr>
                <w:rFonts w:asciiTheme="majorHAnsi" w:hAnsiTheme="majorHAnsi" w:cstheme="majorHAnsi"/>
                <w:iCs/>
              </w:rPr>
              <w:t>70.7%</w:t>
            </w:r>
          </w:p>
        </w:tc>
      </w:tr>
      <w:tr w:rsidR="00945DDE" w:rsidRPr="00BD1C03" w14:paraId="01C5841C" w14:textId="77777777" w:rsidTr="0038210E">
        <w:tc>
          <w:tcPr>
            <w:cnfStyle w:val="001000000000" w:firstRow="0" w:lastRow="0" w:firstColumn="1" w:lastColumn="0" w:oddVBand="0" w:evenVBand="0" w:oddHBand="0" w:evenHBand="0" w:firstRowFirstColumn="0" w:firstRowLastColumn="0" w:lastRowFirstColumn="0" w:lastRowLastColumn="0"/>
            <w:tcW w:w="1951" w:type="dxa"/>
          </w:tcPr>
          <w:p w14:paraId="3A5E7FD5" w14:textId="77777777" w:rsidR="00945DDE" w:rsidRPr="0038210E" w:rsidRDefault="00945DDE" w:rsidP="00510434">
            <w:pPr>
              <w:spacing w:before="120" w:after="120"/>
              <w:rPr>
                <w:rFonts w:asciiTheme="majorHAnsi" w:hAnsiTheme="majorHAnsi" w:cstheme="majorHAnsi"/>
                <w:iCs/>
                <w:color w:val="4F6228" w:themeColor="accent3" w:themeShade="80"/>
              </w:rPr>
            </w:pPr>
            <w:r w:rsidRPr="0038210E">
              <w:rPr>
                <w:rFonts w:asciiTheme="majorHAnsi" w:hAnsiTheme="majorHAnsi" w:cstheme="majorHAnsi"/>
                <w:iCs/>
                <w:color w:val="4F6228" w:themeColor="accent3" w:themeShade="80"/>
              </w:rPr>
              <w:t>Anbar</w:t>
            </w:r>
          </w:p>
        </w:tc>
        <w:tc>
          <w:tcPr>
            <w:tcW w:w="1610" w:type="dxa"/>
          </w:tcPr>
          <w:p w14:paraId="565ADAF4" w14:textId="77777777" w:rsidR="00945DDE" w:rsidRPr="00BD1C03" w:rsidRDefault="00945DDE" w:rsidP="00E52F5D">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sidRPr="00BD1C03">
              <w:rPr>
                <w:rFonts w:asciiTheme="majorHAnsi" w:hAnsiTheme="majorHAnsi" w:cstheme="majorHAnsi"/>
                <w:iCs/>
              </w:rPr>
              <w:t>286,00</w:t>
            </w:r>
          </w:p>
        </w:tc>
        <w:tc>
          <w:tcPr>
            <w:tcW w:w="1651" w:type="dxa"/>
          </w:tcPr>
          <w:p w14:paraId="768EB4E7" w14:textId="77777777" w:rsidR="00945DDE" w:rsidRPr="00BD1C03" w:rsidRDefault="00945DDE" w:rsidP="00E52F5D">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sidRPr="00BD1C03">
              <w:rPr>
                <w:rFonts w:asciiTheme="majorHAnsi" w:hAnsiTheme="majorHAnsi" w:cstheme="majorHAnsi"/>
                <w:iCs/>
              </w:rPr>
              <w:t>14.3%</w:t>
            </w:r>
          </w:p>
        </w:tc>
        <w:tc>
          <w:tcPr>
            <w:tcW w:w="1652" w:type="dxa"/>
          </w:tcPr>
          <w:p w14:paraId="5BBF0232" w14:textId="77777777" w:rsidR="00945DDE" w:rsidRPr="00BD1C03" w:rsidRDefault="00945DDE" w:rsidP="00E52F5D">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sidRPr="00BD1C03">
              <w:rPr>
                <w:rFonts w:asciiTheme="majorHAnsi" w:hAnsiTheme="majorHAnsi" w:cstheme="majorHAnsi"/>
                <w:iCs/>
              </w:rPr>
              <w:t>4</w:t>
            </w:r>
          </w:p>
        </w:tc>
        <w:tc>
          <w:tcPr>
            <w:tcW w:w="1652" w:type="dxa"/>
          </w:tcPr>
          <w:p w14:paraId="49C410CE" w14:textId="77777777" w:rsidR="00945DDE" w:rsidRPr="00BD1C03" w:rsidRDefault="00945DDE" w:rsidP="00E52F5D">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sidRPr="00BD1C03">
              <w:rPr>
                <w:rFonts w:asciiTheme="majorHAnsi" w:hAnsiTheme="majorHAnsi" w:cstheme="majorHAnsi"/>
                <w:iCs/>
              </w:rPr>
              <w:t>6.9%</w:t>
            </w:r>
          </w:p>
        </w:tc>
      </w:tr>
      <w:tr w:rsidR="00945DDE" w:rsidRPr="00BD1C03" w14:paraId="559D55F7" w14:textId="77777777" w:rsidTr="0038210E">
        <w:tc>
          <w:tcPr>
            <w:cnfStyle w:val="001000000000" w:firstRow="0" w:lastRow="0" w:firstColumn="1" w:lastColumn="0" w:oddVBand="0" w:evenVBand="0" w:oddHBand="0" w:evenHBand="0" w:firstRowFirstColumn="0" w:firstRowLastColumn="0" w:lastRowFirstColumn="0" w:lastRowLastColumn="0"/>
            <w:tcW w:w="1951" w:type="dxa"/>
          </w:tcPr>
          <w:p w14:paraId="1169CE69" w14:textId="77777777" w:rsidR="00945DDE" w:rsidRPr="0038210E" w:rsidRDefault="00945DDE" w:rsidP="00510434">
            <w:pPr>
              <w:spacing w:before="120" w:after="120"/>
              <w:rPr>
                <w:rFonts w:asciiTheme="majorHAnsi" w:hAnsiTheme="majorHAnsi" w:cstheme="majorHAnsi"/>
                <w:iCs/>
                <w:color w:val="4F6228" w:themeColor="accent3" w:themeShade="80"/>
              </w:rPr>
            </w:pPr>
            <w:r w:rsidRPr="0038210E">
              <w:rPr>
                <w:rFonts w:asciiTheme="majorHAnsi" w:hAnsiTheme="majorHAnsi" w:cstheme="majorHAnsi"/>
                <w:iCs/>
                <w:color w:val="4F6228" w:themeColor="accent3" w:themeShade="80"/>
              </w:rPr>
              <w:t>Salah a Din</w:t>
            </w:r>
          </w:p>
        </w:tc>
        <w:tc>
          <w:tcPr>
            <w:tcW w:w="1610" w:type="dxa"/>
          </w:tcPr>
          <w:p w14:paraId="23205A61" w14:textId="77777777" w:rsidR="00945DDE" w:rsidRPr="00BD1C03" w:rsidRDefault="00945DDE" w:rsidP="00E52F5D">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sidRPr="00BD1C03">
              <w:rPr>
                <w:rFonts w:asciiTheme="majorHAnsi" w:hAnsiTheme="majorHAnsi" w:cstheme="majorHAnsi"/>
                <w:iCs/>
              </w:rPr>
              <w:t>285,00</w:t>
            </w:r>
          </w:p>
        </w:tc>
        <w:tc>
          <w:tcPr>
            <w:tcW w:w="1651" w:type="dxa"/>
          </w:tcPr>
          <w:p w14:paraId="2B38099D" w14:textId="77777777" w:rsidR="00945DDE" w:rsidRPr="00BD1C03" w:rsidRDefault="00945DDE" w:rsidP="00E52F5D">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sidRPr="00BD1C03">
              <w:rPr>
                <w:rFonts w:asciiTheme="majorHAnsi" w:hAnsiTheme="majorHAnsi" w:cstheme="majorHAnsi"/>
                <w:iCs/>
              </w:rPr>
              <w:t>14.25%</w:t>
            </w:r>
          </w:p>
        </w:tc>
        <w:tc>
          <w:tcPr>
            <w:tcW w:w="1652" w:type="dxa"/>
          </w:tcPr>
          <w:p w14:paraId="1FD5A5BA" w14:textId="77777777" w:rsidR="00945DDE" w:rsidRPr="00BD1C03" w:rsidRDefault="00945DDE" w:rsidP="00E52F5D">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sidRPr="00BD1C03">
              <w:rPr>
                <w:rFonts w:asciiTheme="majorHAnsi" w:hAnsiTheme="majorHAnsi" w:cstheme="majorHAnsi"/>
                <w:iCs/>
              </w:rPr>
              <w:t>11</w:t>
            </w:r>
          </w:p>
        </w:tc>
        <w:tc>
          <w:tcPr>
            <w:tcW w:w="1652" w:type="dxa"/>
          </w:tcPr>
          <w:p w14:paraId="6243944E" w14:textId="77777777" w:rsidR="00945DDE" w:rsidRPr="00BD1C03" w:rsidRDefault="00945DDE" w:rsidP="00E52F5D">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sidRPr="00BD1C03">
              <w:rPr>
                <w:rFonts w:asciiTheme="majorHAnsi" w:hAnsiTheme="majorHAnsi" w:cstheme="majorHAnsi"/>
                <w:iCs/>
              </w:rPr>
              <w:t>19.0%</w:t>
            </w:r>
          </w:p>
        </w:tc>
      </w:tr>
      <w:tr w:rsidR="00945DDE" w:rsidRPr="00BD1C03" w14:paraId="51834AB4" w14:textId="77777777" w:rsidTr="0038210E">
        <w:tc>
          <w:tcPr>
            <w:cnfStyle w:val="001000000000" w:firstRow="0" w:lastRow="0" w:firstColumn="1" w:lastColumn="0" w:oddVBand="0" w:evenVBand="0" w:oddHBand="0" w:evenHBand="0" w:firstRowFirstColumn="0" w:firstRowLastColumn="0" w:lastRowFirstColumn="0" w:lastRowLastColumn="0"/>
            <w:tcW w:w="1951" w:type="dxa"/>
          </w:tcPr>
          <w:p w14:paraId="0FF7D893" w14:textId="77777777" w:rsidR="00945DDE" w:rsidRPr="0038210E" w:rsidRDefault="00945DDE" w:rsidP="00510434">
            <w:pPr>
              <w:spacing w:before="120" w:after="120"/>
              <w:rPr>
                <w:rFonts w:asciiTheme="majorHAnsi" w:hAnsiTheme="majorHAnsi" w:cstheme="majorHAnsi"/>
                <w:iCs/>
                <w:color w:val="4F6228" w:themeColor="accent3" w:themeShade="80"/>
              </w:rPr>
            </w:pPr>
            <w:r w:rsidRPr="0038210E">
              <w:rPr>
                <w:rFonts w:asciiTheme="majorHAnsi" w:hAnsiTheme="majorHAnsi" w:cstheme="majorHAnsi"/>
                <w:iCs/>
                <w:color w:val="4F6228" w:themeColor="accent3" w:themeShade="80"/>
              </w:rPr>
              <w:t>Kirkuk</w:t>
            </w:r>
          </w:p>
        </w:tc>
        <w:tc>
          <w:tcPr>
            <w:tcW w:w="1610" w:type="dxa"/>
          </w:tcPr>
          <w:p w14:paraId="323C2BD6" w14:textId="77777777" w:rsidR="00945DDE" w:rsidRPr="00BD1C03" w:rsidRDefault="00945DDE" w:rsidP="00E52F5D">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sidRPr="00BD1C03">
              <w:rPr>
                <w:rFonts w:asciiTheme="majorHAnsi" w:hAnsiTheme="majorHAnsi" w:cstheme="majorHAnsi"/>
                <w:iCs/>
              </w:rPr>
              <w:t>176,000</w:t>
            </w:r>
          </w:p>
        </w:tc>
        <w:tc>
          <w:tcPr>
            <w:tcW w:w="1651" w:type="dxa"/>
          </w:tcPr>
          <w:p w14:paraId="496A7F91" w14:textId="77777777" w:rsidR="00945DDE" w:rsidRPr="00BD1C03" w:rsidRDefault="00945DDE" w:rsidP="00E52F5D">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sidRPr="00BD1C03">
              <w:rPr>
                <w:rFonts w:asciiTheme="majorHAnsi" w:hAnsiTheme="majorHAnsi" w:cstheme="majorHAnsi"/>
                <w:iCs/>
              </w:rPr>
              <w:t>8.8%</w:t>
            </w:r>
          </w:p>
        </w:tc>
        <w:tc>
          <w:tcPr>
            <w:tcW w:w="1652" w:type="dxa"/>
          </w:tcPr>
          <w:p w14:paraId="15ACBAD1" w14:textId="77777777" w:rsidR="00945DDE" w:rsidRPr="00BD1C03" w:rsidRDefault="00945DDE" w:rsidP="00E52F5D">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sidRPr="00BD1C03">
              <w:rPr>
                <w:rFonts w:asciiTheme="majorHAnsi" w:hAnsiTheme="majorHAnsi" w:cstheme="majorHAnsi"/>
                <w:iCs/>
              </w:rPr>
              <w:t>2</w:t>
            </w:r>
          </w:p>
        </w:tc>
        <w:tc>
          <w:tcPr>
            <w:tcW w:w="1652" w:type="dxa"/>
          </w:tcPr>
          <w:p w14:paraId="1E878EF0" w14:textId="77777777" w:rsidR="00945DDE" w:rsidRPr="00BD1C03" w:rsidRDefault="00945DDE" w:rsidP="00E52F5D">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rPr>
            </w:pPr>
            <w:r w:rsidRPr="00BD1C03">
              <w:rPr>
                <w:rFonts w:asciiTheme="majorHAnsi" w:hAnsiTheme="majorHAnsi" w:cstheme="majorHAnsi"/>
                <w:iCs/>
              </w:rPr>
              <w:t>3.4%</w:t>
            </w:r>
          </w:p>
        </w:tc>
      </w:tr>
      <w:tr w:rsidR="00D14F0C" w:rsidRPr="00BD1C03" w14:paraId="435FED6A" w14:textId="77777777" w:rsidTr="0038210E">
        <w:tc>
          <w:tcPr>
            <w:cnfStyle w:val="001000000000" w:firstRow="0" w:lastRow="0" w:firstColumn="1" w:lastColumn="0" w:oddVBand="0" w:evenVBand="0" w:oddHBand="0" w:evenHBand="0" w:firstRowFirstColumn="0" w:firstRowLastColumn="0" w:lastRowFirstColumn="0" w:lastRowLastColumn="0"/>
            <w:tcW w:w="1951" w:type="dxa"/>
          </w:tcPr>
          <w:p w14:paraId="34D5BA1A" w14:textId="77777777" w:rsidR="00945DDE" w:rsidRPr="0038210E" w:rsidRDefault="00945DDE" w:rsidP="00510434">
            <w:pPr>
              <w:spacing w:before="120" w:after="120"/>
              <w:rPr>
                <w:rFonts w:asciiTheme="majorHAnsi" w:hAnsiTheme="majorHAnsi" w:cstheme="majorHAnsi"/>
                <w:bCs w:val="0"/>
                <w:iCs/>
                <w:color w:val="000000" w:themeColor="text1"/>
              </w:rPr>
            </w:pPr>
            <w:r w:rsidRPr="0038210E">
              <w:rPr>
                <w:rFonts w:asciiTheme="majorHAnsi" w:hAnsiTheme="majorHAnsi" w:cstheme="majorHAnsi"/>
                <w:bCs w:val="0"/>
                <w:iCs/>
                <w:color w:val="000000" w:themeColor="text1"/>
              </w:rPr>
              <w:t>Total (all governorates)</w:t>
            </w:r>
          </w:p>
        </w:tc>
        <w:tc>
          <w:tcPr>
            <w:tcW w:w="1610" w:type="dxa"/>
          </w:tcPr>
          <w:p w14:paraId="065141B4" w14:textId="77777777" w:rsidR="00945DDE" w:rsidRPr="0038210E" w:rsidRDefault="00945DDE" w:rsidP="00E52F5D">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iCs/>
                <w:color w:val="000000" w:themeColor="text1"/>
              </w:rPr>
            </w:pPr>
            <w:r w:rsidRPr="0038210E">
              <w:rPr>
                <w:rFonts w:asciiTheme="majorHAnsi" w:hAnsiTheme="majorHAnsi" w:cstheme="majorHAnsi"/>
                <w:b/>
                <w:iCs/>
                <w:color w:val="000000" w:themeColor="text1"/>
              </w:rPr>
              <w:t>2,000,000</w:t>
            </w:r>
          </w:p>
        </w:tc>
        <w:tc>
          <w:tcPr>
            <w:tcW w:w="1651" w:type="dxa"/>
          </w:tcPr>
          <w:p w14:paraId="76524A17" w14:textId="77777777" w:rsidR="00945DDE" w:rsidRPr="0038210E" w:rsidRDefault="00945DDE" w:rsidP="00E52F5D">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iCs/>
                <w:color w:val="000000" w:themeColor="text1"/>
              </w:rPr>
            </w:pPr>
            <w:r w:rsidRPr="0038210E">
              <w:rPr>
                <w:rFonts w:asciiTheme="majorHAnsi" w:hAnsiTheme="majorHAnsi" w:cstheme="majorHAnsi"/>
                <w:b/>
                <w:iCs/>
                <w:color w:val="000000" w:themeColor="text1"/>
              </w:rPr>
              <w:t>98.85%</w:t>
            </w:r>
          </w:p>
        </w:tc>
        <w:tc>
          <w:tcPr>
            <w:tcW w:w="1652" w:type="dxa"/>
          </w:tcPr>
          <w:p w14:paraId="4DF13AEF" w14:textId="77777777" w:rsidR="00945DDE" w:rsidRPr="0038210E" w:rsidRDefault="00945DDE" w:rsidP="00E52F5D">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iCs/>
                <w:color w:val="000000" w:themeColor="text1"/>
              </w:rPr>
            </w:pPr>
            <w:r w:rsidRPr="0038210E">
              <w:rPr>
                <w:rFonts w:asciiTheme="majorHAnsi" w:hAnsiTheme="majorHAnsi" w:cstheme="majorHAnsi"/>
                <w:b/>
                <w:iCs/>
                <w:color w:val="000000" w:themeColor="text1"/>
              </w:rPr>
              <w:t>58</w:t>
            </w:r>
          </w:p>
        </w:tc>
        <w:tc>
          <w:tcPr>
            <w:tcW w:w="1652" w:type="dxa"/>
          </w:tcPr>
          <w:p w14:paraId="3A6EAFED" w14:textId="77777777" w:rsidR="00945DDE" w:rsidRPr="0038210E" w:rsidRDefault="00945DDE" w:rsidP="00E52F5D">
            <w:pPr>
              <w:spacing w:before="12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iCs/>
                <w:color w:val="000000" w:themeColor="text1"/>
              </w:rPr>
            </w:pPr>
            <w:r w:rsidRPr="0038210E">
              <w:rPr>
                <w:rFonts w:asciiTheme="majorHAnsi" w:hAnsiTheme="majorHAnsi" w:cstheme="majorHAnsi"/>
                <w:b/>
                <w:iCs/>
                <w:color w:val="000000" w:themeColor="text1"/>
              </w:rPr>
              <w:t>100.0%</w:t>
            </w:r>
          </w:p>
        </w:tc>
      </w:tr>
    </w:tbl>
    <w:p w14:paraId="7CE204E6" w14:textId="77777777" w:rsidR="00DB7EE1" w:rsidRPr="00BD1C03" w:rsidRDefault="00DB7EE1" w:rsidP="0008435D">
      <w:pPr>
        <w:spacing w:after="0"/>
        <w:rPr>
          <w:iCs/>
        </w:rPr>
      </w:pPr>
    </w:p>
    <w:p w14:paraId="5223DEF0" w14:textId="16AE7454" w:rsidR="00945DDE" w:rsidRPr="00BD1C03" w:rsidRDefault="00945DDE" w:rsidP="0008435D">
      <w:r w:rsidRPr="00BD1C03">
        <w:t xml:space="preserve">The 58 supported projects </w:t>
      </w:r>
      <w:r w:rsidR="00727A79" w:rsidRPr="00BD1C03">
        <w:t xml:space="preserve">addressed </w:t>
      </w:r>
      <w:r w:rsidRPr="00BD1C03">
        <w:t xml:space="preserve">a broad range of infrastructure and service </w:t>
      </w:r>
      <w:r w:rsidR="00727A79" w:rsidRPr="00BD1C03">
        <w:t>delivery</w:t>
      </w:r>
      <w:r w:rsidRPr="00BD1C03">
        <w:t xml:space="preserve"> needs, including roads, bridges, electricity supply, water supply, sewage</w:t>
      </w:r>
      <w:r w:rsidR="00D9474C" w:rsidRPr="00BD1C03">
        <w:t xml:space="preserve">, </w:t>
      </w:r>
      <w:r w:rsidRPr="00BD1C03">
        <w:t>school</w:t>
      </w:r>
      <w:r w:rsidR="00511997">
        <w:t>,</w:t>
      </w:r>
      <w:r w:rsidRPr="00BD1C03">
        <w:t xml:space="preserve"> </w:t>
      </w:r>
      <w:r w:rsidR="00D9474C" w:rsidRPr="00BD1C03">
        <w:t xml:space="preserve">and hospital </w:t>
      </w:r>
      <w:r w:rsidRPr="00BD1C03">
        <w:t>rehabilitation.</w:t>
      </w:r>
    </w:p>
    <w:p w14:paraId="36CF6A00" w14:textId="518D7CF3" w:rsidR="00662780" w:rsidRPr="000B478B" w:rsidRDefault="00662780" w:rsidP="00B13F20">
      <w:pPr>
        <w:pStyle w:val="Heading2"/>
        <w:numPr>
          <w:ilvl w:val="1"/>
          <w:numId w:val="5"/>
        </w:numPr>
        <w:rPr>
          <w:sz w:val="40"/>
          <w:szCs w:val="40"/>
        </w:rPr>
      </w:pPr>
      <w:r w:rsidRPr="000B478B">
        <w:rPr>
          <w:sz w:val="40"/>
          <w:szCs w:val="40"/>
        </w:rPr>
        <w:t>Social cohesion and reconciliation</w:t>
      </w:r>
    </w:p>
    <w:p w14:paraId="15E956FF" w14:textId="24D1F0D8" w:rsidR="00354663" w:rsidRPr="00BD1C03" w:rsidRDefault="007C5AD4" w:rsidP="0008435D">
      <w:r w:rsidRPr="00BD1C03">
        <w:t xml:space="preserve">At the time of package </w:t>
      </w:r>
      <w:r w:rsidR="00511997" w:rsidRPr="00BD1C03">
        <w:t>design,</w:t>
      </w:r>
      <w:r w:rsidRPr="00BD1C03">
        <w:t xml:space="preserve"> </w:t>
      </w:r>
      <w:r w:rsidR="00D9474C" w:rsidRPr="00BD1C03">
        <w:t xml:space="preserve">social </w:t>
      </w:r>
      <w:r w:rsidR="00316C40" w:rsidRPr="00BD1C03">
        <w:t xml:space="preserve">cohesion </w:t>
      </w:r>
      <w:r w:rsidR="00214E8A" w:rsidRPr="00BD1C03">
        <w:t xml:space="preserve">and reconciliation </w:t>
      </w:r>
      <w:r w:rsidRPr="00BD1C03">
        <w:t>needs in Iraq were</w:t>
      </w:r>
      <w:r w:rsidR="00727A79" w:rsidRPr="00BD1C03">
        <w:t xml:space="preserve"> </w:t>
      </w:r>
      <w:r w:rsidRPr="00BD1C03">
        <w:t>and remain high across national, regional and local levels</w:t>
      </w:r>
      <w:r w:rsidR="007809D8" w:rsidRPr="00BD1C03">
        <w:t xml:space="preserve">. </w:t>
      </w:r>
      <w:r w:rsidR="007C48CE" w:rsidRPr="00BD1C03">
        <w:t xml:space="preserve">The </w:t>
      </w:r>
      <w:r w:rsidR="00354663" w:rsidRPr="00BD1C03">
        <w:t>P</w:t>
      </w:r>
      <w:r w:rsidR="007C48CE" w:rsidRPr="00BD1C03">
        <w:t xml:space="preserve">ackage design did not define social cohesion or reconciliation, nor was it able to draw upon DFAT policy guidance. </w:t>
      </w:r>
      <w:r w:rsidR="007809D8" w:rsidRPr="00BD1C03">
        <w:t xml:space="preserve">While social cohesion was initially included in </w:t>
      </w:r>
      <w:r w:rsidR="00316C40" w:rsidRPr="00BD1C03">
        <w:t xml:space="preserve">the scope of the </w:t>
      </w:r>
      <w:r w:rsidR="007809D8" w:rsidRPr="00BD1C03">
        <w:t>UNDP FFS it was subsequently depriorit</w:t>
      </w:r>
      <w:r w:rsidR="00B43345">
        <w:t>is</w:t>
      </w:r>
      <w:r w:rsidR="007809D8" w:rsidRPr="00BD1C03">
        <w:t>ed</w:t>
      </w:r>
      <w:r w:rsidR="00214E8A" w:rsidRPr="00BD1C03">
        <w:t>. N</w:t>
      </w:r>
      <w:r w:rsidR="007809D8" w:rsidRPr="00BD1C03">
        <w:t>ational level reconciliation efforts are considered the responsibility of UN</w:t>
      </w:r>
      <w:r w:rsidR="00316C40" w:rsidRPr="00BD1C03">
        <w:t xml:space="preserve"> </w:t>
      </w:r>
      <w:r w:rsidR="007809D8" w:rsidRPr="00BD1C03">
        <w:t>A</w:t>
      </w:r>
      <w:r w:rsidR="00316C40" w:rsidRPr="00BD1C03">
        <w:t xml:space="preserve">ssistance </w:t>
      </w:r>
      <w:r w:rsidR="007809D8" w:rsidRPr="00BD1C03">
        <w:t>M</w:t>
      </w:r>
      <w:r w:rsidR="00316C40" w:rsidRPr="00BD1C03">
        <w:t xml:space="preserve">ission to </w:t>
      </w:r>
      <w:r w:rsidR="007809D8" w:rsidRPr="00BD1C03">
        <w:t>I</w:t>
      </w:r>
      <w:r w:rsidR="00316C40" w:rsidRPr="00BD1C03">
        <w:t>raq (UNAMI)</w:t>
      </w:r>
      <w:r w:rsidR="00214E8A" w:rsidRPr="00BD1C03">
        <w:t xml:space="preserve"> and interviewees highlighted the lack of visibility of national level initiatives</w:t>
      </w:r>
      <w:r w:rsidR="007809D8" w:rsidRPr="00BD1C03">
        <w:t xml:space="preserve">. </w:t>
      </w:r>
      <w:r w:rsidR="00214E8A" w:rsidRPr="00BD1C03">
        <w:t xml:space="preserve">Interviewees further highlighted the complexity of social cohesion and reconciliation challenges and needs remaining in Iraq. </w:t>
      </w:r>
    </w:p>
    <w:p w14:paraId="4A21A87E" w14:textId="22AB6C1F" w:rsidR="008736D7" w:rsidRPr="00BD1C03" w:rsidRDefault="007809D8" w:rsidP="0008435D">
      <w:r w:rsidRPr="00BD1C03">
        <w:t>Social cohesion issues are frequently reported as barriers to return for the hardened IDP caseload and</w:t>
      </w:r>
      <w:r w:rsidR="00316C40" w:rsidRPr="00BD1C03">
        <w:t xml:space="preserve"> </w:t>
      </w:r>
      <w:r w:rsidRPr="00BD1C03">
        <w:t xml:space="preserve">as </w:t>
      </w:r>
      <w:r w:rsidR="00316C40" w:rsidRPr="00BD1C03">
        <w:t xml:space="preserve">a </w:t>
      </w:r>
      <w:r w:rsidRPr="00BD1C03">
        <w:t xml:space="preserve">challenge for durable solutions </w:t>
      </w:r>
      <w:r w:rsidR="008736D7" w:rsidRPr="00BD1C03">
        <w:t xml:space="preserve">and stability </w:t>
      </w:r>
      <w:r w:rsidRPr="00BD1C03">
        <w:t>more broadly</w:t>
      </w:r>
      <w:r w:rsidR="00316C40" w:rsidRPr="00BD1C03">
        <w:t>.</w:t>
      </w:r>
      <w:r w:rsidRPr="00BD1C03">
        <w:t xml:space="preserve"> </w:t>
      </w:r>
      <w:r w:rsidR="00316C40" w:rsidRPr="00BD1C03">
        <w:t xml:space="preserve">The flexibility to add </w:t>
      </w:r>
      <w:r w:rsidR="00382448" w:rsidRPr="00BD1C03">
        <w:t xml:space="preserve">IOM </w:t>
      </w:r>
      <w:r w:rsidR="00316C40" w:rsidRPr="00BD1C03">
        <w:t xml:space="preserve">as a partner </w:t>
      </w:r>
      <w:r w:rsidR="008736D7" w:rsidRPr="00BD1C03">
        <w:t>to support local level</w:t>
      </w:r>
      <w:r w:rsidR="00316C40" w:rsidRPr="00BD1C03">
        <w:t xml:space="preserve"> social cohesion</w:t>
      </w:r>
      <w:r w:rsidR="008736D7" w:rsidRPr="00BD1C03">
        <w:t xml:space="preserve"> initiatives</w:t>
      </w:r>
      <w:r w:rsidR="00316C40" w:rsidRPr="00BD1C03">
        <w:t xml:space="preserve"> proved </w:t>
      </w:r>
      <w:r w:rsidR="00727A79" w:rsidRPr="00BD1C03">
        <w:t>important</w:t>
      </w:r>
      <w:r w:rsidR="00316C40" w:rsidRPr="00BD1C03">
        <w:t xml:space="preserve">. </w:t>
      </w:r>
      <w:r w:rsidR="00511997" w:rsidRPr="00BD1C03">
        <w:t>Further,</w:t>
      </w:r>
      <w:r w:rsidR="00316C40" w:rsidRPr="00BD1C03">
        <w:t xml:space="preserve"> the addition of Non-Violent </w:t>
      </w:r>
      <w:proofErr w:type="spellStart"/>
      <w:r w:rsidR="00316C40" w:rsidRPr="00BD1C03">
        <w:t>Peaceforce</w:t>
      </w:r>
      <w:proofErr w:type="spellEnd"/>
      <w:r w:rsidR="00316C40" w:rsidRPr="00BD1C03">
        <w:t xml:space="preserve"> to the</w:t>
      </w:r>
      <w:r w:rsidR="00382448" w:rsidRPr="00BD1C03">
        <w:t xml:space="preserve"> BPF consortium</w:t>
      </w:r>
      <w:r w:rsidR="008736D7" w:rsidRPr="00BD1C03">
        <w:t xml:space="preserve">, albeit late, </w:t>
      </w:r>
      <w:r w:rsidR="00727A79" w:rsidRPr="00BD1C03">
        <w:t>was</w:t>
      </w:r>
      <w:r w:rsidR="008736D7" w:rsidRPr="00BD1C03">
        <w:t xml:space="preserve"> a strategic decision recogn</w:t>
      </w:r>
      <w:r w:rsidR="00B43345">
        <w:t>is</w:t>
      </w:r>
      <w:r w:rsidR="008736D7" w:rsidRPr="00BD1C03">
        <w:t xml:space="preserve">ing the complex social cohesion needs and challenges preventing returns in </w:t>
      </w:r>
      <w:proofErr w:type="spellStart"/>
      <w:r w:rsidR="00214E8A" w:rsidRPr="00BD1C03">
        <w:t>Hawija</w:t>
      </w:r>
      <w:proofErr w:type="spellEnd"/>
      <w:r w:rsidR="00214E8A" w:rsidRPr="00BD1C03">
        <w:t xml:space="preserve"> and Sinjar </w:t>
      </w:r>
      <w:r w:rsidR="00354663" w:rsidRPr="00BD1C03">
        <w:t>districts</w:t>
      </w:r>
      <w:r w:rsidR="00214E8A" w:rsidRPr="00BD1C03">
        <w:t xml:space="preserve">. </w:t>
      </w:r>
      <w:r w:rsidR="007C48CE" w:rsidRPr="00BD1C03">
        <w:t>The 2020 Humanitarian Needs Overview estimates 2.43 million Iraqi’s (including 1.75 million returnees) face critical resilience and recovery issues including livelihoods, social cohesion, adequate shelter and impeded access to government services.</w:t>
      </w:r>
      <w:r w:rsidR="007C48CE" w:rsidRPr="00BD1C03">
        <w:rPr>
          <w:rStyle w:val="EndnoteReference"/>
          <w:rFonts w:ascii="Calibri Light" w:hAnsi="Calibri Light" w:cs="Calibri Light"/>
          <w:szCs w:val="22"/>
        </w:rPr>
        <w:endnoteReference w:id="44"/>
      </w:r>
      <w:r w:rsidR="007C48CE" w:rsidRPr="00BD1C03">
        <w:t xml:space="preserve"> </w:t>
      </w:r>
      <w:r w:rsidR="00214E8A" w:rsidRPr="00BD1C03">
        <w:t xml:space="preserve">Looking forward </w:t>
      </w:r>
      <w:r w:rsidR="007C48CE" w:rsidRPr="00BD1C03">
        <w:t xml:space="preserve">there is a need to </w:t>
      </w:r>
      <w:r w:rsidR="00214E8A" w:rsidRPr="00BD1C03">
        <w:t>significant</w:t>
      </w:r>
      <w:r w:rsidR="007C48CE" w:rsidRPr="00BD1C03">
        <w:t>ly</w:t>
      </w:r>
      <w:r w:rsidR="00214E8A" w:rsidRPr="00BD1C03">
        <w:t xml:space="preserve"> scale up investment in social cohesion and reconciliation </w:t>
      </w:r>
      <w:r w:rsidR="007C48CE" w:rsidRPr="00BD1C03">
        <w:t>efforts,</w:t>
      </w:r>
      <w:r w:rsidR="00214E8A" w:rsidRPr="00BD1C03">
        <w:t xml:space="preserve"> as well as clarify DFAT’s </w:t>
      </w:r>
      <w:r w:rsidR="007C48CE" w:rsidRPr="00BD1C03">
        <w:t xml:space="preserve">internal </w:t>
      </w:r>
      <w:r w:rsidR="00214E8A" w:rsidRPr="00BD1C03">
        <w:t>policy position and guidance</w:t>
      </w:r>
      <w:r w:rsidR="007C48CE" w:rsidRPr="00BD1C03">
        <w:t xml:space="preserve"> for engaging in this area</w:t>
      </w:r>
      <w:r w:rsidR="00214E8A" w:rsidRPr="00BD1C03">
        <w:t xml:space="preserve">. </w:t>
      </w:r>
    </w:p>
    <w:p w14:paraId="5615B6C2" w14:textId="4DC79F5B" w:rsidR="00945DDE" w:rsidRPr="000B478B" w:rsidRDefault="00570548" w:rsidP="00B13F20">
      <w:pPr>
        <w:pStyle w:val="Heading2"/>
        <w:numPr>
          <w:ilvl w:val="1"/>
          <w:numId w:val="5"/>
        </w:numPr>
        <w:rPr>
          <w:sz w:val="40"/>
          <w:szCs w:val="40"/>
        </w:rPr>
      </w:pPr>
      <w:r w:rsidRPr="000B478B">
        <w:rPr>
          <w:sz w:val="40"/>
          <w:szCs w:val="40"/>
        </w:rPr>
        <w:t xml:space="preserve">Voice of </w:t>
      </w:r>
      <w:r w:rsidR="00945DDE" w:rsidRPr="000B478B">
        <w:rPr>
          <w:sz w:val="40"/>
          <w:szCs w:val="40"/>
        </w:rPr>
        <w:t xml:space="preserve">affected populations </w:t>
      </w:r>
      <w:r w:rsidR="007A5A3C" w:rsidRPr="000B478B">
        <w:rPr>
          <w:sz w:val="40"/>
          <w:szCs w:val="40"/>
        </w:rPr>
        <w:t>and conflict analysis</w:t>
      </w:r>
    </w:p>
    <w:p w14:paraId="66CD400D" w14:textId="477B205E" w:rsidR="002D688F" w:rsidRPr="00BD1C03" w:rsidRDefault="00570548" w:rsidP="0008435D">
      <w:r w:rsidRPr="00BD1C03">
        <w:t xml:space="preserve">DFAT’s approach of working through existing and trusted partners placed heavy reliance on partner systems to meaningfully and accurately assess the needs and priorities of affected populations. Discussions with key informants highlighted a breadth of practice in terms of needs assessment, but only limited direct consultation of affected communities. This is acknowledged by partners as relating to </w:t>
      </w:r>
      <w:r w:rsidR="00404252">
        <w:t>the frenetic nature of the post-</w:t>
      </w:r>
      <w:r w:rsidRPr="00BD1C03">
        <w:t>ISIL period</w:t>
      </w:r>
      <w:r w:rsidR="00404252">
        <w:t>, and the urgency of early post-</w:t>
      </w:r>
      <w:r w:rsidRPr="00BD1C03">
        <w:t>liberation response measures bein</w:t>
      </w:r>
      <w:r w:rsidR="00EA2296">
        <w:t>g quickly commenced, and being “seen”</w:t>
      </w:r>
      <w:r w:rsidRPr="00BD1C03">
        <w:t xml:space="preserve"> to have commenced.</w:t>
      </w:r>
    </w:p>
    <w:p w14:paraId="2346E433" w14:textId="62663F77" w:rsidR="00BC4CEB" w:rsidRPr="00BD1C03" w:rsidRDefault="00945DDE" w:rsidP="0008435D">
      <w:r w:rsidRPr="00BD1C03">
        <w:t xml:space="preserve">Another important theme cutting across </w:t>
      </w:r>
      <w:r w:rsidR="00511997" w:rsidRPr="00BD1C03">
        <w:t>KIIs</w:t>
      </w:r>
      <w:r w:rsidRPr="00BD1C03">
        <w:t xml:space="preserve"> was the ongoing importance of social cohesion efforts, acknowledgment of their complexity, and the need for them to be nuanced and based on sound, locally relevant conflict analysis.</w:t>
      </w:r>
      <w:r w:rsidR="007A5A3C" w:rsidRPr="00BD1C03">
        <w:t xml:space="preserve"> Despite Iraq being a complex operating environment with diverse and shifting conflict dynamics across the areas of operation of Package partners</w:t>
      </w:r>
      <w:r w:rsidR="005E4B93" w:rsidRPr="00BD1C03">
        <w:t>,</w:t>
      </w:r>
      <w:r w:rsidR="007A5A3C" w:rsidRPr="00BD1C03">
        <w:t xml:space="preserve"> </w:t>
      </w:r>
      <w:r w:rsidR="00762B31" w:rsidRPr="00BD1C03">
        <w:t xml:space="preserve">it is </w:t>
      </w:r>
      <w:r w:rsidR="007A5A3C" w:rsidRPr="00BD1C03">
        <w:t>the review team</w:t>
      </w:r>
      <w:r w:rsidR="00762B31" w:rsidRPr="00BD1C03">
        <w:t xml:space="preserve">’s understanding that no </w:t>
      </w:r>
      <w:r w:rsidR="007A5A3C" w:rsidRPr="00BD1C03">
        <w:t xml:space="preserve">conflict analysis </w:t>
      </w:r>
      <w:r w:rsidR="00762B31" w:rsidRPr="00BD1C03">
        <w:t>was undertaken at the time of</w:t>
      </w:r>
      <w:r w:rsidR="007A5A3C" w:rsidRPr="00BD1C03">
        <w:t xml:space="preserve"> Package design </w:t>
      </w:r>
      <w:r w:rsidR="007B231A" w:rsidRPr="00BD1C03">
        <w:t>or</w:t>
      </w:r>
      <w:r w:rsidR="00C8769E" w:rsidRPr="00BD1C03">
        <w:t xml:space="preserve"> used to</w:t>
      </w:r>
      <w:r w:rsidR="00762B31" w:rsidRPr="00BD1C03">
        <w:t xml:space="preserve"> inform the </w:t>
      </w:r>
      <w:r w:rsidR="005E4B93" w:rsidRPr="00BD1C03">
        <w:t xml:space="preserve">early implementation </w:t>
      </w:r>
      <w:r w:rsidR="007A5A3C" w:rsidRPr="00BD1C03">
        <w:t>process. The efforts by some partners in</w:t>
      </w:r>
      <w:r w:rsidR="000030EF">
        <w:t>cluding BPF to undertake local</w:t>
      </w:r>
      <w:r w:rsidR="00B43345">
        <w:t>is</w:t>
      </w:r>
      <w:r w:rsidR="007A5A3C" w:rsidRPr="00BD1C03">
        <w:t xml:space="preserve">ed conflict analysis to inform conflict-sensitive programming, albeit late, was highly relevant and contributed to measures to engage affected populations. </w:t>
      </w:r>
    </w:p>
    <w:p w14:paraId="07D5486D" w14:textId="4338CB5E" w:rsidR="00945DDE" w:rsidRPr="00BD1C03" w:rsidRDefault="007A5A3C" w:rsidP="0008435D">
      <w:r w:rsidRPr="00BD1C03">
        <w:t xml:space="preserve">Conflict analysis that integrates gender </w:t>
      </w:r>
      <w:r w:rsidR="00BC4CEB" w:rsidRPr="00BD1C03">
        <w:t xml:space="preserve">and WPS </w:t>
      </w:r>
      <w:r w:rsidRPr="00BD1C03">
        <w:t xml:space="preserve">considerations should inform </w:t>
      </w:r>
      <w:r w:rsidR="005E4B93" w:rsidRPr="00BD1C03">
        <w:t xml:space="preserve">future </w:t>
      </w:r>
      <w:r w:rsidRPr="00BD1C03">
        <w:t>Package design processes in protracted crises</w:t>
      </w:r>
      <w:r w:rsidR="00BC4CEB" w:rsidRPr="00BD1C03">
        <w:t>,</w:t>
      </w:r>
      <w:r w:rsidR="005E4B93" w:rsidRPr="00BD1C03">
        <w:t xml:space="preserve"> acknowledging other Australian funded aid programs have benefitted from this </w:t>
      </w:r>
      <w:r w:rsidR="00BC4CEB" w:rsidRPr="00BD1C03">
        <w:t xml:space="preserve">previously </w:t>
      </w:r>
      <w:r w:rsidR="005E4B93" w:rsidRPr="00BD1C03">
        <w:t xml:space="preserve">including </w:t>
      </w:r>
      <w:r w:rsidR="00BC4CEB" w:rsidRPr="00BD1C03">
        <w:t>Afghanistan</w:t>
      </w:r>
      <w:r w:rsidR="006A3B90" w:rsidRPr="00BD1C03">
        <w:t xml:space="preserve"> and</w:t>
      </w:r>
      <w:r w:rsidR="00BC4CEB" w:rsidRPr="00BD1C03">
        <w:t xml:space="preserve"> the Philippines</w:t>
      </w:r>
      <w:r w:rsidRPr="00BD1C03">
        <w:t>.</w:t>
      </w:r>
      <w:r w:rsidR="00BC4CEB" w:rsidRPr="00BD1C03">
        <w:t xml:space="preserve"> This could involve reviewing or compiling </w:t>
      </w:r>
      <w:r w:rsidR="006A3B90" w:rsidRPr="00BD1C03">
        <w:t xml:space="preserve">credible </w:t>
      </w:r>
      <w:r w:rsidR="00BC4CEB" w:rsidRPr="00BD1C03">
        <w:t>secondary sources, working with like-minded donors</w:t>
      </w:r>
      <w:r w:rsidR="00C8769E" w:rsidRPr="00BD1C03">
        <w:t xml:space="preserve"> (which is understood </w:t>
      </w:r>
      <w:r w:rsidR="00C325FD" w:rsidRPr="00BD1C03">
        <w:t xml:space="preserve">what </w:t>
      </w:r>
      <w:r w:rsidR="00C8769E" w:rsidRPr="00BD1C03">
        <w:t>occurred later in Iraq)</w:t>
      </w:r>
      <w:r w:rsidR="00BC4CEB" w:rsidRPr="00BD1C03">
        <w:t xml:space="preserve"> or commissioning </w:t>
      </w:r>
      <w:r w:rsidR="00E4150E" w:rsidRPr="00BD1C03">
        <w:t xml:space="preserve">independent analysis. </w:t>
      </w:r>
      <w:r w:rsidRPr="00BD1C03">
        <w:t xml:space="preserve">Partners operating in conflict-affected areas should be encouraged to undertake or secure access to </w:t>
      </w:r>
      <w:r w:rsidR="00E4150E" w:rsidRPr="00BD1C03">
        <w:t xml:space="preserve">inclusive </w:t>
      </w:r>
      <w:r w:rsidRPr="00BD1C03">
        <w:t>parti</w:t>
      </w:r>
      <w:r w:rsidR="000030EF">
        <w:t>cipatory local</w:t>
      </w:r>
      <w:r w:rsidR="00B43345">
        <w:t>is</w:t>
      </w:r>
      <w:r w:rsidRPr="00BD1C03">
        <w:t xml:space="preserve">ed conflict analysis that adequately integrates gender and WPS considerations. </w:t>
      </w:r>
      <w:r w:rsidR="008C42FB" w:rsidRPr="00BD1C03">
        <w:t>I</w:t>
      </w:r>
      <w:r w:rsidRPr="00BD1C03">
        <w:t xml:space="preserve">t is a </w:t>
      </w:r>
      <w:r w:rsidR="00945DDE" w:rsidRPr="00BD1C03">
        <w:t xml:space="preserve">conclusion of this review that systems to ensure the </w:t>
      </w:r>
      <w:r w:rsidR="008C42FB" w:rsidRPr="00BD1C03">
        <w:t>voice of</w:t>
      </w:r>
      <w:r w:rsidR="00945DDE" w:rsidRPr="00BD1C03">
        <w:t xml:space="preserve"> affected populations</w:t>
      </w:r>
      <w:r w:rsidR="008C42FB" w:rsidRPr="00BD1C03">
        <w:t xml:space="preserve"> </w:t>
      </w:r>
      <w:r w:rsidR="00C325FD" w:rsidRPr="00BD1C03">
        <w:t xml:space="preserve">and conflict analysis </w:t>
      </w:r>
      <w:r w:rsidR="00AB06A3" w:rsidRPr="00BD1C03">
        <w:t xml:space="preserve">inform Package design and </w:t>
      </w:r>
      <w:r w:rsidR="00C53D57" w:rsidRPr="00BD1C03">
        <w:t xml:space="preserve">partner </w:t>
      </w:r>
      <w:r w:rsidR="00AB06A3" w:rsidRPr="00BD1C03">
        <w:t>program</w:t>
      </w:r>
      <w:r w:rsidR="00C53D57" w:rsidRPr="00BD1C03">
        <w:t>s</w:t>
      </w:r>
      <w:r w:rsidR="00AB06A3" w:rsidRPr="00BD1C03">
        <w:t xml:space="preserve"> </w:t>
      </w:r>
      <w:r w:rsidR="00945DDE" w:rsidRPr="00BD1C03">
        <w:t>remain under-developed, and</w:t>
      </w:r>
      <w:r w:rsidR="00E4150E" w:rsidRPr="00BD1C03">
        <w:t xml:space="preserve"> further </w:t>
      </w:r>
      <w:r w:rsidR="00945DDE" w:rsidRPr="00BD1C03">
        <w:t>require greater priority moving forward.</w:t>
      </w:r>
    </w:p>
    <w:p w14:paraId="50FB40F0" w14:textId="3ECE6521" w:rsidR="002D688F" w:rsidRPr="000B478B" w:rsidRDefault="00945DDE" w:rsidP="00B13F20">
      <w:pPr>
        <w:pStyle w:val="Heading2"/>
        <w:numPr>
          <w:ilvl w:val="1"/>
          <w:numId w:val="5"/>
        </w:numPr>
        <w:rPr>
          <w:sz w:val="40"/>
          <w:szCs w:val="40"/>
        </w:rPr>
      </w:pPr>
      <w:r w:rsidRPr="000B478B">
        <w:rPr>
          <w:sz w:val="40"/>
          <w:szCs w:val="40"/>
        </w:rPr>
        <w:t>Adaptability</w:t>
      </w:r>
    </w:p>
    <w:p w14:paraId="1B0D9ADE" w14:textId="4E48EB11" w:rsidR="00945DDE" w:rsidRPr="00BD1C03" w:rsidRDefault="00945DDE" w:rsidP="0008435D">
      <w:r w:rsidRPr="00BD1C03">
        <w:t xml:space="preserve">From 2017 to present, Iraq’s humanitarian and stabilisation context has continued to evolve, requiring capacity for adaptability to maintain relevance to the changing needs. Within this context, partners spoke positively of </w:t>
      </w:r>
      <w:r w:rsidR="00727A79" w:rsidRPr="00BD1C03">
        <w:t xml:space="preserve">the </w:t>
      </w:r>
      <w:r w:rsidRPr="00BD1C03">
        <w:t>DFAT</w:t>
      </w:r>
      <w:r w:rsidR="00727A79" w:rsidRPr="00BD1C03">
        <w:t xml:space="preserve"> Humanitarian Officer’s </w:t>
      </w:r>
      <w:r w:rsidRPr="00BD1C03">
        <w:t>continued presence in Baghdad and willingness to work with them to evolve programming approaches and areas of focus according to the shifting needs. This adaptability has been aided by the broad umbrella objective set for the Package and two end of Package outcomes that address humanitarian</w:t>
      </w:r>
      <w:r w:rsidR="00727A79" w:rsidRPr="00BD1C03">
        <w:t xml:space="preserve">, </w:t>
      </w:r>
      <w:r w:rsidRPr="00BD1C03">
        <w:t xml:space="preserve">stabilisation </w:t>
      </w:r>
      <w:r w:rsidR="00727A79" w:rsidRPr="00BD1C03">
        <w:t xml:space="preserve">and social cohesion </w:t>
      </w:r>
      <w:r w:rsidRPr="00BD1C03">
        <w:t xml:space="preserve">needs. </w:t>
      </w:r>
      <w:r w:rsidR="00727A79" w:rsidRPr="00BD1C03">
        <w:t xml:space="preserve">This </w:t>
      </w:r>
      <w:r w:rsidRPr="00BD1C03">
        <w:t>allowed responsiveness to short and medium-term humanitarian needs of affected populations; rapid recovery and stabilisation activities in liberated areas; and support to emerging priorities related to social cohesion</w:t>
      </w:r>
      <w:r w:rsidR="00727A79" w:rsidRPr="00BD1C03">
        <w:t xml:space="preserve">, </w:t>
      </w:r>
      <w:r w:rsidRPr="00BD1C03">
        <w:t xml:space="preserve">and </w:t>
      </w:r>
      <w:r w:rsidR="00727A79" w:rsidRPr="00BD1C03">
        <w:t xml:space="preserve">WASH </w:t>
      </w:r>
      <w:r w:rsidR="00C53D57" w:rsidRPr="00BD1C03">
        <w:t>needs, in</w:t>
      </w:r>
      <w:r w:rsidRPr="00BD1C03">
        <w:t xml:space="preserve"> </w:t>
      </w:r>
      <w:r w:rsidR="00727A79" w:rsidRPr="00BD1C03">
        <w:t>s</w:t>
      </w:r>
      <w:r w:rsidRPr="00BD1C03">
        <w:t>outh</w:t>
      </w:r>
      <w:r w:rsidR="00727A79" w:rsidRPr="00BD1C03">
        <w:t>ern Iraq</w:t>
      </w:r>
      <w:r w:rsidRPr="00BD1C03">
        <w:t xml:space="preserve">. </w:t>
      </w:r>
    </w:p>
    <w:p w14:paraId="31FD160B" w14:textId="03BC20B9" w:rsidR="002D688F" w:rsidRPr="00BD1C03" w:rsidRDefault="00945DDE" w:rsidP="0008435D">
      <w:r w:rsidRPr="00BD1C03">
        <w:t xml:space="preserve">While such breadth could potentially be interpreted as lacking focus, in </w:t>
      </w:r>
      <w:r w:rsidR="00727A79" w:rsidRPr="00BD1C03">
        <w:t>a</w:t>
      </w:r>
      <w:r w:rsidRPr="00BD1C03">
        <w:t xml:space="preserve"> complex crisis </w:t>
      </w:r>
      <w:r w:rsidR="00727A79" w:rsidRPr="00BD1C03">
        <w:t>such as</w:t>
      </w:r>
      <w:r w:rsidRPr="00BD1C03">
        <w:t xml:space="preserve"> Iraq, it has allowed DFAT important room to manoeuvre and provide support where it has the greatest likelihood of being most relevant, appropriate and effective. Targeted support to UNFPA to address funding shortfalls and address life-saving sexual and reproductive health (SRH) services and GBV prevention and response measures, as well as targeted support to UNICEF to address urgent and acute water shortages in the south are examples of adaptability facilitating programming relevance.</w:t>
      </w:r>
    </w:p>
    <w:p w14:paraId="2B03CFC4" w14:textId="40FF7A5B" w:rsidR="007A3D0D" w:rsidRPr="00BD1C03" w:rsidRDefault="00945DDE" w:rsidP="0008435D">
      <w:r w:rsidRPr="00BD1C03">
        <w:t xml:space="preserve">Overall, it is concluded that </w:t>
      </w:r>
      <w:r w:rsidR="008736D7" w:rsidRPr="00BD1C03">
        <w:t xml:space="preserve">the </w:t>
      </w:r>
      <w:r w:rsidRPr="00BD1C03">
        <w:t>end of Package program outcomes have remained relevant and appropriate throughout, with their breadth having provided DFAT flexibility to be responsive to the context and support emerging priorities. While firm conclusions regarding responsiveness to needs are hard to reach in a desk-based review, it is clear that Australian investments are responsive to the broadly defined needs of target populations. However, it is more difficult to determine community level responsiveness and inclusiveness, in part because of lack of clarity on the functionality of AAP mechanisms.</w:t>
      </w:r>
    </w:p>
    <w:p w14:paraId="2405C71B" w14:textId="77777777" w:rsidR="007A3D0D" w:rsidRPr="00BD1C03" w:rsidRDefault="007A3D0D">
      <w:pPr>
        <w:spacing w:after="0"/>
      </w:pPr>
      <w:r w:rsidRPr="00BD1C03">
        <w:br w:type="page"/>
      </w:r>
    </w:p>
    <w:p w14:paraId="00DACDA3" w14:textId="5AB3C0A4" w:rsidR="003620F2" w:rsidRPr="00BD1C03" w:rsidRDefault="003620F2" w:rsidP="00CC437F">
      <w:pPr>
        <w:pStyle w:val="Heading1"/>
        <w:numPr>
          <w:ilvl w:val="0"/>
          <w:numId w:val="5"/>
        </w:numPr>
        <w:rPr>
          <w:rFonts w:cstheme="majorHAnsi"/>
          <w:bCs/>
          <w:sz w:val="24"/>
        </w:rPr>
      </w:pPr>
      <w:bookmarkStart w:id="6" w:name="_Toc48318496"/>
      <w:r w:rsidRPr="00BD1C03">
        <w:t>Effectiveness</w:t>
      </w:r>
      <w:bookmarkEnd w:id="6"/>
      <w:r w:rsidR="00C55EAB" w:rsidRPr="00BD1C03">
        <w:tab/>
      </w:r>
      <w:r w:rsidR="00E95C4A" w:rsidRPr="00BD1C03">
        <w:tab/>
      </w:r>
      <w:r w:rsidR="00C55EAB" w:rsidRPr="00BD1C03">
        <w:rPr>
          <w:rStyle w:val="Heading3Char"/>
          <w:rFonts w:cstheme="majorHAnsi"/>
          <w:b/>
          <w:bCs/>
        </w:rPr>
        <w:tab/>
      </w:r>
      <w:r w:rsidR="00C55EAB" w:rsidRPr="00BD1C03">
        <w:rPr>
          <w:rStyle w:val="Heading3Char"/>
          <w:rFonts w:cstheme="majorHAnsi"/>
          <w:b/>
          <w:bCs/>
        </w:rPr>
        <w:tab/>
      </w:r>
      <w:r w:rsidR="00C55EAB" w:rsidRPr="00BD1C03">
        <w:rPr>
          <w:rFonts w:cstheme="majorHAnsi"/>
          <w:bCs/>
          <w:sz w:val="24"/>
        </w:rPr>
        <w:t xml:space="preserve"> </w:t>
      </w:r>
    </w:p>
    <w:p w14:paraId="34B060BD" w14:textId="5D5BDA44" w:rsidR="00765863" w:rsidRPr="000B478B" w:rsidRDefault="00C53D57" w:rsidP="00B13F20">
      <w:pPr>
        <w:pStyle w:val="Heading2"/>
        <w:numPr>
          <w:ilvl w:val="1"/>
          <w:numId w:val="5"/>
        </w:numPr>
        <w:rPr>
          <w:sz w:val="40"/>
          <w:szCs w:val="40"/>
        </w:rPr>
      </w:pPr>
      <w:r w:rsidRPr="000B478B">
        <w:rPr>
          <w:sz w:val="40"/>
          <w:szCs w:val="40"/>
        </w:rPr>
        <w:t>Package</w:t>
      </w:r>
      <w:r w:rsidR="00765863" w:rsidRPr="000B478B">
        <w:rPr>
          <w:sz w:val="40"/>
          <w:szCs w:val="40"/>
        </w:rPr>
        <w:t xml:space="preserve"> </w:t>
      </w:r>
      <w:r w:rsidR="00A5013C" w:rsidRPr="000B478B">
        <w:rPr>
          <w:sz w:val="40"/>
          <w:szCs w:val="40"/>
        </w:rPr>
        <w:t xml:space="preserve">level </w:t>
      </w:r>
      <w:r w:rsidR="0021687F" w:rsidRPr="000B478B">
        <w:rPr>
          <w:sz w:val="40"/>
          <w:szCs w:val="40"/>
        </w:rPr>
        <w:t>results</w:t>
      </w:r>
    </w:p>
    <w:p w14:paraId="335FE607" w14:textId="59E748F3" w:rsidR="007F4B95" w:rsidRPr="00BD1C03" w:rsidRDefault="00696C58" w:rsidP="0008435D">
      <w:r w:rsidRPr="00AE0E70">
        <w:t xml:space="preserve">Measurement of the Iraq Package performance occurs through the Package M&amp;E Framework which sets out a structure </w:t>
      </w:r>
      <w:r w:rsidR="00E07E28" w:rsidRPr="00AE0E70">
        <w:t>to</w:t>
      </w:r>
      <w:r w:rsidRPr="00AE0E70">
        <w:t xml:space="preserve"> </w:t>
      </w:r>
      <w:r w:rsidR="00E07E28" w:rsidRPr="00AE0E70">
        <w:t xml:space="preserve">capture </w:t>
      </w:r>
      <w:r w:rsidRPr="00AE0E70">
        <w:t>results and impact at the</w:t>
      </w:r>
      <w:r w:rsidRPr="00BD1C03">
        <w:rPr>
          <w:rStyle w:val="Heading3Char"/>
          <w:rFonts w:ascii="Calibri Light" w:hAnsi="Calibri Light" w:cs="Calibri Light"/>
          <w:color w:val="000000" w:themeColor="text1"/>
          <w:sz w:val="22"/>
          <w:szCs w:val="22"/>
        </w:rPr>
        <w:t xml:space="preserve"> </w:t>
      </w:r>
      <w:r w:rsidRPr="00BD1C03">
        <w:t>package, partner and policy levels. Cumulative performance related data is then collated at Package and partner levels. This process</w:t>
      </w:r>
      <w:r w:rsidR="00BC26CA" w:rsidRPr="00BD1C03">
        <w:t xml:space="preserve"> for performance measurement</w:t>
      </w:r>
      <w:r w:rsidRPr="00BD1C03">
        <w:t xml:space="preserve"> is reliant on performance indicators agreed between DFAT and individual partners, and is also impacted by </w:t>
      </w:r>
      <w:r w:rsidR="00452CF0" w:rsidRPr="00BD1C03">
        <w:t xml:space="preserve">the </w:t>
      </w:r>
      <w:r w:rsidRPr="00BD1C03">
        <w:t xml:space="preserve">divergent reporting requirements, timeframes and formats of the </w:t>
      </w:r>
      <w:r w:rsidR="00E07E28" w:rsidRPr="00BD1C03">
        <w:t>P</w:t>
      </w:r>
      <w:r w:rsidRPr="00BD1C03">
        <w:t>ackage partners.</w:t>
      </w:r>
      <w:r w:rsidR="00B74DA0" w:rsidRPr="00BD1C03">
        <w:rPr>
          <w:rStyle w:val="EndnoteReference"/>
          <w:rFonts w:ascii="Calibri Light" w:hAnsi="Calibri Light" w:cs="Calibri Light"/>
          <w:color w:val="000000" w:themeColor="text1"/>
          <w:szCs w:val="22"/>
        </w:rPr>
        <w:endnoteReference w:id="45"/>
      </w:r>
    </w:p>
    <w:tbl>
      <w:tblPr>
        <w:tblStyle w:val="GridTable1Light-Accent31"/>
        <w:tblW w:w="0" w:type="auto"/>
        <w:tblLook w:val="04A0" w:firstRow="1" w:lastRow="0" w:firstColumn="1" w:lastColumn="0" w:noHBand="0" w:noVBand="1"/>
      </w:tblPr>
      <w:tblGrid>
        <w:gridCol w:w="8188"/>
      </w:tblGrid>
      <w:tr w:rsidR="00E75F84" w:rsidRPr="00BD1C03" w14:paraId="6C8D6FF5" w14:textId="77777777" w:rsidTr="004A57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bottom w:val="single" w:sz="12" w:space="0" w:color="4F6228" w:themeColor="accent3" w:themeShade="80"/>
            </w:tcBorders>
          </w:tcPr>
          <w:p w14:paraId="10DC70F8" w14:textId="77777777" w:rsidR="00E75F84" w:rsidRPr="001D2CE7" w:rsidRDefault="00E75F84" w:rsidP="001D2CE7">
            <w:pPr>
              <w:pStyle w:val="Enfasi"/>
              <w:rPr>
                <w:b/>
                <w:bCs/>
              </w:rPr>
            </w:pPr>
            <w:r w:rsidRPr="001D2CE7">
              <w:rPr>
                <w:b/>
                <w:bCs/>
              </w:rPr>
              <w:t>Humanitarian aggregate results to date include:</w:t>
            </w:r>
          </w:p>
          <w:p w14:paraId="73E68793" w14:textId="77777777" w:rsidR="00E75F84" w:rsidRPr="001D2CE7" w:rsidRDefault="00E75F84" w:rsidP="006E12C0">
            <w:pPr>
              <w:pStyle w:val="bullets0"/>
              <w:ind w:left="601"/>
              <w:rPr>
                <w:b w:val="0"/>
                <w:bCs w:val="0"/>
              </w:rPr>
            </w:pPr>
            <w:r w:rsidRPr="001D2CE7">
              <w:rPr>
                <w:rStyle w:val="EnfasiChar"/>
                <w:b/>
                <w:bCs/>
              </w:rPr>
              <w:t>929,307</w:t>
            </w:r>
            <w:r w:rsidRPr="001D2CE7">
              <w:rPr>
                <w:b w:val="0"/>
                <w:bCs w:val="0"/>
              </w:rPr>
              <w:t xml:space="preserve"> people have benefitted from improved access to protection services and related information including:</w:t>
            </w:r>
          </w:p>
          <w:p w14:paraId="6DEBF60E" w14:textId="472BF79C" w:rsidR="00E75F84" w:rsidRPr="001D2CE7" w:rsidRDefault="00E75F84" w:rsidP="0076348D">
            <w:pPr>
              <w:pStyle w:val="bullets0"/>
              <w:numPr>
                <w:ilvl w:val="1"/>
                <w:numId w:val="14"/>
              </w:numPr>
              <w:ind w:left="1169"/>
              <w:rPr>
                <w:b w:val="0"/>
                <w:bCs w:val="0"/>
              </w:rPr>
            </w:pPr>
            <w:r w:rsidRPr="001D2CE7">
              <w:rPr>
                <w:rStyle w:val="EnfasiChar"/>
                <w:b/>
                <w:bCs/>
              </w:rPr>
              <w:t>4,314</w:t>
            </w:r>
            <w:r w:rsidRPr="001D2CE7">
              <w:rPr>
                <w:b w:val="0"/>
                <w:bCs w:val="0"/>
              </w:rPr>
              <w:t xml:space="preserve"> persons benefited from legal information, counse</w:t>
            </w:r>
            <w:r w:rsidR="009B2359" w:rsidRPr="001D2CE7">
              <w:rPr>
                <w:b w:val="0"/>
                <w:bCs w:val="0"/>
              </w:rPr>
              <w:t>l</w:t>
            </w:r>
            <w:r w:rsidR="003631C1" w:rsidRPr="001D2CE7">
              <w:rPr>
                <w:b w:val="0"/>
                <w:bCs w:val="0"/>
              </w:rPr>
              <w:t>ling</w:t>
            </w:r>
            <w:r w:rsidRPr="001D2CE7">
              <w:rPr>
                <w:b w:val="0"/>
                <w:bCs w:val="0"/>
              </w:rPr>
              <w:t xml:space="preserve"> and assistance (BPF)</w:t>
            </w:r>
          </w:p>
          <w:p w14:paraId="104B6768" w14:textId="77777777" w:rsidR="00E75F84" w:rsidRPr="001D2CE7" w:rsidRDefault="00E75F84" w:rsidP="0076348D">
            <w:pPr>
              <w:pStyle w:val="bullets0"/>
              <w:numPr>
                <w:ilvl w:val="1"/>
                <w:numId w:val="14"/>
              </w:numPr>
              <w:ind w:left="1169"/>
              <w:rPr>
                <w:b w:val="0"/>
                <w:bCs w:val="0"/>
              </w:rPr>
            </w:pPr>
            <w:r w:rsidRPr="001D2CE7">
              <w:rPr>
                <w:rStyle w:val="EnfasiChar"/>
                <w:b/>
                <w:bCs/>
              </w:rPr>
              <w:t>5,086</w:t>
            </w:r>
            <w:r w:rsidRPr="001D2CE7">
              <w:rPr>
                <w:b w:val="0"/>
                <w:bCs w:val="0"/>
              </w:rPr>
              <w:t xml:space="preserve"> detainee visits and phone calls to family members (IHO)</w:t>
            </w:r>
          </w:p>
          <w:p w14:paraId="37CABF0C" w14:textId="77777777" w:rsidR="00E75F84" w:rsidRPr="001D2CE7" w:rsidRDefault="00E75F84" w:rsidP="0076348D">
            <w:pPr>
              <w:pStyle w:val="bullets0"/>
              <w:numPr>
                <w:ilvl w:val="1"/>
                <w:numId w:val="14"/>
              </w:numPr>
              <w:ind w:left="1169"/>
              <w:rPr>
                <w:b w:val="0"/>
                <w:bCs w:val="0"/>
              </w:rPr>
            </w:pPr>
            <w:r w:rsidRPr="001D2CE7">
              <w:rPr>
                <w:rStyle w:val="EnfasiChar"/>
                <w:b/>
                <w:bCs/>
              </w:rPr>
              <w:t>22,852</w:t>
            </w:r>
            <w:r w:rsidRPr="001D2CE7">
              <w:rPr>
                <w:b w:val="0"/>
                <w:bCs w:val="0"/>
              </w:rPr>
              <w:t xml:space="preserve"> displaced women and girls reached with GBV services (UNFPA)</w:t>
            </w:r>
          </w:p>
          <w:p w14:paraId="609EA3DB" w14:textId="77777777" w:rsidR="0076348D" w:rsidRPr="001D2CE7" w:rsidRDefault="00E75F84" w:rsidP="0076348D">
            <w:pPr>
              <w:pStyle w:val="bullets0"/>
              <w:numPr>
                <w:ilvl w:val="1"/>
                <w:numId w:val="14"/>
              </w:numPr>
              <w:ind w:left="1169"/>
              <w:rPr>
                <w:b w:val="0"/>
                <w:bCs w:val="0"/>
              </w:rPr>
            </w:pPr>
            <w:r w:rsidRPr="001D2CE7">
              <w:rPr>
                <w:rStyle w:val="EnfasiChar"/>
                <w:b/>
                <w:bCs/>
              </w:rPr>
              <w:t>41,982</w:t>
            </w:r>
            <w:r w:rsidRPr="001D2CE7">
              <w:rPr>
                <w:b w:val="0"/>
                <w:bCs w:val="0"/>
              </w:rPr>
              <w:t xml:space="preserve"> survivors of violence accessed GBV services (UNFPA)</w:t>
            </w:r>
          </w:p>
          <w:p w14:paraId="42575A31" w14:textId="1BC40A6A" w:rsidR="0076348D" w:rsidRPr="001D2CE7" w:rsidRDefault="00E75F84" w:rsidP="0076348D">
            <w:pPr>
              <w:pStyle w:val="bullets0"/>
              <w:numPr>
                <w:ilvl w:val="1"/>
                <w:numId w:val="14"/>
              </w:numPr>
              <w:ind w:left="1169"/>
              <w:rPr>
                <w:b w:val="0"/>
                <w:bCs w:val="0"/>
              </w:rPr>
            </w:pPr>
            <w:r w:rsidRPr="001D2CE7">
              <w:rPr>
                <w:rStyle w:val="EnfasiChar"/>
                <w:b/>
                <w:bCs/>
              </w:rPr>
              <w:t>At least 199,897</w:t>
            </w:r>
            <w:r w:rsidRPr="001D2CE7">
              <w:rPr>
                <w:b w:val="0"/>
                <w:bCs w:val="0"/>
              </w:rPr>
              <w:t xml:space="preserve"> persons sensit</w:t>
            </w:r>
            <w:r w:rsidR="00B43345" w:rsidRPr="001D2CE7">
              <w:rPr>
                <w:b w:val="0"/>
                <w:bCs w:val="0"/>
              </w:rPr>
              <w:t>is</w:t>
            </w:r>
            <w:r w:rsidRPr="001D2CE7">
              <w:rPr>
                <w:b w:val="0"/>
                <w:bCs w:val="0"/>
              </w:rPr>
              <w:t>ed on GBV issues (UNFPA)</w:t>
            </w:r>
          </w:p>
          <w:p w14:paraId="4F496E29" w14:textId="1EFBF0F3" w:rsidR="00E75F84" w:rsidRPr="001D2CE7" w:rsidRDefault="00E75F84" w:rsidP="0076348D">
            <w:pPr>
              <w:pStyle w:val="bullets0"/>
              <w:numPr>
                <w:ilvl w:val="1"/>
                <w:numId w:val="14"/>
              </w:numPr>
              <w:ind w:left="1169"/>
              <w:rPr>
                <w:b w:val="0"/>
                <w:bCs w:val="0"/>
              </w:rPr>
            </w:pPr>
            <w:r w:rsidRPr="001D2CE7">
              <w:rPr>
                <w:rStyle w:val="EnfasiChar"/>
                <w:b/>
                <w:bCs/>
              </w:rPr>
              <w:t>655,176</w:t>
            </w:r>
            <w:r w:rsidRPr="001D2CE7">
              <w:rPr>
                <w:b w:val="0"/>
                <w:bCs w:val="0"/>
              </w:rPr>
              <w:t xml:space="preserve"> persons benefited from MRE (UNMAS)</w:t>
            </w:r>
          </w:p>
          <w:p w14:paraId="4F140B96" w14:textId="77777777" w:rsidR="00E75F84" w:rsidRPr="001D2CE7" w:rsidRDefault="00E75F84" w:rsidP="0076348D">
            <w:pPr>
              <w:pStyle w:val="bullets0"/>
              <w:numPr>
                <w:ilvl w:val="1"/>
                <w:numId w:val="14"/>
              </w:numPr>
              <w:ind w:left="1169"/>
              <w:rPr>
                <w:b w:val="0"/>
                <w:bCs w:val="0"/>
              </w:rPr>
            </w:pPr>
            <w:r w:rsidRPr="001D2CE7">
              <w:rPr>
                <w:rStyle w:val="EnfasiChar"/>
                <w:b/>
                <w:bCs/>
              </w:rPr>
              <w:t>106</w:t>
            </w:r>
            <w:r w:rsidRPr="001D2CE7">
              <w:rPr>
                <w:b w:val="0"/>
                <w:bCs w:val="0"/>
              </w:rPr>
              <w:t xml:space="preserve"> protection services have been strengthened (UNFPA)</w:t>
            </w:r>
          </w:p>
          <w:p w14:paraId="4F0D5A86" w14:textId="77777777" w:rsidR="00E75F84" w:rsidRPr="001D2CE7" w:rsidRDefault="00E75F84" w:rsidP="0076348D">
            <w:pPr>
              <w:pStyle w:val="bullets0"/>
              <w:numPr>
                <w:ilvl w:val="1"/>
                <w:numId w:val="14"/>
              </w:numPr>
              <w:ind w:left="1169"/>
              <w:rPr>
                <w:b w:val="0"/>
                <w:bCs w:val="0"/>
              </w:rPr>
            </w:pPr>
            <w:r w:rsidRPr="001D2CE7">
              <w:rPr>
                <w:rStyle w:val="EnfasiChar"/>
                <w:b/>
                <w:bCs/>
              </w:rPr>
              <w:t>2,482</w:t>
            </w:r>
            <w:r w:rsidRPr="001D2CE7">
              <w:rPr>
                <w:b w:val="0"/>
                <w:bCs w:val="0"/>
              </w:rPr>
              <w:t xml:space="preserve"> people with a disability benefitted from rehabilitation services (IHO) </w:t>
            </w:r>
          </w:p>
          <w:p w14:paraId="4E56A923" w14:textId="77777777" w:rsidR="00E75F84" w:rsidRPr="001D2CE7" w:rsidRDefault="00E75F84" w:rsidP="0076348D">
            <w:pPr>
              <w:pStyle w:val="bullets0"/>
              <w:numPr>
                <w:ilvl w:val="1"/>
                <w:numId w:val="14"/>
              </w:numPr>
              <w:ind w:left="1169"/>
              <w:rPr>
                <w:b w:val="0"/>
                <w:bCs w:val="0"/>
              </w:rPr>
            </w:pPr>
            <w:r w:rsidRPr="001D2CE7">
              <w:rPr>
                <w:rStyle w:val="EnfasiChar"/>
                <w:b/>
                <w:bCs/>
              </w:rPr>
              <w:t>7,837</w:t>
            </w:r>
            <w:r w:rsidRPr="001D2CE7">
              <w:rPr>
                <w:b w:val="0"/>
                <w:bCs w:val="0"/>
              </w:rPr>
              <w:t xml:space="preserve"> people with a disability accessed assistance and protection services (BPF)</w:t>
            </w:r>
          </w:p>
          <w:p w14:paraId="6DA3711D" w14:textId="77777777" w:rsidR="00E75F84" w:rsidRPr="001D2CE7" w:rsidRDefault="00E75F84" w:rsidP="0076348D">
            <w:pPr>
              <w:pStyle w:val="bullets0"/>
              <w:numPr>
                <w:ilvl w:val="1"/>
                <w:numId w:val="14"/>
              </w:numPr>
              <w:ind w:left="1169"/>
              <w:rPr>
                <w:b w:val="0"/>
                <w:bCs w:val="0"/>
              </w:rPr>
            </w:pPr>
            <w:r w:rsidRPr="001D2CE7">
              <w:rPr>
                <w:rStyle w:val="EnfasiChar"/>
                <w:b/>
                <w:bCs/>
              </w:rPr>
              <w:t>541,410</w:t>
            </w:r>
            <w:r w:rsidRPr="001D2CE7">
              <w:rPr>
                <w:b w:val="0"/>
                <w:bCs w:val="0"/>
              </w:rPr>
              <w:t xml:space="preserve"> vulnerable people received assistance including dignity kits and RH services (UNFPA), economic assistance and WASH (IHO), inclusive assistance (BPF), and PSS/ social cohesion activities (IOM)</w:t>
            </w:r>
          </w:p>
          <w:p w14:paraId="6C49F6C9" w14:textId="2E68D746" w:rsidR="00E75F84" w:rsidRPr="001D2CE7" w:rsidRDefault="00E75F84" w:rsidP="00C50671">
            <w:pPr>
              <w:spacing w:before="240"/>
              <w:ind w:left="142" w:right="228"/>
              <w:rPr>
                <w:b w:val="0"/>
                <w:bCs w:val="0"/>
              </w:rPr>
            </w:pPr>
            <w:r w:rsidRPr="001D2CE7">
              <w:rPr>
                <w:rStyle w:val="EnfasiChar"/>
                <w:b/>
                <w:bCs/>
              </w:rPr>
              <w:t>Humanitarian and stabilisation assistance</w:t>
            </w:r>
            <w:r w:rsidRPr="001D2CE7">
              <w:rPr>
                <w:b w:val="0"/>
                <w:bCs w:val="0"/>
              </w:rPr>
              <w:t xml:space="preserve"> have enabled </w:t>
            </w:r>
            <w:r w:rsidRPr="001D2CE7">
              <w:rPr>
                <w:rStyle w:val="EnfasiChar"/>
                <w:b/>
                <w:bCs/>
              </w:rPr>
              <w:t>1,536,073</w:t>
            </w:r>
            <w:r w:rsidRPr="001D2CE7">
              <w:rPr>
                <w:b w:val="0"/>
                <w:bCs w:val="0"/>
              </w:rPr>
              <w:t xml:space="preserve"> people to benefit from improved access to WASH (UNICEF, UNDP and IHO)</w:t>
            </w:r>
            <w:r w:rsidR="00C50671" w:rsidRPr="001D2CE7">
              <w:rPr>
                <w:b w:val="0"/>
                <w:bCs w:val="0"/>
              </w:rPr>
              <w:t>.</w:t>
            </w:r>
          </w:p>
        </w:tc>
      </w:tr>
    </w:tbl>
    <w:p w14:paraId="2AFB0722" w14:textId="27CBD478" w:rsidR="00E75F84" w:rsidRPr="00BD1C03" w:rsidRDefault="00E75F84" w:rsidP="0008435D"/>
    <w:tbl>
      <w:tblPr>
        <w:tblStyle w:val="GridTable1Light-Accent31"/>
        <w:tblW w:w="0" w:type="auto"/>
        <w:tblLook w:val="04A0" w:firstRow="1" w:lastRow="0" w:firstColumn="1" w:lastColumn="0" w:noHBand="0" w:noVBand="1"/>
      </w:tblPr>
      <w:tblGrid>
        <w:gridCol w:w="8188"/>
      </w:tblGrid>
      <w:tr w:rsidR="00B26BF7" w:rsidRPr="00BD1C03" w14:paraId="143ECA2E" w14:textId="77777777" w:rsidTr="004A57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bottom w:val="single" w:sz="12" w:space="0" w:color="4F6228" w:themeColor="accent3" w:themeShade="80"/>
            </w:tcBorders>
          </w:tcPr>
          <w:p w14:paraId="36F2ECD3" w14:textId="77777777" w:rsidR="00B26BF7" w:rsidRPr="001D2CE7" w:rsidRDefault="00B26BF7" w:rsidP="001D2CE7">
            <w:pPr>
              <w:pStyle w:val="Enfasi"/>
              <w:rPr>
                <w:b/>
                <w:bCs/>
              </w:rPr>
            </w:pPr>
            <w:r w:rsidRPr="001D2CE7">
              <w:rPr>
                <w:b/>
                <w:bCs/>
              </w:rPr>
              <w:t>Stabilisation and social cohesion aggregate results to date include:</w:t>
            </w:r>
          </w:p>
          <w:p w14:paraId="207434B8" w14:textId="2EDFB745" w:rsidR="00B26BF7" w:rsidRPr="001D2CE7" w:rsidRDefault="00A927F2" w:rsidP="006E12C0">
            <w:pPr>
              <w:pStyle w:val="bullets0"/>
              <w:ind w:left="459" w:hanging="283"/>
              <w:rPr>
                <w:b w:val="0"/>
                <w:bCs w:val="0"/>
              </w:rPr>
            </w:pPr>
            <w:r w:rsidRPr="001D2CE7">
              <w:rPr>
                <w:rStyle w:val="EnfasiChar"/>
                <w:b/>
                <w:bCs/>
              </w:rPr>
              <w:t>4,</w:t>
            </w:r>
            <w:r w:rsidR="00B26BF7" w:rsidRPr="001D2CE7">
              <w:rPr>
                <w:rStyle w:val="EnfasiChar"/>
                <w:b/>
                <w:bCs/>
              </w:rPr>
              <w:t>660,404</w:t>
            </w:r>
            <w:r w:rsidR="00B26BF7" w:rsidRPr="001D2CE7">
              <w:rPr>
                <w:b w:val="0"/>
                <w:bCs w:val="0"/>
              </w:rPr>
              <w:t xml:space="preserve"> IDPs have returned to liberated areas with Australia’s and like-minded donors investments contributing to this outcome (IOM DTM)</w:t>
            </w:r>
            <w:r w:rsidR="00B26BF7" w:rsidRPr="001D2CE7">
              <w:rPr>
                <w:b w:val="0"/>
                <w:bCs w:val="0"/>
                <w:vertAlign w:val="superscript"/>
              </w:rPr>
              <w:endnoteReference w:id="46"/>
            </w:r>
          </w:p>
          <w:p w14:paraId="2517370F" w14:textId="77777777" w:rsidR="00B26BF7" w:rsidRPr="001D2CE7" w:rsidRDefault="00B26BF7" w:rsidP="006E12C0">
            <w:pPr>
              <w:pStyle w:val="bullets0"/>
              <w:ind w:left="459" w:hanging="283"/>
              <w:rPr>
                <w:b w:val="0"/>
                <w:bCs w:val="0"/>
              </w:rPr>
            </w:pPr>
            <w:r w:rsidRPr="001D2CE7">
              <w:rPr>
                <w:rStyle w:val="EnfasiChar"/>
                <w:b/>
                <w:bCs/>
              </w:rPr>
              <w:t>58</w:t>
            </w:r>
            <w:r w:rsidRPr="001D2CE7">
              <w:rPr>
                <w:b w:val="0"/>
                <w:bCs w:val="0"/>
              </w:rPr>
              <w:t xml:space="preserve"> institutions/ infrastructure projects rehabilitated (UNDP)</w:t>
            </w:r>
          </w:p>
          <w:p w14:paraId="06A8077B" w14:textId="77777777" w:rsidR="00B26BF7" w:rsidRPr="001D2CE7" w:rsidRDefault="00B26BF7" w:rsidP="006E12C0">
            <w:pPr>
              <w:pStyle w:val="bullets0"/>
              <w:ind w:left="459" w:hanging="283"/>
              <w:rPr>
                <w:b w:val="0"/>
                <w:bCs w:val="0"/>
              </w:rPr>
            </w:pPr>
            <w:r w:rsidRPr="001D2CE7">
              <w:rPr>
                <w:rStyle w:val="EnfasiChar"/>
                <w:b/>
                <w:bCs/>
              </w:rPr>
              <w:t>1,403</w:t>
            </w:r>
            <w:r w:rsidRPr="001D2CE7">
              <w:rPr>
                <w:b w:val="0"/>
                <w:bCs w:val="0"/>
              </w:rPr>
              <w:t xml:space="preserve"> explosives and hazards rendered safe (UNMAS) </w:t>
            </w:r>
          </w:p>
          <w:p w14:paraId="7733A2AB" w14:textId="77777777" w:rsidR="00B26BF7" w:rsidRPr="001D2CE7" w:rsidRDefault="00B26BF7" w:rsidP="006E12C0">
            <w:pPr>
              <w:pStyle w:val="bullets0"/>
              <w:ind w:left="459" w:hanging="283"/>
              <w:rPr>
                <w:b w:val="0"/>
                <w:bCs w:val="0"/>
              </w:rPr>
            </w:pPr>
            <w:r w:rsidRPr="001D2CE7">
              <w:rPr>
                <w:rStyle w:val="EnfasiChar"/>
                <w:b/>
                <w:bCs/>
              </w:rPr>
              <w:t>1,098</w:t>
            </w:r>
            <w:r w:rsidRPr="001D2CE7">
              <w:rPr>
                <w:b w:val="0"/>
                <w:bCs w:val="0"/>
              </w:rPr>
              <w:t xml:space="preserve"> community networks strengthened to support integration, dialogue and peacebuilding initiatives (IOM, BPF)</w:t>
            </w:r>
          </w:p>
          <w:p w14:paraId="0F2B894B" w14:textId="2005F4B8" w:rsidR="00B26BF7" w:rsidRPr="00BD1C03" w:rsidRDefault="00B26BF7" w:rsidP="006E12C0">
            <w:pPr>
              <w:pStyle w:val="bullets0"/>
              <w:ind w:left="459" w:hanging="283"/>
            </w:pPr>
            <w:r w:rsidRPr="001D2CE7">
              <w:rPr>
                <w:rStyle w:val="EnfasiChar"/>
                <w:b/>
                <w:bCs/>
              </w:rPr>
              <w:t>27,006</w:t>
            </w:r>
            <w:r w:rsidRPr="001D2CE7">
              <w:rPr>
                <w:b w:val="0"/>
                <w:bCs w:val="0"/>
              </w:rPr>
              <w:t xml:space="preserve"> cash for work opportunities created (UNDP)</w:t>
            </w:r>
          </w:p>
        </w:tc>
      </w:tr>
    </w:tbl>
    <w:p w14:paraId="51A2B89D" w14:textId="77777777" w:rsidR="00B26BF7" w:rsidRPr="00BD1C03" w:rsidRDefault="00B26BF7" w:rsidP="00B26BF7">
      <w:pPr>
        <w:spacing w:after="0"/>
      </w:pPr>
    </w:p>
    <w:p w14:paraId="18E688BE" w14:textId="7ECFA017" w:rsidR="0056018B" w:rsidRPr="00BD1C03" w:rsidRDefault="0056018B" w:rsidP="0056018B">
      <w:r w:rsidRPr="00BD1C03">
        <w:t xml:space="preserve">In terms of cumulative aggregate results as of 2019, compiled DFAT partner reports indicate </w:t>
      </w:r>
      <w:r w:rsidRPr="00AE0E70">
        <w:rPr>
          <w:b/>
        </w:rPr>
        <w:t>2,300,217</w:t>
      </w:r>
      <w:r w:rsidRPr="00BD1C03">
        <w:t xml:space="preserve"> vulnerable women, men, boys and girls have been reached with life-saving assistance including improved access to WASH, MRE, and SRH.</w:t>
      </w:r>
      <w:r w:rsidRPr="00BD1C03">
        <w:rPr>
          <w:rStyle w:val="EndnoteReference"/>
          <w:rFonts w:ascii="Calibri Light" w:hAnsi="Calibri Light" w:cs="Calibri Light"/>
          <w:szCs w:val="22"/>
        </w:rPr>
        <w:endnoteReference w:id="47"/>
      </w:r>
      <w:r w:rsidRPr="00BD1C03">
        <w:t xml:space="preserve">  A further </w:t>
      </w:r>
      <w:r w:rsidRPr="00BD1C03">
        <w:rPr>
          <w:b/>
          <w:bCs/>
        </w:rPr>
        <w:t xml:space="preserve">41,982 </w:t>
      </w:r>
      <w:r w:rsidRPr="00BD1C03">
        <w:t xml:space="preserve">women survivors of violence have accessed GBV services including </w:t>
      </w:r>
      <w:r w:rsidR="00C624B7" w:rsidRPr="00BD1C03">
        <w:t>counse</w:t>
      </w:r>
      <w:r w:rsidR="00C624B7">
        <w:t>lling</w:t>
      </w:r>
      <w:r w:rsidRPr="00BD1C03">
        <w:t xml:space="preserve"> from UNFPA. </w:t>
      </w:r>
    </w:p>
    <w:p w14:paraId="47BE75A5" w14:textId="77777777" w:rsidR="0056018B" w:rsidRDefault="0056018B" w:rsidP="0056018B">
      <w:r w:rsidRPr="00BD1C03">
        <w:t>As mentioned, the Package bridges two end of program outcomes intended to meet humanitarian assistance, and stabilisation and social cohesion needs. The following results are taken directly from or calculated based on the data contained in the detailed M&amp;E framework dated 3 April 2020 and are considered attributable to Australia.</w:t>
      </w:r>
    </w:p>
    <w:p w14:paraId="2D890E45" w14:textId="7EE23398" w:rsidR="004E5E5B" w:rsidRPr="00BD1C03" w:rsidRDefault="00F259ED" w:rsidP="0056018B">
      <w:r w:rsidRPr="00BD1C03">
        <w:t>Th</w:t>
      </w:r>
      <w:r w:rsidR="003C6391" w:rsidRPr="00BD1C03">
        <w:t>e</w:t>
      </w:r>
      <w:r w:rsidR="004025B5" w:rsidRPr="00BD1C03">
        <w:t>re are several different</w:t>
      </w:r>
      <w:r w:rsidR="003C6391" w:rsidRPr="00BD1C03">
        <w:t xml:space="preserve"> d</w:t>
      </w:r>
      <w:r w:rsidRPr="00BD1C03">
        <w:t>ata</w:t>
      </w:r>
      <w:r w:rsidR="004025B5" w:rsidRPr="00BD1C03">
        <w:t xml:space="preserve"> sources</w:t>
      </w:r>
      <w:r w:rsidRPr="00BD1C03">
        <w:t xml:space="preserve"> </w:t>
      </w:r>
      <w:r w:rsidR="00CE4DA4" w:rsidRPr="00BD1C03">
        <w:t xml:space="preserve">and figures </w:t>
      </w:r>
      <w:r w:rsidRPr="00BD1C03">
        <w:t>on returns across</w:t>
      </w:r>
      <w:r w:rsidR="00CE4DA4" w:rsidRPr="00BD1C03">
        <w:t xml:space="preserve"> the literature reviewed</w:t>
      </w:r>
      <w:r w:rsidR="004025B5" w:rsidRPr="00BD1C03">
        <w:t>.</w:t>
      </w:r>
      <w:r w:rsidR="003C6391" w:rsidRPr="00BD1C03">
        <w:t xml:space="preserve"> It is unusual to use returns as an indicator recogn</w:t>
      </w:r>
      <w:r w:rsidR="00B43345">
        <w:t>is</w:t>
      </w:r>
      <w:r w:rsidR="003C6391" w:rsidRPr="00BD1C03">
        <w:t>ing the multiplicity of factors that influence returns,</w:t>
      </w:r>
      <w:r w:rsidRPr="00BD1C03">
        <w:t xml:space="preserve"> and </w:t>
      </w:r>
      <w:r w:rsidR="003C6391" w:rsidRPr="00BD1C03">
        <w:t xml:space="preserve">future use of such indicators should </w:t>
      </w:r>
      <w:r w:rsidR="000030EF">
        <w:t>emphas</w:t>
      </w:r>
      <w:r w:rsidR="00B43345">
        <w:t>is</w:t>
      </w:r>
      <w:r w:rsidR="00BC26CA" w:rsidRPr="00BD1C03">
        <w:t>e</w:t>
      </w:r>
      <w:r w:rsidR="00CE4DA4" w:rsidRPr="00BD1C03">
        <w:t xml:space="preserve"> importance of</w:t>
      </w:r>
      <w:r w:rsidR="003C6391" w:rsidRPr="00BD1C03">
        <w:t xml:space="preserve"> </w:t>
      </w:r>
      <w:r w:rsidRPr="00BD1C03">
        <w:t>rights-based</w:t>
      </w:r>
      <w:r w:rsidR="00CE4DA4" w:rsidRPr="00BD1C03">
        <w:t xml:space="preserve"> returns</w:t>
      </w:r>
      <w:r w:rsidRPr="00BD1C03">
        <w:t xml:space="preserve"> – returns </w:t>
      </w:r>
      <w:r w:rsidR="00696C58" w:rsidRPr="00BD1C03">
        <w:t xml:space="preserve">that </w:t>
      </w:r>
      <w:r w:rsidR="004025B5" w:rsidRPr="00BD1C03">
        <w:t xml:space="preserve">are </w:t>
      </w:r>
      <w:r w:rsidRPr="00BD1C03">
        <w:t>voluntary, safe and dignified.</w:t>
      </w:r>
      <w:r w:rsidR="00CC3974" w:rsidRPr="00BD1C03">
        <w:t xml:space="preserve"> IOM’s DTM return figures have been selected at the most reliable source of information on returns.</w:t>
      </w:r>
      <w:r w:rsidR="00CC3974" w:rsidRPr="00BD1C03">
        <w:rPr>
          <w:rStyle w:val="EndnoteReference"/>
          <w:rFonts w:ascii="Calibri Light" w:hAnsi="Calibri Light" w:cs="Calibri Light"/>
          <w:color w:val="000000" w:themeColor="text1"/>
          <w:szCs w:val="22"/>
        </w:rPr>
        <w:endnoteReference w:id="48"/>
      </w:r>
    </w:p>
    <w:p w14:paraId="08E9FA70" w14:textId="2FD6368C" w:rsidR="0055577A" w:rsidRPr="00BD1C03" w:rsidRDefault="0055577A" w:rsidP="0008435D">
      <w:r w:rsidRPr="00BD1C03">
        <w:t xml:space="preserve">The package average </w:t>
      </w:r>
      <w:r w:rsidR="00E0055A" w:rsidRPr="00BD1C03">
        <w:t>H</w:t>
      </w:r>
      <w:r w:rsidR="0024667A" w:rsidRPr="00BD1C03">
        <w:t xml:space="preserve">umanitarian </w:t>
      </w:r>
      <w:r w:rsidRPr="00BD1C03">
        <w:t>A</w:t>
      </w:r>
      <w:r w:rsidR="0024667A" w:rsidRPr="00BD1C03">
        <w:t xml:space="preserve">id </w:t>
      </w:r>
      <w:r w:rsidRPr="00BD1C03">
        <w:t>Q</w:t>
      </w:r>
      <w:r w:rsidR="0024667A" w:rsidRPr="00BD1C03">
        <w:t xml:space="preserve">uality </w:t>
      </w:r>
      <w:r w:rsidRPr="00BD1C03">
        <w:t>C</w:t>
      </w:r>
      <w:r w:rsidR="0024667A" w:rsidRPr="00BD1C03">
        <w:t>heck (HAQC)</w:t>
      </w:r>
      <w:r w:rsidRPr="00BD1C03">
        <w:t xml:space="preserve"> rating for effectiveness is almost 4</w:t>
      </w:r>
      <w:r w:rsidR="00165FB4" w:rsidRPr="00BD1C03">
        <w:t xml:space="preserve"> with a high level of variability in partner performance across</w:t>
      </w:r>
      <w:r w:rsidR="00AD2424" w:rsidRPr="00BD1C03">
        <w:t xml:space="preserve"> SADD data</w:t>
      </w:r>
      <w:r w:rsidR="00165FB4" w:rsidRPr="00BD1C03">
        <w:t>, disability</w:t>
      </w:r>
      <w:r w:rsidR="001150DA" w:rsidRPr="00BD1C03">
        <w:t xml:space="preserve"> inclusion</w:t>
      </w:r>
      <w:r w:rsidR="00165FB4" w:rsidRPr="00BD1C03">
        <w:t>, protection</w:t>
      </w:r>
      <w:r w:rsidR="001150DA" w:rsidRPr="00BD1C03">
        <w:t xml:space="preserve"> (measured against AAP indicators),</w:t>
      </w:r>
      <w:r w:rsidR="00165FB4" w:rsidRPr="00BD1C03">
        <w:t xml:space="preserve"> and gender equality and women’s empowerment (GEWE). This can in part </w:t>
      </w:r>
      <w:r w:rsidR="00FE73C8" w:rsidRPr="00BD1C03">
        <w:t xml:space="preserve">be </w:t>
      </w:r>
      <w:r w:rsidR="00165FB4" w:rsidRPr="00BD1C03">
        <w:t xml:space="preserve">explained by </w:t>
      </w:r>
      <w:r w:rsidR="007E498E" w:rsidRPr="00BD1C03">
        <w:t xml:space="preserve">the </w:t>
      </w:r>
      <w:r w:rsidR="003702F2" w:rsidRPr="00BD1C03">
        <w:t xml:space="preserve">different </w:t>
      </w:r>
      <w:r w:rsidR="00165FB4" w:rsidRPr="00BD1C03">
        <w:t>mandates</w:t>
      </w:r>
      <w:r w:rsidR="007E498E" w:rsidRPr="00BD1C03">
        <w:t xml:space="preserve"> of the partners</w:t>
      </w:r>
      <w:r w:rsidR="003702F2" w:rsidRPr="00BD1C03">
        <w:t xml:space="preserve"> and</w:t>
      </w:r>
      <w:r w:rsidR="00165FB4" w:rsidRPr="00BD1C03">
        <w:t xml:space="preserve"> lack of grounding in IASC standards</w:t>
      </w:r>
      <w:r w:rsidR="003702F2" w:rsidRPr="00BD1C03">
        <w:t>,</w:t>
      </w:r>
      <w:r w:rsidR="00165FB4" w:rsidRPr="00BD1C03">
        <w:t xml:space="preserve"> which in turn affects ability to frame and capture results.</w:t>
      </w:r>
      <w:r w:rsidR="00873E6B" w:rsidRPr="00BD1C03">
        <w:t xml:space="preserve"> It is further limited by the current HAQC criteria for </w:t>
      </w:r>
      <w:r w:rsidR="00511997" w:rsidRPr="00BD1C03">
        <w:t>protection, which</w:t>
      </w:r>
      <w:r w:rsidR="00452CF0" w:rsidRPr="00BD1C03">
        <w:t xml:space="preserve"> </w:t>
      </w:r>
      <w:r w:rsidR="00873E6B" w:rsidRPr="00BD1C03">
        <w:t>reli</w:t>
      </w:r>
      <w:r w:rsidR="00452CF0" w:rsidRPr="00BD1C03">
        <w:t>es</w:t>
      </w:r>
      <w:r w:rsidR="00873E6B" w:rsidRPr="00BD1C03">
        <w:t xml:space="preserve"> on two AAP </w:t>
      </w:r>
      <w:r w:rsidR="001150DA" w:rsidRPr="00BD1C03">
        <w:t>ind</w:t>
      </w:r>
      <w:r w:rsidR="00AC7999" w:rsidRPr="00BD1C03">
        <w:t>i</w:t>
      </w:r>
      <w:r w:rsidR="001150DA" w:rsidRPr="00BD1C03">
        <w:t>cators</w:t>
      </w:r>
      <w:r w:rsidR="00873E6B" w:rsidRPr="00BD1C03">
        <w:t>.</w:t>
      </w:r>
      <w:r w:rsidR="004840DB" w:rsidRPr="00BD1C03">
        <w:t xml:space="preserve"> </w:t>
      </w:r>
      <w:r w:rsidR="00CD7C9E" w:rsidRPr="00BD1C03">
        <w:t xml:space="preserve">Recognising </w:t>
      </w:r>
      <w:r w:rsidR="004840DB" w:rsidRPr="00BD1C03">
        <w:t xml:space="preserve">AAP </w:t>
      </w:r>
      <w:r w:rsidR="00CD7C9E" w:rsidRPr="00BD1C03">
        <w:t xml:space="preserve">indicators capture </w:t>
      </w:r>
      <w:r w:rsidR="00B4125B" w:rsidRPr="00BD1C03">
        <w:t>an</w:t>
      </w:r>
      <w:r w:rsidR="00CD7C9E" w:rsidRPr="00BD1C03">
        <w:t xml:space="preserve"> important </w:t>
      </w:r>
      <w:r w:rsidR="004840DB" w:rsidRPr="00BD1C03">
        <w:t>mainstreaming issue</w:t>
      </w:r>
      <w:r w:rsidR="00CD7C9E" w:rsidRPr="00BD1C03">
        <w:t>, t</w:t>
      </w:r>
      <w:r w:rsidR="00B4125B" w:rsidRPr="00BD1C03">
        <w:t>hey</w:t>
      </w:r>
      <w:r w:rsidR="00CD7C9E" w:rsidRPr="00BD1C03">
        <w:t xml:space="preserve"> </w:t>
      </w:r>
      <w:r w:rsidR="009F016D" w:rsidRPr="00BD1C03">
        <w:t xml:space="preserve">do not adequately </w:t>
      </w:r>
      <w:r w:rsidR="00CD7C9E" w:rsidRPr="00BD1C03">
        <w:t>capture</w:t>
      </w:r>
      <w:r w:rsidR="00B4125B" w:rsidRPr="00BD1C03">
        <w:t xml:space="preserve"> or reflect</w:t>
      </w:r>
      <w:r w:rsidR="004840DB" w:rsidRPr="00BD1C03">
        <w:t xml:space="preserve"> the three necessary levels of protective action</w:t>
      </w:r>
      <w:r w:rsidR="00CD7C9E" w:rsidRPr="00BD1C03">
        <w:t xml:space="preserve"> outlined </w:t>
      </w:r>
      <w:r w:rsidR="00B4125B" w:rsidRPr="00BD1C03">
        <w:t xml:space="preserve">in 5.2 </w:t>
      </w:r>
      <w:r w:rsidR="00CD7C9E" w:rsidRPr="00BD1C03">
        <w:t>below (</w:t>
      </w:r>
      <w:r w:rsidR="004840DB" w:rsidRPr="00BD1C03">
        <w:t xml:space="preserve">strategic approach, dedicated programs </w:t>
      </w:r>
      <w:r w:rsidR="00CD7C9E" w:rsidRPr="00BD1C03">
        <w:t xml:space="preserve">and </w:t>
      </w:r>
      <w:r w:rsidR="004840DB" w:rsidRPr="00BD1C03">
        <w:t xml:space="preserve">broader range of mainstreaming </w:t>
      </w:r>
      <w:r w:rsidR="00CD7C9E" w:rsidRPr="00BD1C03">
        <w:t>interventions)</w:t>
      </w:r>
      <w:r w:rsidR="004840DB" w:rsidRPr="00BD1C03">
        <w:t>.</w:t>
      </w:r>
    </w:p>
    <w:p w14:paraId="24AA501C" w14:textId="44EB101E" w:rsidR="000347F0" w:rsidRPr="00BD1C03" w:rsidRDefault="000347F0" w:rsidP="0008435D">
      <w:r w:rsidRPr="00BD1C03">
        <w:t>In terms of end of program outcomes, the majority of partners appear on track notwithstanding the different reporting formats and timeframes, and in several instances have exceeded their anticipated targets. While start-up was slow for some partners and the BPF consortium in particular, it is expected that partners will meet their targets by the end of 2020</w:t>
      </w:r>
      <w:r w:rsidR="00BC26CA" w:rsidRPr="00BD1C03">
        <w:t xml:space="preserve"> </w:t>
      </w:r>
      <w:r w:rsidR="00452CF0" w:rsidRPr="00BD1C03">
        <w:t>–</w:t>
      </w:r>
      <w:r w:rsidR="00BC26CA" w:rsidRPr="00BD1C03">
        <w:t xml:space="preserve"> notwithstanding the impacts of C</w:t>
      </w:r>
      <w:r w:rsidR="00B21BA2" w:rsidRPr="00BD1C03">
        <w:t>OVID</w:t>
      </w:r>
      <w:r w:rsidR="00BC26CA" w:rsidRPr="00BD1C03">
        <w:t>-19</w:t>
      </w:r>
      <w:r w:rsidRPr="00BD1C03">
        <w:t xml:space="preserve">. </w:t>
      </w:r>
    </w:p>
    <w:p w14:paraId="69B93C04" w14:textId="0870287F" w:rsidR="00765863" w:rsidRPr="000B478B" w:rsidRDefault="008C67BE" w:rsidP="00B13F20">
      <w:pPr>
        <w:pStyle w:val="Heading2"/>
        <w:numPr>
          <w:ilvl w:val="1"/>
          <w:numId w:val="5"/>
        </w:numPr>
        <w:rPr>
          <w:sz w:val="40"/>
          <w:szCs w:val="40"/>
        </w:rPr>
      </w:pPr>
      <w:r w:rsidRPr="000B478B">
        <w:rPr>
          <w:sz w:val="40"/>
          <w:szCs w:val="40"/>
        </w:rPr>
        <w:t>IASC c</w:t>
      </w:r>
      <w:r w:rsidR="00765863" w:rsidRPr="000B478B">
        <w:rPr>
          <w:sz w:val="40"/>
          <w:szCs w:val="40"/>
        </w:rPr>
        <w:t>entrality of protection</w:t>
      </w:r>
    </w:p>
    <w:p w14:paraId="147AFA51" w14:textId="70BF6FCF" w:rsidR="00264DD2" w:rsidRPr="00BD1C03" w:rsidRDefault="00165FB4" w:rsidP="0008435D">
      <w:r w:rsidRPr="00BD1C03">
        <w:t>Iraq is frequently referred to and character</w:t>
      </w:r>
      <w:r w:rsidR="00B43345">
        <w:t>is</w:t>
      </w:r>
      <w:r w:rsidRPr="00BD1C03">
        <w:t>ed</w:t>
      </w:r>
      <w:r w:rsidR="003702F2" w:rsidRPr="00BD1C03">
        <w:t xml:space="preserve"> in the literature and interviews</w:t>
      </w:r>
      <w:r w:rsidRPr="00BD1C03">
        <w:t xml:space="preserve"> as a </w:t>
      </w:r>
      <w:r w:rsidR="00EA2296">
        <w:t>“</w:t>
      </w:r>
      <w:r w:rsidRPr="00BD1C03">
        <w:t>protection crisis</w:t>
      </w:r>
      <w:r w:rsidR="00EA2296">
        <w:t>”</w:t>
      </w:r>
      <w:r w:rsidRPr="00BD1C03">
        <w:t>.</w:t>
      </w:r>
      <w:r w:rsidR="00765863" w:rsidRPr="00BD1C03">
        <w:t xml:space="preserve"> The attention to </w:t>
      </w:r>
      <w:r w:rsidR="004A0079" w:rsidRPr="00BD1C03">
        <w:t xml:space="preserve">several </w:t>
      </w:r>
      <w:r w:rsidR="00765863" w:rsidRPr="00BD1C03">
        <w:t xml:space="preserve">protection issues in the package design and M&amp;E framework </w:t>
      </w:r>
      <w:r w:rsidR="00186F97" w:rsidRPr="00BD1C03">
        <w:t>is</w:t>
      </w:r>
      <w:r w:rsidR="00765863" w:rsidRPr="00BD1C03">
        <w:t xml:space="preserve"> positive,</w:t>
      </w:r>
      <w:r w:rsidR="005D7B5E" w:rsidRPr="00BD1C03">
        <w:t xml:space="preserve"> including</w:t>
      </w:r>
      <w:r w:rsidR="004840DB" w:rsidRPr="00BD1C03">
        <w:t xml:space="preserve"> strategic approach to GEWE and disability inclusion.</w:t>
      </w:r>
      <w:r w:rsidR="00765863" w:rsidRPr="00BD1C03">
        <w:t xml:space="preserve"> </w:t>
      </w:r>
      <w:r w:rsidR="004840DB" w:rsidRPr="00BD1C03">
        <w:t>T</w:t>
      </w:r>
      <w:r w:rsidR="00765863" w:rsidRPr="00BD1C03">
        <w:t xml:space="preserve">hough </w:t>
      </w:r>
      <w:r w:rsidR="009F016D" w:rsidRPr="00BD1C03">
        <w:t xml:space="preserve">it is </w:t>
      </w:r>
      <w:r w:rsidR="00751789" w:rsidRPr="00BD1C03">
        <w:t>in</w:t>
      </w:r>
      <w:r w:rsidR="004A0079" w:rsidRPr="00BD1C03">
        <w:t>co</w:t>
      </w:r>
      <w:r w:rsidR="007F4B95" w:rsidRPr="00BD1C03">
        <w:t xml:space="preserve">nsistent </w:t>
      </w:r>
      <w:r w:rsidR="00751789" w:rsidRPr="00BD1C03">
        <w:t>with the</w:t>
      </w:r>
      <w:r w:rsidR="004A0079" w:rsidRPr="00BD1C03">
        <w:t xml:space="preserve"> </w:t>
      </w:r>
      <w:r w:rsidR="00765863" w:rsidRPr="00BD1C03">
        <w:t>IASC commitment to ensuring the centrality of protection</w:t>
      </w:r>
      <w:r w:rsidR="004A0079" w:rsidRPr="00BD1C03">
        <w:t xml:space="preserve"> (2013)</w:t>
      </w:r>
      <w:r w:rsidR="00186F97" w:rsidRPr="00BD1C03">
        <w:t>,</w:t>
      </w:r>
      <w:r w:rsidR="004A0079" w:rsidRPr="00BD1C03">
        <w:t xml:space="preserve"> IASC Protection Policy</w:t>
      </w:r>
      <w:r w:rsidR="00765863" w:rsidRPr="00BD1C03">
        <w:t xml:space="preserve"> </w:t>
      </w:r>
      <w:r w:rsidR="004A0079" w:rsidRPr="00BD1C03">
        <w:t>(2016)</w:t>
      </w:r>
      <w:r w:rsidR="006D54DB" w:rsidRPr="00BD1C03">
        <w:t>, and most critically</w:t>
      </w:r>
      <w:r w:rsidR="004A0079" w:rsidRPr="00BD1C03">
        <w:t xml:space="preserve"> </w:t>
      </w:r>
      <w:r w:rsidR="006D54DB" w:rsidRPr="00BD1C03">
        <w:t>not</w:t>
      </w:r>
      <w:r w:rsidR="004025B5" w:rsidRPr="00BD1C03">
        <w:t xml:space="preserve"> based on a comprehensive protection risk analysis</w:t>
      </w:r>
      <w:r w:rsidR="00186F97" w:rsidRPr="00BD1C03">
        <w:t>. The lack of comprehensive risk analysis is problematic as</w:t>
      </w:r>
      <w:r w:rsidR="0021687F" w:rsidRPr="00BD1C03">
        <w:t xml:space="preserve"> vulnerability i</w:t>
      </w:r>
      <w:r w:rsidR="005E2C66" w:rsidRPr="00BD1C03">
        <w:t>s</w:t>
      </w:r>
      <w:r w:rsidR="0021687F" w:rsidRPr="00BD1C03">
        <w:t xml:space="preserve"> intersectional</w:t>
      </w:r>
      <w:r w:rsidR="00186F97" w:rsidRPr="00BD1C03">
        <w:t>, not based on one identity characteristic</w:t>
      </w:r>
      <w:r w:rsidR="0021687F" w:rsidRPr="00BD1C03">
        <w:t xml:space="preserve"> and compounded by age, gender and diversity factors</w:t>
      </w:r>
      <w:r w:rsidR="00765863" w:rsidRPr="00BD1C03">
        <w:t>.</w:t>
      </w:r>
      <w:r w:rsidR="00765863" w:rsidRPr="00BD1C03">
        <w:rPr>
          <w:rStyle w:val="EndnoteReference"/>
          <w:rFonts w:ascii="Calibri Light" w:hAnsi="Calibri Light" w:cs="Calibri Light"/>
          <w:szCs w:val="22"/>
        </w:rPr>
        <w:endnoteReference w:id="49"/>
      </w:r>
      <w:r w:rsidR="00765863" w:rsidRPr="00BD1C03">
        <w:t xml:space="preserve"> </w:t>
      </w:r>
      <w:r w:rsidR="00770A27" w:rsidRPr="00BD1C03">
        <w:t>Diversity factors include but are not limited to disability status, ethnicity, religion</w:t>
      </w:r>
      <w:r w:rsidR="00680652" w:rsidRPr="00BD1C03">
        <w:t>, displacement status</w:t>
      </w:r>
      <w:r w:rsidR="00770A27" w:rsidRPr="00BD1C03">
        <w:t xml:space="preserve"> and sexual orientation and gender identity</w:t>
      </w:r>
      <w:r w:rsidR="00500025" w:rsidRPr="00BD1C03">
        <w:t>.</w:t>
      </w:r>
      <w:r w:rsidR="00770A27" w:rsidRPr="00BD1C03">
        <w:rPr>
          <w:rStyle w:val="EndnoteReference"/>
          <w:rFonts w:ascii="Calibri Light" w:hAnsi="Calibri Light" w:cs="Calibri Light"/>
          <w:szCs w:val="22"/>
        </w:rPr>
        <w:endnoteReference w:id="50"/>
      </w:r>
      <w:r w:rsidR="00770A27" w:rsidRPr="00BD1C03">
        <w:t xml:space="preserve"> </w:t>
      </w:r>
      <w:r w:rsidR="00765863" w:rsidRPr="00BD1C03">
        <w:t>It is also indicative of where some confusion may occur with respect to dialogue with partners</w:t>
      </w:r>
      <w:r w:rsidR="006D54DB" w:rsidRPr="00BD1C03">
        <w:t xml:space="preserve"> </w:t>
      </w:r>
      <w:r w:rsidR="00186F97" w:rsidRPr="00BD1C03">
        <w:t xml:space="preserve">on </w:t>
      </w:r>
      <w:r w:rsidR="00AF4EA0" w:rsidRPr="00BD1C03">
        <w:t>protection and</w:t>
      </w:r>
      <w:r w:rsidR="00765863" w:rsidRPr="00BD1C03">
        <w:t xml:space="preserve"> tracking and understanding results. </w:t>
      </w:r>
    </w:p>
    <w:p w14:paraId="1EC9B369" w14:textId="0F4B4ACF" w:rsidR="000E6F14" w:rsidRPr="00BD1C03" w:rsidRDefault="006D54DB" w:rsidP="0008435D">
      <w:r w:rsidRPr="00BD1C03">
        <w:t xml:space="preserve">To </w:t>
      </w:r>
      <w:r w:rsidR="00765863" w:rsidRPr="00BD1C03">
        <w:t xml:space="preserve">assist with </w:t>
      </w:r>
      <w:r w:rsidRPr="00BD1C03">
        <w:t>addressing</w:t>
      </w:r>
      <w:r w:rsidR="00765863" w:rsidRPr="00BD1C03">
        <w:t xml:space="preserve"> these challenges and gaps, relevant components of the package are more appropriately viewed through three </w:t>
      </w:r>
      <w:r w:rsidR="004A0079" w:rsidRPr="00BD1C03">
        <w:t xml:space="preserve">necessary </w:t>
      </w:r>
      <w:r w:rsidR="00765863" w:rsidRPr="00BD1C03">
        <w:t xml:space="preserve">levels of </w:t>
      </w:r>
      <w:r w:rsidR="001911D3" w:rsidRPr="00BD1C03">
        <w:t xml:space="preserve">protective </w:t>
      </w:r>
      <w:r w:rsidR="00765863" w:rsidRPr="00BD1C03">
        <w:t>action</w:t>
      </w:r>
      <w:r w:rsidR="00BF1426" w:rsidRPr="00BD1C03">
        <w:t xml:space="preserve"> </w:t>
      </w:r>
      <w:r w:rsidRPr="00BD1C03">
        <w:t xml:space="preserve">to support </w:t>
      </w:r>
      <w:r w:rsidR="00186F97" w:rsidRPr="00BD1C03">
        <w:t xml:space="preserve">more </w:t>
      </w:r>
      <w:r w:rsidRPr="00BD1C03">
        <w:t>robust results</w:t>
      </w:r>
      <w:r w:rsidR="00765863" w:rsidRPr="00BD1C03">
        <w:t>:</w:t>
      </w:r>
      <w:r w:rsidR="00743863" w:rsidRPr="00BD1C03">
        <w:rPr>
          <w:rStyle w:val="EndnoteReference"/>
          <w:rFonts w:ascii="Calibri Light" w:hAnsi="Calibri Light" w:cs="Calibri Light"/>
          <w:szCs w:val="22"/>
        </w:rPr>
        <w:endnoteReference w:id="51"/>
      </w:r>
    </w:p>
    <w:tbl>
      <w:tblPr>
        <w:tblStyle w:val="GridTable1Light-Accent31"/>
        <w:tblW w:w="0" w:type="auto"/>
        <w:tblLook w:val="04A0" w:firstRow="1" w:lastRow="0" w:firstColumn="1" w:lastColumn="0" w:noHBand="0" w:noVBand="1"/>
      </w:tblPr>
      <w:tblGrid>
        <w:gridCol w:w="8188"/>
      </w:tblGrid>
      <w:tr w:rsidR="00893BAC" w:rsidRPr="00BD1C03" w14:paraId="6BB77DAC" w14:textId="77777777" w:rsidTr="004A57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bottom w:val="single" w:sz="12" w:space="0" w:color="4F6228" w:themeColor="accent3" w:themeShade="80"/>
            </w:tcBorders>
          </w:tcPr>
          <w:p w14:paraId="7E23FE1C" w14:textId="27CFCAAD" w:rsidR="003F775E" w:rsidRPr="001D2CE7" w:rsidRDefault="00C34AE5" w:rsidP="001D2CE7">
            <w:pPr>
              <w:pStyle w:val="Enfasi"/>
              <w:numPr>
                <w:ilvl w:val="0"/>
                <w:numId w:val="1"/>
              </w:numPr>
              <w:rPr>
                <w:b/>
                <w:bCs/>
              </w:rPr>
            </w:pPr>
            <w:r w:rsidRPr="001D2CE7">
              <w:rPr>
                <w:b/>
                <w:bCs/>
              </w:rPr>
              <w:t xml:space="preserve"> </w:t>
            </w:r>
            <w:r w:rsidR="003F775E" w:rsidRPr="001D2CE7">
              <w:rPr>
                <w:b/>
                <w:bCs/>
              </w:rPr>
              <w:t>Strategic approach to the crisis context</w:t>
            </w:r>
          </w:p>
          <w:p w14:paraId="45D877DA" w14:textId="77777777" w:rsidR="003F775E" w:rsidRPr="001D2CE7" w:rsidRDefault="003F775E" w:rsidP="006E12C0">
            <w:pPr>
              <w:pStyle w:val="bullets0"/>
              <w:ind w:left="459" w:hanging="283"/>
              <w:rPr>
                <w:b w:val="0"/>
                <w:bCs w:val="0"/>
              </w:rPr>
            </w:pPr>
            <w:r w:rsidRPr="001D2CE7">
              <w:rPr>
                <w:b w:val="0"/>
                <w:bCs w:val="0"/>
              </w:rPr>
              <w:t xml:space="preserve">Donor level leadership – advocacy – HCT, </w:t>
            </w:r>
            <w:proofErr w:type="spellStart"/>
            <w:r w:rsidRPr="001D2CE7">
              <w:rPr>
                <w:b w:val="0"/>
                <w:bCs w:val="0"/>
              </w:rPr>
              <w:t>GoI</w:t>
            </w:r>
            <w:proofErr w:type="spellEnd"/>
            <w:r w:rsidRPr="001D2CE7">
              <w:rPr>
                <w:b w:val="0"/>
                <w:bCs w:val="0"/>
              </w:rPr>
              <w:t>, partners</w:t>
            </w:r>
          </w:p>
          <w:p w14:paraId="1C7AAD74" w14:textId="17B243D0" w:rsidR="003F775E" w:rsidRPr="001D2CE7" w:rsidRDefault="003F775E" w:rsidP="006E12C0">
            <w:pPr>
              <w:pStyle w:val="bullets0"/>
              <w:ind w:left="459" w:hanging="283"/>
              <w:rPr>
                <w:b w:val="0"/>
                <w:bCs w:val="0"/>
              </w:rPr>
            </w:pPr>
            <w:r w:rsidRPr="001D2CE7">
              <w:rPr>
                <w:b w:val="0"/>
                <w:bCs w:val="0"/>
              </w:rPr>
              <w:t>Response level – protection risk analysis, HCT strategy, advocacy and conditions for durable, rights-based ret</w:t>
            </w:r>
            <w:r w:rsidR="000345AB" w:rsidRPr="001D2CE7">
              <w:rPr>
                <w:b w:val="0"/>
                <w:bCs w:val="0"/>
              </w:rPr>
              <w:t xml:space="preserve">urns, respect for IHL and human </w:t>
            </w:r>
            <w:r w:rsidRPr="001D2CE7">
              <w:rPr>
                <w:b w:val="0"/>
                <w:bCs w:val="0"/>
              </w:rPr>
              <w:t>rights including minority, women, disability and child rights)</w:t>
            </w:r>
          </w:p>
          <w:p w14:paraId="509AD1A1" w14:textId="77777777" w:rsidR="00893BAC" w:rsidRPr="001D2CE7" w:rsidRDefault="003F775E" w:rsidP="000345AB">
            <w:pPr>
              <w:snapToGrid w:val="0"/>
              <w:ind w:left="176" w:right="846"/>
            </w:pPr>
            <w:r w:rsidRPr="001D2CE7">
              <w:rPr>
                <w:rFonts w:asciiTheme="majorHAnsi" w:hAnsiTheme="majorHAnsi" w:cstheme="majorHAnsi"/>
                <w:i/>
                <w:iCs/>
                <w:color w:val="4F6228" w:themeColor="accent3" w:themeShade="80"/>
                <w:szCs w:val="22"/>
              </w:rPr>
              <w:t>2. Dedicated programs</w:t>
            </w:r>
            <w:r w:rsidRPr="001D2CE7">
              <w:rPr>
                <w:rFonts w:asciiTheme="majorHAnsi" w:hAnsiTheme="majorHAnsi" w:cstheme="majorHAnsi"/>
                <w:color w:val="4F6228" w:themeColor="accent3" w:themeShade="80"/>
                <w:sz w:val="20"/>
              </w:rPr>
              <w:t xml:space="preserve"> </w:t>
            </w:r>
            <w:r w:rsidRPr="001D2CE7">
              <w:rPr>
                <w:b w:val="0"/>
                <w:bCs w:val="0"/>
              </w:rPr>
              <w:t>(protection strategy, sector specific advocacy and response services e.g. GBV, child protection, legal, assistance, disability, MRE, MHPSS)</w:t>
            </w:r>
          </w:p>
          <w:p w14:paraId="62BF9B59" w14:textId="4148B35C" w:rsidR="00A95483" w:rsidRPr="00BD1C03" w:rsidRDefault="00A95483" w:rsidP="00A95483">
            <w:pPr>
              <w:snapToGrid w:val="0"/>
              <w:ind w:left="176" w:right="846"/>
            </w:pPr>
            <w:r w:rsidRPr="0038210E">
              <w:rPr>
                <w:rFonts w:asciiTheme="majorHAnsi" w:hAnsiTheme="majorHAnsi" w:cstheme="majorHAnsi"/>
                <w:i/>
                <w:iCs/>
                <w:color w:val="4F6228" w:themeColor="accent3" w:themeShade="80"/>
                <w:szCs w:val="22"/>
              </w:rPr>
              <w:t xml:space="preserve">3. </w:t>
            </w:r>
            <w:r w:rsidRPr="001D2CE7">
              <w:rPr>
                <w:rFonts w:asciiTheme="majorHAnsi" w:hAnsiTheme="majorHAnsi" w:cstheme="majorHAnsi"/>
                <w:i/>
                <w:iCs/>
                <w:color w:val="4F6228" w:themeColor="accent3" w:themeShade="80"/>
                <w:szCs w:val="22"/>
              </w:rPr>
              <w:t>Mainstreaming/inclusion</w:t>
            </w:r>
            <w:r w:rsidRPr="001D2CE7">
              <w:rPr>
                <w:color w:val="4F6228" w:themeColor="accent3" w:themeShade="80"/>
              </w:rPr>
              <w:t xml:space="preserve"> </w:t>
            </w:r>
            <w:r w:rsidRPr="001D2CE7">
              <w:rPr>
                <w:b w:val="0"/>
                <w:bCs w:val="0"/>
              </w:rPr>
              <w:t>(SADD data, GEWE, child protection, disability inclusion, AAP, PSEA)</w:t>
            </w:r>
          </w:p>
        </w:tc>
      </w:tr>
    </w:tbl>
    <w:p w14:paraId="757969DA" w14:textId="77777777" w:rsidR="00893BAC" w:rsidRPr="00BD1C03" w:rsidRDefault="00893BAC" w:rsidP="003F775E">
      <w:pPr>
        <w:spacing w:after="0"/>
        <w:rPr>
          <w:rFonts w:asciiTheme="majorHAnsi" w:hAnsiTheme="majorHAnsi" w:cstheme="majorHAnsi"/>
          <w:sz w:val="24"/>
        </w:rPr>
      </w:pPr>
    </w:p>
    <w:p w14:paraId="2058D9E7" w14:textId="2DEB66D2" w:rsidR="006777F7" w:rsidRPr="00BD1C03" w:rsidRDefault="006777F7" w:rsidP="0008435D">
      <w:r w:rsidRPr="00BD1C03">
        <w:rPr>
          <w:b/>
          <w:bCs/>
        </w:rPr>
        <w:t>Annex II</w:t>
      </w:r>
      <w:r w:rsidR="001911D3" w:rsidRPr="00BD1C03">
        <w:rPr>
          <w:b/>
          <w:bCs/>
        </w:rPr>
        <w:t>I</w:t>
      </w:r>
      <w:r w:rsidRPr="00BD1C03">
        <w:t xml:space="preserve"> </w:t>
      </w:r>
      <w:r w:rsidR="00802AB8" w:rsidRPr="00BD1C03">
        <w:t>details</w:t>
      </w:r>
      <w:r w:rsidRPr="00BD1C03">
        <w:t xml:space="preserve"> </w:t>
      </w:r>
      <w:r w:rsidR="004A0079" w:rsidRPr="00BD1C03">
        <w:t xml:space="preserve">further information on </w:t>
      </w:r>
      <w:r w:rsidR="001911D3" w:rsidRPr="00BD1C03">
        <w:t xml:space="preserve">how the </w:t>
      </w:r>
      <w:r w:rsidR="004A0079" w:rsidRPr="00BD1C03">
        <w:t xml:space="preserve">three levels of action </w:t>
      </w:r>
      <w:r w:rsidR="001911D3" w:rsidRPr="00BD1C03">
        <w:t xml:space="preserve">can be </w:t>
      </w:r>
      <w:r w:rsidR="004A0079" w:rsidRPr="00BD1C03">
        <w:t>applied to the Iraq Package and</w:t>
      </w:r>
      <w:r w:rsidR="001911D3" w:rsidRPr="00BD1C03">
        <w:t xml:space="preserve"> </w:t>
      </w:r>
      <w:r w:rsidR="00E0055A" w:rsidRPr="00BD1C03">
        <w:t xml:space="preserve">inform </w:t>
      </w:r>
      <w:r w:rsidR="004A0079" w:rsidRPr="00BD1C03">
        <w:t>future designs</w:t>
      </w:r>
      <w:r w:rsidR="001911D3" w:rsidRPr="00BD1C03">
        <w:t>,</w:t>
      </w:r>
      <w:r w:rsidR="004A0079" w:rsidRPr="00BD1C03">
        <w:t xml:space="preserve"> recogn</w:t>
      </w:r>
      <w:r w:rsidR="00B43345">
        <w:t>is</w:t>
      </w:r>
      <w:r w:rsidR="004A0079" w:rsidRPr="00BD1C03">
        <w:t xml:space="preserve">ing </w:t>
      </w:r>
      <w:r w:rsidR="001911D3" w:rsidRPr="00BD1C03">
        <w:t xml:space="preserve">access to </w:t>
      </w:r>
      <w:r w:rsidR="004A0079" w:rsidRPr="00BD1C03">
        <w:t xml:space="preserve">operational protection expertise is </w:t>
      </w:r>
      <w:r w:rsidR="00E0055A" w:rsidRPr="00BD1C03">
        <w:t>advised</w:t>
      </w:r>
      <w:r w:rsidR="004A0079" w:rsidRPr="00BD1C03">
        <w:t xml:space="preserve">. </w:t>
      </w:r>
      <w:r w:rsidR="009D5032" w:rsidRPr="00BD1C03">
        <w:t xml:space="preserve">It is important to reinforce that all three levels of action require support and </w:t>
      </w:r>
      <w:r w:rsidR="00C8626D" w:rsidRPr="00BD1C03">
        <w:t>mainstreaming is never a substitute for dedicated program investment.</w:t>
      </w:r>
      <w:r w:rsidR="00C8626D" w:rsidRPr="00BD1C03">
        <w:rPr>
          <w:rStyle w:val="EndnoteReference"/>
          <w:rFonts w:ascii="Calibri Light" w:hAnsi="Calibri Light" w:cs="Calibri Light"/>
          <w:szCs w:val="22"/>
        </w:rPr>
        <w:endnoteReference w:id="52"/>
      </w:r>
      <w:r w:rsidR="00C8626D" w:rsidRPr="00BD1C03">
        <w:t xml:space="preserve"> </w:t>
      </w:r>
      <w:r w:rsidR="004025B5" w:rsidRPr="00BD1C03">
        <w:t>The following results are based on the pre-</w:t>
      </w:r>
      <w:r w:rsidR="0021687F" w:rsidRPr="00BD1C03">
        <w:t>determined</w:t>
      </w:r>
      <w:r w:rsidR="004025B5" w:rsidRPr="00BD1C03">
        <w:t xml:space="preserve"> </w:t>
      </w:r>
      <w:r w:rsidR="00980497" w:rsidRPr="00BD1C03">
        <w:t xml:space="preserve">thematic </w:t>
      </w:r>
      <w:r w:rsidR="004A0079" w:rsidRPr="00BD1C03">
        <w:t xml:space="preserve">package </w:t>
      </w:r>
      <w:r w:rsidR="004025B5" w:rsidRPr="00BD1C03">
        <w:t>priorities of GEWE and disability inclusion</w:t>
      </w:r>
      <w:r w:rsidR="004A0079" w:rsidRPr="00BD1C03">
        <w:t xml:space="preserve">, and some additional </w:t>
      </w:r>
      <w:r w:rsidR="00906097" w:rsidRPr="00BD1C03">
        <w:t xml:space="preserve">protection </w:t>
      </w:r>
      <w:r w:rsidR="004A0079" w:rsidRPr="00BD1C03">
        <w:t>results identified</w:t>
      </w:r>
      <w:r w:rsidR="00906097" w:rsidRPr="00BD1C03">
        <w:t xml:space="preserve"> across the investments.</w:t>
      </w:r>
    </w:p>
    <w:p w14:paraId="72D45A3F" w14:textId="0EFDBE98" w:rsidR="0053610E" w:rsidRPr="00BD1C03" w:rsidRDefault="0053610E" w:rsidP="00942F20">
      <w:pPr>
        <w:pStyle w:val="Heading3"/>
        <w:numPr>
          <w:ilvl w:val="2"/>
          <w:numId w:val="5"/>
        </w:numPr>
      </w:pPr>
      <w:r w:rsidRPr="00BD1C03">
        <w:t>GEWE – strategic approach, dedicated programs and mainstreaming</w:t>
      </w:r>
    </w:p>
    <w:p w14:paraId="62F46F72" w14:textId="7AD5200F" w:rsidR="00C202DA" w:rsidRPr="00BD1C03" w:rsidRDefault="00C202DA" w:rsidP="0008435D">
      <w:r w:rsidRPr="00BD1C03">
        <w:t xml:space="preserve">In </w:t>
      </w:r>
      <w:r w:rsidR="001911D3" w:rsidRPr="00BD1C03">
        <w:t xml:space="preserve">applying the three levels of action </w:t>
      </w:r>
      <w:r w:rsidR="000713F3" w:rsidRPr="00BD1C03">
        <w:t>to GEWE</w:t>
      </w:r>
      <w:r w:rsidRPr="00BD1C03">
        <w:t xml:space="preserve">, there is strong evidence of </w:t>
      </w:r>
      <w:r w:rsidR="000713F3" w:rsidRPr="00BD1C03">
        <w:t xml:space="preserve">a strategic approach through </w:t>
      </w:r>
      <w:r w:rsidRPr="00BD1C03">
        <w:t>leveraging the access of the Ambassador and coordinat</w:t>
      </w:r>
      <w:r w:rsidR="00696C58" w:rsidRPr="00BD1C03">
        <w:t>ing</w:t>
      </w:r>
      <w:r w:rsidRPr="00BD1C03">
        <w:t xml:space="preserve"> with like-minded donors to advocate on passing anti-domestic violence legislation. </w:t>
      </w:r>
      <w:r w:rsidR="00E0055A" w:rsidRPr="00BD1C03">
        <w:t xml:space="preserve">There is further evidence of </w:t>
      </w:r>
      <w:r w:rsidRPr="00BD1C03">
        <w:t xml:space="preserve">dedicated </w:t>
      </w:r>
      <w:r w:rsidR="004A077F" w:rsidRPr="00BD1C03">
        <w:t xml:space="preserve">programs though </w:t>
      </w:r>
      <w:r w:rsidR="00436113" w:rsidRPr="00BD1C03">
        <w:t>GBV</w:t>
      </w:r>
      <w:r w:rsidR="004A077F" w:rsidRPr="00BD1C03">
        <w:t xml:space="preserve"> prevention and response</w:t>
      </w:r>
      <w:r w:rsidR="00436113" w:rsidRPr="00BD1C03">
        <w:t xml:space="preserve"> and SRH </w:t>
      </w:r>
      <w:r w:rsidRPr="00BD1C03">
        <w:t xml:space="preserve">programming </w:t>
      </w:r>
      <w:r w:rsidR="00D02A8D" w:rsidRPr="00BD1C03">
        <w:t>provided by</w:t>
      </w:r>
      <w:r w:rsidRPr="00BD1C03">
        <w:t xml:space="preserve"> UNFPA and C</w:t>
      </w:r>
      <w:r w:rsidR="00802AB8" w:rsidRPr="00BD1C03">
        <w:t>ARE</w:t>
      </w:r>
      <w:r w:rsidR="004A077F" w:rsidRPr="00BD1C03">
        <w:t xml:space="preserve">. </w:t>
      </w:r>
    </w:p>
    <w:tbl>
      <w:tblPr>
        <w:tblStyle w:val="GridTable1Light-Accent31"/>
        <w:tblW w:w="0" w:type="auto"/>
        <w:tblLook w:val="04A0" w:firstRow="1" w:lastRow="0" w:firstColumn="1" w:lastColumn="0" w:noHBand="0" w:noVBand="1"/>
      </w:tblPr>
      <w:tblGrid>
        <w:gridCol w:w="8188"/>
      </w:tblGrid>
      <w:tr w:rsidR="00F7401A" w:rsidRPr="00BD1C03" w14:paraId="21C96294" w14:textId="77777777" w:rsidTr="004A57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bottom w:val="single" w:sz="12" w:space="0" w:color="4F6228" w:themeColor="accent3" w:themeShade="80"/>
            </w:tcBorders>
          </w:tcPr>
          <w:p w14:paraId="014A150B" w14:textId="77E3CAB2" w:rsidR="00F958C0" w:rsidRPr="001D2CE7" w:rsidRDefault="005466AC" w:rsidP="001D2CE7">
            <w:pPr>
              <w:pStyle w:val="Enfasi"/>
              <w:rPr>
                <w:b/>
                <w:bCs/>
              </w:rPr>
            </w:pPr>
            <w:r w:rsidRPr="001D2CE7">
              <w:rPr>
                <w:b/>
                <w:bCs/>
              </w:rPr>
              <w:t xml:space="preserve">CASE STUDY 1 </w:t>
            </w:r>
          </w:p>
          <w:p w14:paraId="592AFC48" w14:textId="4F4ABD39" w:rsidR="00A93616" w:rsidRPr="001D2CE7" w:rsidRDefault="00A93616" w:rsidP="001D2CE7">
            <w:pPr>
              <w:pStyle w:val="Enfasi"/>
              <w:rPr>
                <w:b/>
                <w:bCs/>
              </w:rPr>
            </w:pPr>
            <w:r w:rsidRPr="001D2CE7">
              <w:rPr>
                <w:b/>
                <w:bCs/>
              </w:rPr>
              <w:t xml:space="preserve">UNFPA strategic approach and dedicated GBV prevention and response </w:t>
            </w:r>
          </w:p>
          <w:p w14:paraId="611D4E6A" w14:textId="77777777" w:rsidR="00A93616" w:rsidRPr="001D2CE7" w:rsidRDefault="00A93616" w:rsidP="00A93616">
            <w:pPr>
              <w:ind w:left="176" w:right="138"/>
              <w:rPr>
                <w:b w:val="0"/>
                <w:bCs w:val="0"/>
              </w:rPr>
            </w:pPr>
            <w:r w:rsidRPr="001D2CE7">
              <w:rPr>
                <w:b w:val="0"/>
                <w:bCs w:val="0"/>
              </w:rPr>
              <w:t xml:space="preserve">UNFPA has demonstrated a strategic approach through working with the </w:t>
            </w:r>
            <w:proofErr w:type="spellStart"/>
            <w:r w:rsidRPr="001D2CE7">
              <w:rPr>
                <w:b w:val="0"/>
                <w:bCs w:val="0"/>
              </w:rPr>
              <w:t>GoI</w:t>
            </w:r>
            <w:proofErr w:type="spellEnd"/>
            <w:r w:rsidRPr="001D2CE7">
              <w:rPr>
                <w:b w:val="0"/>
                <w:bCs w:val="0"/>
              </w:rPr>
              <w:t xml:space="preserve"> to table a proposal to government to amend the Welfare Act to provide a legal basis and mandate for shelters for survivors of SGBV.</w:t>
            </w:r>
            <w:r w:rsidRPr="001D2CE7">
              <w:rPr>
                <w:b w:val="0"/>
                <w:bCs w:val="0"/>
                <w:vertAlign w:val="superscript"/>
              </w:rPr>
              <w:endnoteReference w:id="53"/>
            </w:r>
            <w:r w:rsidRPr="001D2CE7">
              <w:rPr>
                <w:b w:val="0"/>
                <w:bCs w:val="0"/>
              </w:rPr>
              <w:t xml:space="preserve"> Through leading the Iraq PSEA network it has improved system wide capacity on an important and often under resourced issue. UNFPA has further provided the following concrete results through dedicated programs to prevent and respond to violence against women and girls:</w:t>
            </w:r>
          </w:p>
          <w:p w14:paraId="3C5626CE" w14:textId="68C0CAAB" w:rsidR="00A93616" w:rsidRPr="001D2CE7" w:rsidRDefault="00A93616" w:rsidP="006E12C0">
            <w:pPr>
              <w:pStyle w:val="bullets0"/>
              <w:ind w:left="601"/>
              <w:rPr>
                <w:b w:val="0"/>
                <w:bCs w:val="0"/>
              </w:rPr>
            </w:pPr>
            <w:r w:rsidRPr="001D2CE7">
              <w:rPr>
                <w:rStyle w:val="EnfasiChar"/>
                <w:b/>
                <w:bCs/>
              </w:rPr>
              <w:t>41,982</w:t>
            </w:r>
            <w:r w:rsidRPr="001D2CE7">
              <w:rPr>
                <w:b w:val="0"/>
                <w:bCs w:val="0"/>
              </w:rPr>
              <w:t xml:space="preserve"> women and girls have been reached with GBV services including counse</w:t>
            </w:r>
            <w:r w:rsidR="009B2359" w:rsidRPr="001D2CE7">
              <w:rPr>
                <w:b w:val="0"/>
                <w:bCs w:val="0"/>
              </w:rPr>
              <w:t>l</w:t>
            </w:r>
            <w:r w:rsidR="003631C1" w:rsidRPr="001D2CE7">
              <w:rPr>
                <w:b w:val="0"/>
                <w:bCs w:val="0"/>
              </w:rPr>
              <w:t>ling</w:t>
            </w:r>
          </w:p>
          <w:p w14:paraId="501B6EB2" w14:textId="77777777" w:rsidR="00A93616" w:rsidRPr="001D2CE7" w:rsidRDefault="00A93616" w:rsidP="006E12C0">
            <w:pPr>
              <w:pStyle w:val="bullets0"/>
              <w:ind w:left="601"/>
              <w:rPr>
                <w:b w:val="0"/>
                <w:bCs w:val="0"/>
              </w:rPr>
            </w:pPr>
            <w:r w:rsidRPr="001D2CE7">
              <w:rPr>
                <w:rStyle w:val="EnfasiChar"/>
                <w:b/>
                <w:bCs/>
              </w:rPr>
              <w:t>49,199</w:t>
            </w:r>
            <w:r w:rsidRPr="001D2CE7">
              <w:rPr>
                <w:b w:val="0"/>
                <w:bCs w:val="0"/>
              </w:rPr>
              <w:t xml:space="preserve"> newly displaced women and girls reached with dignity kits</w:t>
            </w:r>
          </w:p>
          <w:p w14:paraId="477295E7" w14:textId="77777777" w:rsidR="00A93616" w:rsidRPr="001D2CE7" w:rsidRDefault="00A93616" w:rsidP="006E12C0">
            <w:pPr>
              <w:pStyle w:val="bullets0"/>
              <w:ind w:left="601"/>
              <w:rPr>
                <w:b w:val="0"/>
                <w:bCs w:val="0"/>
              </w:rPr>
            </w:pPr>
            <w:r w:rsidRPr="001D2CE7">
              <w:rPr>
                <w:rStyle w:val="EnfasiChar"/>
                <w:b/>
                <w:bCs/>
              </w:rPr>
              <w:t>789</w:t>
            </w:r>
            <w:r w:rsidRPr="001D2CE7">
              <w:rPr>
                <w:b w:val="0"/>
                <w:bCs w:val="0"/>
              </w:rPr>
              <w:t xml:space="preserve"> service providers and/or government personnel trained on GBV</w:t>
            </w:r>
          </w:p>
          <w:p w14:paraId="11EDA6B2" w14:textId="77777777" w:rsidR="00A93616" w:rsidRPr="001D2CE7" w:rsidRDefault="00A93616" w:rsidP="006E12C0">
            <w:pPr>
              <w:pStyle w:val="bullets0"/>
              <w:ind w:left="601"/>
              <w:rPr>
                <w:b w:val="0"/>
                <w:bCs w:val="0"/>
              </w:rPr>
            </w:pPr>
            <w:r w:rsidRPr="001D2CE7">
              <w:rPr>
                <w:rStyle w:val="EnfasiChar"/>
                <w:b/>
                <w:bCs/>
              </w:rPr>
              <w:t>50</w:t>
            </w:r>
            <w:r w:rsidRPr="001D2CE7">
              <w:rPr>
                <w:b w:val="0"/>
                <w:bCs w:val="0"/>
              </w:rPr>
              <w:t xml:space="preserve"> women and girls’ safe spaces supported</w:t>
            </w:r>
          </w:p>
          <w:p w14:paraId="6520C418" w14:textId="7E5C3BF8" w:rsidR="00A93616" w:rsidRPr="001D2CE7" w:rsidRDefault="00A93616" w:rsidP="006E12C0">
            <w:pPr>
              <w:pStyle w:val="bullets0"/>
              <w:ind w:left="601"/>
              <w:rPr>
                <w:b w:val="0"/>
                <w:bCs w:val="0"/>
              </w:rPr>
            </w:pPr>
            <w:r w:rsidRPr="001D2CE7">
              <w:rPr>
                <w:rStyle w:val="EnfasiChar"/>
                <w:b/>
                <w:bCs/>
              </w:rPr>
              <w:t>At least 140,073</w:t>
            </w:r>
            <w:r w:rsidR="000030EF" w:rsidRPr="001D2CE7">
              <w:rPr>
                <w:b w:val="0"/>
                <w:bCs w:val="0"/>
              </w:rPr>
              <w:t xml:space="preserve"> persons sensit</w:t>
            </w:r>
            <w:r w:rsidR="00B43345" w:rsidRPr="001D2CE7">
              <w:rPr>
                <w:b w:val="0"/>
                <w:bCs w:val="0"/>
              </w:rPr>
              <w:t>is</w:t>
            </w:r>
            <w:r w:rsidRPr="001D2CE7">
              <w:rPr>
                <w:b w:val="0"/>
                <w:bCs w:val="0"/>
              </w:rPr>
              <w:t>ed on GBV issues (incl. men and boys)</w:t>
            </w:r>
          </w:p>
          <w:p w14:paraId="33716F58" w14:textId="4294FE33" w:rsidR="00F7401A" w:rsidRPr="00BD1C03" w:rsidRDefault="00A93616" w:rsidP="006E12C0">
            <w:pPr>
              <w:pStyle w:val="bullets0"/>
              <w:ind w:left="601"/>
            </w:pPr>
            <w:r w:rsidRPr="001D2CE7">
              <w:rPr>
                <w:rStyle w:val="EnfasiChar"/>
                <w:b/>
                <w:bCs/>
              </w:rPr>
              <w:t>88,907</w:t>
            </w:r>
            <w:r w:rsidR="000030EF" w:rsidRPr="001D2CE7">
              <w:rPr>
                <w:b w:val="0"/>
                <w:bCs w:val="0"/>
              </w:rPr>
              <w:t xml:space="preserve"> beneficiaries sensit</w:t>
            </w:r>
            <w:r w:rsidR="00B43345" w:rsidRPr="001D2CE7">
              <w:rPr>
                <w:b w:val="0"/>
                <w:bCs w:val="0"/>
              </w:rPr>
              <w:t>is</w:t>
            </w:r>
            <w:r w:rsidRPr="001D2CE7">
              <w:rPr>
                <w:b w:val="0"/>
                <w:bCs w:val="0"/>
              </w:rPr>
              <w:t>ed on SRH</w:t>
            </w:r>
          </w:p>
        </w:tc>
      </w:tr>
    </w:tbl>
    <w:p w14:paraId="4AE09352" w14:textId="07919F1E" w:rsidR="00F7401A" w:rsidRPr="00BD1C03" w:rsidRDefault="0056018B" w:rsidP="0056018B">
      <w:pPr>
        <w:spacing w:before="240"/>
      </w:pPr>
      <w:r w:rsidRPr="00BD1C03">
        <w:t xml:space="preserve">In terms of mainstreaming, notably CARE support to the BPF consortium and UNMAS through dedicated gender advisers have delivered positive results – though performance on mainstreaming varies across partners and UNDP in particular. Of the 19,325 cash for work opportunities, only 7.5 </w:t>
      </w:r>
      <w:r>
        <w:t>percent</w:t>
      </w:r>
      <w:r w:rsidRPr="00BD1C03">
        <w:t xml:space="preserve"> have gone to women.</w:t>
      </w:r>
      <w:r w:rsidRPr="00BD1C03">
        <w:rPr>
          <w:rStyle w:val="EndnoteReference"/>
          <w:rFonts w:ascii="Calibri Light" w:hAnsi="Calibri Light" w:cs="Calibri Light"/>
          <w:szCs w:val="22"/>
        </w:rPr>
        <w:endnoteReference w:id="54"/>
      </w:r>
      <w:r w:rsidRPr="00BD1C03">
        <w:t xml:space="preserve"> The impact of CARE’s gender technical support to the consortium can be seen through the BPF mid-term evaluation, with 80 </w:t>
      </w:r>
      <w:r>
        <w:t>percent</w:t>
      </w:r>
      <w:r w:rsidRPr="00BD1C03">
        <w:t xml:space="preserve"> of female beneficiaries in Sinjar and 100 </w:t>
      </w:r>
      <w:r>
        <w:t>percent</w:t>
      </w:r>
      <w:r w:rsidRPr="00BD1C03">
        <w:t xml:space="preserve"> of female beneficiaries in </w:t>
      </w:r>
      <w:proofErr w:type="spellStart"/>
      <w:r w:rsidRPr="00BD1C03">
        <w:t>Hawija</w:t>
      </w:r>
      <w:proofErr w:type="spellEnd"/>
      <w:r w:rsidRPr="00BD1C03">
        <w:t xml:space="preserve"> reporting that the support had improved their access to services, opportunities in the future or had a positive impact on their mental health and well-being.</w:t>
      </w:r>
      <w:r w:rsidRPr="00BD1C03">
        <w:rPr>
          <w:rStyle w:val="EndnoteReference"/>
          <w:rFonts w:ascii="Calibri Light" w:hAnsi="Calibri Light" w:cs="Calibri Light"/>
          <w:szCs w:val="22"/>
        </w:rPr>
        <w:endnoteReference w:id="55"/>
      </w:r>
      <w:r w:rsidRPr="00BD1C03">
        <w:t xml:space="preserve">  Further detailed case studies on partner contributions to GEWE are outlined below.</w:t>
      </w:r>
    </w:p>
    <w:tbl>
      <w:tblPr>
        <w:tblStyle w:val="GridTable1Light-Accent31"/>
        <w:tblW w:w="0" w:type="auto"/>
        <w:tblLook w:val="04A0" w:firstRow="1" w:lastRow="0" w:firstColumn="1" w:lastColumn="0" w:noHBand="0" w:noVBand="1"/>
      </w:tblPr>
      <w:tblGrid>
        <w:gridCol w:w="8188"/>
      </w:tblGrid>
      <w:tr w:rsidR="00D651A0" w:rsidRPr="00BD1C03" w14:paraId="6D4023B6" w14:textId="77777777" w:rsidTr="004A57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bottom w:val="single" w:sz="12" w:space="0" w:color="4F6228" w:themeColor="accent3" w:themeShade="80"/>
            </w:tcBorders>
          </w:tcPr>
          <w:p w14:paraId="503A4DAC" w14:textId="1C815C70" w:rsidR="00D651A0" w:rsidRPr="001D2CE7" w:rsidRDefault="00D651A0" w:rsidP="001D2CE7">
            <w:pPr>
              <w:pStyle w:val="Enfasi"/>
              <w:rPr>
                <w:b/>
                <w:bCs/>
              </w:rPr>
            </w:pPr>
            <w:r w:rsidRPr="001D2CE7">
              <w:rPr>
                <w:b/>
                <w:bCs/>
              </w:rPr>
              <w:t>CASE STUDY 2</w:t>
            </w:r>
          </w:p>
          <w:p w14:paraId="68E2B644" w14:textId="09BA6ED3" w:rsidR="00D651A0" w:rsidRPr="001D2CE7" w:rsidRDefault="00D651A0" w:rsidP="001D2CE7">
            <w:pPr>
              <w:pStyle w:val="Enfasi"/>
              <w:rPr>
                <w:b/>
                <w:bCs/>
              </w:rPr>
            </w:pPr>
            <w:r w:rsidRPr="001D2CE7">
              <w:rPr>
                <w:b/>
                <w:bCs/>
              </w:rPr>
              <w:t xml:space="preserve">UNMAS Mine Action and GEWE mainstreaming </w:t>
            </w:r>
          </w:p>
          <w:p w14:paraId="3C7B9CEE" w14:textId="6D543DBA" w:rsidR="00D651A0" w:rsidRPr="00BD1C03" w:rsidRDefault="00D651A0" w:rsidP="00D651A0">
            <w:pPr>
              <w:ind w:left="176" w:right="138"/>
            </w:pPr>
            <w:r w:rsidRPr="001D2CE7">
              <w:rPr>
                <w:b w:val="0"/>
                <w:bCs w:val="0"/>
              </w:rPr>
              <w:t>Recognising Iraq is the “most contaminated country by extent of mined area” globally and previous mentioned linkages with explosive hazards being a barrier to IDP returns, UNMAS has contributed to several important results and outcomes including surveying 166,577,244 m2, 1</w:t>
            </w:r>
            <w:r w:rsidR="002F335F" w:rsidRPr="001D2CE7">
              <w:rPr>
                <w:b w:val="0"/>
                <w:bCs w:val="0"/>
              </w:rPr>
              <w:t>,</w:t>
            </w:r>
            <w:r w:rsidRPr="001D2CE7">
              <w:rPr>
                <w:b w:val="0"/>
                <w:bCs w:val="0"/>
              </w:rPr>
              <w:t>403 explosive hazards rendered safe and providing 655,176 IDP and host community members MRE. UNMAS has both government and community level access and engagement through partnerships with the DMA and Kurdish Regional Authorities, and community liaison officers. The additional depth of reporting provided by UNMAS helped share important results and stories on their contributions to gender-transformative programming through training Iraq’s first female deminers and deployment of mixed-gender demining teams, as well as support to DMA on Gender Action Plan development advancing UNSCR1325 WPS objectives.</w:t>
            </w:r>
          </w:p>
        </w:tc>
      </w:tr>
    </w:tbl>
    <w:p w14:paraId="7E2A6F56" w14:textId="77777777" w:rsidR="00D651A0" w:rsidRPr="00BD1C03" w:rsidRDefault="00D651A0" w:rsidP="0008435D">
      <w:pPr>
        <w:rPr>
          <w:highlight w:val="yellow"/>
        </w:rPr>
      </w:pPr>
    </w:p>
    <w:p w14:paraId="1854B53F" w14:textId="6387EC77" w:rsidR="009E42BB" w:rsidRPr="00BD1C03" w:rsidRDefault="009E42BB" w:rsidP="00942F20">
      <w:pPr>
        <w:pStyle w:val="Heading3"/>
        <w:numPr>
          <w:ilvl w:val="2"/>
          <w:numId w:val="5"/>
        </w:numPr>
      </w:pPr>
      <w:r w:rsidRPr="001D2CE7">
        <w:t>Disability</w:t>
      </w:r>
      <w:r w:rsidRPr="00BD1C03">
        <w:t xml:space="preserve"> </w:t>
      </w:r>
      <w:r w:rsidR="0053610E" w:rsidRPr="00BD1C03">
        <w:t>– strategic approach, dedicated programs and inclusion</w:t>
      </w:r>
    </w:p>
    <w:p w14:paraId="3A965912" w14:textId="452C7709" w:rsidR="00EF57F8" w:rsidRPr="00BD1C03" w:rsidRDefault="00052CD8" w:rsidP="0008435D">
      <w:r w:rsidRPr="00BD1C03">
        <w:t>In terms of d</w:t>
      </w:r>
      <w:r w:rsidR="00C202DA" w:rsidRPr="00BD1C03">
        <w:t xml:space="preserve">isability, </w:t>
      </w:r>
      <w:r w:rsidR="006A71DF" w:rsidRPr="00BD1C03">
        <w:t xml:space="preserve">a strategic approach is evident through </w:t>
      </w:r>
      <w:r w:rsidR="00C202DA" w:rsidRPr="00BD1C03">
        <w:t>the support to civil society shadow reporting on the Convention on the Rights of Pe</w:t>
      </w:r>
      <w:r w:rsidR="00463ACF" w:rsidRPr="00BD1C03">
        <w:t>rsons</w:t>
      </w:r>
      <w:r w:rsidR="00C202DA" w:rsidRPr="00BD1C03">
        <w:t xml:space="preserve"> with Disabilities (CRPD)</w:t>
      </w:r>
      <w:r w:rsidR="00067B37" w:rsidRPr="00BD1C03">
        <w:t>, d</w:t>
      </w:r>
      <w:r w:rsidR="00C202DA" w:rsidRPr="00BD1C03">
        <w:t xml:space="preserve">edicated </w:t>
      </w:r>
      <w:r w:rsidR="000030EF">
        <w:t>special</w:t>
      </w:r>
      <w:r w:rsidR="00B43345">
        <w:t>is</w:t>
      </w:r>
      <w:r w:rsidR="003C7E25" w:rsidRPr="00BD1C03">
        <w:t xml:space="preserve">ed services </w:t>
      </w:r>
      <w:r w:rsidR="00680652" w:rsidRPr="00BD1C03">
        <w:t xml:space="preserve">provided </w:t>
      </w:r>
      <w:r w:rsidR="00470D66" w:rsidRPr="00BD1C03">
        <w:t xml:space="preserve">through </w:t>
      </w:r>
      <w:r w:rsidR="002A1195" w:rsidRPr="00BD1C03">
        <w:t>IHO</w:t>
      </w:r>
      <w:r w:rsidR="00470D66" w:rsidRPr="00BD1C03">
        <w:t xml:space="preserve"> </w:t>
      </w:r>
      <w:r w:rsidR="00C202DA" w:rsidRPr="00BD1C03">
        <w:t xml:space="preserve">and investment in inclusion </w:t>
      </w:r>
      <w:r w:rsidR="00470D66" w:rsidRPr="00BD1C03">
        <w:t xml:space="preserve">through </w:t>
      </w:r>
      <w:r w:rsidR="00C202DA" w:rsidRPr="00BD1C03">
        <w:t>the BPF consortium</w:t>
      </w:r>
      <w:r w:rsidR="00680652" w:rsidRPr="00BD1C03">
        <w:t>. Together these</w:t>
      </w:r>
      <w:r w:rsidR="00C202DA" w:rsidRPr="00BD1C03">
        <w:t xml:space="preserve"> are considered significant achievements</w:t>
      </w:r>
      <w:r w:rsidR="003C7E25" w:rsidRPr="00BD1C03">
        <w:t xml:space="preserve"> in advancing the rights of persons with disabilities</w:t>
      </w:r>
      <w:r w:rsidR="002652CB" w:rsidRPr="00BD1C03">
        <w:t xml:space="preserve"> in Iraq and access to inclusive assistance</w:t>
      </w:r>
      <w:r w:rsidR="00C202DA" w:rsidRPr="00BD1C03">
        <w:t xml:space="preserve">. </w:t>
      </w:r>
    </w:p>
    <w:p w14:paraId="64629489" w14:textId="6D016487" w:rsidR="002E7C85" w:rsidRPr="00BD1C03" w:rsidRDefault="002A1195" w:rsidP="0008435D">
      <w:r w:rsidRPr="00BD1C03">
        <w:t>IHO supported 15 rehabilitation centres assisting 39,400 individuals (mostly amputees).</w:t>
      </w:r>
      <w:r w:rsidRPr="00BD1C03">
        <w:rPr>
          <w:rStyle w:val="EndnoteReference"/>
          <w:rFonts w:ascii="Calibri Light" w:hAnsi="Calibri Light" w:cs="Calibri Light"/>
          <w:szCs w:val="22"/>
        </w:rPr>
        <w:endnoteReference w:id="56"/>
      </w:r>
      <w:r w:rsidR="00AC28B2" w:rsidRPr="00BD1C03">
        <w:t xml:space="preserve"> </w:t>
      </w:r>
      <w:r w:rsidR="002652CB" w:rsidRPr="00BD1C03">
        <w:t xml:space="preserve">IOM further reported that Australia’s bilateral advocacy resulted in the development of their first country level disability inclusion </w:t>
      </w:r>
      <w:r w:rsidR="00511997" w:rsidRPr="00BD1C03">
        <w:t>strategy, which</w:t>
      </w:r>
      <w:r w:rsidR="002652CB" w:rsidRPr="00BD1C03">
        <w:t xml:space="preserve"> has been replicated across other responses. </w:t>
      </w:r>
      <w:r w:rsidR="00C202DA" w:rsidRPr="00BD1C03">
        <w:t xml:space="preserve">While these </w:t>
      </w:r>
      <w:r w:rsidR="002652CB" w:rsidRPr="00BD1C03">
        <w:t xml:space="preserve">investments </w:t>
      </w:r>
      <w:r w:rsidR="00C202DA" w:rsidRPr="00BD1C03">
        <w:t xml:space="preserve">made a </w:t>
      </w:r>
      <w:r w:rsidR="002652CB" w:rsidRPr="00BD1C03">
        <w:t xml:space="preserve">significant </w:t>
      </w:r>
      <w:r w:rsidR="00C202DA" w:rsidRPr="00BD1C03">
        <w:t>difference, inclusion beyond the BPF consortium</w:t>
      </w:r>
      <w:r w:rsidR="006A71DF" w:rsidRPr="00BD1C03">
        <w:t xml:space="preserve"> (see case study below)</w:t>
      </w:r>
      <w:r w:rsidR="004428AB" w:rsidRPr="00BD1C03">
        <w:t>, I</w:t>
      </w:r>
      <w:r w:rsidR="006F11CD" w:rsidRPr="00BD1C03">
        <w:t>HO</w:t>
      </w:r>
      <w:r w:rsidR="004428AB" w:rsidRPr="00BD1C03">
        <w:t xml:space="preserve"> </w:t>
      </w:r>
      <w:r w:rsidR="00C202DA" w:rsidRPr="00BD1C03">
        <w:t xml:space="preserve">and IOM, </w:t>
      </w:r>
      <w:r w:rsidR="006A71DF" w:rsidRPr="00BD1C03">
        <w:t xml:space="preserve">need further investment </w:t>
      </w:r>
      <w:r w:rsidR="00EF57F8" w:rsidRPr="00BD1C03">
        <w:t>by</w:t>
      </w:r>
      <w:r w:rsidR="00C202DA" w:rsidRPr="00BD1C03">
        <w:t xml:space="preserve"> some of the larger package partners.</w:t>
      </w:r>
      <w:r w:rsidR="00931310" w:rsidRPr="00BD1C03">
        <w:t xml:space="preserve"> </w:t>
      </w:r>
      <w:r w:rsidR="00EF57F8" w:rsidRPr="00BD1C03">
        <w:t>It is likely t</w:t>
      </w:r>
      <w:r w:rsidR="00931310" w:rsidRPr="00BD1C03">
        <w:t>h</w:t>
      </w:r>
      <w:r w:rsidR="002E7C85" w:rsidRPr="00BD1C03">
        <w:t>ese</w:t>
      </w:r>
      <w:r w:rsidR="00931310" w:rsidRPr="00BD1C03">
        <w:t xml:space="preserve"> barriers are </w:t>
      </w:r>
      <w:r w:rsidR="002E7C85" w:rsidRPr="00BD1C03">
        <w:t>institutional</w:t>
      </w:r>
      <w:r w:rsidR="00EF57F8" w:rsidRPr="00BD1C03">
        <w:t>,</w:t>
      </w:r>
      <w:r w:rsidR="002E7C85" w:rsidRPr="00BD1C03">
        <w:t xml:space="preserve"> requiring central level discussions as well as </w:t>
      </w:r>
      <w:r w:rsidR="00833AA1" w:rsidRPr="00BD1C03">
        <w:t xml:space="preserve">at the </w:t>
      </w:r>
      <w:r w:rsidR="002E7C85" w:rsidRPr="00BD1C03">
        <w:t>country level.</w:t>
      </w:r>
      <w:r w:rsidR="00C202DA" w:rsidRPr="00BD1C03">
        <w:t xml:space="preserve"> </w:t>
      </w:r>
    </w:p>
    <w:p w14:paraId="73A69E30" w14:textId="7E7F5E94" w:rsidR="00C94335" w:rsidRPr="00BD1C03" w:rsidRDefault="00931310" w:rsidP="0008435D">
      <w:r w:rsidRPr="00BD1C03">
        <w:t xml:space="preserve">The </w:t>
      </w:r>
      <w:r w:rsidR="002652CB" w:rsidRPr="00BD1C03">
        <w:t xml:space="preserve">2020 </w:t>
      </w:r>
      <w:r w:rsidR="00C94335" w:rsidRPr="00BD1C03">
        <w:t xml:space="preserve">HRP planning figures </w:t>
      </w:r>
      <w:r w:rsidR="00DC2C39" w:rsidRPr="00BD1C03">
        <w:t>indicat</w:t>
      </w:r>
      <w:r w:rsidR="002E7C85" w:rsidRPr="00BD1C03">
        <w:t xml:space="preserve">e </w:t>
      </w:r>
      <w:r w:rsidR="00C94335" w:rsidRPr="00BD1C03">
        <w:t xml:space="preserve">15 </w:t>
      </w:r>
      <w:r w:rsidR="00495DB3">
        <w:t>percent</w:t>
      </w:r>
      <w:r w:rsidR="00C94335" w:rsidRPr="00BD1C03">
        <w:t xml:space="preserve"> of Iraqis have a disability</w:t>
      </w:r>
      <w:r w:rsidR="00DC2C39" w:rsidRPr="00BD1C03">
        <w:t xml:space="preserve"> and </w:t>
      </w:r>
      <w:r w:rsidR="00C94335" w:rsidRPr="00BD1C03">
        <w:t>H</w:t>
      </w:r>
      <w:r w:rsidR="00470D66" w:rsidRPr="00BD1C03">
        <w:t xml:space="preserve">I </w:t>
      </w:r>
      <w:r w:rsidR="00C94335" w:rsidRPr="00BD1C03">
        <w:t>estimat</w:t>
      </w:r>
      <w:r w:rsidR="002E7C85" w:rsidRPr="00BD1C03">
        <w:t xml:space="preserve">e </w:t>
      </w:r>
      <w:r w:rsidR="00C94335" w:rsidRPr="00BD1C03">
        <w:t xml:space="preserve">up to 20 </w:t>
      </w:r>
      <w:r w:rsidR="00495DB3">
        <w:t>percent</w:t>
      </w:r>
      <w:r w:rsidR="00C94335" w:rsidRPr="00BD1C03">
        <w:t xml:space="preserve"> of Iraq</w:t>
      </w:r>
      <w:r w:rsidRPr="00BD1C03">
        <w:t>i</w:t>
      </w:r>
      <w:r w:rsidR="00C94335" w:rsidRPr="00BD1C03">
        <w:t>’s have some form of disability</w:t>
      </w:r>
      <w:r w:rsidR="002E7C85" w:rsidRPr="00BD1C03">
        <w:t>.</w:t>
      </w:r>
      <w:r w:rsidR="00C94335" w:rsidRPr="00BD1C03">
        <w:rPr>
          <w:rStyle w:val="EndnoteReference"/>
          <w:rFonts w:ascii="Calibri Light" w:hAnsi="Calibri Light" w:cs="Calibri Light"/>
          <w:szCs w:val="22"/>
        </w:rPr>
        <w:endnoteReference w:id="57"/>
      </w:r>
      <w:r w:rsidR="00C94335" w:rsidRPr="00BD1C03">
        <w:t xml:space="preserve"> </w:t>
      </w:r>
      <w:r w:rsidR="002E7C85" w:rsidRPr="00BD1C03">
        <w:t>T</w:t>
      </w:r>
      <w:r w:rsidR="000347F0" w:rsidRPr="00BD1C03">
        <w:t xml:space="preserve">hese estimates could be used as a </w:t>
      </w:r>
      <w:r w:rsidR="002652CB" w:rsidRPr="00BD1C03">
        <w:t xml:space="preserve">proxy </w:t>
      </w:r>
      <w:r w:rsidR="000347F0" w:rsidRPr="00BD1C03">
        <w:t xml:space="preserve">metric to </w:t>
      </w:r>
      <w:r w:rsidR="00C94335" w:rsidRPr="00BD1C03">
        <w:t xml:space="preserve">review </w:t>
      </w:r>
      <w:r w:rsidR="002E7C85" w:rsidRPr="00BD1C03">
        <w:t xml:space="preserve">partner’s reported disaggregated data against, </w:t>
      </w:r>
      <w:r w:rsidR="00EF57F8" w:rsidRPr="00BD1C03">
        <w:t xml:space="preserve">while </w:t>
      </w:r>
      <w:r w:rsidR="00C94335" w:rsidRPr="00BD1C03">
        <w:t>recognising that not all disabilities are visible</w:t>
      </w:r>
      <w:r w:rsidR="002652CB" w:rsidRPr="00BD1C03">
        <w:t xml:space="preserve"> and sensitivities </w:t>
      </w:r>
      <w:r w:rsidR="002E7C85" w:rsidRPr="00BD1C03">
        <w:t xml:space="preserve">can </w:t>
      </w:r>
      <w:r w:rsidR="007E498E" w:rsidRPr="00BD1C03">
        <w:t xml:space="preserve">influence appropriateness of </w:t>
      </w:r>
      <w:r w:rsidR="001666F0" w:rsidRPr="00BD1C03">
        <w:t>identifying an individual’s status</w:t>
      </w:r>
      <w:r w:rsidR="00AD2424" w:rsidRPr="00BD1C03">
        <w:t xml:space="preserve">. The Washington </w:t>
      </w:r>
      <w:r w:rsidR="009F74D3" w:rsidRPr="00BD1C03">
        <w:t xml:space="preserve">Group </w:t>
      </w:r>
      <w:r w:rsidR="00AD2424" w:rsidRPr="00BD1C03">
        <w:t>Questions are a</w:t>
      </w:r>
      <w:r w:rsidR="00680652" w:rsidRPr="00BD1C03">
        <w:t>n established</w:t>
      </w:r>
      <w:r w:rsidR="009F74D3" w:rsidRPr="00BD1C03">
        <w:t xml:space="preserve"> sector standard and </w:t>
      </w:r>
      <w:r w:rsidR="00AD2424" w:rsidRPr="00BD1C03">
        <w:t>helpfu</w:t>
      </w:r>
      <w:r w:rsidR="009F74D3" w:rsidRPr="00BD1C03">
        <w:t>l</w:t>
      </w:r>
      <w:r w:rsidR="00AD2424" w:rsidRPr="00BD1C03">
        <w:t xml:space="preserve"> tool</w:t>
      </w:r>
      <w:r w:rsidR="009F74D3" w:rsidRPr="00BD1C03">
        <w:t xml:space="preserve"> for</w:t>
      </w:r>
      <w:r w:rsidR="00680652" w:rsidRPr="00BD1C03">
        <w:t xml:space="preserve"> </w:t>
      </w:r>
      <w:r w:rsidR="009F74D3" w:rsidRPr="00BD1C03">
        <w:t>non-specialists to identify people with a disability.</w:t>
      </w:r>
      <w:r w:rsidR="00AD2424" w:rsidRPr="00BD1C03">
        <w:rPr>
          <w:rStyle w:val="EndnoteReference"/>
          <w:rFonts w:ascii="Calibri Light" w:hAnsi="Calibri Light" w:cs="Calibri Light"/>
          <w:szCs w:val="22"/>
        </w:rPr>
        <w:endnoteReference w:id="58"/>
      </w:r>
      <w:r w:rsidR="002652CB" w:rsidRPr="00BD1C03">
        <w:t xml:space="preserve"> </w:t>
      </w:r>
    </w:p>
    <w:tbl>
      <w:tblPr>
        <w:tblStyle w:val="GridTable1Light-Accent31"/>
        <w:tblW w:w="0" w:type="auto"/>
        <w:tblLook w:val="04A0" w:firstRow="1" w:lastRow="0" w:firstColumn="1" w:lastColumn="0" w:noHBand="0" w:noVBand="1"/>
      </w:tblPr>
      <w:tblGrid>
        <w:gridCol w:w="8188"/>
      </w:tblGrid>
      <w:tr w:rsidR="004D33E4" w:rsidRPr="00BD1C03" w14:paraId="4DF2B6A9" w14:textId="77777777" w:rsidTr="004A57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bottom w:val="single" w:sz="12" w:space="0" w:color="4F6228" w:themeColor="accent3" w:themeShade="80"/>
            </w:tcBorders>
          </w:tcPr>
          <w:p w14:paraId="59DB9CB4" w14:textId="09DA17B7" w:rsidR="004D33E4" w:rsidRPr="001D2CE7" w:rsidRDefault="004D33E4" w:rsidP="001D2CE7">
            <w:pPr>
              <w:pStyle w:val="Enfasi"/>
              <w:rPr>
                <w:b/>
                <w:bCs/>
              </w:rPr>
            </w:pPr>
            <w:r w:rsidRPr="001D2CE7">
              <w:rPr>
                <w:b/>
                <w:bCs/>
              </w:rPr>
              <w:t>CASE STUDY 3</w:t>
            </w:r>
          </w:p>
          <w:p w14:paraId="14A05F2B" w14:textId="4269A631" w:rsidR="004D33E4" w:rsidRPr="001D2CE7" w:rsidRDefault="004D33E4" w:rsidP="001D2CE7">
            <w:pPr>
              <w:pStyle w:val="Enfasi"/>
              <w:rPr>
                <w:b/>
                <w:bCs/>
              </w:rPr>
            </w:pPr>
            <w:r w:rsidRPr="001D2CE7">
              <w:rPr>
                <w:b/>
                <w:bCs/>
              </w:rPr>
              <w:t>Disability Inclusion and the BPF consortium</w:t>
            </w:r>
          </w:p>
          <w:p w14:paraId="69507057" w14:textId="77A418EF" w:rsidR="004D33E4" w:rsidRPr="00BD1C03" w:rsidRDefault="004D33E4" w:rsidP="004D33E4">
            <w:pPr>
              <w:ind w:left="176" w:right="138"/>
            </w:pPr>
            <w:r w:rsidRPr="001D2CE7">
              <w:rPr>
                <w:b w:val="0"/>
                <w:bCs w:val="0"/>
              </w:rPr>
              <w:t>DFAT prioritisation, positioning and funding of Humanity and Inclusion in the consortium delivered results. The combination of donor prioritisation, dedicated t</w:t>
            </w:r>
            <w:r w:rsidR="00EA2296" w:rsidRPr="001D2CE7">
              <w:rPr>
                <w:b w:val="0"/>
                <w:bCs w:val="0"/>
              </w:rPr>
              <w:t>echnical staff and budget line “</w:t>
            </w:r>
            <w:r w:rsidRPr="001D2CE7">
              <w:rPr>
                <w:b w:val="0"/>
                <w:bCs w:val="0"/>
              </w:rPr>
              <w:t xml:space="preserve">significantly improved the consortium partner tools and methodologies </w:t>
            </w:r>
            <w:r w:rsidR="00EA2296" w:rsidRPr="001D2CE7">
              <w:rPr>
                <w:b w:val="0"/>
                <w:bCs w:val="0"/>
              </w:rPr>
              <w:t>related to disability inclusion”</w:t>
            </w:r>
            <w:r w:rsidRPr="001D2CE7">
              <w:rPr>
                <w:b w:val="0"/>
                <w:bCs w:val="0"/>
              </w:rPr>
              <w:t>.</w:t>
            </w:r>
            <w:r w:rsidRPr="001D2CE7">
              <w:rPr>
                <w:b w:val="0"/>
                <w:bCs w:val="0"/>
                <w:vertAlign w:val="superscript"/>
              </w:rPr>
              <w:endnoteReference w:id="59"/>
            </w:r>
            <w:r w:rsidRPr="001D2CE7">
              <w:rPr>
                <w:b w:val="0"/>
                <w:bCs w:val="0"/>
              </w:rPr>
              <w:t xml:space="preserve"> This resulted in consortium partners integrating disability throughout programs, improving attention to inclusion and access to services for persons living with a disability. This lesson is relevant to other areas of mainstreaming/inclusion including gender and child protection. While there is evidence of cross-fertilisation across the consortium partn</w:t>
            </w:r>
            <w:r w:rsidR="000030EF" w:rsidRPr="001D2CE7">
              <w:rPr>
                <w:b w:val="0"/>
                <w:bCs w:val="0"/>
              </w:rPr>
              <w:t>ers of their respective expert</w:t>
            </w:r>
            <w:r w:rsidR="00B43345" w:rsidRPr="001D2CE7">
              <w:rPr>
                <w:b w:val="0"/>
                <w:bCs w:val="0"/>
              </w:rPr>
              <w:t>is</w:t>
            </w:r>
            <w:r w:rsidRPr="001D2CE7">
              <w:rPr>
                <w:b w:val="0"/>
                <w:bCs w:val="0"/>
              </w:rPr>
              <w:t xml:space="preserve">e – gender, child protection, legal assistance </w:t>
            </w:r>
            <w:r w:rsidR="00511997" w:rsidRPr="001D2CE7">
              <w:rPr>
                <w:b w:val="0"/>
                <w:bCs w:val="0"/>
              </w:rPr>
              <w:t>– the</w:t>
            </w:r>
            <w:r w:rsidRPr="001D2CE7">
              <w:rPr>
                <w:b w:val="0"/>
                <w:bCs w:val="0"/>
              </w:rPr>
              <w:t xml:space="preserve"> observed and reported results are strongest with respect to disability inclusion.</w:t>
            </w:r>
          </w:p>
        </w:tc>
      </w:tr>
    </w:tbl>
    <w:p w14:paraId="27965BAA" w14:textId="77777777" w:rsidR="004D33E4" w:rsidRPr="00BD1C03" w:rsidRDefault="004D33E4" w:rsidP="0052343B">
      <w:pPr>
        <w:spacing w:after="0"/>
      </w:pPr>
    </w:p>
    <w:p w14:paraId="64BCE5DF" w14:textId="25B00941" w:rsidR="006A71DF" w:rsidRPr="00BD1C03" w:rsidRDefault="00044C32" w:rsidP="00942F20">
      <w:pPr>
        <w:pStyle w:val="Heading3"/>
        <w:numPr>
          <w:ilvl w:val="2"/>
          <w:numId w:val="5"/>
        </w:numPr>
      </w:pPr>
      <w:r>
        <w:t xml:space="preserve"> </w:t>
      </w:r>
      <w:r w:rsidR="006A71DF" w:rsidRPr="00BD1C03">
        <w:t xml:space="preserve">Legal assistance </w:t>
      </w:r>
    </w:p>
    <w:p w14:paraId="1B369AE9" w14:textId="39BA7391" w:rsidR="00DB1FC4" w:rsidRPr="00BD1C03" w:rsidRDefault="006A71DF" w:rsidP="0008435D">
      <w:r w:rsidRPr="00BD1C03">
        <w:t xml:space="preserve">The </w:t>
      </w:r>
      <w:r w:rsidR="0041330E" w:rsidRPr="00BD1C03">
        <w:t xml:space="preserve">BPF Consortium </w:t>
      </w:r>
      <w:r w:rsidRPr="00BD1C03">
        <w:t>inclusion of N</w:t>
      </w:r>
      <w:r w:rsidR="00680652" w:rsidRPr="00BD1C03">
        <w:t xml:space="preserve">orwegian </w:t>
      </w:r>
      <w:r w:rsidRPr="00BD1C03">
        <w:t>R</w:t>
      </w:r>
      <w:r w:rsidR="00680652" w:rsidRPr="00BD1C03">
        <w:t xml:space="preserve">efugee </w:t>
      </w:r>
      <w:r w:rsidRPr="00BD1C03">
        <w:t>C</w:t>
      </w:r>
      <w:r w:rsidR="00680652" w:rsidRPr="00BD1C03">
        <w:t>ouncil (NRC)</w:t>
      </w:r>
      <w:r w:rsidRPr="00BD1C03">
        <w:t xml:space="preserve"> as a partner was a strategic one. This facilitated </w:t>
      </w:r>
      <w:r w:rsidR="00A975EB" w:rsidRPr="00BD1C03">
        <w:t xml:space="preserve">access to </w:t>
      </w:r>
      <w:r w:rsidRPr="00BD1C03">
        <w:t xml:space="preserve">NRC’s </w:t>
      </w:r>
      <w:r w:rsidR="00F978DF" w:rsidRPr="00BD1C03">
        <w:t>I</w:t>
      </w:r>
      <w:r w:rsidR="00DB1FC4" w:rsidRPr="00BD1C03">
        <w:t>nformation,</w:t>
      </w:r>
      <w:r w:rsidR="009764F3" w:rsidRPr="00BD1C03">
        <w:t xml:space="preserve"> </w:t>
      </w:r>
      <w:r w:rsidR="00F978DF" w:rsidRPr="00BD1C03">
        <w:t>C</w:t>
      </w:r>
      <w:r w:rsidR="00DB1FC4" w:rsidRPr="00BD1C03">
        <w:t xml:space="preserve">ounselling and </w:t>
      </w:r>
      <w:r w:rsidR="00F978DF" w:rsidRPr="00BD1C03">
        <w:t>L</w:t>
      </w:r>
      <w:r w:rsidR="00DB1FC4" w:rsidRPr="00BD1C03">
        <w:t xml:space="preserve">egal </w:t>
      </w:r>
      <w:r w:rsidR="00F978DF" w:rsidRPr="00BD1C03">
        <w:t>A</w:t>
      </w:r>
      <w:r w:rsidR="00DB1FC4" w:rsidRPr="00BD1C03">
        <w:t>ssistance (ICLA)</w:t>
      </w:r>
      <w:r w:rsidRPr="00BD1C03">
        <w:t xml:space="preserve"> program</w:t>
      </w:r>
      <w:r w:rsidR="000030EF">
        <w:t>ming expert</w:t>
      </w:r>
      <w:r w:rsidR="00B43345">
        <w:t>is</w:t>
      </w:r>
      <w:r w:rsidRPr="00BD1C03">
        <w:t>e</w:t>
      </w:r>
      <w:r w:rsidR="00DB1FC4" w:rsidRPr="00BD1C03">
        <w:t xml:space="preserve"> </w:t>
      </w:r>
      <w:r w:rsidR="00F978DF" w:rsidRPr="00BD1C03">
        <w:t>and Community Centre</w:t>
      </w:r>
      <w:r w:rsidRPr="00BD1C03">
        <w:t xml:space="preserve"> model,</w:t>
      </w:r>
      <w:r w:rsidR="00F978DF" w:rsidRPr="00BD1C03">
        <w:t xml:space="preserve"> </w:t>
      </w:r>
      <w:r w:rsidR="009764F3" w:rsidRPr="00BD1C03">
        <w:t xml:space="preserve">providing </w:t>
      </w:r>
      <w:r w:rsidR="00980497" w:rsidRPr="00BD1C03">
        <w:t>essential</w:t>
      </w:r>
      <w:r w:rsidR="00F978DF" w:rsidRPr="00BD1C03">
        <w:t xml:space="preserve"> protection service</w:t>
      </w:r>
      <w:r w:rsidR="009764F3" w:rsidRPr="00BD1C03">
        <w:t>s</w:t>
      </w:r>
      <w:r w:rsidR="00F978DF" w:rsidRPr="00BD1C03">
        <w:t xml:space="preserve"> </w:t>
      </w:r>
      <w:r w:rsidRPr="00BD1C03">
        <w:t xml:space="preserve">through an </w:t>
      </w:r>
      <w:r w:rsidR="00F978DF" w:rsidRPr="00BD1C03">
        <w:t>effective community</w:t>
      </w:r>
      <w:r w:rsidRPr="00BD1C03">
        <w:t>-based modality.</w:t>
      </w:r>
    </w:p>
    <w:p w14:paraId="2C687D99" w14:textId="13E07CF6" w:rsidR="00190256" w:rsidRPr="00BD1C03" w:rsidRDefault="00DB1FC4" w:rsidP="0008435D">
      <w:r w:rsidRPr="00BD1C03">
        <w:t xml:space="preserve">Access to legal assistance and civil documentation </w:t>
      </w:r>
      <w:r w:rsidR="00EF57F8" w:rsidRPr="00BD1C03">
        <w:t xml:space="preserve">was </w:t>
      </w:r>
      <w:r w:rsidR="00637719" w:rsidRPr="00BD1C03">
        <w:t>frequently referred to across interviews and literature as a critical</w:t>
      </w:r>
      <w:r w:rsidR="00EB25BB" w:rsidRPr="00BD1C03">
        <w:t>ly important</w:t>
      </w:r>
      <w:r w:rsidR="00637719" w:rsidRPr="00BD1C03">
        <w:t xml:space="preserve"> protection service</w:t>
      </w:r>
      <w:r w:rsidR="00EF57F8" w:rsidRPr="00BD1C03">
        <w:t>, in terms of facilitating</w:t>
      </w:r>
      <w:r w:rsidR="00637719" w:rsidRPr="00BD1C03">
        <w:t xml:space="preserve"> </w:t>
      </w:r>
      <w:r w:rsidR="00E543FF" w:rsidRPr="00BD1C03">
        <w:t>proof of identity including birth registration,</w:t>
      </w:r>
      <w:r w:rsidR="00F978DF" w:rsidRPr="00BD1C03">
        <w:t xml:space="preserve"> </w:t>
      </w:r>
      <w:r w:rsidR="00D93FBD" w:rsidRPr="00BD1C03">
        <w:t xml:space="preserve">housing, </w:t>
      </w:r>
      <w:r w:rsidR="00E543FF" w:rsidRPr="00BD1C03">
        <w:t xml:space="preserve">land and property </w:t>
      </w:r>
      <w:r w:rsidR="00591885" w:rsidRPr="00BD1C03">
        <w:t xml:space="preserve">(HLP) </w:t>
      </w:r>
      <w:r w:rsidR="00E543FF" w:rsidRPr="00BD1C03">
        <w:t>rights</w:t>
      </w:r>
      <w:r w:rsidR="00F978DF" w:rsidRPr="00BD1C03">
        <w:t>, women’s empowerment</w:t>
      </w:r>
      <w:r w:rsidR="00E543FF" w:rsidRPr="00BD1C03">
        <w:t xml:space="preserve"> </w:t>
      </w:r>
      <w:r w:rsidR="0035356D" w:rsidRPr="00BD1C03">
        <w:t>and returns</w:t>
      </w:r>
      <w:r w:rsidRPr="00BD1C03">
        <w:t>.</w:t>
      </w:r>
      <w:r w:rsidR="00E543FF" w:rsidRPr="00BD1C03">
        <w:t xml:space="preserve"> </w:t>
      </w:r>
    </w:p>
    <w:p w14:paraId="7D483DAF" w14:textId="33AA7BF7" w:rsidR="0027324A" w:rsidRPr="00BD1C03" w:rsidRDefault="0027324A" w:rsidP="0008435D">
      <w:r w:rsidRPr="00BD1C03">
        <w:t xml:space="preserve">Without the necessary civil </w:t>
      </w:r>
      <w:r w:rsidR="00511997" w:rsidRPr="00BD1C03">
        <w:t>documentation,</w:t>
      </w:r>
      <w:r w:rsidRPr="00BD1C03">
        <w:t xml:space="preserve"> IDPs and returnees are unable to access health and education services, can have their freedom of movement restricted, are at higher risk of arrest and detention, unable to register the birth of a child and may be excluded from assistance – especially government assistance.</w:t>
      </w:r>
      <w:r w:rsidRPr="00BD1C03">
        <w:rPr>
          <w:rStyle w:val="EndnoteReference"/>
          <w:rFonts w:ascii="Calibri Light" w:hAnsi="Calibri Light" w:cs="Calibri Light"/>
          <w:szCs w:val="22"/>
        </w:rPr>
        <w:endnoteReference w:id="60"/>
      </w:r>
    </w:p>
    <w:p w14:paraId="05FDB3C9" w14:textId="1A603FD1" w:rsidR="00EB30D2" w:rsidRPr="00BD1C03" w:rsidRDefault="00EB30D2" w:rsidP="0008435D">
      <w:r w:rsidRPr="00BD1C03">
        <w:t>As of the end of March 2020</w:t>
      </w:r>
      <w:r w:rsidR="00511997">
        <w:t>,</w:t>
      </w:r>
      <w:r w:rsidRPr="00BD1C03">
        <w:t xml:space="preserve"> DFAT assistance has provided the following legal assistance to IDP, returnee and host community members in </w:t>
      </w:r>
      <w:proofErr w:type="spellStart"/>
      <w:r w:rsidRPr="00BD1C03">
        <w:t>Hawija</w:t>
      </w:r>
      <w:proofErr w:type="spellEnd"/>
      <w:r w:rsidRPr="00BD1C03">
        <w:t xml:space="preserve"> and Sinjar:</w:t>
      </w:r>
    </w:p>
    <w:p w14:paraId="3F6F1E91" w14:textId="37170EF8" w:rsidR="00190256" w:rsidRPr="00BD1C03" w:rsidRDefault="00190256" w:rsidP="006E12C0">
      <w:pPr>
        <w:pStyle w:val="bullets0"/>
        <w:ind w:left="426"/>
      </w:pPr>
      <w:r w:rsidRPr="00BD1C03">
        <w:rPr>
          <w:b/>
          <w:bCs/>
        </w:rPr>
        <w:t>2,274 individuals</w:t>
      </w:r>
      <w:r w:rsidRPr="00BD1C03">
        <w:t xml:space="preserve"> (823 females, 1,451 males) </w:t>
      </w:r>
      <w:r w:rsidRPr="00BD1C03">
        <w:rPr>
          <w:b/>
          <w:bCs/>
        </w:rPr>
        <w:t>received information</w:t>
      </w:r>
      <w:r w:rsidRPr="00BD1C03">
        <w:t xml:space="preserve"> o</w:t>
      </w:r>
      <w:r w:rsidR="003645D3">
        <w:t>n legal identity and HLP rights;</w:t>
      </w:r>
    </w:p>
    <w:p w14:paraId="68834C92" w14:textId="1BE57B9A" w:rsidR="00190256" w:rsidRPr="00BD1C03" w:rsidRDefault="00190256" w:rsidP="006E12C0">
      <w:pPr>
        <w:pStyle w:val="bullets0"/>
        <w:ind w:left="426"/>
      </w:pPr>
      <w:r w:rsidRPr="00BD1C03">
        <w:rPr>
          <w:b/>
          <w:bCs/>
        </w:rPr>
        <w:t>880 individuals</w:t>
      </w:r>
      <w:r w:rsidRPr="00BD1C03">
        <w:t xml:space="preserve"> (292 females, 588 males) </w:t>
      </w:r>
      <w:r w:rsidRPr="00BD1C03">
        <w:rPr>
          <w:b/>
          <w:bCs/>
        </w:rPr>
        <w:t xml:space="preserve">received tailored </w:t>
      </w:r>
      <w:r w:rsidR="00C624B7" w:rsidRPr="00BD1C03">
        <w:rPr>
          <w:b/>
          <w:bCs/>
        </w:rPr>
        <w:t>counse</w:t>
      </w:r>
      <w:r w:rsidR="00C624B7">
        <w:rPr>
          <w:b/>
          <w:bCs/>
        </w:rPr>
        <w:t>lling</w:t>
      </w:r>
      <w:r w:rsidRPr="00BD1C03">
        <w:t xml:space="preserve"> to empower them to claim their rights</w:t>
      </w:r>
      <w:r w:rsidR="003645D3">
        <w:t>;</w:t>
      </w:r>
    </w:p>
    <w:p w14:paraId="7D92B8F9" w14:textId="5FE82924" w:rsidR="00F03322" w:rsidRPr="00BD1C03" w:rsidRDefault="00D93FBD" w:rsidP="006E12C0">
      <w:pPr>
        <w:pStyle w:val="bullets0"/>
        <w:ind w:left="426"/>
      </w:pPr>
      <w:r w:rsidRPr="00BD1C03">
        <w:rPr>
          <w:b/>
          <w:bCs/>
        </w:rPr>
        <w:t>1</w:t>
      </w:r>
      <w:r w:rsidR="00511997">
        <w:rPr>
          <w:b/>
          <w:bCs/>
        </w:rPr>
        <w:t>,</w:t>
      </w:r>
      <w:r w:rsidR="00190256" w:rsidRPr="00BD1C03">
        <w:rPr>
          <w:b/>
          <w:bCs/>
        </w:rPr>
        <w:t>160</w:t>
      </w:r>
      <w:r w:rsidRPr="00BD1C03">
        <w:rPr>
          <w:b/>
          <w:bCs/>
        </w:rPr>
        <w:t xml:space="preserve"> individuals </w:t>
      </w:r>
      <w:r w:rsidR="00190256" w:rsidRPr="00BD1C03">
        <w:t xml:space="preserve">(566 females, 594 males) </w:t>
      </w:r>
      <w:r w:rsidRPr="00BD1C03">
        <w:rPr>
          <w:b/>
          <w:bCs/>
        </w:rPr>
        <w:t>received legal assistance</w:t>
      </w:r>
      <w:r w:rsidR="00190256" w:rsidRPr="00BD1C03">
        <w:rPr>
          <w:b/>
          <w:bCs/>
        </w:rPr>
        <w:t xml:space="preserve"> </w:t>
      </w:r>
      <w:r w:rsidRPr="00BD1C03">
        <w:t>t</w:t>
      </w:r>
      <w:r w:rsidR="00A975EB" w:rsidRPr="00BD1C03">
        <w:t>o access</w:t>
      </w:r>
      <w:r w:rsidRPr="00BD1C03">
        <w:t xml:space="preserve"> ci</w:t>
      </w:r>
      <w:r w:rsidR="000030EF">
        <w:t>vil documentation and/ or real</w:t>
      </w:r>
      <w:r w:rsidR="00B43345">
        <w:t>is</w:t>
      </w:r>
      <w:r w:rsidRPr="00BD1C03">
        <w:t xml:space="preserve">e HLP rights. </w:t>
      </w:r>
      <w:r w:rsidR="00E543FF" w:rsidRPr="00BD1C03">
        <w:t>The multi-cluster needs assessment (August 2019) found almost 2.9 million individuals are missing at least one form of civil documentation.</w:t>
      </w:r>
      <w:r w:rsidR="00E543FF" w:rsidRPr="00BD1C03">
        <w:rPr>
          <w:rStyle w:val="EndnoteReference"/>
          <w:rFonts w:ascii="Calibri Light" w:hAnsi="Calibri Light" w:cs="Calibri Light"/>
          <w:szCs w:val="22"/>
        </w:rPr>
        <w:endnoteReference w:id="61"/>
      </w:r>
      <w:r w:rsidR="00E543FF" w:rsidRPr="00BD1C03">
        <w:t xml:space="preserve"> </w:t>
      </w:r>
    </w:p>
    <w:p w14:paraId="478D758B" w14:textId="1311BD49" w:rsidR="007C5816" w:rsidRPr="00BD1C03" w:rsidRDefault="00345DA1" w:rsidP="009D6A9A">
      <w:pPr>
        <w:pStyle w:val="Quote1"/>
      </w:pPr>
      <w:r w:rsidRPr="00BD1C03">
        <w:t xml:space="preserve"> </w:t>
      </w:r>
      <w:r w:rsidR="00F03322" w:rsidRPr="00BD1C03">
        <w:t>“I did not have an identity card and NRC helped me get one. Because of this I have been accepted in school and checkpoints have changed the way they are dealing with me.”</w:t>
      </w:r>
    </w:p>
    <w:p w14:paraId="2651ED67" w14:textId="7B780CBC" w:rsidR="00F03322" w:rsidRPr="00BD1C03" w:rsidRDefault="00F03322" w:rsidP="00270BF1">
      <w:pPr>
        <w:ind w:right="645"/>
        <w:jc w:val="right"/>
        <w:rPr>
          <w:bCs/>
        </w:rPr>
      </w:pPr>
      <w:r w:rsidRPr="00BD1C03">
        <w:t xml:space="preserve"> </w:t>
      </w:r>
      <w:r w:rsidRPr="00BD1C03">
        <w:rPr>
          <w:bCs/>
        </w:rPr>
        <w:t xml:space="preserve">Male Child Beneficiary </w:t>
      </w:r>
      <w:proofErr w:type="spellStart"/>
      <w:r w:rsidRPr="00BD1C03">
        <w:rPr>
          <w:bCs/>
        </w:rPr>
        <w:t>Hawija</w:t>
      </w:r>
      <w:proofErr w:type="spellEnd"/>
      <w:r w:rsidR="00413117" w:rsidRPr="00BD1C03">
        <w:rPr>
          <w:rStyle w:val="EndnoteReference"/>
          <w:rFonts w:cstheme="majorHAnsi"/>
          <w:bCs/>
          <w:sz w:val="20"/>
          <w:szCs w:val="20"/>
        </w:rPr>
        <w:endnoteReference w:id="62"/>
      </w:r>
    </w:p>
    <w:p w14:paraId="251AAD38" w14:textId="79545AA3" w:rsidR="00EB30D2" w:rsidRPr="00BD1C03" w:rsidRDefault="00EB30D2" w:rsidP="0008435D">
      <w:r w:rsidRPr="00BD1C03">
        <w:t xml:space="preserve">NRC consider Sinjar and </w:t>
      </w:r>
      <w:proofErr w:type="spellStart"/>
      <w:r w:rsidRPr="00BD1C03">
        <w:t>Hawija</w:t>
      </w:r>
      <w:proofErr w:type="spellEnd"/>
      <w:r w:rsidRPr="00BD1C03">
        <w:t xml:space="preserve"> as two of the most complex areas for their ICLA program due to </w:t>
      </w:r>
      <w:r w:rsidR="0027324A" w:rsidRPr="00BD1C03">
        <w:t>tensions that existed prior to the ISIL-coalition conflict and have</w:t>
      </w:r>
      <w:r w:rsidRPr="00BD1C03">
        <w:t xml:space="preserve"> intensified </w:t>
      </w:r>
      <w:r w:rsidR="00680652" w:rsidRPr="00BD1C03">
        <w:t xml:space="preserve">post-conflict </w:t>
      </w:r>
      <w:r w:rsidR="0027324A" w:rsidRPr="00BD1C03">
        <w:t>around</w:t>
      </w:r>
      <w:r w:rsidRPr="00BD1C03">
        <w:t xml:space="preserve"> land use and ownership. Previously Yazidi’s were excluded from land ownership schemes, and now Sunni Arabs are </w:t>
      </w:r>
      <w:r w:rsidR="00680652" w:rsidRPr="00BD1C03">
        <w:t>reporting</w:t>
      </w:r>
      <w:r w:rsidRPr="00BD1C03">
        <w:t xml:space="preserve"> discrimination in </w:t>
      </w:r>
      <w:r w:rsidR="0027324A" w:rsidRPr="00BD1C03">
        <w:t>claiming HLP rights. It is further noted that while inter-communal tensions are high</w:t>
      </w:r>
      <w:r w:rsidR="009C1448" w:rsidRPr="00BD1C03">
        <w:t xml:space="preserve"> and visible</w:t>
      </w:r>
      <w:r w:rsidR="0027324A" w:rsidRPr="00BD1C03">
        <w:t xml:space="preserve">, intra-communal tensions </w:t>
      </w:r>
      <w:r w:rsidR="00C049F6" w:rsidRPr="00BD1C03">
        <w:t>have also intensified.</w:t>
      </w:r>
    </w:p>
    <w:p w14:paraId="42334530" w14:textId="4F6A2F40" w:rsidR="00201FB1" w:rsidRPr="00BD1C03" w:rsidRDefault="0027324A" w:rsidP="0008435D">
      <w:r w:rsidRPr="00BD1C03">
        <w:t xml:space="preserve">In addition to civil documentation and HLP challenges, </w:t>
      </w:r>
      <w:r w:rsidR="0041330E" w:rsidRPr="00BD1C03">
        <w:t>further barrier</w:t>
      </w:r>
      <w:r w:rsidR="00EB25BB" w:rsidRPr="00BD1C03">
        <w:t>s</w:t>
      </w:r>
      <w:r w:rsidR="0041330E" w:rsidRPr="00BD1C03">
        <w:t xml:space="preserve"> to returns are </w:t>
      </w:r>
      <w:r w:rsidR="00625B61" w:rsidRPr="00BD1C03">
        <w:t xml:space="preserve">high levels of </w:t>
      </w:r>
      <w:r w:rsidR="0041330E" w:rsidRPr="00BD1C03">
        <w:t xml:space="preserve">discrimination and social cohesion issues. </w:t>
      </w:r>
      <w:r w:rsidR="009764F3" w:rsidRPr="00BD1C03">
        <w:t xml:space="preserve">The addition </w:t>
      </w:r>
      <w:r w:rsidR="00EF57F8" w:rsidRPr="00BD1C03">
        <w:t xml:space="preserve">by BPF </w:t>
      </w:r>
      <w:r w:rsidR="009764F3" w:rsidRPr="00BD1C03">
        <w:t xml:space="preserve">of the </w:t>
      </w:r>
      <w:r w:rsidR="00F978DF" w:rsidRPr="00BD1C03">
        <w:t xml:space="preserve">Non-violent </w:t>
      </w:r>
      <w:proofErr w:type="spellStart"/>
      <w:r w:rsidR="00F978DF" w:rsidRPr="00BD1C03">
        <w:t>Peaceforce</w:t>
      </w:r>
      <w:proofErr w:type="spellEnd"/>
      <w:r w:rsidR="00F978DF" w:rsidRPr="00BD1C03">
        <w:t xml:space="preserve"> partnership</w:t>
      </w:r>
      <w:r w:rsidR="00770A27" w:rsidRPr="00BD1C03">
        <w:t xml:space="preserve"> for social cohesion and peacebuilding </w:t>
      </w:r>
      <w:r w:rsidR="0041330E" w:rsidRPr="00BD1C03">
        <w:t>is</w:t>
      </w:r>
      <w:r w:rsidR="002870F9" w:rsidRPr="00BD1C03">
        <w:t xml:space="preserve"> important </w:t>
      </w:r>
      <w:r w:rsidR="004712AC" w:rsidRPr="00BD1C03">
        <w:t>to advance work on some of the more complex social cohesion needs in Sinjar</w:t>
      </w:r>
      <w:r w:rsidR="00EF57F8" w:rsidRPr="00BD1C03">
        <w:t xml:space="preserve"> (Ninewa governorate)</w:t>
      </w:r>
      <w:r w:rsidR="004712AC" w:rsidRPr="00BD1C03">
        <w:t xml:space="preserve"> and </w:t>
      </w:r>
      <w:proofErr w:type="spellStart"/>
      <w:r w:rsidR="004712AC" w:rsidRPr="00BD1C03">
        <w:t>Hawija</w:t>
      </w:r>
      <w:proofErr w:type="spellEnd"/>
      <w:r w:rsidR="004712AC" w:rsidRPr="00BD1C03">
        <w:t xml:space="preserve"> </w:t>
      </w:r>
      <w:r w:rsidR="00EF57F8" w:rsidRPr="00BD1C03">
        <w:t>(Kirkuk governorate)</w:t>
      </w:r>
      <w:r w:rsidR="00435C90" w:rsidRPr="00BD1C03">
        <w:t xml:space="preserve"> </w:t>
      </w:r>
      <w:r w:rsidR="004712AC" w:rsidRPr="00BD1C03">
        <w:t xml:space="preserve">preventing </w:t>
      </w:r>
      <w:r w:rsidRPr="00BD1C03">
        <w:t xml:space="preserve">access to HLP rights and </w:t>
      </w:r>
      <w:r w:rsidR="004712AC" w:rsidRPr="00BD1C03">
        <w:t>durable returns</w:t>
      </w:r>
      <w:r w:rsidR="00696C58" w:rsidRPr="00BD1C03">
        <w:t xml:space="preserve">. </w:t>
      </w:r>
    </w:p>
    <w:p w14:paraId="5DD29BCE" w14:textId="6D5FCB71" w:rsidR="009E42BB" w:rsidRPr="00BD1C03" w:rsidRDefault="00044C32" w:rsidP="00942F20">
      <w:pPr>
        <w:pStyle w:val="Heading3"/>
        <w:numPr>
          <w:ilvl w:val="2"/>
          <w:numId w:val="5"/>
        </w:numPr>
      </w:pPr>
      <w:r>
        <w:t xml:space="preserve"> </w:t>
      </w:r>
      <w:r w:rsidR="009E42BB" w:rsidRPr="00BD1C03">
        <w:t>Child protection</w:t>
      </w:r>
    </w:p>
    <w:p w14:paraId="6C3F5F7D" w14:textId="540D77CC" w:rsidR="00EF57F8" w:rsidRPr="00BD1C03" w:rsidRDefault="00C202DA" w:rsidP="0008435D">
      <w:r w:rsidRPr="00BD1C03">
        <w:t xml:space="preserve">There </w:t>
      </w:r>
      <w:r w:rsidR="00470D66" w:rsidRPr="00BD1C03">
        <w:t xml:space="preserve">is </w:t>
      </w:r>
      <w:r w:rsidRPr="00BD1C03">
        <w:t xml:space="preserve">limited attention to child protection in the </w:t>
      </w:r>
      <w:r w:rsidR="00E52929" w:rsidRPr="00BD1C03">
        <w:t>P</w:t>
      </w:r>
      <w:r w:rsidRPr="00BD1C03">
        <w:t xml:space="preserve">ackage </w:t>
      </w:r>
      <w:r w:rsidR="004A0079" w:rsidRPr="00BD1C03">
        <w:t xml:space="preserve">design </w:t>
      </w:r>
      <w:r w:rsidRPr="00BD1C03">
        <w:t xml:space="preserve">with no investment in dedicated programs and limited evidence of mainstreaming outside </w:t>
      </w:r>
      <w:r w:rsidR="00C94335" w:rsidRPr="00BD1C03">
        <w:t xml:space="preserve">of </w:t>
      </w:r>
      <w:r w:rsidRPr="00BD1C03">
        <w:t>the BPF consortium.</w:t>
      </w:r>
      <w:r w:rsidR="00470D66" w:rsidRPr="00BD1C03">
        <w:t xml:space="preserve"> The BPF mid-term evaluation noted there had been no investment in child protection case management and there was less evidence of STC </w:t>
      </w:r>
      <w:r w:rsidR="00EF57F8" w:rsidRPr="00BD1C03">
        <w:t xml:space="preserve">child rights </w:t>
      </w:r>
      <w:r w:rsidR="00470D66" w:rsidRPr="00BD1C03">
        <w:t xml:space="preserve">influence which may in part be attributed to </w:t>
      </w:r>
      <w:r w:rsidR="00D04314" w:rsidRPr="00BD1C03">
        <w:t>less</w:t>
      </w:r>
      <w:r w:rsidR="00470D66" w:rsidRPr="00BD1C03">
        <w:t xml:space="preserve"> budget</w:t>
      </w:r>
      <w:r w:rsidR="00D04314" w:rsidRPr="00BD1C03">
        <w:t xml:space="preserve"> allocation</w:t>
      </w:r>
      <w:r w:rsidR="00470D66" w:rsidRPr="00BD1C03">
        <w:t>.</w:t>
      </w:r>
      <w:r w:rsidR="00470D66" w:rsidRPr="00BD1C03">
        <w:rPr>
          <w:rStyle w:val="EndnoteReference"/>
          <w:rFonts w:ascii="Calibri Light" w:hAnsi="Calibri Light" w:cs="Calibri Light"/>
          <w:szCs w:val="22"/>
        </w:rPr>
        <w:endnoteReference w:id="63"/>
      </w:r>
      <w:r w:rsidR="003C013C" w:rsidRPr="00BD1C03">
        <w:t xml:space="preserve"> </w:t>
      </w:r>
    </w:p>
    <w:p w14:paraId="1852207F" w14:textId="31D16923" w:rsidR="00EF57F8" w:rsidRPr="00BD1C03" w:rsidRDefault="003C013C" w:rsidP="0008435D">
      <w:r w:rsidRPr="00BD1C03">
        <w:t xml:space="preserve">Investment in dedicated programs is necessary to strengthen the </w:t>
      </w:r>
      <w:r w:rsidR="00EC0F67" w:rsidRPr="00BD1C03">
        <w:t xml:space="preserve">protective environment and </w:t>
      </w:r>
      <w:r w:rsidRPr="00BD1C03">
        <w:t>child protection systems</w:t>
      </w:r>
      <w:r w:rsidR="005F433D" w:rsidRPr="00BD1C03">
        <w:t xml:space="preserve"> in areas</w:t>
      </w:r>
      <w:r w:rsidRPr="00BD1C03">
        <w:t xml:space="preserve"> where DFAT’s investments are being implemented. </w:t>
      </w:r>
      <w:r w:rsidR="00621838" w:rsidRPr="00BD1C03">
        <w:t xml:space="preserve">In terms of positive impact, the </w:t>
      </w:r>
      <w:r w:rsidR="00EC2241" w:rsidRPr="00BD1C03">
        <w:t xml:space="preserve">BPF mid-term </w:t>
      </w:r>
      <w:r w:rsidR="00621838" w:rsidRPr="00BD1C03">
        <w:t xml:space="preserve">evaluation noted </w:t>
      </w:r>
      <w:r w:rsidR="005E1F09" w:rsidRPr="00BD1C03">
        <w:t xml:space="preserve">that </w:t>
      </w:r>
      <w:r w:rsidR="00621838" w:rsidRPr="00BD1C03">
        <w:t xml:space="preserve">NRC had improved </w:t>
      </w:r>
      <w:r w:rsidR="000D77AA" w:rsidRPr="00BD1C03">
        <w:t>its</w:t>
      </w:r>
      <w:r w:rsidR="00621838" w:rsidRPr="00BD1C03">
        <w:t xml:space="preserve"> internal </w:t>
      </w:r>
      <w:r w:rsidR="005E1F09" w:rsidRPr="00BD1C03">
        <w:t xml:space="preserve">child protection </w:t>
      </w:r>
      <w:r w:rsidR="00621838" w:rsidRPr="00BD1C03">
        <w:t>procedures due to the work of STC.</w:t>
      </w:r>
      <w:r w:rsidR="00621838" w:rsidRPr="00BD1C03">
        <w:rPr>
          <w:rStyle w:val="EndnoteReference"/>
          <w:rFonts w:ascii="Calibri Light" w:hAnsi="Calibri Light" w:cs="Calibri Light"/>
          <w:szCs w:val="22"/>
        </w:rPr>
        <w:endnoteReference w:id="64"/>
      </w:r>
      <w:r w:rsidR="00621838" w:rsidRPr="00BD1C03">
        <w:t xml:space="preserve"> </w:t>
      </w:r>
      <w:r w:rsidR="004A0079" w:rsidRPr="00BD1C03">
        <w:t>There is little attention to or evidence of child protection mainstreaming in</w:t>
      </w:r>
      <w:r w:rsidR="005E1F09" w:rsidRPr="00BD1C03">
        <w:t xml:space="preserve"> </w:t>
      </w:r>
      <w:r w:rsidR="004A0079" w:rsidRPr="00BD1C03">
        <w:t xml:space="preserve">UNICEF </w:t>
      </w:r>
      <w:r w:rsidR="00470D66" w:rsidRPr="00BD1C03">
        <w:t xml:space="preserve">reporting. </w:t>
      </w:r>
      <w:r w:rsidR="000378F9" w:rsidRPr="00BD1C03">
        <w:t xml:space="preserve">From reviewing the Package </w:t>
      </w:r>
      <w:r w:rsidR="006D2D93" w:rsidRPr="00BD1C03">
        <w:t xml:space="preserve">level </w:t>
      </w:r>
      <w:r w:rsidR="000378F9" w:rsidRPr="00BD1C03">
        <w:t xml:space="preserve">M&amp;E and reporting, </w:t>
      </w:r>
      <w:r w:rsidR="00F54EE6" w:rsidRPr="00BD1C03">
        <w:t xml:space="preserve">it appears </w:t>
      </w:r>
      <w:r w:rsidR="006D2D93" w:rsidRPr="00BD1C03">
        <w:t xml:space="preserve">a </w:t>
      </w:r>
      <w:r w:rsidR="00C202DA" w:rsidRPr="00BD1C03">
        <w:t xml:space="preserve">conceptual </w:t>
      </w:r>
      <w:r w:rsidR="006D2D93" w:rsidRPr="00BD1C03">
        <w:t>misunderstanding</w:t>
      </w:r>
      <w:r w:rsidR="00C202DA" w:rsidRPr="00BD1C03">
        <w:t xml:space="preserve"> remains </w:t>
      </w:r>
      <w:r w:rsidR="00F54EE6" w:rsidRPr="00BD1C03">
        <w:t>in</w:t>
      </w:r>
      <w:r w:rsidR="00C202DA" w:rsidRPr="00BD1C03">
        <w:t xml:space="preserve"> </w:t>
      </w:r>
      <w:r w:rsidR="006D2D93" w:rsidRPr="00BD1C03">
        <w:t>understanding the</w:t>
      </w:r>
      <w:r w:rsidR="00F54EE6" w:rsidRPr="00BD1C03">
        <w:t xml:space="preserve"> difference </w:t>
      </w:r>
      <w:r w:rsidR="006D2D93" w:rsidRPr="00BD1C03">
        <w:t>between</w:t>
      </w:r>
      <w:r w:rsidR="00F54EE6" w:rsidRPr="00BD1C03">
        <w:t xml:space="preserve"> </w:t>
      </w:r>
      <w:r w:rsidR="00C202DA" w:rsidRPr="00BD1C03">
        <w:t xml:space="preserve">monitoring DFAT’s compliance focused </w:t>
      </w:r>
      <w:r w:rsidR="00F54EE6" w:rsidRPr="00BD1C03">
        <w:t xml:space="preserve">child protection </w:t>
      </w:r>
      <w:r w:rsidR="00C202DA" w:rsidRPr="00BD1C03">
        <w:t>policy</w:t>
      </w:r>
      <w:r w:rsidR="00F54EE6" w:rsidRPr="00BD1C03">
        <w:t xml:space="preserve"> and </w:t>
      </w:r>
      <w:r w:rsidR="00C202DA" w:rsidRPr="00BD1C03">
        <w:t>investing in child protection programming</w:t>
      </w:r>
      <w:r w:rsidR="004428AB" w:rsidRPr="00BD1C03">
        <w:t xml:space="preserve"> and mainstreaming.</w:t>
      </w:r>
      <w:r w:rsidR="00E9389B" w:rsidRPr="00BD1C03">
        <w:t xml:space="preserve"> </w:t>
      </w:r>
      <w:r w:rsidR="00F54EE6" w:rsidRPr="00BD1C03">
        <w:t xml:space="preserve">The former is focused on risk management, whereas the latter involves </w:t>
      </w:r>
      <w:r w:rsidR="00D51AC1" w:rsidRPr="00BD1C03">
        <w:t xml:space="preserve">investing in </w:t>
      </w:r>
      <w:r w:rsidR="00F54EE6" w:rsidRPr="00BD1C03">
        <w:t xml:space="preserve">dedicated programming to </w:t>
      </w:r>
      <w:r w:rsidR="00D51AC1" w:rsidRPr="00BD1C03">
        <w:t>protect</w:t>
      </w:r>
      <w:r w:rsidR="00F54EE6" w:rsidRPr="00BD1C03">
        <w:t xml:space="preserve"> children</w:t>
      </w:r>
      <w:r w:rsidR="006D2D93" w:rsidRPr="00BD1C03">
        <w:t xml:space="preserve"> from</w:t>
      </w:r>
      <w:r w:rsidR="00F54EE6" w:rsidRPr="00BD1C03">
        <w:t xml:space="preserve"> violence, exploitation and abuse.</w:t>
      </w:r>
      <w:r w:rsidR="009F016D" w:rsidRPr="00BD1C03">
        <w:t xml:space="preserve"> Investing in the latter is also critical to supporting a protective and safe environment for children.</w:t>
      </w:r>
    </w:p>
    <w:p w14:paraId="7909F579" w14:textId="153492A9" w:rsidR="00EF57F8" w:rsidRPr="00BD1C03" w:rsidRDefault="005E1F09" w:rsidP="0008435D">
      <w:r w:rsidRPr="00BD1C03">
        <w:t>In terms of operational</w:t>
      </w:r>
      <w:r w:rsidR="00B43345">
        <w:t>is</w:t>
      </w:r>
      <w:r w:rsidRPr="00BD1C03">
        <w:t>ing</w:t>
      </w:r>
      <w:r w:rsidR="000378F9" w:rsidRPr="00BD1C03">
        <w:t xml:space="preserve"> beyond </w:t>
      </w:r>
      <w:r w:rsidR="00511997" w:rsidRPr="00BD1C03">
        <w:t>paper-based</w:t>
      </w:r>
      <w:r w:rsidR="000378F9" w:rsidRPr="00BD1C03">
        <w:t xml:space="preserve"> commitments,</w:t>
      </w:r>
      <w:r w:rsidRPr="00BD1C03">
        <w:t xml:space="preserve"> </w:t>
      </w:r>
      <w:r w:rsidR="0037244E" w:rsidRPr="00BD1C03">
        <w:t>DFAT’s</w:t>
      </w:r>
      <w:r w:rsidR="00E9389B" w:rsidRPr="00BD1C03">
        <w:t xml:space="preserve"> child protection policy </w:t>
      </w:r>
      <w:r w:rsidRPr="00BD1C03">
        <w:t>will in practice overlap with PSEA mechanisms (</w:t>
      </w:r>
      <w:r w:rsidR="009F50C2" w:rsidRPr="00BD1C03">
        <w:t>including</w:t>
      </w:r>
      <w:r w:rsidR="00816B20" w:rsidRPr="00BD1C03">
        <w:t xml:space="preserve"> </w:t>
      </w:r>
      <w:r w:rsidR="0037244E" w:rsidRPr="00BD1C03">
        <w:t xml:space="preserve">the more recently released </w:t>
      </w:r>
      <w:r w:rsidR="00816B20" w:rsidRPr="00BD1C03">
        <w:t>DFAT</w:t>
      </w:r>
      <w:r w:rsidR="00E9389B" w:rsidRPr="00BD1C03">
        <w:t xml:space="preserve"> preventing sexual exploitation</w:t>
      </w:r>
      <w:r w:rsidR="00816B20" w:rsidRPr="00BD1C03">
        <w:t>,</w:t>
      </w:r>
      <w:r w:rsidR="00E9389B" w:rsidRPr="00BD1C03">
        <w:t xml:space="preserve"> abuse </w:t>
      </w:r>
      <w:r w:rsidR="00816B20" w:rsidRPr="00BD1C03">
        <w:t>and harassment policy</w:t>
      </w:r>
      <w:r w:rsidR="009F50C2" w:rsidRPr="00BD1C03">
        <w:t>)</w:t>
      </w:r>
      <w:r w:rsidR="00EF57F8" w:rsidRPr="00BD1C03">
        <w:t>. Both policies</w:t>
      </w:r>
      <w:r w:rsidR="009F50C2" w:rsidRPr="00BD1C03">
        <w:t xml:space="preserve"> are dependent on function</w:t>
      </w:r>
      <w:r w:rsidR="000378F9" w:rsidRPr="00BD1C03">
        <w:t>al</w:t>
      </w:r>
      <w:r w:rsidR="009F50C2" w:rsidRPr="00BD1C03">
        <w:t xml:space="preserve"> AAP processes and mechanisms</w:t>
      </w:r>
      <w:r w:rsidR="00E9389B" w:rsidRPr="00BD1C03">
        <w:t>.</w:t>
      </w:r>
      <w:r w:rsidR="00816B20" w:rsidRPr="00BD1C03">
        <w:rPr>
          <w:rStyle w:val="EndnoteReference"/>
          <w:rFonts w:ascii="Calibri Light" w:hAnsi="Calibri Light" w:cs="Calibri Light"/>
          <w:szCs w:val="22"/>
        </w:rPr>
        <w:endnoteReference w:id="65"/>
      </w:r>
      <w:r w:rsidR="00E9389B" w:rsidRPr="00BD1C03">
        <w:t xml:space="preserve"> </w:t>
      </w:r>
      <w:r w:rsidR="00B6263B" w:rsidRPr="00BD1C03">
        <w:t xml:space="preserve">The above </w:t>
      </w:r>
      <w:r w:rsidR="00722F72" w:rsidRPr="00BD1C03">
        <w:t xml:space="preserve">findings </w:t>
      </w:r>
      <w:r w:rsidR="000378F9" w:rsidRPr="00BD1C03">
        <w:t>highlight</w:t>
      </w:r>
      <w:r w:rsidR="00B6263B" w:rsidRPr="00BD1C03">
        <w:t xml:space="preserve"> the need to update DFAT guidance and </w:t>
      </w:r>
      <w:r w:rsidR="00722F72" w:rsidRPr="00BD1C03">
        <w:t>M</w:t>
      </w:r>
      <w:r w:rsidR="00B6263B" w:rsidRPr="00BD1C03">
        <w:t>&amp;</w:t>
      </w:r>
      <w:r w:rsidR="00722F72" w:rsidRPr="00BD1C03">
        <w:t>E</w:t>
      </w:r>
      <w:r w:rsidR="00B6263B" w:rsidRPr="00BD1C03">
        <w:t xml:space="preserve"> frameworks</w:t>
      </w:r>
      <w:r w:rsidR="00722F72" w:rsidRPr="00BD1C03">
        <w:t>. The revisions should</w:t>
      </w:r>
      <w:r w:rsidR="009F50C2" w:rsidRPr="00BD1C03">
        <w:t xml:space="preserve"> more clearly delineate the difference between compliance and programming measures</w:t>
      </w:r>
      <w:r w:rsidR="00722F72" w:rsidRPr="00BD1C03">
        <w:t xml:space="preserve"> to</w:t>
      </w:r>
      <w:r w:rsidR="009F50C2" w:rsidRPr="00BD1C03">
        <w:t xml:space="preserve"> improve </w:t>
      </w:r>
      <w:r w:rsidR="00B6263B" w:rsidRPr="00BD1C03">
        <w:t>coherence with sector standards</w:t>
      </w:r>
      <w:r w:rsidR="00722F72" w:rsidRPr="00BD1C03">
        <w:t xml:space="preserve">, facilitate more robust </w:t>
      </w:r>
      <w:r w:rsidR="00A975EB" w:rsidRPr="00BD1C03">
        <w:t>operational</w:t>
      </w:r>
      <w:r w:rsidR="00B43345">
        <w:t>is</w:t>
      </w:r>
      <w:r w:rsidR="00A975EB" w:rsidRPr="00BD1C03">
        <w:t>ation of measures to protect children</w:t>
      </w:r>
      <w:r w:rsidR="009F50C2" w:rsidRPr="00BD1C03">
        <w:t>,</w:t>
      </w:r>
      <w:r w:rsidR="000817CB" w:rsidRPr="00BD1C03">
        <w:t xml:space="preserve"> </w:t>
      </w:r>
      <w:r w:rsidR="00722F72" w:rsidRPr="00BD1C03">
        <w:t xml:space="preserve">and </w:t>
      </w:r>
      <w:r w:rsidR="009F50C2" w:rsidRPr="00BD1C03">
        <w:t>better</w:t>
      </w:r>
      <w:r w:rsidR="000817CB" w:rsidRPr="00BD1C03">
        <w:t xml:space="preserve"> </w:t>
      </w:r>
      <w:r w:rsidR="009F50C2" w:rsidRPr="00BD1C03">
        <w:t xml:space="preserve">understand and </w:t>
      </w:r>
      <w:r w:rsidR="000817CB" w:rsidRPr="00BD1C03">
        <w:t xml:space="preserve">track </w:t>
      </w:r>
      <w:r w:rsidR="009F50C2" w:rsidRPr="00BD1C03">
        <w:t>performance</w:t>
      </w:r>
      <w:r w:rsidR="000817CB" w:rsidRPr="00BD1C03">
        <w:t>.</w:t>
      </w:r>
    </w:p>
    <w:p w14:paraId="69031047" w14:textId="0F0C9D2C" w:rsidR="00EF57F8" w:rsidRPr="00BD1C03" w:rsidRDefault="00044C32" w:rsidP="00942F20">
      <w:pPr>
        <w:pStyle w:val="Heading3"/>
        <w:numPr>
          <w:ilvl w:val="2"/>
          <w:numId w:val="5"/>
        </w:numPr>
      </w:pPr>
      <w:r>
        <w:t xml:space="preserve"> </w:t>
      </w:r>
      <w:r w:rsidR="00EF57F8" w:rsidRPr="00BD1C03">
        <w:t xml:space="preserve">Way forward </w:t>
      </w:r>
    </w:p>
    <w:p w14:paraId="5A76D08A" w14:textId="2E9CE91D" w:rsidR="005E2C66" w:rsidRPr="00BD1C03" w:rsidRDefault="007E498E" w:rsidP="00054F41">
      <w:r w:rsidRPr="00BD1C03">
        <w:t>While significant results are evident</w:t>
      </w:r>
      <w:r w:rsidR="00637719" w:rsidRPr="00BD1C03">
        <w:t xml:space="preserve"> across the </w:t>
      </w:r>
      <w:r w:rsidR="005F433D" w:rsidRPr="00BD1C03">
        <w:t>thematic priority</w:t>
      </w:r>
      <w:r w:rsidR="00201FB1" w:rsidRPr="00BD1C03">
        <w:t xml:space="preserve"> </w:t>
      </w:r>
      <w:r w:rsidR="00EF57F8" w:rsidRPr="00BD1C03">
        <w:t xml:space="preserve">investment </w:t>
      </w:r>
      <w:r w:rsidR="00637719" w:rsidRPr="00BD1C03">
        <w:t>areas</w:t>
      </w:r>
      <w:r w:rsidR="00166A0C" w:rsidRPr="00BD1C03">
        <w:t xml:space="preserve"> of GEWE and disability inclusion, the current framing is </w:t>
      </w:r>
      <w:r w:rsidR="00201FB1" w:rsidRPr="00BD1C03">
        <w:t>in</w:t>
      </w:r>
      <w:r w:rsidR="00166A0C" w:rsidRPr="00BD1C03">
        <w:t>consistent with IASC</w:t>
      </w:r>
      <w:r w:rsidR="00A975EB" w:rsidRPr="00BD1C03">
        <w:t xml:space="preserve"> </w:t>
      </w:r>
      <w:r w:rsidR="00680652" w:rsidRPr="00BD1C03">
        <w:t>protection</w:t>
      </w:r>
      <w:r w:rsidR="00722F72" w:rsidRPr="00BD1C03">
        <w:t xml:space="preserve"> </w:t>
      </w:r>
      <w:r w:rsidR="00166A0C" w:rsidRPr="00BD1C03">
        <w:t>standards</w:t>
      </w:r>
      <w:r w:rsidR="00722F72" w:rsidRPr="00BD1C03">
        <w:t xml:space="preserve">, is not informed by </w:t>
      </w:r>
      <w:r w:rsidR="00166A0C" w:rsidRPr="00BD1C03">
        <w:t>a protection risk analysis or HCT level strategy</w:t>
      </w:r>
      <w:r w:rsidR="00722F72" w:rsidRPr="00BD1C03">
        <w:t xml:space="preserve"> and does not capture the full range of protection results</w:t>
      </w:r>
      <w:r w:rsidR="00166A0C" w:rsidRPr="00BD1C03">
        <w:t>.</w:t>
      </w:r>
      <w:r w:rsidR="009E604F" w:rsidRPr="00BD1C03">
        <w:t xml:space="preserve"> It is </w:t>
      </w:r>
      <w:r w:rsidR="00201FB1" w:rsidRPr="00BD1C03">
        <w:t xml:space="preserve">therefore </w:t>
      </w:r>
      <w:r w:rsidR="009E604F" w:rsidRPr="00BD1C03">
        <w:t xml:space="preserve">recommended that </w:t>
      </w:r>
      <w:r w:rsidR="00EF57F8" w:rsidRPr="00BD1C03">
        <w:t xml:space="preserve">the </w:t>
      </w:r>
      <w:r w:rsidR="00C40079" w:rsidRPr="00BD1C03">
        <w:t xml:space="preserve">IASC centrality of protection, </w:t>
      </w:r>
      <w:r w:rsidR="0041330E" w:rsidRPr="00BD1C03">
        <w:t xml:space="preserve">minimum </w:t>
      </w:r>
      <w:r w:rsidR="00C40079" w:rsidRPr="00BD1C03">
        <w:t xml:space="preserve">response level </w:t>
      </w:r>
      <w:r w:rsidR="0041330E" w:rsidRPr="00BD1C03">
        <w:t xml:space="preserve">measures </w:t>
      </w:r>
      <w:r w:rsidR="00C40079" w:rsidRPr="00BD1C03">
        <w:t xml:space="preserve">(comprehensive risk analysis, </w:t>
      </w:r>
      <w:r w:rsidR="009E604F" w:rsidRPr="00BD1C03">
        <w:t xml:space="preserve">HCT level </w:t>
      </w:r>
      <w:r w:rsidR="00C40079" w:rsidRPr="00BD1C03">
        <w:t>strategy)</w:t>
      </w:r>
      <w:r w:rsidR="009E604F" w:rsidRPr="00BD1C03">
        <w:t xml:space="preserve"> and three necessary levels of action</w:t>
      </w:r>
      <w:r w:rsidR="001D5757" w:rsidRPr="00BD1C03">
        <w:t xml:space="preserve"> are used to</w:t>
      </w:r>
      <w:r w:rsidR="00C40079" w:rsidRPr="00BD1C03">
        <w:t xml:space="preserve"> </w:t>
      </w:r>
      <w:r w:rsidR="00324A56" w:rsidRPr="00BD1C03">
        <w:t xml:space="preserve">update the Iraq M&amp;E framework and </w:t>
      </w:r>
      <w:r w:rsidR="00E52929" w:rsidRPr="00BD1C03">
        <w:t>guide</w:t>
      </w:r>
      <w:r w:rsidR="009E604F" w:rsidRPr="00BD1C03">
        <w:t xml:space="preserve"> future package design </w:t>
      </w:r>
      <w:r w:rsidR="00722F72" w:rsidRPr="00BD1C03">
        <w:t>and M&amp;E frameworks</w:t>
      </w:r>
      <w:r w:rsidR="009E604F" w:rsidRPr="00BD1C03">
        <w:t>.</w:t>
      </w:r>
    </w:p>
    <w:p w14:paraId="64AE32E8" w14:textId="597A3F31" w:rsidR="00C202DA" w:rsidRPr="000B478B" w:rsidRDefault="0053610E" w:rsidP="00B13F20">
      <w:pPr>
        <w:pStyle w:val="Heading2"/>
        <w:numPr>
          <w:ilvl w:val="1"/>
          <w:numId w:val="5"/>
        </w:numPr>
        <w:rPr>
          <w:sz w:val="40"/>
          <w:szCs w:val="40"/>
        </w:rPr>
      </w:pPr>
      <w:r w:rsidRPr="000B478B">
        <w:rPr>
          <w:sz w:val="40"/>
          <w:szCs w:val="40"/>
        </w:rPr>
        <w:t>AAP</w:t>
      </w:r>
      <w:r w:rsidR="00B2036D" w:rsidRPr="000B478B">
        <w:rPr>
          <w:sz w:val="40"/>
          <w:szCs w:val="40"/>
        </w:rPr>
        <w:t xml:space="preserve"> and PSEA</w:t>
      </w:r>
    </w:p>
    <w:p w14:paraId="79A71E4A" w14:textId="71F662D8" w:rsidR="005A0581" w:rsidRPr="00BD1C03" w:rsidRDefault="00044C32" w:rsidP="00942F20">
      <w:pPr>
        <w:pStyle w:val="Heading3"/>
        <w:numPr>
          <w:ilvl w:val="2"/>
          <w:numId w:val="5"/>
        </w:numPr>
      </w:pPr>
      <w:r>
        <w:t xml:space="preserve"> </w:t>
      </w:r>
      <w:r w:rsidR="005A0581" w:rsidRPr="00BD1C03">
        <w:t>Inter-agency level</w:t>
      </w:r>
    </w:p>
    <w:p w14:paraId="3F0A89A0" w14:textId="01ED2170" w:rsidR="005A0581" w:rsidRPr="00BD1C03" w:rsidRDefault="00A47806" w:rsidP="00572C61">
      <w:pPr>
        <w:spacing w:after="180"/>
      </w:pPr>
      <w:r w:rsidRPr="00BD1C03">
        <w:t>Strategic Objective 3</w:t>
      </w:r>
      <w:r w:rsidR="00D04314" w:rsidRPr="00BD1C03">
        <w:t xml:space="preserve"> </w:t>
      </w:r>
      <w:r w:rsidR="00EC2179" w:rsidRPr="00BD1C03">
        <w:t>o</w:t>
      </w:r>
      <w:r w:rsidR="00D04314" w:rsidRPr="00BD1C03">
        <w:t>f</w:t>
      </w:r>
      <w:r w:rsidR="00EC2179" w:rsidRPr="00BD1C03">
        <w:t xml:space="preserve"> the</w:t>
      </w:r>
      <w:r w:rsidR="00D04314" w:rsidRPr="00BD1C03">
        <w:t xml:space="preserve"> Iraq HRP</w:t>
      </w:r>
      <w:r w:rsidR="00B74B54" w:rsidRPr="00BD1C03">
        <w:t xml:space="preserve"> </w:t>
      </w:r>
      <w:r w:rsidR="00680652" w:rsidRPr="00BD1C03">
        <w:t xml:space="preserve">(2020) </w:t>
      </w:r>
      <w:r w:rsidR="00EC2179" w:rsidRPr="00BD1C03">
        <w:t>commits to ensuring</w:t>
      </w:r>
      <w:r w:rsidR="00B74B54" w:rsidRPr="00BD1C03">
        <w:t xml:space="preserve"> </w:t>
      </w:r>
      <w:r w:rsidRPr="00BD1C03">
        <w:t xml:space="preserve">the centrality of protection </w:t>
      </w:r>
      <w:r w:rsidR="00EC2179" w:rsidRPr="00BD1C03">
        <w:t xml:space="preserve">and </w:t>
      </w:r>
      <w:r w:rsidRPr="00BD1C03">
        <w:t>strengthened AAP “through streamlined and revital</w:t>
      </w:r>
      <w:r w:rsidR="00B43345">
        <w:t>is</w:t>
      </w:r>
      <w:r w:rsidRPr="00BD1C03">
        <w:t>ed coordination, and collective ownership across all sectors”</w:t>
      </w:r>
      <w:r w:rsidR="00B05F10" w:rsidRPr="00BD1C03">
        <w:t>. Several inter-agency mechanisms are referenced including the Iraq Information Centre, PSEA Network, GBV hotline, Community Resource Centres and camp-based complaints and feedback mechanisms. The HCT commits to expanding AAP tools through establishing an AAP-</w:t>
      </w:r>
      <w:r w:rsidR="00511997" w:rsidRPr="00BD1C03">
        <w:t>Communicating with</w:t>
      </w:r>
      <w:r w:rsidR="007E498E" w:rsidRPr="00BD1C03">
        <w:t xml:space="preserve"> </w:t>
      </w:r>
      <w:r w:rsidR="00B05F10" w:rsidRPr="00BD1C03">
        <w:t>C</w:t>
      </w:r>
      <w:r w:rsidR="007E498E" w:rsidRPr="00BD1C03">
        <w:t xml:space="preserve">ommunities </w:t>
      </w:r>
      <w:r w:rsidR="00B05F10" w:rsidRPr="00BD1C03">
        <w:t>working group to streamline coordination and strengthen inter-agency knowledge sharing and collaboration.</w:t>
      </w:r>
      <w:r w:rsidR="00B05F10" w:rsidRPr="00BD1C03">
        <w:rPr>
          <w:rStyle w:val="EndnoteReference"/>
          <w:rFonts w:ascii="Calibri Light" w:hAnsi="Calibri Light" w:cs="Calibri Light"/>
          <w:szCs w:val="22"/>
        </w:rPr>
        <w:endnoteReference w:id="66"/>
      </w:r>
      <w:r w:rsidR="00B74B54" w:rsidRPr="00BD1C03">
        <w:t xml:space="preserve"> </w:t>
      </w:r>
      <w:r w:rsidR="00FD2E06" w:rsidRPr="00BD1C03">
        <w:t xml:space="preserve">AAP is </w:t>
      </w:r>
      <w:r w:rsidR="00F41887" w:rsidRPr="00BD1C03">
        <w:t xml:space="preserve">a priority </w:t>
      </w:r>
      <w:r w:rsidR="00680652" w:rsidRPr="00BD1C03">
        <w:t xml:space="preserve">currently </w:t>
      </w:r>
      <w:r w:rsidR="00F41887" w:rsidRPr="00BD1C03">
        <w:t xml:space="preserve">captured under protection </w:t>
      </w:r>
      <w:r w:rsidR="00FD2E06" w:rsidRPr="00BD1C03">
        <w:t xml:space="preserve">in DFAT’s </w:t>
      </w:r>
      <w:r w:rsidR="00680652" w:rsidRPr="00BD1C03">
        <w:t>HAQC</w:t>
      </w:r>
      <w:r w:rsidR="00FD2E06" w:rsidRPr="00BD1C03">
        <w:t xml:space="preserve"> framework and is considered an essential component of protection mainstreaming</w:t>
      </w:r>
      <w:r w:rsidR="004404BF" w:rsidRPr="00BD1C03">
        <w:t xml:space="preserve"> to be addressed by all partners</w:t>
      </w:r>
      <w:r w:rsidR="00743863" w:rsidRPr="00BD1C03">
        <w:t>.</w:t>
      </w:r>
      <w:r w:rsidR="007E498E" w:rsidRPr="00BD1C03">
        <w:rPr>
          <w:rStyle w:val="EndnoteReference"/>
          <w:rFonts w:ascii="Calibri Light" w:hAnsi="Calibri Light" w:cs="Calibri Light"/>
          <w:szCs w:val="22"/>
        </w:rPr>
        <w:endnoteReference w:id="67"/>
      </w:r>
      <w:r w:rsidR="00FB360C" w:rsidRPr="00BD1C03">
        <w:t xml:space="preserve"> However, as noted above AAP indicators alone are not adequate to capture protection results.</w:t>
      </w:r>
    </w:p>
    <w:p w14:paraId="46987F0D" w14:textId="19E45CE9" w:rsidR="00166A0C" w:rsidRPr="00BD1C03" w:rsidRDefault="00F41887" w:rsidP="00572C61">
      <w:pPr>
        <w:spacing w:after="180"/>
      </w:pPr>
      <w:r w:rsidRPr="00BD1C03">
        <w:t xml:space="preserve">Iraq’s </w:t>
      </w:r>
      <w:r w:rsidR="004404BF" w:rsidRPr="00BD1C03">
        <w:t>HRP</w:t>
      </w:r>
      <w:r w:rsidR="00680652" w:rsidRPr="00BD1C03">
        <w:t xml:space="preserve"> (2020)</w:t>
      </w:r>
      <w:r w:rsidRPr="00BD1C03">
        <w:t xml:space="preserve"> further outlines how</w:t>
      </w:r>
      <w:r w:rsidR="004404BF" w:rsidRPr="00BD1C03">
        <w:t xml:space="preserve"> t</w:t>
      </w:r>
      <w:r w:rsidR="00166A0C" w:rsidRPr="00BD1C03">
        <w:t>he Inter-Agency PSEA network receives complaints through the I</w:t>
      </w:r>
      <w:r w:rsidR="00D770D3" w:rsidRPr="00BD1C03">
        <w:t xml:space="preserve">raq </w:t>
      </w:r>
      <w:r w:rsidR="00166A0C" w:rsidRPr="00BD1C03">
        <w:t>I</w:t>
      </w:r>
      <w:r w:rsidR="00D770D3" w:rsidRPr="00BD1C03">
        <w:t xml:space="preserve">nformation </w:t>
      </w:r>
      <w:r w:rsidR="00166A0C" w:rsidRPr="00BD1C03">
        <w:t>C</w:t>
      </w:r>
      <w:r w:rsidR="00D770D3" w:rsidRPr="00BD1C03">
        <w:t>entre</w:t>
      </w:r>
      <w:r w:rsidR="00166A0C" w:rsidRPr="00BD1C03">
        <w:t xml:space="preserve"> and refers cases to the GBV sub-cluster for support services</w:t>
      </w:r>
      <w:r w:rsidRPr="00BD1C03">
        <w:t>,</w:t>
      </w:r>
      <w:r w:rsidR="00166A0C" w:rsidRPr="00BD1C03">
        <w:t xml:space="preserve"> with nearly 80 </w:t>
      </w:r>
      <w:r w:rsidR="00495DB3">
        <w:t>percent</w:t>
      </w:r>
      <w:r w:rsidR="00166A0C" w:rsidRPr="00BD1C03">
        <w:t xml:space="preserve"> of cases originating from IDP camps and the majority from Ninewa province.</w:t>
      </w:r>
      <w:r w:rsidR="00166A0C" w:rsidRPr="00BD1C03">
        <w:rPr>
          <w:rStyle w:val="EndnoteReference"/>
          <w:rFonts w:ascii="Calibri Light" w:hAnsi="Calibri Light" w:cs="Calibri Light"/>
          <w:szCs w:val="22"/>
        </w:rPr>
        <w:endnoteReference w:id="68"/>
      </w:r>
      <w:r w:rsidR="00166A0C" w:rsidRPr="00BD1C03">
        <w:t xml:space="preserve"> </w:t>
      </w:r>
      <w:r w:rsidR="00431E5D" w:rsidRPr="00BD1C03">
        <w:t>Based on reporting, the m</w:t>
      </w:r>
      <w:r w:rsidR="00166A0C" w:rsidRPr="00BD1C03">
        <w:t>ain location</w:t>
      </w:r>
      <w:r w:rsidR="00431E5D" w:rsidRPr="00BD1C03">
        <w:t>s</w:t>
      </w:r>
      <w:r w:rsidR="00166A0C" w:rsidRPr="00BD1C03">
        <w:t xml:space="preserve"> </w:t>
      </w:r>
      <w:r w:rsidR="00680652" w:rsidRPr="00BD1C03">
        <w:t>for SEA</w:t>
      </w:r>
      <w:r w:rsidR="00166A0C" w:rsidRPr="00BD1C03">
        <w:t xml:space="preserve"> risks </w:t>
      </w:r>
      <w:r w:rsidR="00431E5D" w:rsidRPr="00BD1C03">
        <w:t>are</w:t>
      </w:r>
      <w:r w:rsidR="004404BF" w:rsidRPr="00BD1C03">
        <w:t xml:space="preserve"> security checkpoints </w:t>
      </w:r>
      <w:r w:rsidR="00680652" w:rsidRPr="00BD1C03">
        <w:t>and</w:t>
      </w:r>
      <w:r w:rsidRPr="00BD1C03">
        <w:t xml:space="preserve"> </w:t>
      </w:r>
      <w:r w:rsidR="00166A0C" w:rsidRPr="00BD1C03">
        <w:t>accessing services including health.</w:t>
      </w:r>
      <w:r w:rsidR="00166A0C" w:rsidRPr="00BD1C03">
        <w:rPr>
          <w:rStyle w:val="EndnoteReference"/>
          <w:rFonts w:ascii="Calibri Light" w:hAnsi="Calibri Light" w:cs="Calibri Light"/>
          <w:szCs w:val="22"/>
        </w:rPr>
        <w:endnoteReference w:id="69"/>
      </w:r>
    </w:p>
    <w:p w14:paraId="762097BC" w14:textId="4CD4DBE3" w:rsidR="005A0581" w:rsidRPr="00BD1C03" w:rsidRDefault="0056018B" w:rsidP="00942F20">
      <w:pPr>
        <w:pStyle w:val="Heading3"/>
        <w:numPr>
          <w:ilvl w:val="2"/>
          <w:numId w:val="5"/>
        </w:numPr>
      </w:pPr>
      <w:r>
        <w:t xml:space="preserve"> </w:t>
      </w:r>
      <w:r w:rsidR="005A0581" w:rsidRPr="00BD1C03">
        <w:t>Partner level</w:t>
      </w:r>
    </w:p>
    <w:p w14:paraId="0A5F9979" w14:textId="331C152B" w:rsidR="00166A0C" w:rsidRPr="00BD1C03" w:rsidRDefault="009D736A" w:rsidP="0008435D">
      <w:r w:rsidRPr="00BD1C03">
        <w:t xml:space="preserve">The AAP practices of partners vary greatly based on the available reporting and interview data. </w:t>
      </w:r>
      <w:r w:rsidR="00166A0C" w:rsidRPr="00BD1C03">
        <w:t xml:space="preserve">Without in country access to observe AAP mechanisms such as hotlines or community centres or consultations with affected populations it is difficult to assess the level of inclusive participatory engagement </w:t>
      </w:r>
      <w:r w:rsidR="004404BF" w:rsidRPr="00BD1C03">
        <w:t xml:space="preserve">and accountability </w:t>
      </w:r>
      <w:r w:rsidR="00166A0C" w:rsidRPr="00BD1C03">
        <w:t>across the package partners.</w:t>
      </w:r>
      <w:r w:rsidR="00413117" w:rsidRPr="00BD1C03">
        <w:t xml:space="preserve"> </w:t>
      </w:r>
      <w:r w:rsidRPr="00BD1C03">
        <w:t>While the BPF consortium and IOM were able to provide a level of detail on their AAP practices and challenges that indicate function</w:t>
      </w:r>
      <w:r w:rsidR="00680652" w:rsidRPr="00BD1C03">
        <w:t>al</w:t>
      </w:r>
      <w:r w:rsidRPr="00BD1C03">
        <w:t xml:space="preserve"> </w:t>
      </w:r>
      <w:r w:rsidR="004404BF" w:rsidRPr="00BD1C03">
        <w:t>complaints and feedback</w:t>
      </w:r>
      <w:r w:rsidRPr="00BD1C03">
        <w:t xml:space="preserve"> me</w:t>
      </w:r>
      <w:r w:rsidR="00680652" w:rsidRPr="00BD1C03">
        <w:t>chanisms</w:t>
      </w:r>
      <w:r w:rsidRPr="00BD1C03">
        <w:t xml:space="preserve">, some partners appeared less transparent or conscious of the need for inclusive engagement and accountability. </w:t>
      </w:r>
    </w:p>
    <w:p w14:paraId="3724CC17" w14:textId="3CE68ABC" w:rsidR="00572C61" w:rsidRDefault="009D736A" w:rsidP="0008435D">
      <w:r w:rsidRPr="00BD1C03">
        <w:t>In terms of positive practices, the BPF mid-term evaluation adopted an inclusive participatory methodology that demonstrated consultation with persons with disabilities</w:t>
      </w:r>
      <w:r w:rsidR="00621838" w:rsidRPr="00BD1C03">
        <w:t>, women</w:t>
      </w:r>
      <w:r w:rsidRPr="00BD1C03">
        <w:t xml:space="preserve"> and children. </w:t>
      </w:r>
      <w:r w:rsidR="00BC295A" w:rsidRPr="00BD1C03">
        <w:t xml:space="preserve">50 </w:t>
      </w:r>
      <w:r w:rsidR="00495DB3">
        <w:t>percent</w:t>
      </w:r>
      <w:r w:rsidR="00BC295A" w:rsidRPr="00BD1C03">
        <w:t xml:space="preserve"> of child beneficiaries in Sinjar compared with 100 </w:t>
      </w:r>
      <w:r w:rsidR="00495DB3">
        <w:t>percent</w:t>
      </w:r>
      <w:r w:rsidR="00BC295A" w:rsidRPr="00BD1C03">
        <w:t xml:space="preserve"> in </w:t>
      </w:r>
      <w:proofErr w:type="spellStart"/>
      <w:r w:rsidR="00BC295A" w:rsidRPr="00BD1C03">
        <w:t>Hawija</w:t>
      </w:r>
      <w:proofErr w:type="spellEnd"/>
      <w:r w:rsidR="00BC295A" w:rsidRPr="00BD1C03">
        <w:t xml:space="preserve"> were satisfied with the support they received, noting the remaining 50 </w:t>
      </w:r>
      <w:r w:rsidR="00495DB3">
        <w:t>percent</w:t>
      </w:r>
      <w:r w:rsidR="00BC295A" w:rsidRPr="00BD1C03">
        <w:t xml:space="preserve"> in Sinjar were children with disabilities.</w:t>
      </w:r>
      <w:r w:rsidR="00BC295A" w:rsidRPr="00BD1C03">
        <w:rPr>
          <w:rStyle w:val="EndnoteReference"/>
          <w:rFonts w:ascii="Calibri Light" w:hAnsi="Calibri Light" w:cs="Calibri Light"/>
          <w:szCs w:val="22"/>
        </w:rPr>
        <w:endnoteReference w:id="70"/>
      </w:r>
      <w:r w:rsidR="00BC295A" w:rsidRPr="00BD1C03">
        <w:t xml:space="preserve"> </w:t>
      </w:r>
      <w:r w:rsidRPr="00BD1C03">
        <w:t>The evaluation reported beneficiaries requested further livelihood support in KIIs</w:t>
      </w:r>
      <w:r w:rsidR="00F41887" w:rsidRPr="00BD1C03">
        <w:t xml:space="preserve"> and confirmed findings from other contexts, that </w:t>
      </w:r>
      <w:r w:rsidRPr="00BD1C03">
        <w:t xml:space="preserve">affected populations </w:t>
      </w:r>
      <w:r w:rsidR="00F41887" w:rsidRPr="00BD1C03">
        <w:t>prefer</w:t>
      </w:r>
      <w:r w:rsidRPr="00BD1C03">
        <w:t xml:space="preserve"> </w:t>
      </w:r>
      <w:r w:rsidR="00BF5348" w:rsidRPr="00BD1C03">
        <w:t>face-to-face</w:t>
      </w:r>
      <w:r w:rsidRPr="00BD1C03">
        <w:t xml:space="preserve"> </w:t>
      </w:r>
      <w:r w:rsidR="009173EA" w:rsidRPr="00BD1C03">
        <w:t xml:space="preserve">AAP </w:t>
      </w:r>
      <w:r w:rsidRPr="00BD1C03">
        <w:t>method</w:t>
      </w:r>
      <w:r w:rsidR="00B8590E" w:rsidRPr="00BD1C03">
        <w:t>.</w:t>
      </w:r>
      <w:r w:rsidR="00F41887" w:rsidRPr="00BD1C03">
        <w:rPr>
          <w:rStyle w:val="EndnoteReference"/>
          <w:rFonts w:ascii="Calibri Light" w:hAnsi="Calibri Light" w:cs="Calibri Light"/>
          <w:szCs w:val="22"/>
        </w:rPr>
        <w:endnoteReference w:id="71"/>
      </w:r>
    </w:p>
    <w:p w14:paraId="033E7511" w14:textId="0BBE8D02" w:rsidR="00572C61" w:rsidRPr="00BD1C03" w:rsidRDefault="00572C61" w:rsidP="00572C61">
      <w:pPr>
        <w:pStyle w:val="Heading3"/>
        <w:numPr>
          <w:ilvl w:val="2"/>
          <w:numId w:val="5"/>
        </w:numPr>
      </w:pPr>
      <w:r w:rsidRPr="00BD1C03">
        <w:t>Way forward</w:t>
      </w:r>
    </w:p>
    <w:p w14:paraId="0E1DCAD8" w14:textId="77777777" w:rsidR="00572C61" w:rsidRPr="00BD1C03" w:rsidRDefault="00572C61" w:rsidP="00572C61">
      <w:r w:rsidRPr="00BD1C03">
        <w:t>Similar to protection, AAP and PSEA require dedicated internal partner and inter-agency measures to be effective. At present</w:t>
      </w:r>
      <w:r>
        <w:t>,</w:t>
      </w:r>
      <w:r w:rsidRPr="00BD1C03">
        <w:t xml:space="preserve"> DFAT’s M&amp;E focus is on partner level performance. It is recommended to expand this with reference to independently verifiable internal indicators on AAP and PSEA for partners (multiple methods, IEC materials, number, type of case received and outcome, SOPs and referral pathways) as well as including attention to inter-agency measures (SOPs that address safe and confidential handling of PSEA allegations, inter-agency referral pathways, number, type of case received and outcome). To ensure mechanisms are accessible and inclusive, it is also recommended that de-identified aggregate level information is requested at both levels on the gender, age and diversity characteristics of those consulted in assessments and those accessing feedback and complaints mechanisms.</w:t>
      </w:r>
    </w:p>
    <w:p w14:paraId="19B65743" w14:textId="77777777" w:rsidR="00572C61" w:rsidRPr="00BD1C03" w:rsidRDefault="00572C61" w:rsidP="0008435D">
      <w:pPr>
        <w:sectPr w:rsidR="00572C61" w:rsidRPr="00BD1C03" w:rsidSect="00572C61">
          <w:footerReference w:type="default" r:id="rId21"/>
          <w:endnotePr>
            <w:numFmt w:val="decimal"/>
          </w:endnotePr>
          <w:pgSz w:w="11900" w:h="16840"/>
          <w:pgMar w:top="1440" w:right="1800" w:bottom="1440" w:left="1800" w:header="708" w:footer="708" w:gutter="0"/>
          <w:cols w:space="708"/>
        </w:sectPr>
      </w:pPr>
    </w:p>
    <w:p w14:paraId="43415306" w14:textId="13B43487" w:rsidR="003620F2" w:rsidRPr="00BD1C03" w:rsidRDefault="003620F2" w:rsidP="00572C61">
      <w:pPr>
        <w:pStyle w:val="Heading1"/>
        <w:numPr>
          <w:ilvl w:val="0"/>
          <w:numId w:val="5"/>
        </w:numPr>
      </w:pPr>
      <w:bookmarkStart w:id="7" w:name="_Toc48318497"/>
      <w:r w:rsidRPr="00A927F2">
        <w:t>Connect</w:t>
      </w:r>
      <w:r w:rsidR="00744411" w:rsidRPr="00A927F2">
        <w:t>edness</w:t>
      </w:r>
      <w:r w:rsidRPr="00BD1C03">
        <w:t xml:space="preserve"> and sustainability</w:t>
      </w:r>
      <w:bookmarkEnd w:id="7"/>
      <w:r w:rsidR="00E95C4A" w:rsidRPr="00BD1C03">
        <w:tab/>
      </w:r>
      <w:r w:rsidR="00E95C4A" w:rsidRPr="00BD1C03">
        <w:tab/>
      </w:r>
      <w:r w:rsidR="00E95C4A" w:rsidRPr="00BD1C03">
        <w:tab/>
      </w:r>
    </w:p>
    <w:p w14:paraId="380B0A4D" w14:textId="1BD4E52E" w:rsidR="00AA3188" w:rsidRPr="00044C32" w:rsidRDefault="00AA3188" w:rsidP="00572C61">
      <w:pPr>
        <w:pStyle w:val="Heading2"/>
        <w:numPr>
          <w:ilvl w:val="1"/>
          <w:numId w:val="5"/>
        </w:numPr>
        <w:rPr>
          <w:sz w:val="40"/>
        </w:rPr>
      </w:pPr>
      <w:r w:rsidRPr="00044C32">
        <w:rPr>
          <w:sz w:val="40"/>
        </w:rPr>
        <w:t>Stabilisation, recovery, resilience and development</w:t>
      </w:r>
    </w:p>
    <w:p w14:paraId="27AE8E66" w14:textId="36A2DD99" w:rsidR="00C202DA" w:rsidRPr="00BD1C03" w:rsidRDefault="00C202DA" w:rsidP="0008435D">
      <w:r w:rsidRPr="00BD1C03">
        <w:t xml:space="preserve">The investment design planned for dual humanitarian and stabilisation outcomes focused on immediate-medium term needs, factoring in sufficient flexibility to be responsive to emerging priorities throughout implementation. While pre-existing development deficits and conflict risks were present across Iraq, the initial focus of this </w:t>
      </w:r>
      <w:r w:rsidR="003830AB" w:rsidRPr="00BD1C03">
        <w:t>P</w:t>
      </w:r>
      <w:r w:rsidRPr="00BD1C03">
        <w:t xml:space="preserve">ackage was on recently liberated areas in the north. </w:t>
      </w:r>
      <w:r w:rsidR="00A21FA0" w:rsidRPr="00BD1C03">
        <w:t>Several interviewees referred to a</w:t>
      </w:r>
      <w:r w:rsidRPr="00BD1C03">
        <w:t xml:space="preserve"> recent survey</w:t>
      </w:r>
      <w:r w:rsidR="002E7C85" w:rsidRPr="00BD1C03">
        <w:t xml:space="preserve"> conducted in Iraq</w:t>
      </w:r>
      <w:r w:rsidRPr="00BD1C03">
        <w:t xml:space="preserve"> </w:t>
      </w:r>
      <w:r w:rsidR="00A21FA0" w:rsidRPr="00BD1C03">
        <w:t xml:space="preserve">that </w:t>
      </w:r>
      <w:r w:rsidRPr="00BD1C03">
        <w:t xml:space="preserve">identified similar levels of frustrations and political grievances among the population in the south, </w:t>
      </w:r>
      <w:r w:rsidR="002E7C85" w:rsidRPr="00BD1C03">
        <w:t>which is compounded by</w:t>
      </w:r>
      <w:r w:rsidRPr="00BD1C03">
        <w:t xml:space="preserve"> the perceived assistance bias toward Sunni populations in the north. Australia’s decision to include support to the </w:t>
      </w:r>
      <w:r w:rsidR="00722F72" w:rsidRPr="00BD1C03">
        <w:t>s</w:t>
      </w:r>
      <w:r w:rsidRPr="00BD1C03">
        <w:t xml:space="preserve">outh through the UNICEF partnership was a strategic one based on needs and in terms of conflict-sensitivity. It is also noted </w:t>
      </w:r>
      <w:r w:rsidR="009173EA" w:rsidRPr="00BD1C03">
        <w:t xml:space="preserve">that </w:t>
      </w:r>
      <w:r w:rsidRPr="00BD1C03">
        <w:t>during interviews several partners and donors raised the importance of increased attention to programming needs in the south</w:t>
      </w:r>
      <w:r w:rsidR="00722F72" w:rsidRPr="00BD1C03">
        <w:t xml:space="preserve"> </w:t>
      </w:r>
      <w:r w:rsidR="009173EA" w:rsidRPr="00BD1C03">
        <w:t>looking</w:t>
      </w:r>
      <w:r w:rsidR="00722F72" w:rsidRPr="00BD1C03">
        <w:t xml:space="preserve"> forward</w:t>
      </w:r>
      <w:r w:rsidRPr="00BD1C03">
        <w:t>.</w:t>
      </w:r>
    </w:p>
    <w:p w14:paraId="554F98AC" w14:textId="06AF099A" w:rsidR="003830AB" w:rsidRPr="00BD1C03" w:rsidRDefault="002E7C85" w:rsidP="0008435D">
      <w:r w:rsidRPr="00BD1C03">
        <w:t>The review team observed different definitions and approaches used across donors and agencies to character</w:t>
      </w:r>
      <w:r w:rsidR="00B43345">
        <w:t>is</w:t>
      </w:r>
      <w:r w:rsidRPr="00BD1C03">
        <w:t xml:space="preserve">e the remaining needs in Iraq and </w:t>
      </w:r>
      <w:r w:rsidR="009173EA" w:rsidRPr="00BD1C03">
        <w:t>future coordination architecture</w:t>
      </w:r>
      <w:r w:rsidRPr="00BD1C03">
        <w:t xml:space="preserve">. </w:t>
      </w:r>
      <w:r w:rsidR="00350149" w:rsidRPr="00BD1C03">
        <w:t xml:space="preserve">A recent literature review commissioned </w:t>
      </w:r>
      <w:r w:rsidR="00AF4EA0" w:rsidRPr="00BD1C03">
        <w:t>by</w:t>
      </w:r>
      <w:r w:rsidR="00350149" w:rsidRPr="00BD1C03">
        <w:t xml:space="preserve"> Global Affairs Canada concluded there is no agreed definition of stabili</w:t>
      </w:r>
      <w:r w:rsidR="00D770D3" w:rsidRPr="00BD1C03">
        <w:t>s</w:t>
      </w:r>
      <w:r w:rsidR="00350149" w:rsidRPr="00BD1C03">
        <w:t>ation across donors or academia but the starting point should be based on a “t</w:t>
      </w:r>
      <w:r w:rsidR="00350149" w:rsidRPr="00BD1C03">
        <w:rPr>
          <w:rFonts w:eastAsia="Times New Roman"/>
          <w:lang w:eastAsia="en-GB"/>
        </w:rPr>
        <w:t>horough understanding of the local context, of the drivers of conflict, and a solid risk analysis”.</w:t>
      </w:r>
      <w:r w:rsidR="001B5880" w:rsidRPr="00BD1C03">
        <w:rPr>
          <w:rStyle w:val="EndnoteReference"/>
          <w:rFonts w:ascii="Calibri Light" w:eastAsia="Times New Roman" w:hAnsi="Calibri Light" w:cs="Calibri Light"/>
          <w:szCs w:val="22"/>
          <w:lang w:eastAsia="en-GB"/>
        </w:rPr>
        <w:endnoteReference w:id="72"/>
      </w:r>
      <w:r w:rsidR="009A401B" w:rsidRPr="00BD1C03">
        <w:t xml:space="preserve"> </w:t>
      </w:r>
    </w:p>
    <w:p w14:paraId="15207A7C" w14:textId="1AC30082" w:rsidR="00A9669C" w:rsidRPr="00BD1C03" w:rsidRDefault="00A9669C" w:rsidP="0008435D">
      <w:r w:rsidRPr="00BD1C03">
        <w:t xml:space="preserve">Tensions and opportunities were identified with respect to ensuring the centrality of protection across </w:t>
      </w:r>
      <w:r w:rsidR="004712AC" w:rsidRPr="00BD1C03">
        <w:t>current stabili</w:t>
      </w:r>
      <w:r w:rsidR="00881D19" w:rsidRPr="00BD1C03">
        <w:t>s</w:t>
      </w:r>
      <w:r w:rsidR="004712AC" w:rsidRPr="00BD1C03">
        <w:t>ation</w:t>
      </w:r>
      <w:r w:rsidRPr="00BD1C03">
        <w:t xml:space="preserve"> and </w:t>
      </w:r>
      <w:r w:rsidR="004712AC" w:rsidRPr="00BD1C03">
        <w:t xml:space="preserve">future </w:t>
      </w:r>
      <w:r w:rsidRPr="00BD1C03">
        <w:t>development action in Iraq based on interviews and emerging literature.</w:t>
      </w:r>
      <w:r w:rsidRPr="00BD1C03">
        <w:rPr>
          <w:rStyle w:val="EndnoteReference"/>
          <w:rFonts w:ascii="Calibri Light" w:hAnsi="Calibri Light" w:cs="Calibri Light"/>
          <w:szCs w:val="22"/>
        </w:rPr>
        <w:endnoteReference w:id="73"/>
      </w:r>
      <w:r w:rsidR="004712AC" w:rsidRPr="00BD1C03">
        <w:t xml:space="preserve"> </w:t>
      </w:r>
      <w:r w:rsidR="009173EA" w:rsidRPr="00BD1C03">
        <w:t>I</w:t>
      </w:r>
      <w:r w:rsidRPr="00BD1C03">
        <w:t xml:space="preserve">rrespective of the coordination architecture and characterisation of assistance, </w:t>
      </w:r>
      <w:r w:rsidR="004712AC" w:rsidRPr="00BD1C03">
        <w:t xml:space="preserve">measures need </w:t>
      </w:r>
      <w:r w:rsidRPr="00BD1C03">
        <w:t xml:space="preserve">to be </w:t>
      </w:r>
      <w:r w:rsidR="004712AC" w:rsidRPr="00BD1C03">
        <w:t>taken</w:t>
      </w:r>
      <w:r w:rsidRPr="00BD1C03">
        <w:t xml:space="preserve"> to ensure </w:t>
      </w:r>
      <w:r w:rsidR="004712AC" w:rsidRPr="00BD1C03">
        <w:t>the centrality</w:t>
      </w:r>
      <w:r w:rsidRPr="00BD1C03">
        <w:t xml:space="preserve"> of protection</w:t>
      </w:r>
      <w:r w:rsidR="004712AC" w:rsidRPr="00BD1C03">
        <w:t>, respect for humanitarian principles</w:t>
      </w:r>
      <w:r w:rsidRPr="00BD1C03">
        <w:t xml:space="preserve"> and</w:t>
      </w:r>
      <w:r w:rsidR="004712AC" w:rsidRPr="00BD1C03">
        <w:t xml:space="preserve"> a rights-based approach </w:t>
      </w:r>
      <w:r w:rsidR="00F03322" w:rsidRPr="00BD1C03">
        <w:t>to</w:t>
      </w:r>
      <w:r w:rsidR="004712AC" w:rsidRPr="00BD1C03">
        <w:t xml:space="preserve"> </w:t>
      </w:r>
      <w:r w:rsidR="00F03322" w:rsidRPr="00BD1C03">
        <w:t xml:space="preserve">returns </w:t>
      </w:r>
      <w:r w:rsidR="004712AC" w:rsidRPr="00BD1C03">
        <w:t>to</w:t>
      </w:r>
      <w:r w:rsidR="00F03322" w:rsidRPr="00BD1C03">
        <w:t xml:space="preserve"> </w:t>
      </w:r>
      <w:r w:rsidR="004712AC" w:rsidRPr="00BD1C03">
        <w:t xml:space="preserve">ensure no one is left behind. </w:t>
      </w:r>
      <w:r w:rsidRPr="00BD1C03">
        <w:t xml:space="preserve"> </w:t>
      </w:r>
    </w:p>
    <w:p w14:paraId="0F82425B" w14:textId="2C0B44A3" w:rsidR="00D04314" w:rsidRPr="00BD1C03" w:rsidRDefault="00D04314" w:rsidP="0008435D">
      <w:r w:rsidRPr="00BD1C03">
        <w:t>For DFAT it may be useful to expand their internal guidance on stabilisation, recovery and nexus programming informed by like-minded donor policies and recent policy developments including OECD DAC policy commitments</w:t>
      </w:r>
      <w:r w:rsidR="009173EA" w:rsidRPr="00BD1C03">
        <w:t xml:space="preserve"> (2019)</w:t>
      </w:r>
      <w:r w:rsidRPr="00BD1C03">
        <w:t>, to help guide responses to complex protracted crises. Such guidance should cover the wide spectrum of inter-related issues relevant to package design and M&amp;E in complex protracted crises, including stabilisation, recovery and the HDP nexus, WPS, social cohesion, reconciliation, peacebuilding, resilience, conflict analysis, and preserving the centrality of protection, humanitarian principles and access.</w:t>
      </w:r>
    </w:p>
    <w:p w14:paraId="2EB25F01" w14:textId="0459CE80" w:rsidR="008E364F" w:rsidRPr="00044C32" w:rsidRDefault="008E364F" w:rsidP="00572C61">
      <w:pPr>
        <w:pStyle w:val="Heading2"/>
        <w:numPr>
          <w:ilvl w:val="1"/>
          <w:numId w:val="5"/>
        </w:numPr>
        <w:rPr>
          <w:sz w:val="40"/>
        </w:rPr>
      </w:pPr>
      <w:r w:rsidRPr="00044C32">
        <w:rPr>
          <w:sz w:val="40"/>
        </w:rPr>
        <w:t>Engagement of local actors</w:t>
      </w:r>
    </w:p>
    <w:p w14:paraId="397F4A84" w14:textId="7823531F" w:rsidR="0027376F" w:rsidRPr="00BD1C03" w:rsidRDefault="00C202DA" w:rsidP="0008435D">
      <w:r w:rsidRPr="00BD1C03">
        <w:t xml:space="preserve">The level of </w:t>
      </w:r>
      <w:proofErr w:type="spellStart"/>
      <w:r w:rsidRPr="00BD1C03">
        <w:t>GoI</w:t>
      </w:r>
      <w:proofErr w:type="spellEnd"/>
      <w:r w:rsidRPr="00BD1C03">
        <w:t xml:space="preserve"> engagement varies across partners and geographic areas and is complicated by the high turnover of senior staff at </w:t>
      </w:r>
      <w:r w:rsidR="009173EA" w:rsidRPr="00BD1C03">
        <w:t xml:space="preserve">the </w:t>
      </w:r>
      <w:r w:rsidRPr="00BD1C03">
        <w:t>central and governorate levels. Ninewa province was cited by many interviewees as being particularly challenging</w:t>
      </w:r>
      <w:r w:rsidR="005A74A7" w:rsidRPr="00BD1C03">
        <w:t xml:space="preserve"> for continued engagement due to high turnover of governors, social cohesion issues and being a historically underserved area</w:t>
      </w:r>
      <w:r w:rsidRPr="00BD1C03">
        <w:t>.</w:t>
      </w:r>
      <w:r w:rsidRPr="00BD1C03">
        <w:rPr>
          <w:rStyle w:val="EndnoteReference"/>
          <w:rFonts w:ascii="Calibri Light" w:hAnsi="Calibri Light" w:cs="Calibri Light"/>
          <w:szCs w:val="22"/>
        </w:rPr>
        <w:endnoteReference w:id="74"/>
      </w:r>
      <w:r w:rsidRPr="00BD1C03">
        <w:t xml:space="preserve"> It is noted that UNDP, IOM, UNFPA</w:t>
      </w:r>
      <w:r w:rsidR="00E52864" w:rsidRPr="00BD1C03">
        <w:t xml:space="preserve">, </w:t>
      </w:r>
      <w:r w:rsidR="00462914" w:rsidRPr="00BD1C03">
        <w:t xml:space="preserve">IHO, </w:t>
      </w:r>
      <w:r w:rsidR="00E52864" w:rsidRPr="00BD1C03">
        <w:t>UNMAS</w:t>
      </w:r>
      <w:r w:rsidR="00A8595A" w:rsidRPr="00BD1C03">
        <w:t xml:space="preserve"> </w:t>
      </w:r>
      <w:r w:rsidRPr="00BD1C03">
        <w:t>and UNICEF have stronger relationships at the central level due to their mandates and longer</w:t>
      </w:r>
      <w:r w:rsidR="00310037" w:rsidRPr="00BD1C03">
        <w:t>-</w:t>
      </w:r>
      <w:r w:rsidRPr="00BD1C03">
        <w:t>term engagement</w:t>
      </w:r>
      <w:r w:rsidR="00EE697C" w:rsidRPr="00BD1C03">
        <w:t xml:space="preserve"> across the humanitarian-development divide. </w:t>
      </w:r>
      <w:r w:rsidR="005A74A7" w:rsidRPr="00BD1C03">
        <w:t xml:space="preserve">UNDP works closely </w:t>
      </w:r>
      <w:r w:rsidR="009A401B" w:rsidRPr="00BD1C03">
        <w:t xml:space="preserve">with </w:t>
      </w:r>
      <w:r w:rsidR="005A74A7" w:rsidRPr="00BD1C03">
        <w:t>governorate authorities on the identification and priorit</w:t>
      </w:r>
      <w:r w:rsidR="00B43345">
        <w:t>is</w:t>
      </w:r>
      <w:r w:rsidR="005A74A7" w:rsidRPr="00BD1C03">
        <w:t>ation of projects for the FFS</w:t>
      </w:r>
      <w:r w:rsidR="002A1195" w:rsidRPr="00BD1C03">
        <w:t xml:space="preserve"> with no information provided </w:t>
      </w:r>
      <w:r w:rsidR="00821B5A" w:rsidRPr="00BD1C03">
        <w:t xml:space="preserve">or available </w:t>
      </w:r>
      <w:r w:rsidR="002A1195" w:rsidRPr="00BD1C03">
        <w:t>on the representation or inclusion of women at this level</w:t>
      </w:r>
      <w:r w:rsidR="00EE697C" w:rsidRPr="00BD1C03">
        <w:t>.</w:t>
      </w:r>
    </w:p>
    <w:p w14:paraId="74482E16" w14:textId="3D8F169F" w:rsidR="0027376F" w:rsidRPr="00BD1C03" w:rsidRDefault="00F15FBE" w:rsidP="0008435D">
      <w:r w:rsidRPr="00BD1C03">
        <w:t xml:space="preserve">IOM reporting indicates </w:t>
      </w:r>
      <w:r w:rsidR="00821B5A" w:rsidRPr="00BD1C03">
        <w:t xml:space="preserve">a </w:t>
      </w:r>
      <w:r w:rsidRPr="00BD1C03">
        <w:t>high level of strategic engagement at the central and governorate levels on polic</w:t>
      </w:r>
      <w:r w:rsidR="00D770D3" w:rsidRPr="00BD1C03">
        <w:t>ies</w:t>
      </w:r>
      <w:r w:rsidRPr="00BD1C03">
        <w:t xml:space="preserve"> and program</w:t>
      </w:r>
      <w:r w:rsidR="00D770D3" w:rsidRPr="00BD1C03">
        <w:t>s</w:t>
      </w:r>
      <w:r w:rsidRPr="00BD1C03">
        <w:t xml:space="preserve"> related to durable solutions and social cohesion in particular.</w:t>
      </w:r>
      <w:r w:rsidR="00D51E5B" w:rsidRPr="00BD1C03">
        <w:t xml:space="preserve"> This engagement</w:t>
      </w:r>
      <w:r w:rsidR="00066030" w:rsidRPr="00BD1C03">
        <w:t xml:space="preserve"> includes partnering with the National Reconciliation Committee of the Office of the Prime Minister, Community Police in Mosul on potential returns of IDP families, training Department of Health staff on M</w:t>
      </w:r>
      <w:r w:rsidR="00821B5A" w:rsidRPr="00BD1C03">
        <w:t xml:space="preserve">ental </w:t>
      </w:r>
      <w:r w:rsidR="00066030" w:rsidRPr="00BD1C03">
        <w:t>H</w:t>
      </w:r>
      <w:r w:rsidR="00821B5A" w:rsidRPr="00BD1C03">
        <w:t xml:space="preserve">ealth and </w:t>
      </w:r>
      <w:r w:rsidR="00066030" w:rsidRPr="00BD1C03">
        <w:t>P</w:t>
      </w:r>
      <w:r w:rsidR="00821B5A" w:rsidRPr="00BD1C03">
        <w:t xml:space="preserve">sycho-Social </w:t>
      </w:r>
      <w:r w:rsidR="00066030" w:rsidRPr="00BD1C03">
        <w:t>S</w:t>
      </w:r>
      <w:r w:rsidR="00821B5A" w:rsidRPr="00BD1C03">
        <w:t>upport (MHPS</w:t>
      </w:r>
      <w:r w:rsidR="00066030" w:rsidRPr="00BD1C03">
        <w:t>S</w:t>
      </w:r>
      <w:r w:rsidR="00821B5A" w:rsidRPr="00BD1C03">
        <w:t>)</w:t>
      </w:r>
      <w:r w:rsidR="00066030" w:rsidRPr="00BD1C03">
        <w:t xml:space="preserve">, and </w:t>
      </w:r>
      <w:r w:rsidR="00D51E5B" w:rsidRPr="00BD1C03">
        <w:t xml:space="preserve">has resulted in brokering local return and reconciliation agreements in </w:t>
      </w:r>
      <w:r w:rsidR="00821B5A" w:rsidRPr="00BD1C03">
        <w:t xml:space="preserve">several </w:t>
      </w:r>
      <w:r w:rsidR="00D51E5B" w:rsidRPr="00BD1C03">
        <w:t>districts o</w:t>
      </w:r>
      <w:r w:rsidR="00821B5A" w:rsidRPr="00BD1C03">
        <w:t>f</w:t>
      </w:r>
      <w:r w:rsidR="00D51E5B" w:rsidRPr="00BD1C03">
        <w:t xml:space="preserve"> Ninewa.</w:t>
      </w:r>
      <w:r w:rsidR="00066030" w:rsidRPr="00BD1C03">
        <w:t xml:space="preserve"> IOM also works closely and provides capacity building to local CSOs on it</w:t>
      </w:r>
      <w:r w:rsidR="00D770D3" w:rsidRPr="00BD1C03">
        <w:t>s</w:t>
      </w:r>
      <w:r w:rsidR="00066030" w:rsidRPr="00BD1C03">
        <w:t xml:space="preserve"> social cohesion interventions.</w:t>
      </w:r>
      <w:r w:rsidR="00054F41" w:rsidRPr="00BD1C03">
        <w:rPr>
          <w:rStyle w:val="EndnoteReference"/>
          <w:rFonts w:ascii="Calibri Light" w:hAnsi="Calibri Light" w:cs="Calibri Light"/>
          <w:szCs w:val="22"/>
        </w:rPr>
        <w:endnoteReference w:id="75"/>
      </w:r>
      <w:r w:rsidR="00066030" w:rsidRPr="00BD1C03">
        <w:t xml:space="preserve"> </w:t>
      </w:r>
    </w:p>
    <w:p w14:paraId="474E9FC4" w14:textId="340978F3" w:rsidR="00B674B6" w:rsidRPr="00BD1C03" w:rsidRDefault="005A74A7" w:rsidP="0008435D">
      <w:r w:rsidRPr="00BD1C03">
        <w:t xml:space="preserve">UNICEF </w:t>
      </w:r>
      <w:r w:rsidR="005B38A7" w:rsidRPr="00BD1C03">
        <w:t xml:space="preserve">works very closely with local authorities on their </w:t>
      </w:r>
      <w:r w:rsidR="00821B5A" w:rsidRPr="00BD1C03">
        <w:t xml:space="preserve">WASH </w:t>
      </w:r>
      <w:r w:rsidRPr="00BD1C03">
        <w:t xml:space="preserve">project in the </w:t>
      </w:r>
      <w:r w:rsidR="009173EA" w:rsidRPr="00BD1C03">
        <w:t>s</w:t>
      </w:r>
      <w:r w:rsidRPr="00BD1C03">
        <w:t xml:space="preserve">outh </w:t>
      </w:r>
      <w:r w:rsidR="00066030" w:rsidRPr="00BD1C03">
        <w:t xml:space="preserve">and engages in </w:t>
      </w:r>
      <w:r w:rsidR="00876B3C" w:rsidRPr="00BD1C03">
        <w:t>cost sharing</w:t>
      </w:r>
      <w:r w:rsidR="00066030" w:rsidRPr="00BD1C03">
        <w:t xml:space="preserve"> to expand reach, increase local ownership and contribute to the sustainability of the interventions.</w:t>
      </w:r>
      <w:r w:rsidR="00066030" w:rsidRPr="00BD1C03">
        <w:rPr>
          <w:rStyle w:val="EndnoteReference"/>
          <w:rFonts w:ascii="Calibri Light" w:hAnsi="Calibri Light" w:cs="Calibri Light"/>
          <w:szCs w:val="22"/>
        </w:rPr>
        <w:endnoteReference w:id="76"/>
      </w:r>
      <w:r w:rsidR="00821B5A" w:rsidRPr="00BD1C03">
        <w:t xml:space="preserve"> </w:t>
      </w:r>
    </w:p>
    <w:p w14:paraId="53191C6E" w14:textId="2E53F59A" w:rsidR="001211C6" w:rsidRPr="00BD1C03" w:rsidRDefault="005A74A7" w:rsidP="0008435D">
      <w:r w:rsidRPr="00BD1C03">
        <w:t>UNFPA</w:t>
      </w:r>
      <w:r w:rsidR="00F579A4" w:rsidRPr="00BD1C03">
        <w:t xml:space="preserve"> works very closely with central and governorate level authorities on high level legal and policy engagement to strengthen the protective environment for women and girls through </w:t>
      </w:r>
      <w:r w:rsidR="00821B5A" w:rsidRPr="00BD1C03">
        <w:t xml:space="preserve">securing </w:t>
      </w:r>
      <w:r w:rsidR="00F579A4" w:rsidRPr="00BD1C03">
        <w:t>anti-domestic violence and shelter laws.</w:t>
      </w:r>
      <w:r w:rsidR="00D51E5B" w:rsidRPr="00BD1C03">
        <w:t xml:space="preserve"> </w:t>
      </w:r>
      <w:r w:rsidR="00821B5A" w:rsidRPr="00BD1C03">
        <w:t xml:space="preserve">UNFPA engages a wide range of </w:t>
      </w:r>
      <w:r w:rsidR="00D51E5B" w:rsidRPr="00BD1C03">
        <w:t>Ministries includ</w:t>
      </w:r>
      <w:r w:rsidR="00821B5A" w:rsidRPr="00BD1C03">
        <w:t>ing</w:t>
      </w:r>
      <w:r w:rsidR="00D51E5B" w:rsidRPr="00BD1C03">
        <w:t xml:space="preserve"> Youth and Sport, Health, Education and Labour and Social Affairs,</w:t>
      </w:r>
      <w:r w:rsidR="0027376F" w:rsidRPr="00BD1C03">
        <w:t xml:space="preserve"> and local partners on GBV and Youth programming.</w:t>
      </w:r>
    </w:p>
    <w:p w14:paraId="12FE4A78" w14:textId="603C76AA" w:rsidR="00F579A4" w:rsidRPr="00BD1C03" w:rsidRDefault="00F579A4" w:rsidP="0008435D">
      <w:r w:rsidRPr="00BD1C03">
        <w:t>IHO</w:t>
      </w:r>
      <w:r w:rsidR="00D51E5B" w:rsidRPr="00BD1C03">
        <w:t xml:space="preserve"> coordinates and support</w:t>
      </w:r>
      <w:r w:rsidR="00446981" w:rsidRPr="00BD1C03">
        <w:t>s</w:t>
      </w:r>
      <w:r w:rsidR="00D51E5B" w:rsidRPr="00BD1C03">
        <w:t xml:space="preserve"> </w:t>
      </w:r>
      <w:r w:rsidR="00D770D3" w:rsidRPr="00BD1C03">
        <w:t>the national</w:t>
      </w:r>
      <w:r w:rsidR="00D51E5B" w:rsidRPr="00BD1C03">
        <w:t xml:space="preserve"> society and other movement partners</w:t>
      </w:r>
      <w:r w:rsidR="00446981" w:rsidRPr="00BD1C03">
        <w:t>, and provid</w:t>
      </w:r>
      <w:r w:rsidR="00D97398" w:rsidRPr="00BD1C03">
        <w:t>es</w:t>
      </w:r>
      <w:r w:rsidR="00446981" w:rsidRPr="00BD1C03">
        <w:t xml:space="preserve"> training </w:t>
      </w:r>
      <w:r w:rsidR="00821B5A" w:rsidRPr="00BD1C03">
        <w:t xml:space="preserve">and support </w:t>
      </w:r>
      <w:r w:rsidR="00446981" w:rsidRPr="00BD1C03">
        <w:t xml:space="preserve">to the Ministry of Health, hospitals and rehabilitation clinics </w:t>
      </w:r>
      <w:r w:rsidR="00821B5A" w:rsidRPr="00BD1C03">
        <w:t xml:space="preserve">(15) </w:t>
      </w:r>
      <w:r w:rsidR="00446981" w:rsidRPr="00BD1C03">
        <w:t>to respond to</w:t>
      </w:r>
      <w:r w:rsidR="00D97398" w:rsidRPr="00BD1C03">
        <w:t xml:space="preserve"> ongoing needs, treat </w:t>
      </w:r>
      <w:r w:rsidR="000030EF">
        <w:t>wounded protestors and special</w:t>
      </w:r>
      <w:r w:rsidR="00B43345">
        <w:t>is</w:t>
      </w:r>
      <w:r w:rsidR="00D97398" w:rsidRPr="00BD1C03">
        <w:t>ed s</w:t>
      </w:r>
      <w:r w:rsidR="00821B5A" w:rsidRPr="00BD1C03">
        <w:t>ervices</w:t>
      </w:r>
      <w:r w:rsidR="00D97398" w:rsidRPr="00BD1C03">
        <w:t xml:space="preserve"> to persons with disabilities.</w:t>
      </w:r>
    </w:p>
    <w:p w14:paraId="7B4A6D59" w14:textId="22EF2C4E" w:rsidR="001211C6" w:rsidRPr="00BD1C03" w:rsidRDefault="001211C6" w:rsidP="0008435D">
      <w:pPr>
        <w:rPr>
          <w:color w:val="000000"/>
          <w:lang w:eastAsia="ja-JP"/>
        </w:rPr>
      </w:pPr>
      <w:r w:rsidRPr="00BD1C03">
        <w:rPr>
          <w:color w:val="000000"/>
          <w:lang w:eastAsia="ja-JP"/>
        </w:rPr>
        <w:t xml:space="preserve">The BPF consortium </w:t>
      </w:r>
      <w:r w:rsidR="004B3624" w:rsidRPr="00BD1C03">
        <w:rPr>
          <w:color w:val="000000"/>
          <w:lang w:eastAsia="ja-JP"/>
        </w:rPr>
        <w:t>supported 24 DPOs</w:t>
      </w:r>
      <w:r w:rsidR="00821B5A" w:rsidRPr="00BD1C03">
        <w:rPr>
          <w:color w:val="000000"/>
          <w:lang w:eastAsia="ja-JP"/>
        </w:rPr>
        <w:t>-</w:t>
      </w:r>
      <w:r w:rsidR="004B3624" w:rsidRPr="00BD1C03">
        <w:rPr>
          <w:color w:val="000000"/>
          <w:lang w:eastAsia="ja-JP"/>
        </w:rPr>
        <w:t xml:space="preserve">CSOs with increased capacity to manage resources and promote inclusion and </w:t>
      </w:r>
      <w:r w:rsidRPr="00BD1C03">
        <w:rPr>
          <w:color w:val="000000"/>
          <w:lang w:eastAsia="ja-JP"/>
        </w:rPr>
        <w:t>through HI has made significant and positive contributions to supporting local DPO</w:t>
      </w:r>
      <w:r w:rsidR="00821B5A" w:rsidRPr="00BD1C03">
        <w:rPr>
          <w:color w:val="000000"/>
          <w:lang w:eastAsia="ja-JP"/>
        </w:rPr>
        <w:t>-</w:t>
      </w:r>
      <w:r w:rsidR="004B3624" w:rsidRPr="00BD1C03">
        <w:rPr>
          <w:color w:val="000000"/>
          <w:lang w:eastAsia="ja-JP"/>
        </w:rPr>
        <w:t>CSO</w:t>
      </w:r>
      <w:r w:rsidRPr="00BD1C03">
        <w:rPr>
          <w:color w:val="000000"/>
          <w:lang w:eastAsia="ja-JP"/>
        </w:rPr>
        <w:t>s. The BPF Mid-term Evaluation</w:t>
      </w:r>
      <w:r w:rsidR="00BC295A" w:rsidRPr="00BD1C03">
        <w:rPr>
          <w:color w:val="000000"/>
          <w:lang w:eastAsia="ja-JP"/>
        </w:rPr>
        <w:t xml:space="preserve"> found 70 </w:t>
      </w:r>
      <w:r w:rsidR="00495DB3">
        <w:rPr>
          <w:color w:val="000000"/>
          <w:lang w:eastAsia="ja-JP"/>
        </w:rPr>
        <w:t>percent</w:t>
      </w:r>
      <w:r w:rsidR="00BC295A" w:rsidRPr="00BD1C03">
        <w:rPr>
          <w:color w:val="000000"/>
          <w:lang w:eastAsia="ja-JP"/>
        </w:rPr>
        <w:t xml:space="preserve"> of DPOs and CSOs in Sinjar – and </w:t>
      </w:r>
      <w:r w:rsidR="00D628E4" w:rsidRPr="00BD1C03">
        <w:rPr>
          <w:color w:val="000000"/>
          <w:lang w:eastAsia="ja-JP"/>
        </w:rPr>
        <w:t xml:space="preserve">86 </w:t>
      </w:r>
      <w:r w:rsidR="00495DB3">
        <w:rPr>
          <w:color w:val="000000"/>
          <w:lang w:eastAsia="ja-JP"/>
        </w:rPr>
        <w:t>percent</w:t>
      </w:r>
      <w:r w:rsidR="00D628E4" w:rsidRPr="00BD1C03">
        <w:rPr>
          <w:color w:val="000000"/>
          <w:lang w:eastAsia="ja-JP"/>
        </w:rPr>
        <w:t xml:space="preserve"> in </w:t>
      </w:r>
      <w:proofErr w:type="spellStart"/>
      <w:r w:rsidR="00D628E4" w:rsidRPr="00BD1C03">
        <w:rPr>
          <w:color w:val="000000"/>
          <w:lang w:eastAsia="ja-JP"/>
        </w:rPr>
        <w:t>Hawjia</w:t>
      </w:r>
      <w:proofErr w:type="spellEnd"/>
      <w:r w:rsidR="00D628E4" w:rsidRPr="00BD1C03">
        <w:rPr>
          <w:color w:val="000000"/>
          <w:lang w:eastAsia="ja-JP"/>
        </w:rPr>
        <w:t xml:space="preserve"> </w:t>
      </w:r>
      <w:r w:rsidR="00D770D3" w:rsidRPr="00BD1C03">
        <w:rPr>
          <w:color w:val="000000"/>
          <w:lang w:eastAsia="ja-JP"/>
        </w:rPr>
        <w:t xml:space="preserve">– </w:t>
      </w:r>
      <w:r w:rsidR="00BC295A" w:rsidRPr="00BD1C03">
        <w:rPr>
          <w:color w:val="000000"/>
          <w:lang w:eastAsia="ja-JP"/>
        </w:rPr>
        <w:t>said they were able to influence</w:t>
      </w:r>
      <w:r w:rsidR="00D628E4" w:rsidRPr="00BD1C03">
        <w:rPr>
          <w:color w:val="000000"/>
          <w:lang w:eastAsia="ja-JP"/>
        </w:rPr>
        <w:t xml:space="preserve"> the program.</w:t>
      </w:r>
      <w:r w:rsidR="00D628E4" w:rsidRPr="00BD1C03">
        <w:rPr>
          <w:rStyle w:val="EndnoteReference"/>
          <w:rFonts w:ascii="Calibri Light" w:hAnsi="Calibri Light" w:cs="Calibri Light"/>
          <w:color w:val="000000"/>
          <w:szCs w:val="22"/>
          <w:lang w:eastAsia="ja-JP"/>
        </w:rPr>
        <w:endnoteReference w:id="77"/>
      </w:r>
    </w:p>
    <w:p w14:paraId="3846522B" w14:textId="77777777" w:rsidR="006618E3" w:rsidRPr="00BD1C03" w:rsidRDefault="00D628E4" w:rsidP="006618E3">
      <w:pPr>
        <w:pStyle w:val="Quote1"/>
        <w:rPr>
          <w:lang w:eastAsia="ja-JP"/>
        </w:rPr>
      </w:pPr>
      <w:r w:rsidRPr="00BD1C03">
        <w:rPr>
          <w:lang w:eastAsia="ja-JP"/>
        </w:rPr>
        <w:t xml:space="preserve">“Both NRC and SC take our opinion into consideration before they start implementing an activity. Overall, I also find them very responsive to us when we make requests or give suggestions.” </w:t>
      </w:r>
    </w:p>
    <w:p w14:paraId="6C3AC7C7" w14:textId="75256FFE" w:rsidR="00D628E4" w:rsidRPr="00BD1C03" w:rsidRDefault="00D628E4" w:rsidP="000F6E3B">
      <w:pPr>
        <w:ind w:right="645"/>
        <w:jc w:val="right"/>
        <w:rPr>
          <w:bCs/>
          <w:lang w:eastAsia="ja-JP"/>
        </w:rPr>
      </w:pPr>
      <w:r w:rsidRPr="00BD1C03">
        <w:rPr>
          <w:bCs/>
          <w:lang w:eastAsia="ja-JP"/>
        </w:rPr>
        <w:t>DPO</w:t>
      </w:r>
      <w:r w:rsidRPr="00BD1C03">
        <w:rPr>
          <w:rStyle w:val="EndnoteReference"/>
          <w:rFonts w:cstheme="majorHAnsi"/>
          <w:bCs/>
          <w:i/>
          <w:iCs/>
          <w:color w:val="000000"/>
          <w:sz w:val="20"/>
          <w:szCs w:val="20"/>
          <w:lang w:eastAsia="ja-JP"/>
        </w:rPr>
        <w:endnoteReference w:id="78"/>
      </w:r>
    </w:p>
    <w:p w14:paraId="091A90A7" w14:textId="77777777" w:rsidR="006618E3" w:rsidRPr="00BD1C03" w:rsidRDefault="00D628E4" w:rsidP="000F6E3B">
      <w:pPr>
        <w:pStyle w:val="Quote1"/>
        <w:rPr>
          <w:b/>
          <w:bCs/>
          <w:lang w:eastAsia="ja-JP"/>
        </w:rPr>
      </w:pPr>
      <w:r w:rsidRPr="00BD1C03">
        <w:rPr>
          <w:lang w:eastAsia="ja-JP"/>
        </w:rPr>
        <w:t>“I always give my opinion. One time, I have the suggestions to celebrate World Peace Day and this suggestion was accepted. A local organisation implemented the idea with the support of Handicap International.”</w:t>
      </w:r>
      <w:r w:rsidRPr="00BD1C03">
        <w:rPr>
          <w:b/>
          <w:bCs/>
          <w:lang w:eastAsia="ja-JP"/>
        </w:rPr>
        <w:t xml:space="preserve"> </w:t>
      </w:r>
    </w:p>
    <w:p w14:paraId="48F167D0" w14:textId="10578874" w:rsidR="00D628E4" w:rsidRPr="00BD1C03" w:rsidRDefault="00D628E4" w:rsidP="000F6E3B">
      <w:pPr>
        <w:ind w:right="645"/>
        <w:jc w:val="right"/>
        <w:rPr>
          <w:lang w:eastAsia="ja-JP"/>
        </w:rPr>
      </w:pPr>
      <w:r w:rsidRPr="00BD1C03">
        <w:rPr>
          <w:bCs/>
          <w:lang w:eastAsia="ja-JP"/>
        </w:rPr>
        <w:t>DPO</w:t>
      </w:r>
      <w:r w:rsidRPr="00BD1C03">
        <w:rPr>
          <w:rStyle w:val="EndnoteReference"/>
          <w:rFonts w:cstheme="majorHAnsi"/>
          <w:bCs/>
          <w:i/>
          <w:iCs/>
          <w:color w:val="000000"/>
          <w:sz w:val="20"/>
          <w:szCs w:val="20"/>
          <w:lang w:eastAsia="ja-JP"/>
        </w:rPr>
        <w:endnoteReference w:id="79"/>
      </w:r>
    </w:p>
    <w:p w14:paraId="0D07CFB6" w14:textId="1784AC0D" w:rsidR="00E52864" w:rsidRPr="00BD1C03" w:rsidRDefault="00E52864" w:rsidP="0008435D">
      <w:r w:rsidRPr="00BD1C03">
        <w:rPr>
          <w:lang w:eastAsia="ja-JP"/>
        </w:rPr>
        <w:t xml:space="preserve">UNMAS work closely with the </w:t>
      </w:r>
      <w:r w:rsidR="005B38A7" w:rsidRPr="00BD1C03">
        <w:rPr>
          <w:lang w:eastAsia="ja-JP"/>
        </w:rPr>
        <w:t>DMA</w:t>
      </w:r>
      <w:r w:rsidRPr="00BD1C03">
        <w:rPr>
          <w:lang w:eastAsia="ja-JP"/>
        </w:rPr>
        <w:t>, the National Operations Centre, and the Iraqi Kurdistan Mine Action Authority to coordinate explosive hazard assessments and demining operations and ensure standards are maintained.</w:t>
      </w:r>
      <w:r w:rsidRPr="00BD1C03">
        <w:rPr>
          <w:rStyle w:val="EndnoteReference"/>
          <w:rFonts w:ascii="Calibri Light" w:hAnsi="Calibri Light" w:cs="Calibri Light"/>
          <w:color w:val="000000"/>
          <w:szCs w:val="22"/>
          <w:lang w:eastAsia="ja-JP"/>
        </w:rPr>
        <w:endnoteReference w:id="80"/>
      </w:r>
      <w:r w:rsidRPr="00BD1C03">
        <w:rPr>
          <w:lang w:eastAsia="ja-JP"/>
        </w:rPr>
        <w:t xml:space="preserve"> </w:t>
      </w:r>
      <w:r w:rsidR="00435C90" w:rsidRPr="00BD1C03">
        <w:rPr>
          <w:lang w:eastAsia="ja-JP"/>
        </w:rPr>
        <w:t xml:space="preserve">UNMAS further provides significant ongoing capacity building support to the DMA, including facilitating a WPS workshop for </w:t>
      </w:r>
      <w:proofErr w:type="spellStart"/>
      <w:r w:rsidR="00435C90" w:rsidRPr="00BD1C03">
        <w:rPr>
          <w:lang w:eastAsia="ja-JP"/>
        </w:rPr>
        <w:t>GoI</w:t>
      </w:r>
      <w:proofErr w:type="spellEnd"/>
      <w:r w:rsidR="00435C90" w:rsidRPr="00BD1C03">
        <w:rPr>
          <w:lang w:eastAsia="ja-JP"/>
        </w:rPr>
        <w:t xml:space="preserve"> stakeholders.</w:t>
      </w:r>
    </w:p>
    <w:p w14:paraId="19C18197" w14:textId="49937DB0" w:rsidR="00C202DA" w:rsidRPr="00BD1C03" w:rsidRDefault="00C202DA" w:rsidP="0008435D">
      <w:r w:rsidRPr="00BD1C03">
        <w:t xml:space="preserve">While dedicated efforts have been made to engage and support local partners and authorities, significant challenges </w:t>
      </w:r>
      <w:r w:rsidR="00F03322" w:rsidRPr="00BD1C03">
        <w:t>were</w:t>
      </w:r>
      <w:r w:rsidRPr="00BD1C03">
        <w:t xml:space="preserve"> reported by partners</w:t>
      </w:r>
      <w:r w:rsidR="00821B5A" w:rsidRPr="00BD1C03">
        <w:t xml:space="preserve">, particularly in areas where returns have been low and social cohesion challenges remain high. </w:t>
      </w:r>
      <w:r w:rsidRPr="00BD1C03">
        <w:t xml:space="preserve">Interviewees frequently raised how multi-year funding is critical in the Iraq context </w:t>
      </w:r>
      <w:r w:rsidR="00B2036D" w:rsidRPr="00BD1C03">
        <w:t xml:space="preserve">due to </w:t>
      </w:r>
      <w:r w:rsidR="005A74A7" w:rsidRPr="00BD1C03">
        <w:t xml:space="preserve">the depth of </w:t>
      </w:r>
      <w:r w:rsidRPr="00BD1C03">
        <w:t>programming needs and</w:t>
      </w:r>
      <w:r w:rsidR="00821B5A" w:rsidRPr="00BD1C03">
        <w:t xml:space="preserve"> to </w:t>
      </w:r>
      <w:r w:rsidRPr="00BD1C03">
        <w:t>buil</w:t>
      </w:r>
      <w:r w:rsidR="00821B5A" w:rsidRPr="00BD1C03">
        <w:t xml:space="preserve">ding </w:t>
      </w:r>
      <w:r w:rsidRPr="00BD1C03">
        <w:t xml:space="preserve">trust with local partners. </w:t>
      </w:r>
    </w:p>
    <w:p w14:paraId="6F233FC9" w14:textId="671AB3AE" w:rsidR="005D4AED" w:rsidRPr="00BD1C03" w:rsidRDefault="007C5816" w:rsidP="0008435D">
      <w:r w:rsidRPr="00BD1C03">
        <w:t xml:space="preserve">In terms of engaging and supporting WPS actors, </w:t>
      </w:r>
      <w:r w:rsidR="00821B5A" w:rsidRPr="00BD1C03">
        <w:t>i</w:t>
      </w:r>
      <w:r w:rsidR="00B2036D" w:rsidRPr="00BD1C03">
        <w:t xml:space="preserve">nterviewees highlighted the </w:t>
      </w:r>
      <w:r w:rsidR="005B38A7" w:rsidRPr="00BD1C03">
        <w:t>i</w:t>
      </w:r>
      <w:r w:rsidR="00B2036D" w:rsidRPr="00BD1C03">
        <w:t>mportance of distinguishing between women-led humanitarian organ</w:t>
      </w:r>
      <w:r w:rsidR="00B43345">
        <w:t>is</w:t>
      </w:r>
      <w:r w:rsidR="00B2036D" w:rsidRPr="00BD1C03">
        <w:t>ations and those with a more explicit focus on the WPS agenda</w:t>
      </w:r>
      <w:r w:rsidR="005B38A7" w:rsidRPr="00BD1C03">
        <w:t xml:space="preserve"> and peace and security components</w:t>
      </w:r>
      <w:r w:rsidRPr="00BD1C03">
        <w:t xml:space="preserve"> which tend to be less prevalent</w:t>
      </w:r>
      <w:r w:rsidR="00395144" w:rsidRPr="00BD1C03">
        <w:t>.</w:t>
      </w:r>
      <w:r w:rsidR="009173EA" w:rsidRPr="00BD1C03">
        <w:t xml:space="preserve"> This indicates a need for small-scale grants to support WPS civil society capacity development in this area.</w:t>
      </w:r>
    </w:p>
    <w:p w14:paraId="0E8033D9" w14:textId="3F1C7BB8" w:rsidR="004B6583" w:rsidRPr="00BD1C03" w:rsidRDefault="002D688F" w:rsidP="0008435D">
      <w:r w:rsidRPr="00BD1C03">
        <w:t>Where feasible, partners have made efforts to engage Iraq’s private sector. In particular, UNDP FFS aims to procure locally, and works to ensure tenders are framed in such a way that smaller businesses are able to bid. Similarly, UNICEF has engaged local contractors in its WASH rehabilitation work in the south.</w:t>
      </w:r>
    </w:p>
    <w:p w14:paraId="5AB177F5" w14:textId="0727DA28" w:rsidR="00ED6062" w:rsidRPr="00BD1C03" w:rsidRDefault="00ED6062" w:rsidP="0008435D">
      <w:r w:rsidRPr="00BD1C03">
        <w:t>A common theme emerging from interviews was that engagement and strengthening of local actors is considerably enhanced by multi-year funding, and that this forms an important contribution to sustainability in that it strengthens traction with</w:t>
      </w:r>
      <w:r w:rsidR="004961E3" w:rsidRPr="00BD1C03">
        <w:t xml:space="preserve"> and the capacity of</w:t>
      </w:r>
      <w:r w:rsidRPr="00BD1C03">
        <w:t xml:space="preserve"> local </w:t>
      </w:r>
      <w:r w:rsidR="00A71114" w:rsidRPr="00BD1C03">
        <w:t>partners</w:t>
      </w:r>
      <w:r w:rsidRPr="00BD1C03">
        <w:t>.</w:t>
      </w:r>
      <w:r w:rsidR="00B83449" w:rsidRPr="00BD1C03">
        <w:t xml:space="preserve"> However, it was also acknowledged by partners that they rarely sub-contract local partners under multi-year funding arrangements, due to concerns around financial management capacity and probity issues.</w:t>
      </w:r>
      <w:r w:rsidR="00662780" w:rsidRPr="00BD1C03">
        <w:t xml:space="preserve"> The current practice and challenges highlight the need for international partners to </w:t>
      </w:r>
      <w:r w:rsidR="009173EA" w:rsidRPr="00BD1C03">
        <w:t>increase</w:t>
      </w:r>
      <w:r w:rsidR="00662780" w:rsidRPr="00BD1C03">
        <w:t xml:space="preserve"> financial management </w:t>
      </w:r>
      <w:r w:rsidR="009173EA" w:rsidRPr="00BD1C03">
        <w:t xml:space="preserve">and reporting </w:t>
      </w:r>
      <w:r w:rsidR="00662780" w:rsidRPr="00BD1C03">
        <w:t>technical support to their local partners.</w:t>
      </w:r>
    </w:p>
    <w:p w14:paraId="0143E267" w14:textId="390DA79B" w:rsidR="008E364F" w:rsidRPr="000B478B" w:rsidRDefault="008E364F" w:rsidP="00572C61">
      <w:pPr>
        <w:pStyle w:val="Heading2"/>
        <w:numPr>
          <w:ilvl w:val="1"/>
          <w:numId w:val="5"/>
        </w:numPr>
        <w:rPr>
          <w:sz w:val="40"/>
          <w:szCs w:val="40"/>
        </w:rPr>
      </w:pPr>
      <w:r w:rsidRPr="000B478B">
        <w:rPr>
          <w:sz w:val="40"/>
          <w:szCs w:val="40"/>
        </w:rPr>
        <w:t>Coordination and compl</w:t>
      </w:r>
      <w:r w:rsidR="009A401B" w:rsidRPr="000B478B">
        <w:rPr>
          <w:sz w:val="40"/>
          <w:szCs w:val="40"/>
        </w:rPr>
        <w:t>e</w:t>
      </w:r>
      <w:r w:rsidRPr="000B478B">
        <w:rPr>
          <w:sz w:val="40"/>
          <w:szCs w:val="40"/>
        </w:rPr>
        <w:t xml:space="preserve">mentarity </w:t>
      </w:r>
    </w:p>
    <w:p w14:paraId="2F954783" w14:textId="40B625D8" w:rsidR="00C202DA" w:rsidRPr="00BD1C03" w:rsidRDefault="008E364F" w:rsidP="0008435D">
      <w:r w:rsidRPr="00BD1C03">
        <w:t xml:space="preserve">Throughout the review, Australia was praised for its good donorship, flexibility, strategic engagement on key issues and coordinated and complementary aid effort in Iraq. </w:t>
      </w:r>
      <w:r w:rsidR="00C202DA" w:rsidRPr="00BD1C03">
        <w:t xml:space="preserve">Australia engaged robustly and strategically across relevant humanitarian and stabilisation forums based on the interview data. As highlighted earlier, the Ambassador’s diplomatic leadership on </w:t>
      </w:r>
      <w:r w:rsidR="00821B5A" w:rsidRPr="00BD1C03">
        <w:t xml:space="preserve">humanitarian access and </w:t>
      </w:r>
      <w:r w:rsidR="00C202DA" w:rsidRPr="00BD1C03">
        <w:t>the anti-domestic violence law matched by GEWE programming were frequently referenced across interviews as positive contributions.</w:t>
      </w:r>
      <w:r w:rsidR="000F761D" w:rsidRPr="00BD1C03">
        <w:t xml:space="preserve"> The Humanitarian Officer’s </w:t>
      </w:r>
      <w:r w:rsidR="00C202DA" w:rsidRPr="00BD1C03">
        <w:t>engagement in coordination fora was also cited as being highly strategic and appreciated by likeminded donors in terms of progressing key issues of common interest.</w:t>
      </w:r>
      <w:r w:rsidR="005D4AED" w:rsidRPr="00BD1C03">
        <w:t xml:space="preserve"> Partners </w:t>
      </w:r>
      <w:r w:rsidR="005A74A7" w:rsidRPr="00BD1C03">
        <w:t xml:space="preserve">expressed appreciation for the </w:t>
      </w:r>
      <w:r w:rsidR="006B2C18" w:rsidRPr="00BD1C03">
        <w:t>continuous presence of a</w:t>
      </w:r>
      <w:r w:rsidR="000F761D" w:rsidRPr="00BD1C03">
        <w:t>n informed</w:t>
      </w:r>
      <w:r w:rsidR="006B2C18" w:rsidRPr="00BD1C03">
        <w:t xml:space="preserve"> </w:t>
      </w:r>
      <w:r w:rsidR="000F761D" w:rsidRPr="00BD1C03">
        <w:t>H</w:t>
      </w:r>
      <w:r w:rsidR="006B2C18" w:rsidRPr="00BD1C03">
        <w:t xml:space="preserve">umanitarian </w:t>
      </w:r>
      <w:r w:rsidR="000F761D" w:rsidRPr="00BD1C03">
        <w:t>O</w:t>
      </w:r>
      <w:r w:rsidR="006B2C18" w:rsidRPr="00BD1C03">
        <w:t>fficer in the Embassy and the importance of this for meaningful dialogue.</w:t>
      </w:r>
    </w:p>
    <w:p w14:paraId="562B9A5A" w14:textId="155B562C" w:rsidR="006A3ED7" w:rsidRPr="00BD1C03" w:rsidRDefault="0021687F" w:rsidP="0008435D">
      <w:r w:rsidRPr="00BD1C03">
        <w:t xml:space="preserve">Based on </w:t>
      </w:r>
      <w:r w:rsidR="000F761D" w:rsidRPr="00BD1C03">
        <w:t xml:space="preserve">the </w:t>
      </w:r>
      <w:r w:rsidRPr="00BD1C03">
        <w:t>interview data</w:t>
      </w:r>
      <w:r w:rsidR="000F761D" w:rsidRPr="00BD1C03">
        <w:t>,</w:t>
      </w:r>
      <w:r w:rsidRPr="00BD1C03">
        <w:t xml:space="preserve"> t</w:t>
      </w:r>
      <w:r w:rsidR="00AA3188" w:rsidRPr="00BD1C03">
        <w:t xml:space="preserve">he review team identified a high level of coordination </w:t>
      </w:r>
      <w:r w:rsidR="007C5816" w:rsidRPr="00BD1C03">
        <w:t xml:space="preserve">and collegiality </w:t>
      </w:r>
      <w:r w:rsidR="00AA3188" w:rsidRPr="00BD1C03">
        <w:t xml:space="preserve">between DFAT and </w:t>
      </w:r>
      <w:r w:rsidRPr="00BD1C03">
        <w:t>ADF</w:t>
      </w:r>
      <w:r w:rsidR="00AA3188" w:rsidRPr="00BD1C03">
        <w:t xml:space="preserve"> through the </w:t>
      </w:r>
      <w:r w:rsidR="00E52864" w:rsidRPr="00BD1C03">
        <w:t>D</w:t>
      </w:r>
      <w:r w:rsidR="00AA3188" w:rsidRPr="00BD1C03">
        <w:t xml:space="preserve">efence </w:t>
      </w:r>
      <w:r w:rsidR="00AC28B2" w:rsidRPr="00BD1C03">
        <w:t>Attaché</w:t>
      </w:r>
      <w:r w:rsidR="00AA3188" w:rsidRPr="00BD1C03">
        <w:t xml:space="preserve"> in Baghdad, and the Department of Home of Affairs (</w:t>
      </w:r>
      <w:proofErr w:type="spellStart"/>
      <w:r w:rsidR="00AA3188" w:rsidRPr="00BD1C03">
        <w:t>DoHA</w:t>
      </w:r>
      <w:proofErr w:type="spellEnd"/>
      <w:r w:rsidR="00AA3188" w:rsidRPr="00BD1C03">
        <w:t xml:space="preserve">) representative in Amman. </w:t>
      </w:r>
      <w:r w:rsidRPr="00BD1C03">
        <w:t xml:space="preserve">There </w:t>
      </w:r>
      <w:r w:rsidR="00A21FA0" w:rsidRPr="00BD1C03">
        <w:t>is</w:t>
      </w:r>
      <w:r w:rsidRPr="00BD1C03">
        <w:t xml:space="preserve"> </w:t>
      </w:r>
      <w:r w:rsidR="00A21FA0" w:rsidRPr="00BD1C03">
        <w:t xml:space="preserve">regular </w:t>
      </w:r>
      <w:r w:rsidRPr="00BD1C03">
        <w:t xml:space="preserve">consultation and coordination </w:t>
      </w:r>
      <w:r w:rsidR="00420BCC" w:rsidRPr="00BD1C03">
        <w:t xml:space="preserve">between DFAT and </w:t>
      </w:r>
      <w:proofErr w:type="spellStart"/>
      <w:r w:rsidR="00420BCC" w:rsidRPr="00BD1C03">
        <w:t>DoHA</w:t>
      </w:r>
      <w:proofErr w:type="spellEnd"/>
      <w:r w:rsidR="00F579A4" w:rsidRPr="00BD1C03">
        <w:t>, including</w:t>
      </w:r>
      <w:r w:rsidR="00420BCC" w:rsidRPr="00BD1C03">
        <w:t xml:space="preserve"> </w:t>
      </w:r>
      <w:r w:rsidRPr="00BD1C03">
        <w:t xml:space="preserve">on funding to </w:t>
      </w:r>
      <w:r w:rsidR="007C5816" w:rsidRPr="00BD1C03">
        <w:t xml:space="preserve">the same </w:t>
      </w:r>
      <w:r w:rsidRPr="00BD1C03">
        <w:t>partners in Iraq</w:t>
      </w:r>
      <w:r w:rsidR="007C5816" w:rsidRPr="00BD1C03">
        <w:t xml:space="preserve"> (IOM and C</w:t>
      </w:r>
      <w:r w:rsidR="00D770D3" w:rsidRPr="00BD1C03">
        <w:t>ARE</w:t>
      </w:r>
      <w:r w:rsidR="007C5816" w:rsidRPr="00BD1C03">
        <w:t>)</w:t>
      </w:r>
      <w:r w:rsidR="00F579A4" w:rsidRPr="00BD1C03">
        <w:t xml:space="preserve"> for different p</w:t>
      </w:r>
      <w:r w:rsidR="009173EA" w:rsidRPr="00BD1C03">
        <w:t>rojects</w:t>
      </w:r>
      <w:r w:rsidR="00A21FA0" w:rsidRPr="00BD1C03">
        <w:t>.</w:t>
      </w:r>
    </w:p>
    <w:p w14:paraId="0EFC53A9" w14:textId="5238B702" w:rsidR="006A3ED7" w:rsidRPr="000B478B" w:rsidRDefault="006A3ED7" w:rsidP="00572C61">
      <w:pPr>
        <w:pStyle w:val="Heading2"/>
        <w:numPr>
          <w:ilvl w:val="1"/>
          <w:numId w:val="5"/>
        </w:numPr>
        <w:rPr>
          <w:sz w:val="40"/>
          <w:szCs w:val="40"/>
        </w:rPr>
      </w:pPr>
      <w:r w:rsidRPr="000B478B">
        <w:rPr>
          <w:sz w:val="40"/>
          <w:szCs w:val="40"/>
        </w:rPr>
        <w:t>Policy and diplomacy</w:t>
      </w:r>
    </w:p>
    <w:p w14:paraId="26588925" w14:textId="79D1421C" w:rsidR="006A3ED7" w:rsidRPr="00BD1C03" w:rsidRDefault="006A3ED7" w:rsidP="0008435D">
      <w:pPr>
        <w:rPr>
          <w:rFonts w:cs="Calibri"/>
          <w:lang w:eastAsia="ja-JP"/>
        </w:rPr>
      </w:pPr>
      <w:r w:rsidRPr="00BD1C03">
        <w:rPr>
          <w:lang w:eastAsia="ja-JP"/>
        </w:rPr>
        <w:t xml:space="preserve">The development of Australia's three-year $100 million humanitarian and stabilisation package (2017/18 </w:t>
      </w:r>
      <w:r w:rsidR="00A75F5E">
        <w:rPr>
          <w:lang w:eastAsia="ja-JP"/>
        </w:rPr>
        <w:t>–</w:t>
      </w:r>
      <w:r w:rsidRPr="00BD1C03">
        <w:rPr>
          <w:lang w:eastAsia="ja-JP"/>
        </w:rPr>
        <w:t xml:space="preserve"> 2020) was a response to Australia's Grand Bargain commitments at the WHS.</w:t>
      </w:r>
      <w:r w:rsidRPr="00BD1C03">
        <w:rPr>
          <w:rStyle w:val="EndnoteReference"/>
          <w:rFonts w:ascii="Calibri Light" w:hAnsi="Calibri Light" w:cs="Calibri Light"/>
          <w:color w:val="000000"/>
          <w:szCs w:val="22"/>
          <w:lang w:eastAsia="ja-JP"/>
        </w:rPr>
        <w:endnoteReference w:id="81"/>
      </w:r>
      <w:r w:rsidRPr="00BD1C03">
        <w:rPr>
          <w:lang w:eastAsia="ja-JP"/>
        </w:rPr>
        <w:t xml:space="preserve"> The </w:t>
      </w:r>
      <w:r w:rsidR="00B674B6" w:rsidRPr="00BD1C03">
        <w:rPr>
          <w:lang w:eastAsia="ja-JP"/>
        </w:rPr>
        <w:t>P</w:t>
      </w:r>
      <w:r w:rsidRPr="00BD1C03">
        <w:rPr>
          <w:lang w:eastAsia="ja-JP"/>
        </w:rPr>
        <w:t xml:space="preserve">ackage provides multi-year funding, encourages local partnerships, balances investments across the nexus and has made significant contributions to protection outcomes in terms of GEWE and disability inclusion. However, in terms of </w:t>
      </w:r>
      <w:r w:rsidRPr="00BD1C03">
        <w:t>ensuring no-one is left behind – recogn</w:t>
      </w:r>
      <w:r w:rsidR="00B43345">
        <w:t>is</w:t>
      </w:r>
      <w:r w:rsidRPr="00BD1C03">
        <w:t xml:space="preserve">ing vulnerability is intersectional – it is strongly recommended that future package designs and M&amp;E processes are informed by </w:t>
      </w:r>
      <w:r w:rsidR="00D97398" w:rsidRPr="00BD1C03">
        <w:t>a</w:t>
      </w:r>
      <w:r w:rsidRPr="00BD1C03">
        <w:t xml:space="preserve"> comprehensive protection risk analysis, IASC centrality of protection and three levels of action</w:t>
      </w:r>
      <w:r w:rsidR="009A401B" w:rsidRPr="00BD1C03">
        <w:t xml:space="preserve"> (</w:t>
      </w:r>
      <w:r w:rsidRPr="00BD1C03">
        <w:t xml:space="preserve">see </w:t>
      </w:r>
      <w:r w:rsidRPr="00BD1C03">
        <w:rPr>
          <w:b/>
          <w:bCs/>
        </w:rPr>
        <w:t xml:space="preserve">Annex </w:t>
      </w:r>
      <w:r w:rsidR="00F579A4" w:rsidRPr="00BD1C03">
        <w:rPr>
          <w:b/>
          <w:bCs/>
        </w:rPr>
        <w:t>III</w:t>
      </w:r>
      <w:r w:rsidRPr="00BD1C03">
        <w:t xml:space="preserve"> for more details</w:t>
      </w:r>
      <w:r w:rsidR="009A401B" w:rsidRPr="00BD1C03">
        <w:t>)</w:t>
      </w:r>
      <w:r w:rsidRPr="00BD1C03">
        <w:t>.</w:t>
      </w:r>
      <w:r w:rsidR="009A401B" w:rsidRPr="00BD1C03">
        <w:t xml:space="preserve"> Further, as highlighted in </w:t>
      </w:r>
      <w:r w:rsidR="009A401B" w:rsidRPr="00BD1C03">
        <w:rPr>
          <w:b/>
          <w:bCs/>
        </w:rPr>
        <w:t>6.1</w:t>
      </w:r>
      <w:r w:rsidR="009A401B" w:rsidRPr="00BD1C03">
        <w:t xml:space="preserve"> above it is recommended DFAT update its internal guidance on engaging effectively in complex protracted crises.</w:t>
      </w:r>
    </w:p>
    <w:p w14:paraId="0AE3AFE4" w14:textId="0D6943CD" w:rsidR="00AA3188" w:rsidRPr="000B478B" w:rsidRDefault="00AA3188" w:rsidP="00572C61">
      <w:pPr>
        <w:pStyle w:val="Heading2"/>
        <w:numPr>
          <w:ilvl w:val="1"/>
          <w:numId w:val="5"/>
        </w:numPr>
        <w:rPr>
          <w:sz w:val="40"/>
          <w:szCs w:val="40"/>
        </w:rPr>
      </w:pPr>
      <w:r w:rsidRPr="000B478B">
        <w:rPr>
          <w:sz w:val="40"/>
          <w:szCs w:val="40"/>
        </w:rPr>
        <w:t>Exit</w:t>
      </w:r>
      <w:r w:rsidR="0017472E" w:rsidRPr="000B478B">
        <w:rPr>
          <w:sz w:val="40"/>
          <w:szCs w:val="40"/>
        </w:rPr>
        <w:t>,</w:t>
      </w:r>
      <w:r w:rsidRPr="000B478B">
        <w:rPr>
          <w:sz w:val="40"/>
          <w:szCs w:val="40"/>
        </w:rPr>
        <w:t xml:space="preserve"> transition</w:t>
      </w:r>
      <w:r w:rsidR="0017472E" w:rsidRPr="000B478B">
        <w:rPr>
          <w:sz w:val="40"/>
          <w:szCs w:val="40"/>
        </w:rPr>
        <w:t xml:space="preserve"> and sustainability</w:t>
      </w:r>
      <w:r w:rsidRPr="000B478B">
        <w:rPr>
          <w:sz w:val="40"/>
          <w:szCs w:val="40"/>
        </w:rPr>
        <w:t xml:space="preserve"> in Iraq </w:t>
      </w:r>
    </w:p>
    <w:p w14:paraId="0CE53546" w14:textId="4932D11B" w:rsidR="00C202DA" w:rsidRPr="00BD1C03" w:rsidRDefault="00C202DA" w:rsidP="0008435D">
      <w:r w:rsidRPr="00BD1C03">
        <w:t>Recognising the shifting context and multiple shocks experienced</w:t>
      </w:r>
      <w:r w:rsidR="00660027" w:rsidRPr="00BD1C03">
        <w:t xml:space="preserve"> during Package implementation</w:t>
      </w:r>
      <w:r w:rsidRPr="00BD1C03">
        <w:t xml:space="preserve">, exit strategies and transition to a </w:t>
      </w:r>
      <w:proofErr w:type="spellStart"/>
      <w:r w:rsidRPr="00BD1C03">
        <w:t>GoI</w:t>
      </w:r>
      <w:proofErr w:type="spellEnd"/>
      <w:r w:rsidRPr="00BD1C03">
        <w:t xml:space="preserve"> lead response is widely considered premature</w:t>
      </w:r>
      <w:r w:rsidR="009173EA" w:rsidRPr="00BD1C03">
        <w:t xml:space="preserve">. This is </w:t>
      </w:r>
      <w:r w:rsidRPr="00BD1C03">
        <w:t>due to the remaining complex protection caseload including IDPs, high levels of discrimination</w:t>
      </w:r>
      <w:r w:rsidR="006A3ED7" w:rsidRPr="00BD1C03">
        <w:t>, and reconciliation</w:t>
      </w:r>
      <w:r w:rsidRPr="00BD1C03">
        <w:t xml:space="preserve"> and social cohesion needs. </w:t>
      </w:r>
      <w:r w:rsidR="007441EB" w:rsidRPr="00BD1C03">
        <w:t xml:space="preserve">In terms of advancing progress toward </w:t>
      </w:r>
      <w:proofErr w:type="spellStart"/>
      <w:r w:rsidR="007441EB" w:rsidRPr="00BD1C03">
        <w:t>GoI</w:t>
      </w:r>
      <w:proofErr w:type="spellEnd"/>
      <w:r w:rsidR="007441EB" w:rsidRPr="00BD1C03">
        <w:t xml:space="preserve"> ownership</w:t>
      </w:r>
      <w:r w:rsidRPr="00BD1C03">
        <w:t xml:space="preserve">, a progressive transition </w:t>
      </w:r>
      <w:r w:rsidR="007441EB" w:rsidRPr="00BD1C03">
        <w:t xml:space="preserve">with less complex sectors such as WASH </w:t>
      </w:r>
      <w:r w:rsidRPr="00BD1C03">
        <w:t xml:space="preserve">may be more appropriate. Longer term multi-year funding </w:t>
      </w:r>
      <w:r w:rsidR="007441EB" w:rsidRPr="00BD1C03">
        <w:t>will be</w:t>
      </w:r>
      <w:r w:rsidRPr="00BD1C03">
        <w:t xml:space="preserve"> necessary to </w:t>
      </w:r>
      <w:r w:rsidR="007441EB" w:rsidRPr="00BD1C03">
        <w:t>facilitate</w:t>
      </w:r>
      <w:r w:rsidRPr="00BD1C03">
        <w:t xml:space="preserve"> government service delivery and</w:t>
      </w:r>
      <w:r w:rsidR="007441EB" w:rsidRPr="00BD1C03">
        <w:t xml:space="preserve"> leadership,</w:t>
      </w:r>
      <w:r w:rsidR="00A07039" w:rsidRPr="00BD1C03">
        <w:t xml:space="preserve"> </w:t>
      </w:r>
      <w:r w:rsidR="007441EB" w:rsidRPr="00BD1C03">
        <w:t>and</w:t>
      </w:r>
      <w:r w:rsidRPr="00BD1C03">
        <w:t xml:space="preserve"> mitigate future conflict risks through unmet protection and displacement needs.</w:t>
      </w:r>
    </w:p>
    <w:p w14:paraId="605F3DB9" w14:textId="5699A619" w:rsidR="006A3ED7" w:rsidRPr="00BD1C03" w:rsidRDefault="006A3ED7" w:rsidP="0008435D">
      <w:r w:rsidRPr="00BD1C03">
        <w:t xml:space="preserve">In terms of partner level performance, as highlighted above there is a high level of variability in </w:t>
      </w:r>
      <w:proofErr w:type="spellStart"/>
      <w:r w:rsidRPr="00BD1C03">
        <w:t>GoI</w:t>
      </w:r>
      <w:proofErr w:type="spellEnd"/>
      <w:r w:rsidRPr="00BD1C03">
        <w:t xml:space="preserve"> engagement across central, regional and local levels that is affected by political </w:t>
      </w:r>
      <w:r w:rsidR="005C2088" w:rsidRPr="00BD1C03">
        <w:t>instability</w:t>
      </w:r>
      <w:r w:rsidRPr="00BD1C03">
        <w:t xml:space="preserve">. </w:t>
      </w:r>
      <w:r w:rsidR="0059685B" w:rsidRPr="00BD1C03">
        <w:t>However, t</w:t>
      </w:r>
      <w:r w:rsidRPr="00BD1C03">
        <w:t xml:space="preserve">here are </w:t>
      </w:r>
      <w:r w:rsidR="00382E83" w:rsidRPr="00BD1C03">
        <w:t xml:space="preserve">significant </w:t>
      </w:r>
      <w:r w:rsidRPr="00BD1C03">
        <w:t>positive results</w:t>
      </w:r>
      <w:r w:rsidR="00382E83" w:rsidRPr="00BD1C03">
        <w:t xml:space="preserve"> in terms of </w:t>
      </w:r>
      <w:r w:rsidR="005C2088" w:rsidRPr="00BD1C03">
        <w:t>partnering with</w:t>
      </w:r>
      <w:r w:rsidR="00382E83" w:rsidRPr="00BD1C03">
        <w:t xml:space="preserve"> authorities and local </w:t>
      </w:r>
      <w:r w:rsidR="005C2088" w:rsidRPr="00BD1C03">
        <w:t>organisations</w:t>
      </w:r>
      <w:r w:rsidR="00382E83" w:rsidRPr="00BD1C03">
        <w:t>, particularly DPOs. The context is such that further support is needed to build on these</w:t>
      </w:r>
      <w:r w:rsidR="009173EA" w:rsidRPr="00BD1C03">
        <w:t xml:space="preserve"> results</w:t>
      </w:r>
      <w:r w:rsidR="00382E83" w:rsidRPr="00BD1C03">
        <w:t xml:space="preserve">, expand support to WPS </w:t>
      </w:r>
      <w:r w:rsidR="009173EA" w:rsidRPr="00BD1C03">
        <w:t xml:space="preserve">civil society </w:t>
      </w:r>
      <w:r w:rsidR="00382E83" w:rsidRPr="00BD1C03">
        <w:t>actors and support transition to local leadership.</w:t>
      </w:r>
    </w:p>
    <w:p w14:paraId="2F63589C" w14:textId="5FE6E3F2" w:rsidR="00A2736F" w:rsidRPr="00BD1C03" w:rsidRDefault="00B01DB1" w:rsidP="0008435D">
      <w:r w:rsidRPr="00BD1C03">
        <w:t xml:space="preserve">There were a range of donor perspectives on </w:t>
      </w:r>
      <w:r w:rsidR="00696C58" w:rsidRPr="00BD1C03">
        <w:t xml:space="preserve">how to </w:t>
      </w:r>
      <w:r w:rsidRPr="00BD1C03">
        <w:t>classify the crisis in Iraq at this point in time</w:t>
      </w:r>
      <w:r w:rsidR="00696C58" w:rsidRPr="00BD1C03">
        <w:t xml:space="preserve"> and what influence that should have on the coordination mechanism(s</w:t>
      </w:r>
      <w:r w:rsidR="000969BB" w:rsidRPr="00BD1C03">
        <w:t>) looking forward</w:t>
      </w:r>
      <w:r w:rsidRPr="00BD1C03">
        <w:t>.</w:t>
      </w:r>
      <w:r w:rsidR="000969BB" w:rsidRPr="00BD1C03">
        <w:t xml:space="preserve"> Other interviewees were quick to highlight that</w:t>
      </w:r>
      <w:r w:rsidRPr="00BD1C03">
        <w:t xml:space="preserve"> </w:t>
      </w:r>
      <w:r w:rsidR="000969BB" w:rsidRPr="00BD1C03">
        <w:t>i</w:t>
      </w:r>
      <w:r w:rsidRPr="00BD1C03">
        <w:t>rrespective of how the crisis is character</w:t>
      </w:r>
      <w:r w:rsidR="00B43345">
        <w:t>is</w:t>
      </w:r>
      <w:r w:rsidRPr="00BD1C03">
        <w:t xml:space="preserve">ed and agreed coordination mechanism, 1.4 million Iraqi’s remain displaced and endemic discrimination along ethno-religious lines prevents access to protection and necessary services from the main duty bearer – the state. This renders a </w:t>
      </w:r>
      <w:r w:rsidR="0059685B" w:rsidRPr="00BD1C03">
        <w:t xml:space="preserve">quantum </w:t>
      </w:r>
      <w:r w:rsidRPr="00BD1C03">
        <w:t>shift to development</w:t>
      </w:r>
      <w:r w:rsidR="0059685B" w:rsidRPr="00BD1C03">
        <w:t xml:space="preserve"> programming</w:t>
      </w:r>
      <w:r w:rsidRPr="00BD1C03">
        <w:t xml:space="preserve"> impractical at this point in time despite Iraq being considered a middle-income co</w:t>
      </w:r>
      <w:r w:rsidR="00D770D3" w:rsidRPr="00BD1C03">
        <w:t>untry</w:t>
      </w:r>
      <w:r w:rsidRPr="00BD1C03">
        <w:t>.</w:t>
      </w:r>
      <w:r w:rsidRPr="00BD1C03">
        <w:rPr>
          <w:rStyle w:val="EndnoteReference"/>
          <w:rFonts w:ascii="Calibri Light" w:hAnsi="Calibri Light" w:cs="Calibri Light"/>
          <w:szCs w:val="22"/>
        </w:rPr>
        <w:endnoteReference w:id="82"/>
      </w:r>
      <w:r w:rsidRPr="00BD1C03">
        <w:t xml:space="preserve"> </w:t>
      </w:r>
    </w:p>
    <w:p w14:paraId="4799F155" w14:textId="330F7881" w:rsidR="006045AA" w:rsidRPr="00BD1C03" w:rsidRDefault="00BE6170" w:rsidP="0008435D">
      <w:r w:rsidRPr="00BD1C03">
        <w:t>It is recommended that DFAT advocate for a</w:t>
      </w:r>
      <w:r w:rsidR="00B01DB1" w:rsidRPr="00BD1C03">
        <w:t xml:space="preserve"> coordination structure that caters for remaining humanitarian needs and an effective C</w:t>
      </w:r>
      <w:r w:rsidR="00B21BA2" w:rsidRPr="00BD1C03">
        <w:t>OVID</w:t>
      </w:r>
      <w:r w:rsidR="00B01DB1" w:rsidRPr="00BD1C03">
        <w:t xml:space="preserve">-19 response, maintains the centrality of protection across the </w:t>
      </w:r>
      <w:r w:rsidRPr="00BD1C03">
        <w:t xml:space="preserve">HDP </w:t>
      </w:r>
      <w:r w:rsidR="00B01DB1" w:rsidRPr="00BD1C03">
        <w:t xml:space="preserve">nexus and strengthens engagement with </w:t>
      </w:r>
      <w:proofErr w:type="spellStart"/>
      <w:r w:rsidR="00B01DB1" w:rsidRPr="00BD1C03">
        <w:t>GoI</w:t>
      </w:r>
      <w:proofErr w:type="spellEnd"/>
      <w:r w:rsidR="00B01DB1" w:rsidRPr="00BD1C03">
        <w:t xml:space="preserve"> institutions and national civil society</w:t>
      </w:r>
      <w:r w:rsidRPr="00BD1C03">
        <w:t>.</w:t>
      </w:r>
    </w:p>
    <w:p w14:paraId="738EC6ED" w14:textId="77777777" w:rsidR="006045AA" w:rsidRPr="00BD1C03" w:rsidRDefault="006045AA">
      <w:pPr>
        <w:spacing w:after="0"/>
      </w:pPr>
      <w:r w:rsidRPr="00BD1C03">
        <w:br w:type="page"/>
      </w:r>
    </w:p>
    <w:p w14:paraId="57E98CA2" w14:textId="5E8A66FF" w:rsidR="003620F2" w:rsidRPr="00BD1C03" w:rsidRDefault="003620F2" w:rsidP="00572C61">
      <w:pPr>
        <w:pStyle w:val="Heading1"/>
        <w:numPr>
          <w:ilvl w:val="0"/>
          <w:numId w:val="5"/>
        </w:numPr>
      </w:pPr>
      <w:bookmarkStart w:id="8" w:name="_Toc48318498"/>
      <w:r w:rsidRPr="00BD1C03">
        <w:t>Efficiency</w:t>
      </w:r>
      <w:bookmarkEnd w:id="8"/>
      <w:r w:rsidR="00E95C4A" w:rsidRPr="00BD1C03">
        <w:tab/>
      </w:r>
      <w:r w:rsidR="00E95C4A" w:rsidRPr="00BD1C03">
        <w:tab/>
      </w:r>
    </w:p>
    <w:p w14:paraId="351CBE76" w14:textId="1F896D8E" w:rsidR="004B6583" w:rsidRPr="00BD1C03" w:rsidRDefault="004B6583" w:rsidP="0008435D">
      <w:r w:rsidRPr="00BD1C03">
        <w:t xml:space="preserve">Efficiency is not well understood in the context of protracted crises or reported within the current Package M&amp;E framework. This primarily relates to the light touch nature of reporting against </w:t>
      </w:r>
      <w:r w:rsidR="00EC3E7D" w:rsidRPr="00BD1C03">
        <w:t>un</w:t>
      </w:r>
      <w:r w:rsidR="000B51B4">
        <w:t>ear</w:t>
      </w:r>
      <w:r w:rsidR="00EC3E7D" w:rsidRPr="00BD1C03">
        <w:t>marked</w:t>
      </w:r>
      <w:r w:rsidRPr="00BD1C03">
        <w:t xml:space="preserve"> funding and makes it difficult for this review to reach meaningful conclusions in relation to the budget and timeline status of investments. </w:t>
      </w:r>
      <w:r w:rsidR="000969BB" w:rsidRPr="00BD1C03">
        <w:t>Furthermore, the current reporting practices of some of the larger investment partners provide DFAT limited real-time oversight of expenditure and implementation tracking.</w:t>
      </w:r>
    </w:p>
    <w:p w14:paraId="5CCC6BA2" w14:textId="381CC7F4" w:rsidR="006F11CD" w:rsidRPr="00BD1C03" w:rsidRDefault="004B6583" w:rsidP="0008435D">
      <w:r w:rsidRPr="00BD1C03">
        <w:t>Generally speaking, this context is explained and justified by Australia’s Grand Bargain commitment, which commits Australia to minimal project-specific reporting from partners. However, it is noted even within this context that the detail made available through partner reporting varies considerably, with some reporting such as UNMAS providing significantly more information on efficiency issues than others.</w:t>
      </w:r>
      <w:r w:rsidR="0017472E" w:rsidRPr="00BD1C03">
        <w:t xml:space="preserve"> </w:t>
      </w:r>
    </w:p>
    <w:p w14:paraId="0FF713F0" w14:textId="14341E33" w:rsidR="003F6BE1" w:rsidRPr="00BD1C03" w:rsidRDefault="003F6BE1" w:rsidP="008E0AA3">
      <w:pPr>
        <w:spacing w:after="0"/>
      </w:pPr>
      <w:r w:rsidRPr="00BD1C03">
        <w:t xml:space="preserve">Package funding is distributed across </w:t>
      </w:r>
      <w:r w:rsidR="00542656" w:rsidRPr="00BD1C03">
        <w:t>humanitarian, stabilisation and social cohesion</w:t>
      </w:r>
      <w:r w:rsidRPr="00BD1C03">
        <w:t xml:space="preserve"> with the aim of achieving a coherent </w:t>
      </w:r>
      <w:r w:rsidR="00542656" w:rsidRPr="00BD1C03">
        <w:t xml:space="preserve">and relevant </w:t>
      </w:r>
      <w:r w:rsidRPr="00BD1C03">
        <w:t>overall program approach. While funding allocations are allocated by DFAT under humanitarian, stabili</w:t>
      </w:r>
      <w:r w:rsidR="00EA019E" w:rsidRPr="00BD1C03">
        <w:t>s</w:t>
      </w:r>
      <w:r w:rsidRPr="00BD1C03">
        <w:t xml:space="preserve">ation and social cohesion, there is in reality some overlap with investments such as UNMAS and UNICEF contributing to both humanitarian and </w:t>
      </w:r>
      <w:r w:rsidR="00F97AFB" w:rsidRPr="00BD1C03">
        <w:t>stabili</w:t>
      </w:r>
      <w:r w:rsidR="00E558EA" w:rsidRPr="00BD1C03">
        <w:t>s</w:t>
      </w:r>
      <w:r w:rsidR="00F97AFB" w:rsidRPr="00BD1C03">
        <w:t>ation outcomes.</w:t>
      </w:r>
      <w:r w:rsidR="00E558EA" w:rsidRPr="00BD1C03">
        <w:t xml:space="preserve"> The design and delivery of humanitarian and stabilisation assistance </w:t>
      </w:r>
      <w:r w:rsidR="00927A4A" w:rsidRPr="00BD1C03">
        <w:t xml:space="preserve">– and </w:t>
      </w:r>
      <w:r w:rsidR="00AF4EA0" w:rsidRPr="00BD1C03">
        <w:t>its</w:t>
      </w:r>
      <w:r w:rsidR="00927A4A" w:rsidRPr="00BD1C03">
        <w:t xml:space="preserve"> conflict sensitivity –</w:t>
      </w:r>
      <w:r w:rsidR="00E558EA" w:rsidRPr="00BD1C03">
        <w:t xml:space="preserve"> </w:t>
      </w:r>
      <w:r w:rsidR="00A2736F" w:rsidRPr="00BD1C03">
        <w:t xml:space="preserve">has </w:t>
      </w:r>
      <w:r w:rsidR="00927A4A" w:rsidRPr="00BD1C03">
        <w:t>sign</w:t>
      </w:r>
      <w:r w:rsidR="009173EA" w:rsidRPr="00BD1C03">
        <w:t>i</w:t>
      </w:r>
      <w:r w:rsidR="00927A4A" w:rsidRPr="00BD1C03">
        <w:t xml:space="preserve">ficant </w:t>
      </w:r>
      <w:r w:rsidR="00A2736F" w:rsidRPr="00BD1C03">
        <w:t xml:space="preserve">potential to </w:t>
      </w:r>
      <w:r w:rsidR="00E558EA" w:rsidRPr="00BD1C03">
        <w:t>impact social cohesion outcomes.</w:t>
      </w:r>
    </w:p>
    <w:p w14:paraId="649A2C4E" w14:textId="7BD838EF" w:rsidR="008E0AA3" w:rsidRPr="00BD1C03" w:rsidRDefault="008E0AA3" w:rsidP="001D2CE7">
      <w:pPr>
        <w:pStyle w:val="Enfasi"/>
      </w:pPr>
      <w:r w:rsidRPr="00BD1C03">
        <w:t xml:space="preserve">Tab. 3 </w:t>
      </w:r>
      <w:r w:rsidR="009316F2" w:rsidRPr="00BD1C03">
        <w:t xml:space="preserve">Current </w:t>
      </w:r>
      <w:r w:rsidR="003F6BE1" w:rsidRPr="00BD1C03">
        <w:t xml:space="preserve">Package </w:t>
      </w:r>
      <w:r w:rsidR="009316F2" w:rsidRPr="00BD1C03">
        <w:t>funding distribution</w:t>
      </w:r>
    </w:p>
    <w:tbl>
      <w:tblPr>
        <w:tblStyle w:val="GridTable1Light-Accent31"/>
        <w:tblW w:w="0" w:type="auto"/>
        <w:tblLook w:val="04A0" w:firstRow="1" w:lastRow="0" w:firstColumn="1" w:lastColumn="0" w:noHBand="0" w:noVBand="1"/>
      </w:tblPr>
      <w:tblGrid>
        <w:gridCol w:w="1951"/>
        <w:gridCol w:w="1559"/>
        <w:gridCol w:w="2127"/>
        <w:gridCol w:w="2835"/>
      </w:tblGrid>
      <w:tr w:rsidR="008E0AA3" w:rsidRPr="00BD1C03" w14:paraId="1800F8E4" w14:textId="77777777" w:rsidTr="00204E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bottom w:val="single" w:sz="4" w:space="0" w:color="4F6228" w:themeColor="accent3" w:themeShade="80"/>
            </w:tcBorders>
          </w:tcPr>
          <w:p w14:paraId="271092DB" w14:textId="2FBDF2DA" w:rsidR="003F6BE1" w:rsidRPr="001D2CE7" w:rsidRDefault="00157086" w:rsidP="00187DBF">
            <w:pPr>
              <w:spacing w:before="120" w:after="120"/>
              <w:rPr>
                <w:rFonts w:cs="Calibri Light"/>
                <w:sz w:val="24"/>
              </w:rPr>
            </w:pPr>
            <w:r w:rsidRPr="001D2CE7">
              <w:rPr>
                <w:rFonts w:cs="Calibri Light"/>
                <w:sz w:val="24"/>
              </w:rPr>
              <w:t>Intervention</w:t>
            </w:r>
          </w:p>
        </w:tc>
        <w:tc>
          <w:tcPr>
            <w:tcW w:w="1559" w:type="dxa"/>
            <w:tcBorders>
              <w:bottom w:val="single" w:sz="4" w:space="0" w:color="4F6228" w:themeColor="accent3" w:themeShade="80"/>
            </w:tcBorders>
          </w:tcPr>
          <w:p w14:paraId="41DEA450" w14:textId="6CF54C15" w:rsidR="003F6BE1" w:rsidRPr="001D2CE7" w:rsidRDefault="003F6BE1" w:rsidP="00187DBF">
            <w:pPr>
              <w:spacing w:before="120" w:after="120"/>
              <w:cnfStyle w:val="100000000000" w:firstRow="1" w:lastRow="0" w:firstColumn="0" w:lastColumn="0" w:oddVBand="0" w:evenVBand="0" w:oddHBand="0" w:evenHBand="0" w:firstRowFirstColumn="0" w:firstRowLastColumn="0" w:lastRowFirstColumn="0" w:lastRowLastColumn="0"/>
              <w:rPr>
                <w:rFonts w:cs="Calibri Light"/>
                <w:sz w:val="24"/>
              </w:rPr>
            </w:pPr>
            <w:r w:rsidRPr="001D2CE7">
              <w:rPr>
                <w:rFonts w:cs="Calibri Light"/>
                <w:sz w:val="24"/>
              </w:rPr>
              <w:t xml:space="preserve">Partners </w:t>
            </w:r>
          </w:p>
        </w:tc>
        <w:tc>
          <w:tcPr>
            <w:tcW w:w="2127" w:type="dxa"/>
            <w:tcBorders>
              <w:bottom w:val="single" w:sz="4" w:space="0" w:color="4F6228" w:themeColor="accent3" w:themeShade="80"/>
            </w:tcBorders>
          </w:tcPr>
          <w:p w14:paraId="5CA63B5D" w14:textId="1974BBC4" w:rsidR="003F6BE1" w:rsidRPr="001D2CE7" w:rsidRDefault="003F6BE1" w:rsidP="00187DBF">
            <w:pPr>
              <w:spacing w:before="120" w:after="120"/>
              <w:cnfStyle w:val="100000000000" w:firstRow="1" w:lastRow="0" w:firstColumn="0" w:lastColumn="0" w:oddVBand="0" w:evenVBand="0" w:oddHBand="0" w:evenHBand="0" w:firstRowFirstColumn="0" w:firstRowLastColumn="0" w:lastRowFirstColumn="0" w:lastRowLastColumn="0"/>
              <w:rPr>
                <w:rFonts w:cs="Calibri Light"/>
                <w:sz w:val="24"/>
              </w:rPr>
            </w:pPr>
            <w:r w:rsidRPr="001D2CE7">
              <w:rPr>
                <w:rFonts w:cs="Calibri Light"/>
                <w:sz w:val="24"/>
              </w:rPr>
              <w:t>2017-20 allocation</w:t>
            </w:r>
          </w:p>
        </w:tc>
        <w:tc>
          <w:tcPr>
            <w:tcW w:w="2835" w:type="dxa"/>
            <w:tcBorders>
              <w:bottom w:val="single" w:sz="4" w:space="0" w:color="4F6228" w:themeColor="accent3" w:themeShade="80"/>
            </w:tcBorders>
          </w:tcPr>
          <w:p w14:paraId="15527937" w14:textId="332A020A" w:rsidR="003F6BE1" w:rsidRPr="001D2CE7" w:rsidRDefault="003F6BE1" w:rsidP="00187DBF">
            <w:pPr>
              <w:spacing w:before="120" w:after="120"/>
              <w:cnfStyle w:val="100000000000" w:firstRow="1" w:lastRow="0" w:firstColumn="0" w:lastColumn="0" w:oddVBand="0" w:evenVBand="0" w:oddHBand="0" w:evenHBand="0" w:firstRowFirstColumn="0" w:firstRowLastColumn="0" w:lastRowFirstColumn="0" w:lastRowLastColumn="0"/>
              <w:rPr>
                <w:rFonts w:cs="Calibri Light"/>
                <w:sz w:val="24"/>
              </w:rPr>
            </w:pPr>
            <w:r w:rsidRPr="001D2CE7">
              <w:rPr>
                <w:rFonts w:cs="Calibri Light"/>
                <w:sz w:val="24"/>
              </w:rPr>
              <w:t>Funding allocation as % of total</w:t>
            </w:r>
          </w:p>
        </w:tc>
      </w:tr>
      <w:tr w:rsidR="003F6BE1" w:rsidRPr="00BD1C03" w14:paraId="757B5BDC" w14:textId="77777777" w:rsidTr="001D2CE7">
        <w:tc>
          <w:tcPr>
            <w:cnfStyle w:val="001000000000" w:firstRow="0" w:lastRow="0" w:firstColumn="1" w:lastColumn="0" w:oddVBand="0" w:evenVBand="0" w:oddHBand="0" w:evenHBand="0" w:firstRowFirstColumn="0" w:firstRowLastColumn="0" w:lastRowFirstColumn="0" w:lastRowLastColumn="0"/>
            <w:tcW w:w="1951" w:type="dxa"/>
          </w:tcPr>
          <w:p w14:paraId="7859085C" w14:textId="5DDD817E" w:rsidR="003F6BE1" w:rsidRPr="0038210E" w:rsidRDefault="003F6BE1" w:rsidP="00187DBF">
            <w:pPr>
              <w:spacing w:before="120" w:after="120"/>
              <w:rPr>
                <w:rFonts w:cs="Calibri Light"/>
                <w:color w:val="4F6228" w:themeColor="accent3" w:themeShade="80"/>
                <w:szCs w:val="20"/>
              </w:rPr>
            </w:pPr>
            <w:r w:rsidRPr="0038210E">
              <w:rPr>
                <w:rFonts w:cs="Calibri Light"/>
                <w:color w:val="4F6228" w:themeColor="accent3" w:themeShade="80"/>
                <w:szCs w:val="20"/>
              </w:rPr>
              <w:t>Humanitarian</w:t>
            </w:r>
          </w:p>
        </w:tc>
        <w:tc>
          <w:tcPr>
            <w:tcW w:w="1559" w:type="dxa"/>
          </w:tcPr>
          <w:p w14:paraId="0AA2A0D8" w14:textId="2E5404AD" w:rsidR="003F6BE1" w:rsidRPr="00BD1C03" w:rsidRDefault="003F6BE1" w:rsidP="00187DBF">
            <w:pPr>
              <w:spacing w:before="120" w:after="120"/>
              <w:cnfStyle w:val="000000000000" w:firstRow="0" w:lastRow="0" w:firstColumn="0" w:lastColumn="0" w:oddVBand="0" w:evenVBand="0" w:oddHBand="0" w:evenHBand="0" w:firstRowFirstColumn="0" w:firstRowLastColumn="0" w:lastRowFirstColumn="0" w:lastRowLastColumn="0"/>
              <w:rPr>
                <w:rFonts w:cs="Calibri Light"/>
                <w:szCs w:val="20"/>
              </w:rPr>
            </w:pPr>
            <w:r w:rsidRPr="00BD1C03">
              <w:rPr>
                <w:rFonts w:cs="Calibri Light"/>
                <w:szCs w:val="20"/>
              </w:rPr>
              <w:t>IHO, UNFPA, UNICEF, BPF</w:t>
            </w:r>
          </w:p>
        </w:tc>
        <w:tc>
          <w:tcPr>
            <w:tcW w:w="2127" w:type="dxa"/>
          </w:tcPr>
          <w:p w14:paraId="040B82F0" w14:textId="646C506E" w:rsidR="003F6BE1" w:rsidRPr="00BD1C03" w:rsidRDefault="003F6BE1" w:rsidP="00187DBF">
            <w:pPr>
              <w:spacing w:before="120" w:after="120"/>
              <w:jc w:val="center"/>
              <w:cnfStyle w:val="000000000000" w:firstRow="0" w:lastRow="0" w:firstColumn="0" w:lastColumn="0" w:oddVBand="0" w:evenVBand="0" w:oddHBand="0" w:evenHBand="0" w:firstRowFirstColumn="0" w:firstRowLastColumn="0" w:lastRowFirstColumn="0" w:lastRowLastColumn="0"/>
              <w:rPr>
                <w:rFonts w:cs="Calibri Light"/>
                <w:szCs w:val="20"/>
              </w:rPr>
            </w:pPr>
            <w:r w:rsidRPr="00BD1C03">
              <w:rPr>
                <w:rFonts w:cs="Calibri Light"/>
                <w:szCs w:val="20"/>
              </w:rPr>
              <w:t>$ 59.2 million</w:t>
            </w:r>
          </w:p>
        </w:tc>
        <w:tc>
          <w:tcPr>
            <w:tcW w:w="2835" w:type="dxa"/>
          </w:tcPr>
          <w:p w14:paraId="1C0135D8" w14:textId="511BC92B" w:rsidR="003F6BE1" w:rsidRPr="00BD1C03" w:rsidRDefault="003F6BE1" w:rsidP="00187DBF">
            <w:pPr>
              <w:spacing w:before="120" w:after="120"/>
              <w:jc w:val="center"/>
              <w:cnfStyle w:val="000000000000" w:firstRow="0" w:lastRow="0" w:firstColumn="0" w:lastColumn="0" w:oddVBand="0" w:evenVBand="0" w:oddHBand="0" w:evenHBand="0" w:firstRowFirstColumn="0" w:firstRowLastColumn="0" w:lastRowFirstColumn="0" w:lastRowLastColumn="0"/>
              <w:rPr>
                <w:rFonts w:cs="Calibri Light"/>
                <w:szCs w:val="20"/>
              </w:rPr>
            </w:pPr>
            <w:r w:rsidRPr="00BD1C03">
              <w:rPr>
                <w:rFonts w:cs="Calibri Light"/>
                <w:szCs w:val="20"/>
              </w:rPr>
              <w:t>62.2%</w:t>
            </w:r>
          </w:p>
        </w:tc>
      </w:tr>
      <w:tr w:rsidR="003F6BE1" w:rsidRPr="00BD1C03" w14:paraId="32ACEB12" w14:textId="77777777" w:rsidTr="001D2CE7">
        <w:tc>
          <w:tcPr>
            <w:cnfStyle w:val="001000000000" w:firstRow="0" w:lastRow="0" w:firstColumn="1" w:lastColumn="0" w:oddVBand="0" w:evenVBand="0" w:oddHBand="0" w:evenHBand="0" w:firstRowFirstColumn="0" w:firstRowLastColumn="0" w:lastRowFirstColumn="0" w:lastRowLastColumn="0"/>
            <w:tcW w:w="1951" w:type="dxa"/>
          </w:tcPr>
          <w:p w14:paraId="187FF033" w14:textId="68443CB5" w:rsidR="003F6BE1" w:rsidRPr="0038210E" w:rsidRDefault="003F6BE1" w:rsidP="00187DBF">
            <w:pPr>
              <w:spacing w:before="120" w:after="120"/>
              <w:rPr>
                <w:rFonts w:cs="Calibri Light"/>
                <w:color w:val="4F6228" w:themeColor="accent3" w:themeShade="80"/>
                <w:szCs w:val="20"/>
              </w:rPr>
            </w:pPr>
            <w:r w:rsidRPr="0038210E">
              <w:rPr>
                <w:rFonts w:cs="Calibri Light"/>
                <w:color w:val="4F6228" w:themeColor="accent3" w:themeShade="80"/>
                <w:szCs w:val="20"/>
              </w:rPr>
              <w:t>Stabilisation</w:t>
            </w:r>
          </w:p>
        </w:tc>
        <w:tc>
          <w:tcPr>
            <w:tcW w:w="1559" w:type="dxa"/>
          </w:tcPr>
          <w:p w14:paraId="7F2E8FF1" w14:textId="1CD9E01F" w:rsidR="003F6BE1" w:rsidRPr="00BD1C03" w:rsidRDefault="003F6BE1" w:rsidP="00187DBF">
            <w:pPr>
              <w:spacing w:before="120" w:after="120"/>
              <w:cnfStyle w:val="000000000000" w:firstRow="0" w:lastRow="0" w:firstColumn="0" w:lastColumn="0" w:oddVBand="0" w:evenVBand="0" w:oddHBand="0" w:evenHBand="0" w:firstRowFirstColumn="0" w:firstRowLastColumn="0" w:lastRowFirstColumn="0" w:lastRowLastColumn="0"/>
              <w:rPr>
                <w:rFonts w:cs="Calibri Light"/>
                <w:szCs w:val="20"/>
              </w:rPr>
            </w:pPr>
            <w:r w:rsidRPr="00BD1C03">
              <w:rPr>
                <w:rFonts w:cs="Calibri Light"/>
                <w:szCs w:val="20"/>
              </w:rPr>
              <w:t>UNDP, UNMAS</w:t>
            </w:r>
          </w:p>
        </w:tc>
        <w:tc>
          <w:tcPr>
            <w:tcW w:w="2127" w:type="dxa"/>
          </w:tcPr>
          <w:p w14:paraId="599D6BEA" w14:textId="2A567037" w:rsidR="003F6BE1" w:rsidRPr="00BD1C03" w:rsidRDefault="003F6BE1" w:rsidP="00187DBF">
            <w:pPr>
              <w:spacing w:before="120" w:after="120"/>
              <w:jc w:val="center"/>
              <w:cnfStyle w:val="000000000000" w:firstRow="0" w:lastRow="0" w:firstColumn="0" w:lastColumn="0" w:oddVBand="0" w:evenVBand="0" w:oddHBand="0" w:evenHBand="0" w:firstRowFirstColumn="0" w:firstRowLastColumn="0" w:lastRowFirstColumn="0" w:lastRowLastColumn="0"/>
              <w:rPr>
                <w:rFonts w:cs="Calibri Light"/>
                <w:szCs w:val="20"/>
              </w:rPr>
            </w:pPr>
            <w:r w:rsidRPr="00BD1C03">
              <w:rPr>
                <w:rFonts w:cs="Calibri Light"/>
                <w:szCs w:val="20"/>
              </w:rPr>
              <w:t>$ 31 million</w:t>
            </w:r>
          </w:p>
        </w:tc>
        <w:tc>
          <w:tcPr>
            <w:tcW w:w="2835" w:type="dxa"/>
          </w:tcPr>
          <w:p w14:paraId="38551254" w14:textId="320152A2" w:rsidR="003F6BE1" w:rsidRPr="00BD1C03" w:rsidRDefault="003F6BE1" w:rsidP="00187DBF">
            <w:pPr>
              <w:spacing w:before="120" w:after="120"/>
              <w:jc w:val="center"/>
              <w:cnfStyle w:val="000000000000" w:firstRow="0" w:lastRow="0" w:firstColumn="0" w:lastColumn="0" w:oddVBand="0" w:evenVBand="0" w:oddHBand="0" w:evenHBand="0" w:firstRowFirstColumn="0" w:firstRowLastColumn="0" w:lastRowFirstColumn="0" w:lastRowLastColumn="0"/>
              <w:rPr>
                <w:rFonts w:cs="Calibri Light"/>
                <w:szCs w:val="20"/>
              </w:rPr>
            </w:pPr>
            <w:r w:rsidRPr="00BD1C03">
              <w:rPr>
                <w:rFonts w:cs="Calibri Light"/>
                <w:szCs w:val="20"/>
              </w:rPr>
              <w:t>32.6%</w:t>
            </w:r>
          </w:p>
        </w:tc>
      </w:tr>
      <w:tr w:rsidR="003F6BE1" w:rsidRPr="00BD1C03" w14:paraId="50FBB0B7" w14:textId="77777777" w:rsidTr="001D2CE7">
        <w:tc>
          <w:tcPr>
            <w:cnfStyle w:val="001000000000" w:firstRow="0" w:lastRow="0" w:firstColumn="1" w:lastColumn="0" w:oddVBand="0" w:evenVBand="0" w:oddHBand="0" w:evenHBand="0" w:firstRowFirstColumn="0" w:firstRowLastColumn="0" w:lastRowFirstColumn="0" w:lastRowLastColumn="0"/>
            <w:tcW w:w="1951" w:type="dxa"/>
          </w:tcPr>
          <w:p w14:paraId="2EC2E11D" w14:textId="293506F0" w:rsidR="003F6BE1" w:rsidRPr="0038210E" w:rsidRDefault="003F6BE1" w:rsidP="00187DBF">
            <w:pPr>
              <w:spacing w:before="120" w:after="120"/>
              <w:rPr>
                <w:rFonts w:cs="Calibri Light"/>
                <w:color w:val="4F6228" w:themeColor="accent3" w:themeShade="80"/>
                <w:szCs w:val="20"/>
              </w:rPr>
            </w:pPr>
            <w:r w:rsidRPr="0038210E">
              <w:rPr>
                <w:rFonts w:cs="Calibri Light"/>
                <w:color w:val="4F6228" w:themeColor="accent3" w:themeShade="80"/>
                <w:szCs w:val="20"/>
              </w:rPr>
              <w:t>Social Cohesion</w:t>
            </w:r>
          </w:p>
        </w:tc>
        <w:tc>
          <w:tcPr>
            <w:tcW w:w="1559" w:type="dxa"/>
          </w:tcPr>
          <w:p w14:paraId="0542EBA2" w14:textId="5F68B62D" w:rsidR="003F6BE1" w:rsidRPr="00BD1C03" w:rsidRDefault="003F6BE1" w:rsidP="00187DBF">
            <w:pPr>
              <w:spacing w:before="120" w:after="120"/>
              <w:cnfStyle w:val="000000000000" w:firstRow="0" w:lastRow="0" w:firstColumn="0" w:lastColumn="0" w:oddVBand="0" w:evenVBand="0" w:oddHBand="0" w:evenHBand="0" w:firstRowFirstColumn="0" w:firstRowLastColumn="0" w:lastRowFirstColumn="0" w:lastRowLastColumn="0"/>
              <w:rPr>
                <w:rFonts w:cs="Calibri Light"/>
                <w:szCs w:val="20"/>
              </w:rPr>
            </w:pPr>
            <w:r w:rsidRPr="00BD1C03">
              <w:rPr>
                <w:rFonts w:cs="Calibri Light"/>
                <w:szCs w:val="20"/>
              </w:rPr>
              <w:t>IO</w:t>
            </w:r>
            <w:r w:rsidR="00542656" w:rsidRPr="00BD1C03">
              <w:rPr>
                <w:rFonts w:cs="Calibri Light"/>
                <w:szCs w:val="20"/>
              </w:rPr>
              <w:t>M</w:t>
            </w:r>
            <w:r w:rsidRPr="00BD1C03">
              <w:rPr>
                <w:rFonts w:cs="Calibri Light"/>
                <w:szCs w:val="20"/>
              </w:rPr>
              <w:t>, Mosul project</w:t>
            </w:r>
          </w:p>
        </w:tc>
        <w:tc>
          <w:tcPr>
            <w:tcW w:w="2127" w:type="dxa"/>
          </w:tcPr>
          <w:p w14:paraId="42BC4811" w14:textId="62154105" w:rsidR="003F6BE1" w:rsidRPr="00BD1C03" w:rsidRDefault="003F6BE1" w:rsidP="00187DBF">
            <w:pPr>
              <w:spacing w:before="120" w:after="120"/>
              <w:jc w:val="center"/>
              <w:cnfStyle w:val="000000000000" w:firstRow="0" w:lastRow="0" w:firstColumn="0" w:lastColumn="0" w:oddVBand="0" w:evenVBand="0" w:oddHBand="0" w:evenHBand="0" w:firstRowFirstColumn="0" w:firstRowLastColumn="0" w:lastRowFirstColumn="0" w:lastRowLastColumn="0"/>
              <w:rPr>
                <w:rFonts w:cs="Calibri Light"/>
                <w:szCs w:val="20"/>
              </w:rPr>
            </w:pPr>
            <w:r w:rsidRPr="00BD1C03">
              <w:rPr>
                <w:rFonts w:cs="Calibri Light"/>
                <w:szCs w:val="20"/>
              </w:rPr>
              <w:t>$ 5million</w:t>
            </w:r>
          </w:p>
        </w:tc>
        <w:tc>
          <w:tcPr>
            <w:tcW w:w="2835" w:type="dxa"/>
          </w:tcPr>
          <w:p w14:paraId="73564E03" w14:textId="77CBECC9" w:rsidR="003F6BE1" w:rsidRPr="00BD1C03" w:rsidRDefault="003F6BE1" w:rsidP="00187DBF">
            <w:pPr>
              <w:spacing w:before="120" w:after="120"/>
              <w:jc w:val="center"/>
              <w:cnfStyle w:val="000000000000" w:firstRow="0" w:lastRow="0" w:firstColumn="0" w:lastColumn="0" w:oddVBand="0" w:evenVBand="0" w:oddHBand="0" w:evenHBand="0" w:firstRowFirstColumn="0" w:firstRowLastColumn="0" w:lastRowFirstColumn="0" w:lastRowLastColumn="0"/>
              <w:rPr>
                <w:rFonts w:cs="Calibri Light"/>
                <w:szCs w:val="20"/>
              </w:rPr>
            </w:pPr>
            <w:r w:rsidRPr="00BD1C03">
              <w:rPr>
                <w:rFonts w:cs="Calibri Light"/>
                <w:szCs w:val="20"/>
              </w:rPr>
              <w:t>5.2%</w:t>
            </w:r>
          </w:p>
        </w:tc>
      </w:tr>
    </w:tbl>
    <w:p w14:paraId="51156971" w14:textId="77777777" w:rsidR="009316F2" w:rsidRPr="00BD1C03" w:rsidRDefault="009316F2" w:rsidP="0008435D">
      <w:pPr>
        <w:spacing w:after="120"/>
        <w:rPr>
          <w:rFonts w:ascii="Calibri Light" w:hAnsi="Calibri Light" w:cs="Calibri Light"/>
          <w:sz w:val="24"/>
        </w:rPr>
      </w:pPr>
    </w:p>
    <w:p w14:paraId="680C8DE0" w14:textId="45556851" w:rsidR="00A2736F" w:rsidRPr="00BD1C03" w:rsidRDefault="00F97AFB" w:rsidP="0008435D">
      <w:r w:rsidRPr="00BD1C03">
        <w:t xml:space="preserve">While this distribution has been </w:t>
      </w:r>
      <w:r w:rsidR="009173EA" w:rsidRPr="00BD1C03">
        <w:t xml:space="preserve">relatively </w:t>
      </w:r>
      <w:r w:rsidRPr="00BD1C03">
        <w:t xml:space="preserve">appropriate to </w:t>
      </w:r>
      <w:r w:rsidR="00157086" w:rsidRPr="00BD1C03">
        <w:t xml:space="preserve">the </w:t>
      </w:r>
      <w:r w:rsidRPr="00BD1C03">
        <w:t xml:space="preserve">needs </w:t>
      </w:r>
      <w:r w:rsidR="00157086" w:rsidRPr="00BD1C03">
        <w:t>across package implementation</w:t>
      </w:r>
      <w:r w:rsidR="00430803" w:rsidRPr="00BD1C03">
        <w:t xml:space="preserve"> to date</w:t>
      </w:r>
      <w:r w:rsidRPr="00BD1C03">
        <w:t xml:space="preserve">, a finding of this review is that </w:t>
      </w:r>
      <w:r w:rsidR="00157086" w:rsidRPr="00BD1C03">
        <w:t>acute</w:t>
      </w:r>
      <w:r w:rsidRPr="00BD1C03">
        <w:t xml:space="preserve"> social cohesion </w:t>
      </w:r>
      <w:r w:rsidR="00157086" w:rsidRPr="00BD1C03">
        <w:t>and reconciliation needs remain</w:t>
      </w:r>
      <w:r w:rsidR="00430803" w:rsidRPr="00BD1C03">
        <w:t xml:space="preserve"> </w:t>
      </w:r>
      <w:r w:rsidRPr="00BD1C03">
        <w:t xml:space="preserve">and </w:t>
      </w:r>
      <w:r w:rsidR="00542656" w:rsidRPr="00BD1C03">
        <w:t xml:space="preserve">looking </w:t>
      </w:r>
      <w:r w:rsidRPr="00BD1C03">
        <w:t xml:space="preserve">forward a greater proportion of resources </w:t>
      </w:r>
      <w:r w:rsidR="00542656" w:rsidRPr="00BD1C03">
        <w:t xml:space="preserve">should be allocated </w:t>
      </w:r>
      <w:r w:rsidRPr="00BD1C03">
        <w:t xml:space="preserve">to such efforts. It is also noted that while </w:t>
      </w:r>
      <w:r w:rsidR="00430803" w:rsidRPr="00BD1C03">
        <w:t>the number of Iraqi’s in need of assistance (including IDPs) ha</w:t>
      </w:r>
      <w:r w:rsidR="005A48B7" w:rsidRPr="00BD1C03">
        <w:t>s</w:t>
      </w:r>
      <w:r w:rsidR="00430803" w:rsidRPr="00BD1C03">
        <w:t xml:space="preserve"> declined</w:t>
      </w:r>
      <w:r w:rsidR="005A48B7" w:rsidRPr="00BD1C03">
        <w:t xml:space="preserve"> </w:t>
      </w:r>
      <w:r w:rsidRPr="00BD1C03">
        <w:t xml:space="preserve">the hardened IDP caseload </w:t>
      </w:r>
      <w:r w:rsidR="00542656" w:rsidRPr="00BD1C03">
        <w:t xml:space="preserve">require </w:t>
      </w:r>
      <w:r w:rsidR="005A48B7" w:rsidRPr="00BD1C03">
        <w:t xml:space="preserve">continued and </w:t>
      </w:r>
      <w:r w:rsidRPr="00BD1C03">
        <w:t>more intensive humanitarian and social cohesion efforts.</w:t>
      </w:r>
      <w:r w:rsidR="00A2736F" w:rsidRPr="00BD1C03">
        <w:t xml:space="preserve"> </w:t>
      </w:r>
    </w:p>
    <w:p w14:paraId="1D0F6565" w14:textId="44ABB393" w:rsidR="00F97AFB" w:rsidRPr="00BD1C03" w:rsidRDefault="00A2736F" w:rsidP="0008435D">
      <w:r w:rsidRPr="00BD1C03">
        <w:t>Moving forward, it is important that Australia clearly and consistently communicates to partners its expectations of reporting quality and required level of detail. This is necessary to reach firm conclusions on partner performance and should ensure clear alignment with the 8 + 3 reporting standard as agreed by the donor community.</w:t>
      </w:r>
    </w:p>
    <w:p w14:paraId="79A76669" w14:textId="0C1F1179" w:rsidR="004B6583" w:rsidRPr="000B478B" w:rsidRDefault="004B6583" w:rsidP="00572C61">
      <w:pPr>
        <w:pStyle w:val="Heading2"/>
        <w:numPr>
          <w:ilvl w:val="1"/>
          <w:numId w:val="5"/>
        </w:numPr>
        <w:rPr>
          <w:sz w:val="40"/>
          <w:szCs w:val="40"/>
        </w:rPr>
      </w:pPr>
      <w:r w:rsidRPr="000B478B">
        <w:rPr>
          <w:sz w:val="40"/>
          <w:szCs w:val="40"/>
        </w:rPr>
        <w:t>Value for Money</w:t>
      </w:r>
      <w:r w:rsidR="005A48B7" w:rsidRPr="000B478B">
        <w:rPr>
          <w:sz w:val="40"/>
          <w:szCs w:val="40"/>
        </w:rPr>
        <w:t xml:space="preserve"> (</w:t>
      </w:r>
      <w:proofErr w:type="spellStart"/>
      <w:r w:rsidR="005A48B7" w:rsidRPr="000B478B">
        <w:rPr>
          <w:sz w:val="40"/>
          <w:szCs w:val="40"/>
        </w:rPr>
        <w:t>VfM</w:t>
      </w:r>
      <w:proofErr w:type="spellEnd"/>
      <w:r w:rsidR="005A48B7" w:rsidRPr="000B478B">
        <w:rPr>
          <w:sz w:val="40"/>
          <w:szCs w:val="40"/>
        </w:rPr>
        <w:t>)</w:t>
      </w:r>
    </w:p>
    <w:p w14:paraId="124DB811" w14:textId="1FD0BE1A" w:rsidR="00E33C9E" w:rsidRPr="00BD1C03" w:rsidRDefault="00E33C9E" w:rsidP="0008435D">
      <w:r w:rsidRPr="00BD1C03">
        <w:t xml:space="preserve">While reporting does include both qualitative and quantitative data, there is essentially no detailed reporting of spending at individual investment level, which renders conclusions regarding value for money difficult within a </w:t>
      </w:r>
      <w:r w:rsidR="00876B3C" w:rsidRPr="00BD1C03">
        <w:t>desk-based</w:t>
      </w:r>
      <w:r w:rsidRPr="00BD1C03">
        <w:t xml:space="preserve"> review. However, annual PPAs are undertaken by </w:t>
      </w:r>
      <w:r w:rsidR="00876B3C" w:rsidRPr="00BD1C03">
        <w:t>DFAT, which</w:t>
      </w:r>
      <w:r w:rsidRPr="00BD1C03">
        <w:t xml:space="preserve"> reflect on partner performance over the preceding </w:t>
      </w:r>
      <w:r w:rsidR="002C7F14" w:rsidRPr="00BD1C03">
        <w:t>12-month</w:t>
      </w:r>
      <w:r w:rsidRPr="00BD1C03">
        <w:t xml:space="preserve"> period. This process also draws on DFAT access to the different internal head office systems of partners, including financial management systems. The PPA includes a section dedicated to consideration of </w:t>
      </w:r>
      <w:proofErr w:type="spellStart"/>
      <w:r w:rsidRPr="00BD1C03">
        <w:t>VfM</w:t>
      </w:r>
      <w:proofErr w:type="spellEnd"/>
      <w:r w:rsidRPr="00BD1C03">
        <w:t xml:space="preserve"> issues, assessing the degree to which the partner:</w:t>
      </w:r>
    </w:p>
    <w:p w14:paraId="4A9B2CDB" w14:textId="77777777" w:rsidR="00E33C9E" w:rsidRPr="00BD1C03" w:rsidRDefault="00E33C9E" w:rsidP="002C7F14">
      <w:pPr>
        <w:pStyle w:val="bullets0"/>
      </w:pPr>
      <w:r w:rsidRPr="00BD1C03">
        <w:t xml:space="preserve">Commits to eliminating inefficiency and duplication and applying lessons learnt to enhance </w:t>
      </w:r>
      <w:proofErr w:type="spellStart"/>
      <w:r w:rsidRPr="00BD1C03">
        <w:t>VfM</w:t>
      </w:r>
      <w:proofErr w:type="spellEnd"/>
    </w:p>
    <w:p w14:paraId="3E14AEBE" w14:textId="77777777" w:rsidR="00E33C9E" w:rsidRPr="00BD1C03" w:rsidRDefault="00E33C9E" w:rsidP="002C7F14">
      <w:pPr>
        <w:pStyle w:val="bullets0"/>
      </w:pPr>
      <w:r w:rsidRPr="00BD1C03">
        <w:t>Delivers defined services within budget (predicted budgets compare well to actual expenditure)</w:t>
      </w:r>
    </w:p>
    <w:p w14:paraId="3A80790E" w14:textId="68E3171B" w:rsidR="00E33C9E" w:rsidRPr="00BD1C03" w:rsidRDefault="000030EF" w:rsidP="002C7F14">
      <w:pPr>
        <w:pStyle w:val="bullets0"/>
      </w:pPr>
      <w:r>
        <w:t>Scrutin</w:t>
      </w:r>
      <w:r w:rsidR="00B43345">
        <w:t>is</w:t>
      </w:r>
      <w:r w:rsidR="00E33C9E" w:rsidRPr="00BD1C03">
        <w:t>es costs to pursue the most cost-effective options and considers proportionality in planning/allocating resources</w:t>
      </w:r>
    </w:p>
    <w:p w14:paraId="6DB0D33E" w14:textId="1FBC3C09" w:rsidR="00E33C9E" w:rsidRPr="00BD1C03" w:rsidRDefault="00E33C9E" w:rsidP="002C7F14">
      <w:pPr>
        <w:pStyle w:val="bullets0"/>
      </w:pPr>
      <w:r w:rsidRPr="00BD1C03">
        <w:t xml:space="preserve">Robust systems and procedures monitor and manage </w:t>
      </w:r>
      <w:proofErr w:type="spellStart"/>
      <w:r w:rsidRPr="00BD1C03">
        <w:t>VfM</w:t>
      </w:r>
      <w:proofErr w:type="spellEnd"/>
      <w:r w:rsidRPr="00BD1C03">
        <w:t xml:space="preserve"> during implementation</w:t>
      </w:r>
    </w:p>
    <w:p w14:paraId="33A4E477" w14:textId="77777777" w:rsidR="00E33C9E" w:rsidRPr="00BD1C03" w:rsidRDefault="00E33C9E" w:rsidP="0008435D">
      <w:r w:rsidRPr="00BD1C03">
        <w:t xml:space="preserve">This process results in allocation of scores against the above-mentioned measures, a brief narrative which considers global partner performance and context, and partner specific considerations. </w:t>
      </w:r>
    </w:p>
    <w:p w14:paraId="57DD7548" w14:textId="7EAF22BD" w:rsidR="00E33C9E" w:rsidRPr="00BD1C03" w:rsidRDefault="00E33C9E" w:rsidP="0008435D">
      <w:r w:rsidRPr="00BD1C03">
        <w:t xml:space="preserve">Generally, partners in Iraq score well within PPAs for </w:t>
      </w:r>
      <w:proofErr w:type="spellStart"/>
      <w:r w:rsidRPr="00BD1C03">
        <w:t>VfM</w:t>
      </w:r>
      <w:proofErr w:type="spellEnd"/>
      <w:r w:rsidRPr="00BD1C03">
        <w:t>, based on the following factors:</w:t>
      </w:r>
    </w:p>
    <w:p w14:paraId="65E93301" w14:textId="77777777" w:rsidR="00E33C9E" w:rsidRPr="00BD1C03" w:rsidRDefault="00E33C9E" w:rsidP="00044C32">
      <w:pPr>
        <w:pStyle w:val="bullets0"/>
        <w:spacing w:after="120"/>
        <w:contextualSpacing w:val="0"/>
      </w:pPr>
      <w:r w:rsidRPr="00BD1C03">
        <w:t>Close alignment with government partners, including capacity building and development of improved governance systems, based upon:</w:t>
      </w:r>
    </w:p>
    <w:p w14:paraId="3E56A420" w14:textId="77777777" w:rsidR="00E33C9E" w:rsidRPr="00BD1C03" w:rsidRDefault="00E33C9E" w:rsidP="002C7F14">
      <w:pPr>
        <w:pStyle w:val="bullets0"/>
        <w:numPr>
          <w:ilvl w:val="1"/>
          <w:numId w:val="14"/>
        </w:numPr>
        <w:ind w:left="993"/>
      </w:pPr>
      <w:r w:rsidRPr="00BD1C03">
        <w:t>long standing relationships held between DFAT partners and their national (technical) counterparts</w:t>
      </w:r>
    </w:p>
    <w:p w14:paraId="1CE335A5" w14:textId="406EE9AC" w:rsidR="00E33C9E" w:rsidRPr="00BD1C03" w:rsidRDefault="00E33C9E" w:rsidP="002C7F14">
      <w:pPr>
        <w:pStyle w:val="bullets0"/>
        <w:numPr>
          <w:ilvl w:val="1"/>
          <w:numId w:val="14"/>
        </w:numPr>
        <w:ind w:left="993"/>
      </w:pPr>
      <w:r w:rsidRPr="00BD1C03">
        <w:t xml:space="preserve">support to development and implementation of the </w:t>
      </w:r>
      <w:proofErr w:type="spellStart"/>
      <w:r w:rsidRPr="00BD1C03">
        <w:t>GoI’s</w:t>
      </w:r>
      <w:proofErr w:type="spellEnd"/>
      <w:r w:rsidRPr="00BD1C03">
        <w:t xml:space="preserve"> sectoral plans</w:t>
      </w:r>
    </w:p>
    <w:p w14:paraId="7A0733DD" w14:textId="77777777" w:rsidR="006E5FF7" w:rsidRPr="00BD1C03" w:rsidRDefault="006E5FF7" w:rsidP="006E5FF7">
      <w:pPr>
        <w:pStyle w:val="bullets0"/>
        <w:numPr>
          <w:ilvl w:val="0"/>
          <w:numId w:val="0"/>
        </w:numPr>
        <w:ind w:left="993"/>
      </w:pPr>
    </w:p>
    <w:p w14:paraId="538DC27F" w14:textId="20A84E49" w:rsidR="00E33C9E" w:rsidRPr="00BD1C03" w:rsidRDefault="00E33C9E" w:rsidP="006E5FF7">
      <w:pPr>
        <w:pStyle w:val="bullets0"/>
        <w:contextualSpacing w:val="0"/>
      </w:pPr>
      <w:r w:rsidRPr="00BD1C03">
        <w:t>Commitment to and strong coordination within the HCT in order to minim</w:t>
      </w:r>
      <w:r w:rsidR="00B43345">
        <w:t>is</w:t>
      </w:r>
      <w:r w:rsidRPr="00BD1C03">
        <w:t>e duplication in activities and harnessed complementarities, for example:</w:t>
      </w:r>
    </w:p>
    <w:p w14:paraId="006B6DE3" w14:textId="4AC139D6" w:rsidR="00E33C9E" w:rsidRPr="00BD1C03" w:rsidRDefault="002C7F14" w:rsidP="002C7F14">
      <w:pPr>
        <w:pStyle w:val="bullets0"/>
        <w:numPr>
          <w:ilvl w:val="1"/>
          <w:numId w:val="14"/>
        </w:numPr>
        <w:ind w:left="993"/>
      </w:pPr>
      <w:r w:rsidRPr="00BD1C03">
        <w:t>l</w:t>
      </w:r>
      <w:r w:rsidR="00E33C9E" w:rsidRPr="00BD1C03">
        <w:t xml:space="preserve">aunch of interactive maps of (most) humanitarian, resilience and stabilisation programming in Iraq, to avoid gaps and/or duplication in planning </w:t>
      </w:r>
    </w:p>
    <w:p w14:paraId="71D4B27D" w14:textId="77777777" w:rsidR="006E5FF7" w:rsidRPr="00BD1C03" w:rsidRDefault="006E5FF7" w:rsidP="006E5FF7">
      <w:pPr>
        <w:pStyle w:val="bullets0"/>
        <w:numPr>
          <w:ilvl w:val="0"/>
          <w:numId w:val="0"/>
        </w:numPr>
        <w:ind w:left="993"/>
      </w:pPr>
    </w:p>
    <w:p w14:paraId="34635896" w14:textId="77777777" w:rsidR="00E33C9E" w:rsidRPr="00BD1C03" w:rsidRDefault="00E33C9E" w:rsidP="006E5FF7">
      <w:pPr>
        <w:pStyle w:val="bullets0"/>
        <w:contextualSpacing w:val="0"/>
      </w:pPr>
      <w:r w:rsidRPr="00BD1C03">
        <w:t>Use of cash transfers to support vulnerable groups, as both an efficiency and effectiveness measure, through approaches such as:</w:t>
      </w:r>
    </w:p>
    <w:p w14:paraId="624A3208" w14:textId="77777777" w:rsidR="00E33C9E" w:rsidRPr="00BD1C03" w:rsidRDefault="00E33C9E" w:rsidP="002C7F14">
      <w:pPr>
        <w:pStyle w:val="bullets0"/>
        <w:numPr>
          <w:ilvl w:val="1"/>
          <w:numId w:val="14"/>
        </w:numPr>
        <w:ind w:left="993"/>
      </w:pPr>
      <w:r w:rsidRPr="00BD1C03">
        <w:t>needs-based unconditional cash assistance programs</w:t>
      </w:r>
    </w:p>
    <w:p w14:paraId="536E4372" w14:textId="77777777" w:rsidR="00E33C9E" w:rsidRPr="00BD1C03" w:rsidRDefault="00E33C9E" w:rsidP="002C7F14">
      <w:pPr>
        <w:pStyle w:val="bullets0"/>
        <w:numPr>
          <w:ilvl w:val="1"/>
          <w:numId w:val="14"/>
        </w:numPr>
        <w:ind w:left="993"/>
      </w:pPr>
      <w:r w:rsidRPr="00BD1C03">
        <w:t>conditional cash programming</w:t>
      </w:r>
    </w:p>
    <w:p w14:paraId="481E492D" w14:textId="77777777" w:rsidR="00E33C9E" w:rsidRPr="00BD1C03" w:rsidRDefault="00E33C9E" w:rsidP="002C7F14">
      <w:pPr>
        <w:pStyle w:val="bullets0"/>
        <w:numPr>
          <w:ilvl w:val="1"/>
          <w:numId w:val="14"/>
        </w:numPr>
        <w:ind w:left="993"/>
      </w:pPr>
      <w:r w:rsidRPr="00BD1C03">
        <w:t>establishment of mechanisms aimed at assisting business development</w:t>
      </w:r>
    </w:p>
    <w:p w14:paraId="4CEA183E" w14:textId="77777777" w:rsidR="00E33C9E" w:rsidRPr="00BD1C03" w:rsidRDefault="00E33C9E" w:rsidP="002C7F14">
      <w:pPr>
        <w:pStyle w:val="bullets0"/>
        <w:numPr>
          <w:ilvl w:val="1"/>
          <w:numId w:val="14"/>
        </w:numPr>
        <w:ind w:left="993"/>
      </w:pPr>
      <w:r w:rsidRPr="00BD1C03">
        <w:t xml:space="preserve">cash for work programming </w:t>
      </w:r>
    </w:p>
    <w:p w14:paraId="4BB0D4A5" w14:textId="58466C06" w:rsidR="00E33C9E" w:rsidRPr="00BD1C03" w:rsidRDefault="00E33C9E" w:rsidP="002C7F14">
      <w:pPr>
        <w:pStyle w:val="bullets0"/>
        <w:numPr>
          <w:ilvl w:val="1"/>
          <w:numId w:val="14"/>
        </w:numPr>
        <w:ind w:left="993"/>
      </w:pPr>
      <w:r w:rsidRPr="00BD1C03">
        <w:t>cash assistance assessments focused on facilitating multi-purpose cash grants to vulnerable groups</w:t>
      </w:r>
    </w:p>
    <w:p w14:paraId="20AAFAAC" w14:textId="77777777" w:rsidR="006E5FF7" w:rsidRPr="00BD1C03" w:rsidRDefault="006E5FF7" w:rsidP="006E5FF7">
      <w:pPr>
        <w:pStyle w:val="bullets0"/>
        <w:numPr>
          <w:ilvl w:val="0"/>
          <w:numId w:val="0"/>
        </w:numPr>
        <w:ind w:left="993"/>
      </w:pPr>
    </w:p>
    <w:p w14:paraId="59DA9AC7" w14:textId="0EB0668D" w:rsidR="00E33C9E" w:rsidRPr="00BD1C03" w:rsidRDefault="00E33C9E" w:rsidP="00044C32">
      <w:pPr>
        <w:pStyle w:val="bullets0"/>
        <w:spacing w:after="180"/>
        <w:contextualSpacing w:val="0"/>
      </w:pPr>
      <w:r w:rsidRPr="00BD1C03">
        <w:t>Use of training of trainer methodologies to maxim</w:t>
      </w:r>
      <w:r w:rsidR="00B43345">
        <w:t>is</w:t>
      </w:r>
      <w:r w:rsidRPr="00BD1C03">
        <w:t>e impact and reach, for example</w:t>
      </w:r>
      <w:r w:rsidR="002C7F14" w:rsidRPr="00BD1C03">
        <w:t>:</w:t>
      </w:r>
    </w:p>
    <w:p w14:paraId="3270A028" w14:textId="22846AE4" w:rsidR="00E33C9E" w:rsidRPr="00BD1C03" w:rsidRDefault="002C7F14" w:rsidP="002C7F14">
      <w:pPr>
        <w:pStyle w:val="bullets0"/>
        <w:numPr>
          <w:ilvl w:val="1"/>
          <w:numId w:val="14"/>
        </w:numPr>
        <w:ind w:left="993"/>
      </w:pPr>
      <w:r w:rsidRPr="00BD1C03">
        <w:t>w</w:t>
      </w:r>
      <w:r w:rsidR="00E33C9E" w:rsidRPr="00BD1C03">
        <w:t xml:space="preserve">ell documented procurement processes, regulated by SOPs, rules and regulations, including specific tendering requirements aimed at encouraging application of smaller, locally based contractors </w:t>
      </w:r>
    </w:p>
    <w:p w14:paraId="25BCEC89" w14:textId="169A96D7" w:rsidR="00E33C9E" w:rsidRPr="00BD1C03" w:rsidRDefault="00E33C9E" w:rsidP="0008435D">
      <w:pPr>
        <w:rPr>
          <w:rFonts w:eastAsiaTheme="majorEastAsia"/>
          <w:color w:val="365F91" w:themeColor="accent1" w:themeShade="BF"/>
        </w:rPr>
      </w:pPr>
      <w:r w:rsidRPr="00BD1C03">
        <w:t>The Review team also noted the potential for multi-stakeholder partnerships such as BPF to offer an efficiency dividend. In the case of BPF, it brings together five organisations that each have advanced technical capacity across different areas of expertise. This has allowed each agency to benefit, albeit to different degrees, from close proximity to the technical expertise of the others. However, it is also noted that there is a transaction cost to achieving such synergies in terms of the start-up and coordination processes needed to leverage the technical expertise of the different partners. This among other factors contributed to delays in implementation in the first year. However, BPF partners fe</w:t>
      </w:r>
      <w:r w:rsidR="001015D4">
        <w:t>el strongly that this up front “cost”</w:t>
      </w:r>
      <w:r w:rsidRPr="00BD1C03">
        <w:t xml:space="preserve"> will be more than made up for by program close in terms of benefits enjoyed from a strong program foundation.</w:t>
      </w:r>
    </w:p>
    <w:p w14:paraId="0A0A1892" w14:textId="32E79D22" w:rsidR="004B6583" w:rsidRPr="000B478B" w:rsidRDefault="004B6583" w:rsidP="00572C61">
      <w:pPr>
        <w:pStyle w:val="Heading2"/>
        <w:numPr>
          <w:ilvl w:val="1"/>
          <w:numId w:val="5"/>
        </w:numPr>
        <w:rPr>
          <w:sz w:val="40"/>
          <w:szCs w:val="40"/>
        </w:rPr>
      </w:pPr>
      <w:r w:rsidRPr="000B478B">
        <w:rPr>
          <w:sz w:val="40"/>
          <w:szCs w:val="40"/>
        </w:rPr>
        <w:t>Multi-year funding</w:t>
      </w:r>
    </w:p>
    <w:p w14:paraId="591055CF" w14:textId="4ABA97FF" w:rsidR="004B6583" w:rsidRPr="00BD1C03" w:rsidRDefault="004B6583" w:rsidP="0008435D">
      <w:r w:rsidRPr="00BD1C03">
        <w:t xml:space="preserve">Another aspect of Australia’s Grand Bargain commitment is support to multi-year funding. </w:t>
      </w:r>
      <w:r w:rsidR="005A48B7" w:rsidRPr="00BD1C03">
        <w:t>Through</w:t>
      </w:r>
      <w:r w:rsidRPr="00BD1C03">
        <w:t xml:space="preserve"> simply being a </w:t>
      </w:r>
      <w:r w:rsidR="00182607" w:rsidRPr="00BD1C03">
        <w:t>three-year</w:t>
      </w:r>
      <w:r w:rsidRPr="00BD1C03">
        <w:t xml:space="preserve"> Package, DFAT assistance in Iraq varies from that of ma</w:t>
      </w:r>
      <w:r w:rsidR="000969BB" w:rsidRPr="00BD1C03">
        <w:t>n</w:t>
      </w:r>
      <w:r w:rsidRPr="00BD1C03">
        <w:t>y other donors</w:t>
      </w:r>
      <w:r w:rsidR="005079A2" w:rsidRPr="00BD1C03">
        <w:t xml:space="preserve"> </w:t>
      </w:r>
      <w:r w:rsidR="004F01F7" w:rsidRPr="00BD1C03">
        <w:t>who</w:t>
      </w:r>
      <w:r w:rsidR="005079A2" w:rsidRPr="00BD1C03">
        <w:t xml:space="preserve"> </w:t>
      </w:r>
      <w:r w:rsidR="004F01F7" w:rsidRPr="00BD1C03">
        <w:t>continue</w:t>
      </w:r>
      <w:r w:rsidR="005079A2" w:rsidRPr="00BD1C03">
        <w:t xml:space="preserve"> to provide short term funding</w:t>
      </w:r>
      <w:r w:rsidR="004F01F7" w:rsidRPr="00BD1C03">
        <w:t>.</w:t>
      </w:r>
      <w:r w:rsidR="005A48B7" w:rsidRPr="00BD1C03">
        <w:t xml:space="preserve"> </w:t>
      </w:r>
      <w:r w:rsidRPr="00BD1C03">
        <w:t xml:space="preserve">Consistent across virtually all partner interviews undertaken as part of this evaluation was strong appreciation for Australia’s commitment to multi-year funding, in terms of </w:t>
      </w:r>
      <w:r w:rsidR="0059685B" w:rsidRPr="00BD1C03">
        <w:t>its</w:t>
      </w:r>
      <w:r w:rsidRPr="00BD1C03">
        <w:t xml:space="preserve"> contribution to programming effectiveness and efficiency. </w:t>
      </w:r>
    </w:p>
    <w:p w14:paraId="62B8D59E" w14:textId="60C9547A" w:rsidR="004B6583" w:rsidRPr="00BD1C03" w:rsidRDefault="004B6583" w:rsidP="0008435D">
      <w:r w:rsidRPr="00BD1C03">
        <w:t xml:space="preserve">It is also noted that there were several consistent themes cutting across different </w:t>
      </w:r>
      <w:r w:rsidR="001015D4" w:rsidRPr="00BD1C03">
        <w:t>partners’</w:t>
      </w:r>
      <w:r w:rsidRPr="00BD1C03">
        <w:t xml:space="preserve"> assessment of the benefits of multi-year funding. At a higher level, these generally related to it having “</w:t>
      </w:r>
      <w:r w:rsidRPr="00BD1C03">
        <w:rPr>
          <w:color w:val="000000" w:themeColor="text1"/>
        </w:rPr>
        <w:t>facilitated higher quality programming” as described in the BPF mid</w:t>
      </w:r>
      <w:r w:rsidR="00CD496B" w:rsidRPr="00BD1C03">
        <w:rPr>
          <w:color w:val="000000" w:themeColor="text1"/>
        </w:rPr>
        <w:t>-</w:t>
      </w:r>
      <w:r w:rsidRPr="00BD1C03">
        <w:rPr>
          <w:color w:val="000000" w:themeColor="text1"/>
        </w:rPr>
        <w:t>term review, or having supported “meaningful and sustainable engagement of local capacity”</w:t>
      </w:r>
      <w:r w:rsidRPr="00BD1C03">
        <w:rPr>
          <w:rStyle w:val="EndnoteReference"/>
          <w:rFonts w:ascii="Calibri Light" w:hAnsi="Calibri Light" w:cs="Calibri Light"/>
          <w:color w:val="000000" w:themeColor="text1"/>
          <w:szCs w:val="22"/>
        </w:rPr>
        <w:endnoteReference w:id="83"/>
      </w:r>
      <w:r w:rsidR="00C81BCF" w:rsidRPr="00BD1C03">
        <w:rPr>
          <w:color w:val="000000" w:themeColor="text1"/>
        </w:rPr>
        <w:t xml:space="preserve"> </w:t>
      </w:r>
      <w:r w:rsidR="009C72B6" w:rsidRPr="00BD1C03">
        <w:rPr>
          <w:color w:val="000000" w:themeColor="text1"/>
        </w:rPr>
        <w:t xml:space="preserve">as </w:t>
      </w:r>
      <w:r w:rsidRPr="00BD1C03">
        <w:rPr>
          <w:color w:val="000000" w:themeColor="text1"/>
        </w:rPr>
        <w:t xml:space="preserve">reported by UNICEF. </w:t>
      </w:r>
    </w:p>
    <w:p w14:paraId="67E7EC0F" w14:textId="0DC7F836" w:rsidR="004B6583" w:rsidRPr="00BD1C03" w:rsidRDefault="004B6583" w:rsidP="0008435D">
      <w:r w:rsidRPr="00BD1C03">
        <w:t xml:space="preserve">The most common theme in relation to the benefit </w:t>
      </w:r>
      <w:r w:rsidR="00D770D3" w:rsidRPr="00BD1C03">
        <w:t xml:space="preserve">of </w:t>
      </w:r>
      <w:r w:rsidRPr="00BD1C03">
        <w:t>multi-year funding was that it strengthened relationships with government counterparts</w:t>
      </w:r>
      <w:r w:rsidR="000969BB" w:rsidRPr="00BD1C03">
        <w:t xml:space="preserve"> and local partners,</w:t>
      </w:r>
      <w:r w:rsidRPr="00BD1C03">
        <w:t xml:space="preserve"> including the building of greater levels of trust. This was seen as being of particular importance in terms of social cohesion work</w:t>
      </w:r>
      <w:r w:rsidR="00C81BCF" w:rsidRPr="00BD1C03">
        <w:t xml:space="preserve">. </w:t>
      </w:r>
      <w:r w:rsidRPr="00BD1C03">
        <w:t xml:space="preserve">IOM </w:t>
      </w:r>
      <w:r w:rsidR="00C81BCF" w:rsidRPr="00BD1C03">
        <w:t>reported</w:t>
      </w:r>
      <w:r w:rsidRPr="00BD1C03">
        <w:t xml:space="preserve"> that it allows nuanced and more rich understanding of opportunities location by location, and also helped reassure authorities that time they were investing would not be wasted </w:t>
      </w:r>
      <w:r w:rsidR="0059685B" w:rsidRPr="00BD1C03">
        <w:t>given their</w:t>
      </w:r>
      <w:r w:rsidR="00C81BCF" w:rsidRPr="00BD1C03">
        <w:t xml:space="preserve"> prior experiences of </w:t>
      </w:r>
      <w:r w:rsidRPr="00BD1C03">
        <w:t xml:space="preserve">lack of funding and continuity. However, it was also noted that frequent turnover and shifting of positions amongst government staff is a common, destabilising feature of Iraq, and that this can </w:t>
      </w:r>
      <w:r w:rsidR="00C81BCF" w:rsidRPr="00BD1C03">
        <w:t xml:space="preserve">undermine some of the benefits </w:t>
      </w:r>
      <w:r w:rsidRPr="00BD1C03">
        <w:t xml:space="preserve">brought about by multi-year funding. </w:t>
      </w:r>
    </w:p>
    <w:p w14:paraId="4757D73C" w14:textId="22C56E71" w:rsidR="004B6583" w:rsidRPr="00BD1C03" w:rsidRDefault="0059685B" w:rsidP="0008435D">
      <w:r w:rsidRPr="00BD1C03">
        <w:t>Multi-year funding is</w:t>
      </w:r>
      <w:r w:rsidR="004B6583" w:rsidRPr="00BD1C03">
        <w:t xml:space="preserve"> reported as efficient in terms of enabling strengthened strategic planning, which in the case of UNMAS has allowed it to engage in constructive dialogue with </w:t>
      </w:r>
      <w:proofErr w:type="spellStart"/>
      <w:r w:rsidR="004B6583" w:rsidRPr="00BD1C03">
        <w:t>GoI</w:t>
      </w:r>
      <w:proofErr w:type="spellEnd"/>
      <w:r w:rsidR="004B6583" w:rsidRPr="00BD1C03">
        <w:t xml:space="preserve"> counterparts on advancing UNSCR1325 W</w:t>
      </w:r>
      <w:r w:rsidR="00D770D3" w:rsidRPr="00BD1C03">
        <w:t>PS</w:t>
      </w:r>
      <w:r w:rsidR="004B6583" w:rsidRPr="00BD1C03">
        <w:t xml:space="preserve"> and undertake gender-transformative programming through training and employing </w:t>
      </w:r>
      <w:r w:rsidR="00D675F4" w:rsidRPr="00BD1C03">
        <w:t xml:space="preserve">Iraq’s first female deminers. </w:t>
      </w:r>
    </w:p>
    <w:p w14:paraId="0FE90632" w14:textId="5A363902" w:rsidR="004B6583" w:rsidRPr="00BD1C03" w:rsidRDefault="004B6583" w:rsidP="0008435D">
      <w:r w:rsidRPr="00BD1C03">
        <w:t>Multi-year funding was also cited as aiding staffing continuity and retention, as well as providing greater opportunity for capacity building of local partners. The latter was cited as being of particular importance given capacity issues within local organisations, and the constraint that presents in terms of local</w:t>
      </w:r>
      <w:r w:rsidR="00B43345">
        <w:t>is</w:t>
      </w:r>
      <w:r w:rsidRPr="00BD1C03">
        <w:t xml:space="preserve">ation efforts. </w:t>
      </w:r>
    </w:p>
    <w:p w14:paraId="73445B51" w14:textId="0A38C89B" w:rsidR="004B6583" w:rsidRPr="00BD1C03" w:rsidRDefault="004B6583" w:rsidP="0008435D">
      <w:r w:rsidRPr="00BD1C03">
        <w:t xml:space="preserve">While partners greatly value multi-year funding, there was limited evidence of this being passed onto local partners, which was explained with reference </w:t>
      </w:r>
      <w:r w:rsidR="00C81BCF" w:rsidRPr="00BD1C03">
        <w:t>to</w:t>
      </w:r>
      <w:r w:rsidRPr="00BD1C03">
        <w:t xml:space="preserve"> concerns related to probity and </w:t>
      </w:r>
      <w:r w:rsidR="00C81BCF" w:rsidRPr="00BD1C03">
        <w:t xml:space="preserve">insufficient </w:t>
      </w:r>
      <w:r w:rsidRPr="00BD1C03">
        <w:t>internal systems. Moving forward greater efforts will be required by partners to provide the technical support necessary to build the financial management and reporting capacity of local partners</w:t>
      </w:r>
      <w:r w:rsidR="0059685B" w:rsidRPr="00BD1C03">
        <w:t>, if greater levels of local</w:t>
      </w:r>
      <w:r w:rsidR="00B43345">
        <w:t>is</w:t>
      </w:r>
      <w:r w:rsidR="0059685B" w:rsidRPr="00BD1C03">
        <w:t>ation are to be achieved.</w:t>
      </w:r>
      <w:r w:rsidRPr="00BD1C03">
        <w:t xml:space="preserve"> Interestingly, other donors util</w:t>
      </w:r>
      <w:r w:rsidR="00B43345">
        <w:t>is</w:t>
      </w:r>
      <w:r w:rsidRPr="00BD1C03">
        <w:t xml:space="preserve">ing third party monitoring cite this </w:t>
      </w:r>
      <w:r w:rsidR="0059685B" w:rsidRPr="00BD1C03">
        <w:t xml:space="preserve">approach as </w:t>
      </w:r>
      <w:r w:rsidRPr="00BD1C03">
        <w:t>having its own efficiency dividend in terms of poor quality programming being more quickly identified and addressed.</w:t>
      </w:r>
    </w:p>
    <w:p w14:paraId="207015DC" w14:textId="5DA6D3C7" w:rsidR="004B6583" w:rsidRPr="000B478B" w:rsidRDefault="004B6583" w:rsidP="00572C61">
      <w:pPr>
        <w:pStyle w:val="Heading2"/>
        <w:numPr>
          <w:ilvl w:val="1"/>
          <w:numId w:val="5"/>
        </w:numPr>
        <w:rPr>
          <w:sz w:val="40"/>
          <w:szCs w:val="40"/>
        </w:rPr>
      </w:pPr>
      <w:r w:rsidRPr="000B478B">
        <w:rPr>
          <w:sz w:val="40"/>
          <w:szCs w:val="40"/>
        </w:rPr>
        <w:t>Innovation</w:t>
      </w:r>
    </w:p>
    <w:p w14:paraId="43901DD8" w14:textId="2C3CC589" w:rsidR="0059685B" w:rsidRPr="00BD1C03" w:rsidRDefault="0059685B" w:rsidP="0008435D">
      <w:r w:rsidRPr="00BD1C03">
        <w:t>M</w:t>
      </w:r>
      <w:r w:rsidR="004B6583" w:rsidRPr="00BD1C03">
        <w:t xml:space="preserve">ulti-year funding </w:t>
      </w:r>
      <w:r w:rsidRPr="00BD1C03">
        <w:t>is also</w:t>
      </w:r>
      <w:r w:rsidR="004B6583" w:rsidRPr="00BD1C03">
        <w:t xml:space="preserve"> spoken of as helping contribute to innovation by allowing adequate time for the carriage of </w:t>
      </w:r>
      <w:r w:rsidRPr="00BD1C03">
        <w:t>concepts and pilots</w:t>
      </w:r>
      <w:r w:rsidR="004B6583" w:rsidRPr="00BD1C03">
        <w:t xml:space="preserve"> from development to implementation</w:t>
      </w:r>
      <w:r w:rsidRPr="00BD1C03">
        <w:t>. Overall there was only limited examples of innovative practice observable within the package:</w:t>
      </w:r>
    </w:p>
    <w:p w14:paraId="7E0BC544" w14:textId="56261D1E" w:rsidR="00B517B4" w:rsidRPr="00BD1C03" w:rsidRDefault="00B517B4" w:rsidP="001654EF">
      <w:pPr>
        <w:pStyle w:val="bullets0"/>
      </w:pPr>
      <w:r w:rsidRPr="00BD1C03">
        <w:t>UNMAS distributing gloves with MRE messages on them</w:t>
      </w:r>
    </w:p>
    <w:p w14:paraId="56AD9F78" w14:textId="56E51D6C" w:rsidR="004B6583" w:rsidRPr="00BD1C03" w:rsidRDefault="00B517B4" w:rsidP="001654EF">
      <w:pPr>
        <w:pStyle w:val="bullets0"/>
      </w:pPr>
      <w:r w:rsidRPr="00BD1C03">
        <w:t xml:space="preserve">UNICEF introduced </w:t>
      </w:r>
      <w:r w:rsidR="005A48B7" w:rsidRPr="00BD1C03">
        <w:t xml:space="preserve">the </w:t>
      </w:r>
      <w:r w:rsidRPr="00BD1C03">
        <w:t xml:space="preserve">use of Membrane Bio-Reactor technology to help ensure safe disposal of </w:t>
      </w:r>
      <w:r w:rsidR="00AF4EA0" w:rsidRPr="00BD1C03">
        <w:t>wastewater</w:t>
      </w:r>
      <w:r w:rsidRPr="00BD1C03">
        <w:t xml:space="preserve"> and hospital effluent</w:t>
      </w:r>
    </w:p>
    <w:p w14:paraId="33BAC8A9" w14:textId="788BBBB4" w:rsidR="001654EF" w:rsidRPr="00BD1C03" w:rsidRDefault="0059685B" w:rsidP="0008435D">
      <w:r w:rsidRPr="00BD1C03">
        <w:t>There are further initiatives cited as innovative within the Iraq context</w:t>
      </w:r>
      <w:r w:rsidR="00B517B4" w:rsidRPr="00BD1C03">
        <w:t xml:space="preserve"> and represent important achievements</w:t>
      </w:r>
      <w:r w:rsidRPr="00BD1C03">
        <w:t>, but which have been successfully applied</w:t>
      </w:r>
      <w:r w:rsidR="005A48B7" w:rsidRPr="00BD1C03">
        <w:t xml:space="preserve"> in other contexts</w:t>
      </w:r>
      <w:r w:rsidRPr="00BD1C03">
        <w:t>, such as</w:t>
      </w:r>
      <w:r w:rsidR="00B517B4" w:rsidRPr="00BD1C03">
        <w:t xml:space="preserve"> integrated WASH and social cohesion approaches (BPF),</w:t>
      </w:r>
      <w:r w:rsidRPr="00BD1C03">
        <w:t xml:space="preserve"> mobil</w:t>
      </w:r>
      <w:r w:rsidR="00B43345">
        <w:t>is</w:t>
      </w:r>
      <w:r w:rsidRPr="00BD1C03">
        <w:t>ation of mixed demining teams (UNMAS) and the introduction of parent-teacher commi</w:t>
      </w:r>
      <w:r w:rsidR="00B517B4" w:rsidRPr="00BD1C03">
        <w:t>ttee’s</w:t>
      </w:r>
      <w:r w:rsidRPr="00BD1C03">
        <w:t xml:space="preserve"> (UNICEF)</w:t>
      </w:r>
      <w:r w:rsidR="00B517B4" w:rsidRPr="00BD1C03">
        <w:t>.</w:t>
      </w:r>
    </w:p>
    <w:p w14:paraId="2E8C5F40" w14:textId="77777777" w:rsidR="001654EF" w:rsidRPr="00BD1C03" w:rsidRDefault="001654EF">
      <w:pPr>
        <w:spacing w:after="0"/>
      </w:pPr>
      <w:r w:rsidRPr="00BD1C03">
        <w:br w:type="page"/>
      </w:r>
    </w:p>
    <w:p w14:paraId="4FC8409C" w14:textId="2E9D674C" w:rsidR="006F4475" w:rsidRPr="00BD1C03" w:rsidRDefault="00572C61" w:rsidP="00572C61">
      <w:pPr>
        <w:pStyle w:val="Heading1"/>
        <w:numPr>
          <w:ilvl w:val="0"/>
          <w:numId w:val="5"/>
        </w:numPr>
      </w:pPr>
      <w:bookmarkStart w:id="9" w:name="_Toc48318499"/>
      <w:r>
        <w:t xml:space="preserve">Monitoring and knowledge </w:t>
      </w:r>
      <w:r w:rsidR="003620F2" w:rsidRPr="00BD1C03">
        <w:t>management</w:t>
      </w:r>
      <w:bookmarkEnd w:id="9"/>
      <w:r w:rsidR="00E95C4A" w:rsidRPr="00BD1C03">
        <w:tab/>
      </w:r>
    </w:p>
    <w:p w14:paraId="3079ECEC" w14:textId="2A0A83A2" w:rsidR="004B6583" w:rsidRPr="000B478B" w:rsidRDefault="006F4475" w:rsidP="00572C61">
      <w:pPr>
        <w:pStyle w:val="Heading2"/>
        <w:numPr>
          <w:ilvl w:val="1"/>
          <w:numId w:val="5"/>
        </w:numPr>
        <w:rPr>
          <w:sz w:val="40"/>
          <w:szCs w:val="40"/>
        </w:rPr>
      </w:pPr>
      <w:r w:rsidRPr="000B478B">
        <w:rPr>
          <w:sz w:val="40"/>
          <w:szCs w:val="40"/>
        </w:rPr>
        <w:t>M&amp;E framework structure and purpose</w:t>
      </w:r>
    </w:p>
    <w:p w14:paraId="5F873313" w14:textId="45EF51BB" w:rsidR="004B6583" w:rsidRPr="00BD1C03" w:rsidRDefault="004B6583" w:rsidP="0008435D">
      <w:r w:rsidRPr="00BD1C03">
        <w:t xml:space="preserve">The </w:t>
      </w:r>
      <w:r w:rsidR="00303D24" w:rsidRPr="00BD1C03">
        <w:t>foundation</w:t>
      </w:r>
      <w:r w:rsidRPr="00BD1C03">
        <w:t xml:space="preserve"> of Package M&amp;E</w:t>
      </w:r>
      <w:r w:rsidR="006F11CD" w:rsidRPr="00BD1C03">
        <w:t xml:space="preserve"> is</w:t>
      </w:r>
      <w:r w:rsidRPr="00BD1C03">
        <w:t xml:space="preserve"> the M&amp;E framework which aims to gather relevant data over the duration of the Package</w:t>
      </w:r>
      <w:r w:rsidR="00303D24" w:rsidRPr="00BD1C03">
        <w:t xml:space="preserve"> and </w:t>
      </w:r>
      <w:r w:rsidRPr="00BD1C03">
        <w:t xml:space="preserve">track performance </w:t>
      </w:r>
      <w:r w:rsidR="00303D24" w:rsidRPr="00BD1C03">
        <w:t xml:space="preserve">across </w:t>
      </w:r>
      <w:r w:rsidR="006F11CD" w:rsidRPr="00BD1C03">
        <w:t xml:space="preserve">the </w:t>
      </w:r>
      <w:r w:rsidRPr="00BD1C03">
        <w:t xml:space="preserve">partner, </w:t>
      </w:r>
      <w:r w:rsidR="006F11CD" w:rsidRPr="00BD1C03">
        <w:t>p</w:t>
      </w:r>
      <w:r w:rsidRPr="00BD1C03">
        <w:t xml:space="preserve">ackage and policy levels. </w:t>
      </w:r>
      <w:r w:rsidR="000969BB" w:rsidRPr="00BD1C03">
        <w:t xml:space="preserve">This framework, and an extensive supporting spreadsheet collating all available data, were initiated at Package commencement, </w:t>
      </w:r>
      <w:r w:rsidR="00B517B4" w:rsidRPr="00BD1C03">
        <w:t xml:space="preserve">and </w:t>
      </w:r>
      <w:r w:rsidR="000969BB" w:rsidRPr="00BD1C03">
        <w:t xml:space="preserve">have been updated over the lifetime of the Package to include newer partners and </w:t>
      </w:r>
      <w:r w:rsidR="00303D24" w:rsidRPr="00BD1C03">
        <w:t>accommodate changes to indicators.</w:t>
      </w:r>
    </w:p>
    <w:p w14:paraId="559BFDC6" w14:textId="47EAE474" w:rsidR="000969BB" w:rsidRPr="00BD1C03" w:rsidRDefault="004B6583" w:rsidP="0008435D">
      <w:r w:rsidRPr="00BD1C03">
        <w:t xml:space="preserve">The purpose of </w:t>
      </w:r>
      <w:r w:rsidR="005A48B7" w:rsidRPr="00BD1C03">
        <w:t xml:space="preserve">collating this data </w:t>
      </w:r>
      <w:r w:rsidRPr="00BD1C03">
        <w:t>is to</w:t>
      </w:r>
      <w:r w:rsidR="00FB1A57" w:rsidRPr="00BD1C03">
        <w:t xml:space="preserve"> </w:t>
      </w:r>
      <w:r w:rsidRPr="00BD1C03">
        <w:t>support management decision-making</w:t>
      </w:r>
      <w:r w:rsidR="00FB1A57" w:rsidRPr="00BD1C03">
        <w:t xml:space="preserve">, </w:t>
      </w:r>
      <w:r w:rsidRPr="00BD1C03">
        <w:t>improve the effectiveness of the Package</w:t>
      </w:r>
      <w:r w:rsidR="00FB1A57" w:rsidRPr="00BD1C03">
        <w:t xml:space="preserve">, </w:t>
      </w:r>
      <w:r w:rsidRPr="00BD1C03">
        <w:t>better communicate the impact for affected communities</w:t>
      </w:r>
      <w:r w:rsidR="00FB1A57" w:rsidRPr="00BD1C03">
        <w:t xml:space="preserve"> and </w:t>
      </w:r>
      <w:r w:rsidRPr="00BD1C03">
        <w:t xml:space="preserve">support </w:t>
      </w:r>
      <w:r w:rsidR="00303D24" w:rsidRPr="00BD1C03">
        <w:t xml:space="preserve">the </w:t>
      </w:r>
      <w:r w:rsidRPr="00BD1C03">
        <w:t>broader humanitarian priorities and objectives of the Australian Government</w:t>
      </w:r>
      <w:r w:rsidR="00FB1A57" w:rsidRPr="00BD1C03">
        <w:t>.</w:t>
      </w:r>
      <w:r w:rsidR="005A48B7" w:rsidRPr="00BD1C03">
        <w:t xml:space="preserve"> </w:t>
      </w:r>
      <w:r w:rsidRPr="00BD1C03">
        <w:t xml:space="preserve">From a management perspective, it is expected that cumulative data collection will help ensure that data can be “meaningfully used and applied to improving Package outcomes in real time”, helping provide an evidence base over the lifetime of the Package. </w:t>
      </w:r>
    </w:p>
    <w:p w14:paraId="62FBE86D" w14:textId="02D68261" w:rsidR="004B6583" w:rsidRPr="00BD1C03" w:rsidRDefault="004B6583" w:rsidP="0008435D">
      <w:r w:rsidRPr="00BD1C03">
        <w:t xml:space="preserve">At Post, a dedicated DFAT </w:t>
      </w:r>
      <w:r w:rsidR="00303D24" w:rsidRPr="00BD1C03">
        <w:t>H</w:t>
      </w:r>
      <w:r w:rsidRPr="00BD1C03">
        <w:t xml:space="preserve">umanitarian </w:t>
      </w:r>
      <w:r w:rsidR="00303D24" w:rsidRPr="00BD1C03">
        <w:t>O</w:t>
      </w:r>
      <w:r w:rsidRPr="00BD1C03">
        <w:t>fficer undertakes regular monitoring, oversees Iraq based engagement with partners, and is in l</w:t>
      </w:r>
      <w:r w:rsidR="001015D4">
        <w:t>arge part “the face of the Package”</w:t>
      </w:r>
      <w:r w:rsidRPr="00BD1C03">
        <w:t xml:space="preserve"> in Iraq, </w:t>
      </w:r>
      <w:r w:rsidR="000969BB" w:rsidRPr="00BD1C03">
        <w:t>representing DFAT</w:t>
      </w:r>
      <w:r w:rsidRPr="00BD1C03">
        <w:t xml:space="preserve"> in key coordination </w:t>
      </w:r>
      <w:r w:rsidR="000969BB" w:rsidRPr="00BD1C03">
        <w:t>fora and</w:t>
      </w:r>
      <w:r w:rsidRPr="00BD1C03">
        <w:t xml:space="preserve"> </w:t>
      </w:r>
      <w:r w:rsidR="005A48B7" w:rsidRPr="00BD1C03">
        <w:t xml:space="preserve">relevant </w:t>
      </w:r>
      <w:r w:rsidR="000969BB" w:rsidRPr="00BD1C03">
        <w:t xml:space="preserve">working groups. </w:t>
      </w:r>
      <w:r w:rsidRPr="00BD1C03">
        <w:t>Desk staff from Canberra undertake annual field monitoring visits to review Package performance, and annual meetings of the Iraq Package Steering Committee provide oversight, considering progress, outcomes, risk and recommendations for unallocated funding.</w:t>
      </w:r>
    </w:p>
    <w:p w14:paraId="3D94C4C5" w14:textId="0393AFE2" w:rsidR="007B2622" w:rsidRPr="00BD1C03" w:rsidRDefault="007B2622" w:rsidP="0008435D">
      <w:r w:rsidRPr="00BD1C03">
        <w:t xml:space="preserve">The overall M&amp;E approach is supported by the Humanitarian Advisory Group (HAG) who </w:t>
      </w:r>
      <w:r w:rsidR="00542656" w:rsidRPr="00BD1C03">
        <w:t>collate partner report</w:t>
      </w:r>
      <w:r w:rsidR="005A204D" w:rsidRPr="00BD1C03">
        <w:t>ing</w:t>
      </w:r>
      <w:r w:rsidR="00B16B65" w:rsidRPr="00BD1C03">
        <w:t xml:space="preserve"> bi-annually</w:t>
      </w:r>
      <w:r w:rsidR="00542656" w:rsidRPr="00BD1C03">
        <w:t>, navigating the differen</w:t>
      </w:r>
      <w:r w:rsidR="005A204D" w:rsidRPr="00BD1C03">
        <w:t>t</w:t>
      </w:r>
      <w:r w:rsidR="00542656" w:rsidRPr="00BD1C03">
        <w:t xml:space="preserve"> reporting formats</w:t>
      </w:r>
      <w:r w:rsidR="005A204D" w:rsidRPr="00BD1C03">
        <w:t>,</w:t>
      </w:r>
      <w:r w:rsidR="00542656" w:rsidRPr="00BD1C03">
        <w:t xml:space="preserve"> timeframes</w:t>
      </w:r>
      <w:r w:rsidR="005A204D" w:rsidRPr="00BD1C03">
        <w:t xml:space="preserve"> </w:t>
      </w:r>
      <w:r w:rsidR="00B16B65" w:rsidRPr="00BD1C03">
        <w:t>and level of detail</w:t>
      </w:r>
      <w:r w:rsidR="00927A4A" w:rsidRPr="00BD1C03">
        <w:t xml:space="preserve">, and provide </w:t>
      </w:r>
      <w:r w:rsidR="005E4B93" w:rsidRPr="00BD1C03">
        <w:t xml:space="preserve">some </w:t>
      </w:r>
      <w:r w:rsidR="00927A4A" w:rsidRPr="00BD1C03">
        <w:t>analysis based on</w:t>
      </w:r>
      <w:r w:rsidR="005A48B7" w:rsidRPr="00BD1C03">
        <w:t xml:space="preserve"> </w:t>
      </w:r>
      <w:r w:rsidR="00927A4A" w:rsidRPr="00BD1C03">
        <w:t>secondary data sources</w:t>
      </w:r>
      <w:r w:rsidR="000C6E6B" w:rsidRPr="00BD1C03">
        <w:t xml:space="preserve">. </w:t>
      </w:r>
    </w:p>
    <w:p w14:paraId="6958DF13" w14:textId="7F36A96C" w:rsidR="006F4475" w:rsidRPr="000B478B" w:rsidRDefault="006F4475" w:rsidP="00572C61">
      <w:pPr>
        <w:pStyle w:val="Heading2"/>
        <w:numPr>
          <w:ilvl w:val="1"/>
          <w:numId w:val="5"/>
        </w:numPr>
        <w:rPr>
          <w:sz w:val="40"/>
          <w:szCs w:val="40"/>
        </w:rPr>
      </w:pPr>
      <w:r w:rsidRPr="000B478B">
        <w:rPr>
          <w:sz w:val="40"/>
          <w:szCs w:val="40"/>
        </w:rPr>
        <w:t>Partner reporting and performance indicators</w:t>
      </w:r>
    </w:p>
    <w:p w14:paraId="75107782" w14:textId="39D17312" w:rsidR="004B6583" w:rsidRPr="00BD1C03" w:rsidRDefault="004B6583" w:rsidP="0008435D">
      <w:r w:rsidRPr="00BD1C03">
        <w:t xml:space="preserve">In line with Australia’s Grand Bargain commitments, DFAT requires minimal project-specific reporting from </w:t>
      </w:r>
      <w:r w:rsidR="005A204D" w:rsidRPr="00BD1C03">
        <w:t xml:space="preserve">multilateral </w:t>
      </w:r>
      <w:r w:rsidRPr="00BD1C03">
        <w:t xml:space="preserve">partners and works to ensure that its data collection supports existing reporting processes to </w:t>
      </w:r>
      <w:r w:rsidR="005A204D" w:rsidRPr="00BD1C03">
        <w:t>minim</w:t>
      </w:r>
      <w:r w:rsidR="00B43345">
        <w:t>is</w:t>
      </w:r>
      <w:r w:rsidR="005A204D" w:rsidRPr="00BD1C03">
        <w:t>e the reporting</w:t>
      </w:r>
      <w:r w:rsidRPr="00BD1C03">
        <w:t xml:space="preserve"> burden on partners. However, each funding agreement includes performance expectations requiring partners to demonstrate progress towards DFAT priority areas. Stipulations are also included within contracts in relation to data gathering, including the need for </w:t>
      </w:r>
      <w:r w:rsidR="00AD2424" w:rsidRPr="00BD1C03">
        <w:t xml:space="preserve">sex, age </w:t>
      </w:r>
      <w:r w:rsidRPr="00BD1C03">
        <w:t>and disability disaggregated</w:t>
      </w:r>
      <w:r w:rsidR="00AD2424" w:rsidRPr="00BD1C03">
        <w:t xml:space="preserve"> (SADD)</w:t>
      </w:r>
      <w:r w:rsidRPr="00BD1C03">
        <w:t xml:space="preserve"> data</w:t>
      </w:r>
      <w:r w:rsidR="00303D24" w:rsidRPr="00BD1C03">
        <w:t xml:space="preserve"> and compliance with DFAT’s Child Protection Policy, among others.</w:t>
      </w:r>
      <w:r w:rsidR="005A204D" w:rsidRPr="00BD1C03">
        <w:t xml:space="preserve"> In practice partner compliance with DFAT’s performance expectations vary across partners and across DFAT priority areas such as </w:t>
      </w:r>
      <w:r w:rsidR="00AD2424" w:rsidRPr="00BD1C03">
        <w:t xml:space="preserve">SADD </w:t>
      </w:r>
      <w:r w:rsidR="005A204D" w:rsidRPr="00BD1C03">
        <w:t>data</w:t>
      </w:r>
      <w:r w:rsidR="00A251DF" w:rsidRPr="00BD1C03">
        <w:t>, disability, GEWE</w:t>
      </w:r>
      <w:r w:rsidR="009F74D3" w:rsidRPr="00BD1C03">
        <w:t xml:space="preserve">, </w:t>
      </w:r>
      <w:r w:rsidR="005A204D" w:rsidRPr="00BD1C03">
        <w:t>protection</w:t>
      </w:r>
      <w:r w:rsidR="009F74D3" w:rsidRPr="00BD1C03">
        <w:t xml:space="preserve"> and AAP</w:t>
      </w:r>
      <w:r w:rsidR="005A204D" w:rsidRPr="00BD1C03">
        <w:t>.</w:t>
      </w:r>
    </w:p>
    <w:p w14:paraId="3AFB7176" w14:textId="5E90DFAD" w:rsidR="006F4475" w:rsidRPr="00BD1C03" w:rsidRDefault="006F4475" w:rsidP="0008435D">
      <w:r w:rsidRPr="00BD1C03">
        <w:t xml:space="preserve">Periodic reporting of the seven Package partners is collated by </w:t>
      </w:r>
      <w:r w:rsidR="007B2622" w:rsidRPr="00BD1C03">
        <w:t xml:space="preserve">HAG </w:t>
      </w:r>
      <w:r w:rsidRPr="00BD1C03">
        <w:t xml:space="preserve">who provide </w:t>
      </w:r>
      <w:r w:rsidR="005A204D" w:rsidRPr="00BD1C03">
        <w:t>six</w:t>
      </w:r>
      <w:r w:rsidRPr="00BD1C03">
        <w:t xml:space="preserve"> monthly reports to DFAT. These reports are then used by DFAT Post and Canberra to </w:t>
      </w:r>
      <w:r w:rsidR="00303D24" w:rsidRPr="00BD1C03">
        <w:t>review</w:t>
      </w:r>
      <w:r w:rsidRPr="00BD1C03">
        <w:t xml:space="preserve"> performance and identify areas requiring follow-up. </w:t>
      </w:r>
    </w:p>
    <w:p w14:paraId="3EDAABD5" w14:textId="7AD2320B" w:rsidR="006F4475" w:rsidRPr="00BD1C03" w:rsidRDefault="006F4475" w:rsidP="0008435D">
      <w:r w:rsidRPr="00BD1C03">
        <w:t xml:space="preserve">Partner specific indicators used within the M&amp;E framework were developed in consultation with partners, with the aim of identifying meaningful data to help demonstrate contribution to </w:t>
      </w:r>
      <w:r w:rsidR="005A48B7" w:rsidRPr="00BD1C03">
        <w:t xml:space="preserve">the </w:t>
      </w:r>
      <w:r w:rsidRPr="00BD1C03">
        <w:t xml:space="preserve">End of Package outcomes.  This involved a process of working with each partner at commencement to understand what pre-existing indicators and targets they already planned to report on, and then working to align their indicators with the program logic of DFAT’s Iraq Package, </w:t>
      </w:r>
      <w:r w:rsidR="005A204D" w:rsidRPr="00BD1C03">
        <w:t xml:space="preserve">to the extent possible. </w:t>
      </w:r>
    </w:p>
    <w:p w14:paraId="65FED169" w14:textId="4AE9E8F1" w:rsidR="006F4475" w:rsidRPr="00BD1C03" w:rsidRDefault="006F4475" w:rsidP="0008435D">
      <w:r w:rsidRPr="00BD1C03">
        <w:t xml:space="preserve">The result of this process has been </w:t>
      </w:r>
      <w:r w:rsidR="00303D24" w:rsidRPr="00BD1C03">
        <w:t xml:space="preserve">the </w:t>
      </w:r>
      <w:r w:rsidRPr="00BD1C03">
        <w:t xml:space="preserve">development of a selection of sentinel indicators that draw information from specific partner indicators and can be collated across partners to provide Package level results. This collated data is then used to inform DFAT’s HAQCs, as well as policy level impact in terms of progressing Australia’s humanitarian reform commitments. </w:t>
      </w:r>
    </w:p>
    <w:p w14:paraId="0EDF493A" w14:textId="353B6179" w:rsidR="006F4475" w:rsidRPr="00BD1C03" w:rsidRDefault="006F4475" w:rsidP="0008435D">
      <w:r w:rsidRPr="00BD1C03">
        <w:t xml:space="preserve">While this process presents several performance measurement challenges, it aligns with DFAT’s </w:t>
      </w:r>
      <w:r w:rsidR="00303D24" w:rsidRPr="00BD1C03">
        <w:t>G</w:t>
      </w:r>
      <w:r w:rsidR="00D770D3" w:rsidRPr="00BD1C03">
        <w:t xml:space="preserve">HD </w:t>
      </w:r>
      <w:r w:rsidR="00303D24" w:rsidRPr="00BD1C03">
        <w:t xml:space="preserve">commitments </w:t>
      </w:r>
      <w:r w:rsidRPr="00BD1C03">
        <w:t xml:space="preserve">of not requesting additional reporting from partners where it provides funding earmarked to the country level. Structural challenges encountered include some partners changing indicators across the multi-year funding period, and </w:t>
      </w:r>
      <w:r w:rsidR="00303D24" w:rsidRPr="00BD1C03">
        <w:t>others</w:t>
      </w:r>
      <w:r w:rsidRPr="00BD1C03">
        <w:t xml:space="preserve"> not setting targets (e.g. UNMAS). </w:t>
      </w:r>
      <w:r w:rsidR="00303D24" w:rsidRPr="00BD1C03">
        <w:t>The i</w:t>
      </w:r>
      <w:r w:rsidRPr="00BD1C03">
        <w:t>ntroduction of new partners, and needing to</w:t>
      </w:r>
      <w:r w:rsidR="00303D24" w:rsidRPr="00BD1C03">
        <w:t xml:space="preserve"> retro</w:t>
      </w:r>
      <w:r w:rsidRPr="00BD1C03">
        <w:t xml:space="preserve"> fit </w:t>
      </w:r>
      <w:r w:rsidR="00303D24" w:rsidRPr="00BD1C03">
        <w:t>their results</w:t>
      </w:r>
      <w:r w:rsidRPr="00BD1C03">
        <w:t xml:space="preserve"> </w:t>
      </w:r>
      <w:r w:rsidR="00303D24" w:rsidRPr="00BD1C03">
        <w:t>t</w:t>
      </w:r>
      <w:r w:rsidRPr="00BD1C03">
        <w:t xml:space="preserve">o a pre-existing framework </w:t>
      </w:r>
      <w:r w:rsidR="005A48B7" w:rsidRPr="00BD1C03">
        <w:t>present</w:t>
      </w:r>
      <w:r w:rsidRPr="00BD1C03">
        <w:t xml:space="preserve"> another challenge.  </w:t>
      </w:r>
    </w:p>
    <w:p w14:paraId="20C7EF0E" w14:textId="62BD592A" w:rsidR="006F4475" w:rsidRPr="000B478B" w:rsidRDefault="006F4475" w:rsidP="00572C61">
      <w:pPr>
        <w:pStyle w:val="Heading2"/>
        <w:numPr>
          <w:ilvl w:val="1"/>
          <w:numId w:val="5"/>
        </w:numPr>
        <w:rPr>
          <w:sz w:val="40"/>
          <w:szCs w:val="40"/>
        </w:rPr>
      </w:pPr>
      <w:r w:rsidRPr="000B478B">
        <w:rPr>
          <w:sz w:val="40"/>
          <w:szCs w:val="40"/>
        </w:rPr>
        <w:t>M&amp;E challenges</w:t>
      </w:r>
    </w:p>
    <w:p w14:paraId="6DBB2264" w14:textId="14171413" w:rsidR="004B6583" w:rsidRPr="00BD1C03" w:rsidRDefault="004B6583" w:rsidP="0008435D">
      <w:r w:rsidRPr="00BD1C03">
        <w:t>While this process efficiently collates an extraordinary range of data and complies with Australia’s Gran</w:t>
      </w:r>
      <w:r w:rsidR="000030EF">
        <w:t>d Bargain commitment to harmon</w:t>
      </w:r>
      <w:r w:rsidR="00B43345">
        <w:t>is</w:t>
      </w:r>
      <w:r w:rsidRPr="00BD1C03">
        <w:t>ed and simplified reporting requirements, there are weaknesses in the system</w:t>
      </w:r>
      <w:r w:rsidR="005A48B7" w:rsidRPr="00BD1C03">
        <w:t xml:space="preserve">. This related to </w:t>
      </w:r>
      <w:r w:rsidRPr="00BD1C03">
        <w:t>the appropriateness and relevance of the evidence</w:t>
      </w:r>
      <w:r w:rsidR="001522F5" w:rsidRPr="00BD1C03">
        <w:t xml:space="preserve"> being gathered</w:t>
      </w:r>
      <w:r w:rsidRPr="00BD1C03">
        <w:t>, and its suitability in terms of it being “meaningfully used and applied (by DFAT management) to improve Package outcomes in real time”</w:t>
      </w:r>
      <w:r w:rsidR="00B517B4" w:rsidRPr="00BD1C03">
        <w:t xml:space="preserve"> as stated </w:t>
      </w:r>
      <w:r w:rsidR="005A48B7" w:rsidRPr="00BD1C03">
        <w:t xml:space="preserve">in the </w:t>
      </w:r>
      <w:r w:rsidR="00B517B4" w:rsidRPr="00BD1C03">
        <w:t xml:space="preserve">ambition of the Package M&amp;E framework. </w:t>
      </w:r>
    </w:p>
    <w:p w14:paraId="3BFE3F7A" w14:textId="5D7107B1" w:rsidR="00594441" w:rsidRPr="00BD1C03" w:rsidRDefault="004B6583" w:rsidP="0008435D">
      <w:r w:rsidRPr="00BD1C03">
        <w:t xml:space="preserve">This disconnect relates to the significant variance in quality, focus and depth of reporting, which ranges from the very light touch reporting of IHO which prepares one brief report annually common to all of its donors, through to the significantly more in-depth reporting provided by the BPF consortium, </w:t>
      </w:r>
      <w:r w:rsidR="00D420BE" w:rsidRPr="00BD1C03">
        <w:t>and comparatively</w:t>
      </w:r>
      <w:r w:rsidR="005A48B7" w:rsidRPr="00BD1C03">
        <w:t>,</w:t>
      </w:r>
      <w:r w:rsidR="00D420BE" w:rsidRPr="00BD1C03">
        <w:t xml:space="preserve"> in </w:t>
      </w:r>
      <w:r w:rsidR="005A48B7" w:rsidRPr="00BD1C03">
        <w:t xml:space="preserve">terms of </w:t>
      </w:r>
      <w:r w:rsidR="00D420BE" w:rsidRPr="00BD1C03">
        <w:t xml:space="preserve">depth </w:t>
      </w:r>
      <w:r w:rsidR="005A48B7" w:rsidRPr="00BD1C03">
        <w:t xml:space="preserve">by </w:t>
      </w:r>
      <w:r w:rsidRPr="00BD1C03">
        <w:t>UNMAS and UNDP-FFS</w:t>
      </w:r>
      <w:r w:rsidR="00D420BE" w:rsidRPr="00BD1C03">
        <w:t xml:space="preserve"> reporting</w:t>
      </w:r>
      <w:r w:rsidRPr="00BD1C03">
        <w:t xml:space="preserve"> (which a</w:t>
      </w:r>
      <w:r w:rsidR="005A48B7" w:rsidRPr="00BD1C03">
        <w:t>ttributes</w:t>
      </w:r>
      <w:r w:rsidRPr="00BD1C03">
        <w:t xml:space="preserve"> Australian funding to specific infrastructure projects). While all reporting is for the most part contractually compliant (</w:t>
      </w:r>
      <w:r w:rsidR="00CD496B" w:rsidRPr="00BD1C03">
        <w:t xml:space="preserve">noting </w:t>
      </w:r>
      <w:r w:rsidRPr="00BD1C03">
        <w:t xml:space="preserve">some concerns </w:t>
      </w:r>
      <w:r w:rsidR="00CD496B" w:rsidRPr="00BD1C03">
        <w:t xml:space="preserve">related </w:t>
      </w:r>
      <w:r w:rsidRPr="00BD1C03">
        <w:t xml:space="preserve">to </w:t>
      </w:r>
      <w:r w:rsidR="00AD2424" w:rsidRPr="00BD1C03">
        <w:t>SADD</w:t>
      </w:r>
      <w:r w:rsidRPr="00BD1C03">
        <w:t xml:space="preserve"> data</w:t>
      </w:r>
      <w:r w:rsidR="005A48B7" w:rsidRPr="00BD1C03">
        <w:t xml:space="preserve"> and AAP</w:t>
      </w:r>
      <w:r w:rsidRPr="00BD1C03">
        <w:t>), it varies</w:t>
      </w:r>
      <w:r w:rsidR="001522F5" w:rsidRPr="00BD1C03">
        <w:t xml:space="preserve"> greatly</w:t>
      </w:r>
      <w:r w:rsidRPr="00BD1C03">
        <w:t xml:space="preserve"> in quality and </w:t>
      </w:r>
      <w:r w:rsidR="001522F5" w:rsidRPr="00BD1C03">
        <w:t xml:space="preserve">depth, and </w:t>
      </w:r>
      <w:r w:rsidRPr="00BD1C03">
        <w:t>subsequently presents challenges in terms of comparative analysis and scoring based performance measurement systems.</w:t>
      </w:r>
    </w:p>
    <w:p w14:paraId="7B7EFF19" w14:textId="7B621C2D" w:rsidR="00F363A2" w:rsidRPr="00BD1C03" w:rsidRDefault="005F0668" w:rsidP="0008435D">
      <w:r w:rsidRPr="00BD1C03">
        <w:t xml:space="preserve">DFAT clearly demonstrates the importance of </w:t>
      </w:r>
      <w:r w:rsidR="00AD2424" w:rsidRPr="00BD1C03">
        <w:t>SADD</w:t>
      </w:r>
      <w:r w:rsidRPr="00BD1C03">
        <w:t xml:space="preserve"> data to partners through </w:t>
      </w:r>
      <w:r w:rsidR="00946F34" w:rsidRPr="00BD1C03">
        <w:t>the inclusion of specific contract clauses</w:t>
      </w:r>
      <w:r w:rsidRPr="00BD1C03">
        <w:t xml:space="preserve"> in partner agreements. </w:t>
      </w:r>
      <w:r w:rsidR="00F363A2" w:rsidRPr="00BD1C03">
        <w:t xml:space="preserve">The </w:t>
      </w:r>
      <w:r w:rsidR="00594441" w:rsidRPr="00BD1C03">
        <w:t xml:space="preserve">varied disaggregated data reporting practices </w:t>
      </w:r>
      <w:r w:rsidR="00F363A2" w:rsidRPr="00BD1C03">
        <w:t>by Package partners warrants further</w:t>
      </w:r>
      <w:r w:rsidR="00927A4A" w:rsidRPr="00BD1C03">
        <w:t xml:space="preserve"> dialogue to</w:t>
      </w:r>
      <w:r w:rsidRPr="00BD1C03">
        <w:t xml:space="preserve"> identify and address the barriers to compliance in Iraq</w:t>
      </w:r>
      <w:r w:rsidR="00F363A2" w:rsidRPr="00BD1C03">
        <w:t>.</w:t>
      </w:r>
    </w:p>
    <w:p w14:paraId="4A5F49B5" w14:textId="6F41829A" w:rsidR="004B6583" w:rsidRPr="00BD1C03" w:rsidRDefault="004B6583" w:rsidP="0008435D">
      <w:r w:rsidRPr="00BD1C03">
        <w:t xml:space="preserve">Interestingly, it is the BPF consortium that </w:t>
      </w:r>
      <w:r w:rsidR="00873E6B" w:rsidRPr="00BD1C03">
        <w:t>performs the strongest</w:t>
      </w:r>
      <w:r w:rsidRPr="00BD1C03">
        <w:t xml:space="preserve"> in the 201</w:t>
      </w:r>
      <w:r w:rsidR="00FB1A57" w:rsidRPr="00BD1C03">
        <w:t>8-19</w:t>
      </w:r>
      <w:r w:rsidRPr="00BD1C03">
        <w:t xml:space="preserve"> </w:t>
      </w:r>
      <w:r w:rsidR="00D770D3" w:rsidRPr="00BD1C03">
        <w:t>H</w:t>
      </w:r>
      <w:r w:rsidR="001522F5" w:rsidRPr="00BD1C03">
        <w:t>AQC</w:t>
      </w:r>
      <w:r w:rsidRPr="00BD1C03">
        <w:t xml:space="preserve">. While this may be a true reflection of results, it is noted that DFAT requires and receives far more extensive and nuanced reporting through its </w:t>
      </w:r>
      <w:r w:rsidR="00CD496B" w:rsidRPr="00BD1C03">
        <w:t>AHP</w:t>
      </w:r>
      <w:r w:rsidR="00D770D3" w:rsidRPr="00BD1C03">
        <w:t xml:space="preserve"> </w:t>
      </w:r>
      <w:r w:rsidRPr="00BD1C03">
        <w:t xml:space="preserve">mechanism, and therefore holds far richer data in relation to the BPF consortium than its multilateral partners. </w:t>
      </w:r>
    </w:p>
    <w:p w14:paraId="449B796C" w14:textId="286E407E" w:rsidR="004B6583" w:rsidRPr="00BD1C03" w:rsidRDefault="004B6583" w:rsidP="0008435D">
      <w:r w:rsidRPr="00BD1C03">
        <w:t xml:space="preserve">This highlights the issue and impact of a considerable lack of equivalency across partner reporting approaches in terms of enabling DFAT access to enough evidence to achieve sufficient understanding and a clear line of sight on </w:t>
      </w:r>
      <w:r w:rsidR="005A48B7" w:rsidRPr="00BD1C03">
        <w:t xml:space="preserve">partner </w:t>
      </w:r>
      <w:r w:rsidRPr="00BD1C03">
        <w:t xml:space="preserve">performance. It is also worth noting that the depth and detail of partner reporting is more or less inversely proportional to the overall size of a partner’s program, with IHO and UNICEF reporting far less detailed than that of BPF. The quality of written reporting is also uneven, with </w:t>
      </w:r>
      <w:r w:rsidR="00325287" w:rsidRPr="00BD1C03">
        <w:t>some partner</w:t>
      </w:r>
      <w:r w:rsidRPr="00BD1C03">
        <w:t xml:space="preserve"> reporting cited by DFAT representatives as inadequate and not doing justice to the quality of their programming – highlighting how written reporting can often deviate from actual performance.</w:t>
      </w:r>
    </w:p>
    <w:p w14:paraId="1B8E07D1" w14:textId="6DB7E35F" w:rsidR="004B6583" w:rsidRPr="00BD1C03" w:rsidRDefault="004B6583" w:rsidP="0008435D">
      <w:r w:rsidRPr="00BD1C03">
        <w:t xml:space="preserve">Efforts are made to address such issues and augment data limitations at Post through formal and informal processes that aim to triangulate results, including follow up meetings with partners, dialogue with other donors that fund DFAT partners, field visits where security permits and participation in formal and informal coordination </w:t>
      </w:r>
      <w:r w:rsidR="0062386C" w:rsidRPr="00BD1C03">
        <w:t>fora</w:t>
      </w:r>
      <w:r w:rsidRPr="00BD1C03">
        <w:t xml:space="preserve">. While these efforts are important in reviewing and triangulating partner performance issues, they are generally undertaken with senior partner staff who often have limited line of sight themselves on the nuance of field level performance. </w:t>
      </w:r>
    </w:p>
    <w:p w14:paraId="79A244E8" w14:textId="453D4EFA" w:rsidR="000C6E6B" w:rsidRPr="00BD1C03" w:rsidRDefault="000C6E6B" w:rsidP="0008435D">
      <w:r w:rsidRPr="00BD1C03">
        <w:t xml:space="preserve">It is also noted that while HAG </w:t>
      </w:r>
      <w:r w:rsidR="00A20E9E" w:rsidRPr="00BD1C03">
        <w:t xml:space="preserve">compiles </w:t>
      </w:r>
      <w:r w:rsidR="003C205E" w:rsidRPr="00BD1C03">
        <w:t xml:space="preserve">bi-annual summaries of the </w:t>
      </w:r>
      <w:r w:rsidR="00A20E9E" w:rsidRPr="00BD1C03">
        <w:t xml:space="preserve">reporting provided by partners </w:t>
      </w:r>
      <w:r w:rsidRPr="00BD1C03">
        <w:t>the</w:t>
      </w:r>
      <w:r w:rsidR="00A20E9E" w:rsidRPr="00BD1C03">
        <w:t xml:space="preserve">y are not able to directly </w:t>
      </w:r>
      <w:r w:rsidRPr="00BD1C03">
        <w:t>engag</w:t>
      </w:r>
      <w:r w:rsidR="00A20E9E" w:rsidRPr="00BD1C03">
        <w:t>e</w:t>
      </w:r>
      <w:r w:rsidRPr="00BD1C03">
        <w:t xml:space="preserve"> </w:t>
      </w:r>
      <w:r w:rsidR="004961E3" w:rsidRPr="00BD1C03">
        <w:t>with partners</w:t>
      </w:r>
      <w:r w:rsidR="00A20E9E" w:rsidRPr="00BD1C03">
        <w:t xml:space="preserve">. DFAT interviewees provided justification as to why </w:t>
      </w:r>
      <w:r w:rsidR="003C205E" w:rsidRPr="00BD1C03">
        <w:t>direct engagement</w:t>
      </w:r>
      <w:r w:rsidR="00A20E9E" w:rsidRPr="00BD1C03">
        <w:t xml:space="preserve"> would not be appropriate </w:t>
      </w:r>
      <w:r w:rsidR="00F363A2" w:rsidRPr="00BD1C03">
        <w:t>given</w:t>
      </w:r>
      <w:r w:rsidR="003C205E" w:rsidRPr="00BD1C03">
        <w:t xml:space="preserve"> </w:t>
      </w:r>
      <w:r w:rsidR="00A20E9E" w:rsidRPr="00BD1C03">
        <w:t>the</w:t>
      </w:r>
      <w:r w:rsidR="003C205E" w:rsidRPr="00BD1C03">
        <w:t xml:space="preserve"> role</w:t>
      </w:r>
      <w:r w:rsidR="00A20E9E" w:rsidRPr="00BD1C03">
        <w:t xml:space="preserve"> of the Baghdad-based Humanitarian Officer</w:t>
      </w:r>
      <w:r w:rsidR="003C205E" w:rsidRPr="00BD1C03">
        <w:t xml:space="preserve"> in leading partner dialogue.</w:t>
      </w:r>
      <w:r w:rsidR="005F0668" w:rsidRPr="00BD1C03">
        <w:t xml:space="preserve"> There do however remain M&amp;E challenges that require structured and consistent follow up including </w:t>
      </w:r>
      <w:r w:rsidR="00AD2424" w:rsidRPr="00BD1C03">
        <w:t>SADD</w:t>
      </w:r>
      <w:r w:rsidR="005F0668" w:rsidRPr="00BD1C03">
        <w:t xml:space="preserve"> data, disability inclusion, gender mainstreaming, AAP and PSEA practices</w:t>
      </w:r>
      <w:r w:rsidR="009D6058" w:rsidRPr="00BD1C03">
        <w:t>, progress toward policy commitments</w:t>
      </w:r>
      <w:r w:rsidR="005F0668" w:rsidRPr="00BD1C03">
        <w:t xml:space="preserve"> and </w:t>
      </w:r>
      <w:r w:rsidR="00AC7999" w:rsidRPr="00BD1C03">
        <w:t xml:space="preserve">clarifying </w:t>
      </w:r>
      <w:r w:rsidR="005F0668" w:rsidRPr="00BD1C03">
        <w:t>attribution of results among others.</w:t>
      </w:r>
    </w:p>
    <w:p w14:paraId="32CE9FC3" w14:textId="77D91CF4" w:rsidR="004B6583" w:rsidRPr="00BD1C03" w:rsidRDefault="0050440A" w:rsidP="0008435D">
      <w:r w:rsidRPr="00BD1C03">
        <w:t xml:space="preserve">These factors collectively </w:t>
      </w:r>
      <w:r w:rsidR="009C5A16" w:rsidRPr="00BD1C03">
        <w:t>present</w:t>
      </w:r>
      <w:r w:rsidR="004B6583" w:rsidRPr="00BD1C03">
        <w:t xml:space="preserve"> a limitation of the overall M&amp;E approach (especially given concerns related to AAP expressed elsewhere in this document) in that there is only limited line of sight on the issue of community level performance and impact, and the degree to which the Package is responding to the diverse and highly complex on-the-ground protection needs of affected populations. </w:t>
      </w:r>
    </w:p>
    <w:p w14:paraId="3BD3D694" w14:textId="4035BA0B" w:rsidR="004B6583" w:rsidRPr="00BD1C03" w:rsidRDefault="004B6583" w:rsidP="0008435D">
      <w:r w:rsidRPr="00BD1C03">
        <w:t>Related to this are challenges highlighted above with respect to the lack of co</w:t>
      </w:r>
      <w:r w:rsidR="00401277" w:rsidRPr="00BD1C03">
        <w:t>herence</w:t>
      </w:r>
      <w:r w:rsidRPr="00BD1C03">
        <w:t xml:space="preserve"> between DFAT internal guidance and IASC standards, which are observable in the M&amp;E tools and subsequent ability to appropriately frame and capture results. While a certain level of partner performance variation is reasonable based on mandates, in terms of performance on </w:t>
      </w:r>
      <w:r w:rsidR="001522F5" w:rsidRPr="00BD1C03">
        <w:t xml:space="preserve">mainstreaming/ inclusion responsibilities related to </w:t>
      </w:r>
      <w:r w:rsidR="00AD2424" w:rsidRPr="00BD1C03">
        <w:t>SADD</w:t>
      </w:r>
      <w:r w:rsidR="003941BE" w:rsidRPr="00BD1C03">
        <w:t xml:space="preserve"> data, </w:t>
      </w:r>
      <w:r w:rsidRPr="00BD1C03">
        <w:t xml:space="preserve">gender, disability, AAP and </w:t>
      </w:r>
      <w:r w:rsidR="001522F5" w:rsidRPr="00BD1C03">
        <w:t>PSEA</w:t>
      </w:r>
      <w:r w:rsidRPr="00BD1C03">
        <w:t xml:space="preserve">, minimum standard reference points are possible and </w:t>
      </w:r>
      <w:r w:rsidR="00455C6D" w:rsidRPr="00BD1C03">
        <w:t>recommended to</w:t>
      </w:r>
      <w:r w:rsidRPr="00BD1C03">
        <w:t xml:space="preserve"> better </w:t>
      </w:r>
      <w:r w:rsidR="00455C6D" w:rsidRPr="00BD1C03">
        <w:t>capture important</w:t>
      </w:r>
      <w:r w:rsidRPr="00BD1C03">
        <w:t xml:space="preserve"> evidence relat</w:t>
      </w:r>
      <w:r w:rsidR="003C013C" w:rsidRPr="00BD1C03">
        <w:t>ed</w:t>
      </w:r>
      <w:r w:rsidRPr="00BD1C03">
        <w:t xml:space="preserve"> to on the ground performance</w:t>
      </w:r>
      <w:r w:rsidR="00B517B4" w:rsidRPr="00BD1C03">
        <w:t xml:space="preserve"> (see </w:t>
      </w:r>
      <w:r w:rsidR="00B517B4" w:rsidRPr="00BD1C03">
        <w:rPr>
          <w:b/>
          <w:bCs/>
        </w:rPr>
        <w:t>Annex III</w:t>
      </w:r>
      <w:r w:rsidR="00B517B4" w:rsidRPr="00BD1C03">
        <w:t xml:space="preserve"> for more details)</w:t>
      </w:r>
      <w:r w:rsidRPr="00BD1C03">
        <w:t>.</w:t>
      </w:r>
    </w:p>
    <w:p w14:paraId="30479744" w14:textId="16857E1D" w:rsidR="006F4475" w:rsidRPr="000B478B" w:rsidRDefault="006F4475" w:rsidP="00572C61">
      <w:pPr>
        <w:pStyle w:val="Heading2"/>
        <w:numPr>
          <w:ilvl w:val="1"/>
          <w:numId w:val="5"/>
        </w:numPr>
        <w:rPr>
          <w:sz w:val="40"/>
          <w:szCs w:val="40"/>
        </w:rPr>
      </w:pPr>
      <w:r w:rsidRPr="000B478B">
        <w:rPr>
          <w:sz w:val="40"/>
          <w:szCs w:val="40"/>
        </w:rPr>
        <w:t xml:space="preserve">Options for strengthening Package </w:t>
      </w:r>
      <w:r w:rsidR="000C03CE" w:rsidRPr="000B478B">
        <w:rPr>
          <w:sz w:val="40"/>
          <w:szCs w:val="40"/>
        </w:rPr>
        <w:t>L</w:t>
      </w:r>
      <w:r w:rsidR="00FB1A57" w:rsidRPr="000B478B">
        <w:rPr>
          <w:sz w:val="40"/>
          <w:szCs w:val="40"/>
        </w:rPr>
        <w:t xml:space="preserve">evel </w:t>
      </w:r>
      <w:r w:rsidRPr="000B478B">
        <w:rPr>
          <w:sz w:val="40"/>
          <w:szCs w:val="40"/>
        </w:rPr>
        <w:t>M&amp;E</w:t>
      </w:r>
    </w:p>
    <w:p w14:paraId="48DBC455" w14:textId="6ABAA122" w:rsidR="004B6583" w:rsidRPr="00BD1C03" w:rsidRDefault="004B6583" w:rsidP="0008435D">
      <w:r w:rsidRPr="00BD1C03">
        <w:t>When questioned on th</w:t>
      </w:r>
      <w:r w:rsidR="003941BE" w:rsidRPr="00BD1C03">
        <w:t xml:space="preserve">e </w:t>
      </w:r>
      <w:r w:rsidRPr="00BD1C03">
        <w:t>challenge</w:t>
      </w:r>
      <w:r w:rsidR="00B517B4" w:rsidRPr="00BD1C03">
        <w:t xml:space="preserve"> of determining the quality and effectiveness of field level performance</w:t>
      </w:r>
      <w:r w:rsidRPr="00BD1C03">
        <w:t xml:space="preserve">, </w:t>
      </w:r>
      <w:r w:rsidR="0062386C" w:rsidRPr="00BD1C03">
        <w:t>d</w:t>
      </w:r>
      <w:r w:rsidRPr="00BD1C03">
        <w:t xml:space="preserve">onors interviewed during this evaluation spoke of the </w:t>
      </w:r>
      <w:r w:rsidR="0082649B" w:rsidRPr="00BD1C03">
        <w:t>importance of third party monitoring in Iraq</w:t>
      </w:r>
      <w:r w:rsidR="003941BE" w:rsidRPr="00BD1C03">
        <w:t>. Third party field monitors</w:t>
      </w:r>
      <w:r w:rsidRPr="00BD1C03">
        <w:t xml:space="preserve"> </w:t>
      </w:r>
      <w:r w:rsidR="003941BE" w:rsidRPr="00BD1C03">
        <w:t xml:space="preserve">can more </w:t>
      </w:r>
      <w:r w:rsidRPr="00BD1C03">
        <w:t>easily access and observe field level implementation</w:t>
      </w:r>
      <w:r w:rsidR="003941BE" w:rsidRPr="00BD1C03">
        <w:t>, as well as carry out unannounced spot checks</w:t>
      </w:r>
      <w:r w:rsidRPr="00BD1C03">
        <w:t>. Consistent across likeminded donor interviews was a perspective that this capacity is integral to determining effectiveness and</w:t>
      </w:r>
      <w:r w:rsidR="003941BE" w:rsidRPr="00BD1C03">
        <w:t xml:space="preserve"> AAP</w:t>
      </w:r>
      <w:r w:rsidRPr="00BD1C03">
        <w:t xml:space="preserve">, and that it also brings an efficiency dividend in terms of circumventing poor quality programming, and </w:t>
      </w:r>
      <w:r w:rsidR="0062386C" w:rsidRPr="00BD1C03">
        <w:t>facilitate</w:t>
      </w:r>
      <w:r w:rsidRPr="00BD1C03">
        <w:t xml:space="preserve"> </w:t>
      </w:r>
      <w:r w:rsidR="00455C6D" w:rsidRPr="00BD1C03">
        <w:t>nimbler</w:t>
      </w:r>
      <w:r w:rsidRPr="00BD1C03">
        <w:t xml:space="preserve"> response</w:t>
      </w:r>
      <w:r w:rsidR="0062386C" w:rsidRPr="00BD1C03">
        <w:t>s</w:t>
      </w:r>
      <w:r w:rsidRPr="00BD1C03">
        <w:t xml:space="preserve"> to shifts in context and priorities. </w:t>
      </w:r>
    </w:p>
    <w:p w14:paraId="2BDE0B9E" w14:textId="4558E481" w:rsidR="004B6583" w:rsidRPr="00BD1C03" w:rsidRDefault="004B6583" w:rsidP="0008435D">
      <w:r w:rsidRPr="00BD1C03">
        <w:t xml:space="preserve">Given that third party monitoring is an approach strongly endorsed by </w:t>
      </w:r>
      <w:r w:rsidR="003941BE" w:rsidRPr="00BD1C03">
        <w:t>like-minded donors</w:t>
      </w:r>
      <w:r w:rsidRPr="00BD1C03">
        <w:t xml:space="preserve"> </w:t>
      </w:r>
      <w:r w:rsidR="0062386C" w:rsidRPr="00BD1C03">
        <w:t>using it</w:t>
      </w:r>
      <w:r w:rsidRPr="00BD1C03">
        <w:t xml:space="preserve">, it is recommended that DFAT consider how </w:t>
      </w:r>
      <w:r w:rsidR="00D420BE" w:rsidRPr="00BD1C03">
        <w:t>third party monitoring</w:t>
      </w:r>
      <w:r w:rsidRPr="00BD1C03">
        <w:t xml:space="preserve"> could be integrated within its own M&amp;E framework </w:t>
      </w:r>
      <w:r w:rsidR="0062386C" w:rsidRPr="00BD1C03">
        <w:t>and contribute to improved access and accountability to affected populations</w:t>
      </w:r>
      <w:r w:rsidRPr="00BD1C03">
        <w:t>. While it is understood that stand</w:t>
      </w:r>
      <w:r w:rsidR="00D420BE" w:rsidRPr="00BD1C03">
        <w:t>-</w:t>
      </w:r>
      <w:r w:rsidRPr="00BD1C03">
        <w:t xml:space="preserve">alone third party monitoring may be too costly for </w:t>
      </w:r>
      <w:r w:rsidRPr="00BD1C03">
        <w:rPr>
          <w:rFonts w:asciiTheme="majorHAnsi" w:hAnsiTheme="majorHAnsi" w:cstheme="majorHAnsi"/>
        </w:rPr>
        <w:t xml:space="preserve">a program of this size, </w:t>
      </w:r>
      <w:r w:rsidRPr="00BD1C03">
        <w:t xml:space="preserve">existing third party monitoring by likeminded donors cover most, if not all of DFAT’s current partners. Agreements on cost-sharing with other donors </w:t>
      </w:r>
      <w:r w:rsidR="001522F5" w:rsidRPr="00BD1C03">
        <w:t xml:space="preserve">would </w:t>
      </w:r>
      <w:r w:rsidRPr="00BD1C03">
        <w:t xml:space="preserve">strengthen triangulation and accountability in </w:t>
      </w:r>
      <w:r w:rsidR="00233072" w:rsidRPr="00BD1C03">
        <w:t xml:space="preserve">what is widely considered </w:t>
      </w:r>
      <w:r w:rsidR="00687633" w:rsidRPr="00BD1C03">
        <w:t>a difficult M&amp;E environment.</w:t>
      </w:r>
    </w:p>
    <w:p w14:paraId="5D599BA8" w14:textId="5E4D24D6" w:rsidR="00C7585B" w:rsidRPr="00BD1C03" w:rsidRDefault="00687633" w:rsidP="0008435D">
      <w:r w:rsidRPr="00BD1C03">
        <w:t xml:space="preserve">In addition to the </w:t>
      </w:r>
      <w:r w:rsidR="008368B6" w:rsidRPr="00BD1C03">
        <w:t xml:space="preserve">potential contribution </w:t>
      </w:r>
      <w:r w:rsidRPr="00BD1C03">
        <w:t xml:space="preserve">of </w:t>
      </w:r>
      <w:r w:rsidR="00C7585B" w:rsidRPr="00BD1C03">
        <w:t>third party monitoring</w:t>
      </w:r>
      <w:r w:rsidRPr="00BD1C03">
        <w:t>, opportunities exist to strengthen the current bi-annual reporting compiled by HAG.</w:t>
      </w:r>
      <w:r w:rsidR="005E4B93" w:rsidRPr="00BD1C03">
        <w:t xml:space="preserve"> </w:t>
      </w:r>
      <w:r w:rsidRPr="00BD1C03">
        <w:t xml:space="preserve">Recognising the limitations presented by different partner reporting formats, timeframes and level of detail, it is recommended future package level M&amp;E </w:t>
      </w:r>
      <w:r w:rsidR="00EB7365" w:rsidRPr="00BD1C03">
        <w:t>is assisted by updated DFAT policy guidance (</w:t>
      </w:r>
      <w:r w:rsidRPr="00BD1C03">
        <w:t xml:space="preserve">IASC </w:t>
      </w:r>
      <w:r w:rsidR="0062386C" w:rsidRPr="00BD1C03">
        <w:t xml:space="preserve">protection </w:t>
      </w:r>
      <w:r w:rsidRPr="00BD1C03">
        <w:t>standards and three levels of action</w:t>
      </w:r>
      <w:r w:rsidR="00ED7717" w:rsidRPr="00BD1C03">
        <w:t>, engaging in protracted crises</w:t>
      </w:r>
      <w:r w:rsidR="00EB7365" w:rsidRPr="00BD1C03">
        <w:t xml:space="preserve">) and further dialogue with partners </w:t>
      </w:r>
      <w:r w:rsidR="005E4B93" w:rsidRPr="00BD1C03">
        <w:t xml:space="preserve">through the posted Humanitarian Officer </w:t>
      </w:r>
      <w:r w:rsidR="00EB7365" w:rsidRPr="00BD1C03">
        <w:t>to better align indicators and attribute results to Australian funding.</w:t>
      </w:r>
      <w:r w:rsidR="00233072" w:rsidRPr="00BD1C03">
        <w:t xml:space="preserve"> Please see </w:t>
      </w:r>
      <w:r w:rsidR="00233072" w:rsidRPr="00BD1C03">
        <w:rPr>
          <w:b/>
          <w:bCs/>
        </w:rPr>
        <w:t xml:space="preserve">Annex </w:t>
      </w:r>
      <w:r w:rsidR="005F0668" w:rsidRPr="00BD1C03">
        <w:rPr>
          <w:b/>
          <w:bCs/>
        </w:rPr>
        <w:t>III</w:t>
      </w:r>
      <w:r w:rsidR="00130A15" w:rsidRPr="00BD1C03">
        <w:t xml:space="preserve"> </w:t>
      </w:r>
      <w:r w:rsidR="00233072" w:rsidRPr="00BD1C03">
        <w:t>for further suggestions.</w:t>
      </w:r>
    </w:p>
    <w:p w14:paraId="46813448" w14:textId="46BD99E7" w:rsidR="00C75486" w:rsidRPr="00BD1C03" w:rsidRDefault="00687633" w:rsidP="0008435D">
      <w:r w:rsidRPr="00BD1C03">
        <w:t xml:space="preserve">It is further recommended </w:t>
      </w:r>
      <w:r w:rsidR="006B2FC8" w:rsidRPr="00BD1C03">
        <w:t xml:space="preserve">that </w:t>
      </w:r>
      <w:r w:rsidRPr="00BD1C03">
        <w:t xml:space="preserve">DFAT invest more in understanding </w:t>
      </w:r>
      <w:r w:rsidR="00EB7365" w:rsidRPr="00BD1C03">
        <w:t xml:space="preserve">the </w:t>
      </w:r>
      <w:r w:rsidR="008368B6" w:rsidRPr="00BD1C03">
        <w:t xml:space="preserve">comparative </w:t>
      </w:r>
      <w:r w:rsidRPr="00BD1C03">
        <w:t>impact</w:t>
      </w:r>
      <w:r w:rsidR="00EB7365" w:rsidRPr="00BD1C03">
        <w:t xml:space="preserve"> of different investments</w:t>
      </w:r>
      <w:r w:rsidRPr="00BD1C03">
        <w:t xml:space="preserve">, recognising </w:t>
      </w:r>
      <w:r w:rsidR="00EB7365" w:rsidRPr="00BD1C03">
        <w:t xml:space="preserve">the </w:t>
      </w:r>
      <w:r w:rsidR="006B2FC8" w:rsidRPr="00BD1C03">
        <w:t>resource implications</w:t>
      </w:r>
      <w:r w:rsidR="00EB7365" w:rsidRPr="00BD1C03">
        <w:t xml:space="preserve"> and impact of </w:t>
      </w:r>
      <w:r w:rsidRPr="00BD1C03">
        <w:t xml:space="preserve">attending an information session on hygiene </w:t>
      </w:r>
      <w:r w:rsidR="00EB7365" w:rsidRPr="00BD1C03">
        <w:t xml:space="preserve">promotion or preventing </w:t>
      </w:r>
      <w:r w:rsidR="00A251DF" w:rsidRPr="00BD1C03">
        <w:t>GBV</w:t>
      </w:r>
      <w:r w:rsidR="00EB7365" w:rsidRPr="00BD1C03">
        <w:t xml:space="preserve"> compared </w:t>
      </w:r>
      <w:r w:rsidR="00A251DF" w:rsidRPr="00BD1C03">
        <w:t xml:space="preserve">to six </w:t>
      </w:r>
      <w:r w:rsidR="00EB7365" w:rsidRPr="00BD1C03">
        <w:t>months of intensive legal support to secure birth registration</w:t>
      </w:r>
      <w:r w:rsidR="00A251DF" w:rsidRPr="00BD1C03">
        <w:t>, divorce papers</w:t>
      </w:r>
      <w:r w:rsidR="00EB7365" w:rsidRPr="00BD1C03">
        <w:t xml:space="preserve"> or</w:t>
      </w:r>
      <w:r w:rsidR="00C76955" w:rsidRPr="00BD1C03">
        <w:t xml:space="preserve"> HLP </w:t>
      </w:r>
      <w:r w:rsidR="00EB7365" w:rsidRPr="00BD1C03">
        <w:t xml:space="preserve">documentation are vastly different. </w:t>
      </w:r>
      <w:r w:rsidR="00A251DF" w:rsidRPr="00BD1C03">
        <w:t>Furthermore</w:t>
      </w:r>
      <w:r w:rsidR="008368B6" w:rsidRPr="00BD1C03">
        <w:t>,</w:t>
      </w:r>
      <w:r w:rsidR="00EB7365" w:rsidRPr="00BD1C03">
        <w:t xml:space="preserve"> better understanding of impact </w:t>
      </w:r>
      <w:r w:rsidR="00A251DF" w:rsidRPr="00BD1C03">
        <w:t>can</w:t>
      </w:r>
      <w:r w:rsidR="00EB7365" w:rsidRPr="00BD1C03">
        <w:t xml:space="preserve"> facilitate stronger </w:t>
      </w:r>
      <w:r w:rsidR="00A251DF" w:rsidRPr="00BD1C03">
        <w:t xml:space="preserve">evidence-based </w:t>
      </w:r>
      <w:r w:rsidR="00EB7365" w:rsidRPr="00BD1C03">
        <w:t>stories on how Australian aid is benefitting Iraqi individuals and families.</w:t>
      </w:r>
    </w:p>
    <w:p w14:paraId="72C610BA" w14:textId="77777777" w:rsidR="00C75486" w:rsidRPr="00BD1C03" w:rsidRDefault="00C75486">
      <w:pPr>
        <w:spacing w:after="0"/>
      </w:pPr>
      <w:r w:rsidRPr="00BD1C03">
        <w:br w:type="page"/>
      </w:r>
    </w:p>
    <w:p w14:paraId="67B7ADFA" w14:textId="45BE30D2" w:rsidR="00444A1E" w:rsidRPr="00BD1C03" w:rsidRDefault="00444A1E" w:rsidP="00572C61">
      <w:pPr>
        <w:pStyle w:val="Heading1"/>
        <w:numPr>
          <w:ilvl w:val="0"/>
          <w:numId w:val="5"/>
        </w:numPr>
      </w:pPr>
      <w:bookmarkStart w:id="10" w:name="_Toc48318500"/>
      <w:r w:rsidRPr="00BD1C03">
        <w:t>C</w:t>
      </w:r>
      <w:r w:rsidR="00B21BA2" w:rsidRPr="00BD1C03">
        <w:t>OVID</w:t>
      </w:r>
      <w:r w:rsidR="00594EB8" w:rsidRPr="00BD1C03">
        <w:t>-19</w:t>
      </w:r>
      <w:bookmarkEnd w:id="10"/>
    </w:p>
    <w:p w14:paraId="07F0C58E" w14:textId="79A2152B" w:rsidR="001522F5" w:rsidRPr="00BD1C03" w:rsidRDefault="00444A1E" w:rsidP="0008435D">
      <w:r w:rsidRPr="00BD1C03">
        <w:t>C</w:t>
      </w:r>
      <w:r w:rsidR="00B21BA2" w:rsidRPr="00BD1C03">
        <w:t>OVID</w:t>
      </w:r>
      <w:r w:rsidRPr="00BD1C03">
        <w:t xml:space="preserve">-19 presents a </w:t>
      </w:r>
      <w:r w:rsidR="00C80F4B" w:rsidRPr="00BD1C03">
        <w:t>significant and destabili</w:t>
      </w:r>
      <w:r w:rsidR="006F5BA8" w:rsidRPr="00BD1C03">
        <w:t>s</w:t>
      </w:r>
      <w:r w:rsidR="00C80F4B" w:rsidRPr="00BD1C03">
        <w:t>ing</w:t>
      </w:r>
      <w:r w:rsidRPr="00BD1C03">
        <w:t xml:space="preserve"> health</w:t>
      </w:r>
      <w:r w:rsidR="003A0BD4" w:rsidRPr="00BD1C03">
        <w:t>,</w:t>
      </w:r>
      <w:r w:rsidRPr="00BD1C03">
        <w:t xml:space="preserve"> economic </w:t>
      </w:r>
      <w:r w:rsidR="003A0BD4" w:rsidRPr="00BD1C03">
        <w:t xml:space="preserve">and human rights </w:t>
      </w:r>
      <w:r w:rsidRPr="00BD1C03">
        <w:t>challenge</w:t>
      </w:r>
      <w:r w:rsidR="00C80F4B" w:rsidRPr="00BD1C03">
        <w:t xml:space="preserve"> for Iraq</w:t>
      </w:r>
      <w:r w:rsidRPr="00BD1C03">
        <w:t xml:space="preserve"> that requires international cooperation and assistance for the collective good. C</w:t>
      </w:r>
      <w:r w:rsidR="00B21BA2" w:rsidRPr="00BD1C03">
        <w:t>OVID</w:t>
      </w:r>
      <w:r w:rsidRPr="00BD1C03">
        <w:t>-19 exacerbates pre-existing inequalities and vulnerabilities and is not experienced by all equally</w:t>
      </w:r>
      <w:r w:rsidR="009F163B" w:rsidRPr="00BD1C03">
        <w:t xml:space="preserve"> in Iraq</w:t>
      </w:r>
      <w:r w:rsidRPr="00BD1C03">
        <w:t xml:space="preserve"> – from the lack of ability to social distance in an IDP camp, to withstand economic shocks and access health services, to the increased risk of violence in the home for women and children.</w:t>
      </w:r>
      <w:r w:rsidR="00EC1710" w:rsidRPr="00BD1C03">
        <w:rPr>
          <w:rStyle w:val="EndnoteReference"/>
          <w:rFonts w:ascii="Calibri Light" w:hAnsi="Calibri Light" w:cs="Calibri Light"/>
        </w:rPr>
        <w:endnoteReference w:id="84"/>
      </w:r>
      <w:r w:rsidRPr="00BD1C03">
        <w:t xml:space="preserve"> </w:t>
      </w:r>
    </w:p>
    <w:p w14:paraId="7A35777E" w14:textId="0CBB10C5" w:rsidR="00C75486" w:rsidRPr="00BD1C03" w:rsidRDefault="001522F5" w:rsidP="00C75486">
      <w:pPr>
        <w:pStyle w:val="Quote1"/>
      </w:pPr>
      <w:r w:rsidRPr="00BD1C03">
        <w:t>“The coronavirus attacks indiscriminately, but communities and individuals do not experience the pandemic on an equal basis</w:t>
      </w:r>
      <w:r w:rsidR="00E52F5D">
        <w:t>.</w:t>
      </w:r>
      <w:r w:rsidRPr="00BD1C03">
        <w:t>”</w:t>
      </w:r>
      <w:r w:rsidR="003D125A" w:rsidRPr="00BD1C03">
        <w:t xml:space="preserve"> </w:t>
      </w:r>
    </w:p>
    <w:p w14:paraId="467ACD52" w14:textId="2E9A8D8F" w:rsidR="001522F5" w:rsidRPr="00BD1C03" w:rsidRDefault="003D125A" w:rsidP="00C75486">
      <w:pPr>
        <w:ind w:right="645"/>
        <w:jc w:val="right"/>
      </w:pPr>
      <w:r w:rsidRPr="00BD1C03">
        <w:t>Global Dashboard 2020</w:t>
      </w:r>
      <w:r w:rsidR="001522F5" w:rsidRPr="00BD1C03">
        <w:rPr>
          <w:rStyle w:val="EndnoteReference"/>
          <w:rFonts w:ascii="Calibri Light" w:hAnsi="Calibri Light" w:cs="Calibri Light"/>
        </w:rPr>
        <w:endnoteReference w:id="85"/>
      </w:r>
    </w:p>
    <w:p w14:paraId="2EEC4584" w14:textId="57ECFD64" w:rsidR="004A5798" w:rsidRPr="00BD1C03" w:rsidRDefault="00444A1E" w:rsidP="0008435D">
      <w:r w:rsidRPr="00BD1C03">
        <w:t xml:space="preserve">Protection risks identified by field protection clusters to date include social </w:t>
      </w:r>
      <w:r w:rsidR="006105F4" w:rsidRPr="00BD1C03">
        <w:t>exclusio</w:t>
      </w:r>
      <w:r w:rsidRPr="00BD1C03">
        <w:t>n and discrimination, abuse of power, lack of access to services, family and child separation, physical and sexual violence, forced recruitment and MHPSS.</w:t>
      </w:r>
      <w:r w:rsidRPr="00BD1C03">
        <w:rPr>
          <w:rStyle w:val="EndnoteReference"/>
          <w:rFonts w:ascii="Calibri Light" w:hAnsi="Calibri Light" w:cs="Calibri Light"/>
        </w:rPr>
        <w:endnoteReference w:id="86"/>
      </w:r>
      <w:r w:rsidRPr="00BD1C03">
        <w:t xml:space="preserve"> Particularly vulnerable groups include ethnic minorities, older people, children, pe</w:t>
      </w:r>
      <w:r w:rsidR="005A72DC" w:rsidRPr="00BD1C03">
        <w:t>ople</w:t>
      </w:r>
      <w:r w:rsidRPr="00BD1C03">
        <w:t xml:space="preserve"> with disabilities, women and girls and GBV survivors.</w:t>
      </w:r>
      <w:r w:rsidRPr="00BD1C03">
        <w:rPr>
          <w:rStyle w:val="EndnoteReference"/>
          <w:rFonts w:ascii="Calibri Light" w:hAnsi="Calibri Light" w:cs="Calibri Light"/>
        </w:rPr>
        <w:endnoteReference w:id="87"/>
      </w:r>
      <w:r w:rsidRPr="00BD1C03">
        <w:t xml:space="preserve"> In Iraq the protection cluster has reported </w:t>
      </w:r>
      <w:r w:rsidR="003A0BD4" w:rsidRPr="00BD1C03">
        <w:t xml:space="preserve">lack of civil </w:t>
      </w:r>
      <w:r w:rsidRPr="00BD1C03">
        <w:t xml:space="preserve">documentation as a barrier </w:t>
      </w:r>
      <w:r w:rsidR="003A0BD4" w:rsidRPr="00BD1C03">
        <w:t>preventing</w:t>
      </w:r>
      <w:r w:rsidRPr="00BD1C03">
        <w:t xml:space="preserve"> access to health </w:t>
      </w:r>
      <w:r w:rsidR="003A0BD4" w:rsidRPr="00BD1C03">
        <w:t>services</w:t>
      </w:r>
      <w:r w:rsidRPr="00BD1C03">
        <w:t>.</w:t>
      </w:r>
      <w:r w:rsidRPr="00BD1C03">
        <w:rPr>
          <w:rStyle w:val="EndnoteReference"/>
          <w:rFonts w:ascii="Calibri Light" w:hAnsi="Calibri Light" w:cs="Calibri Light"/>
        </w:rPr>
        <w:endnoteReference w:id="88"/>
      </w:r>
      <w:r w:rsidR="00882F3A" w:rsidRPr="00BD1C03">
        <w:t xml:space="preserve"> In addition to the humanitarian imperative, the responsibility to extend </w:t>
      </w:r>
      <w:proofErr w:type="spellStart"/>
      <w:r w:rsidR="00882F3A" w:rsidRPr="00BD1C03">
        <w:t>Covid</w:t>
      </w:r>
      <w:proofErr w:type="spellEnd"/>
      <w:r w:rsidR="00882F3A" w:rsidRPr="00BD1C03">
        <w:t xml:space="preserve"> </w:t>
      </w:r>
      <w:r w:rsidR="004F01F7" w:rsidRPr="00BD1C03">
        <w:t xml:space="preserve">assistance </w:t>
      </w:r>
      <w:r w:rsidR="00882F3A" w:rsidRPr="00BD1C03">
        <w:t>to Iraq is high recognising the increased vulnerability of a country recovering from successive conflicts</w:t>
      </w:r>
      <w:r w:rsidR="003A0BD4" w:rsidRPr="00BD1C03">
        <w:t xml:space="preserve"> with </w:t>
      </w:r>
      <w:r w:rsidR="00882F3A" w:rsidRPr="00BD1C03">
        <w:t xml:space="preserve">limited </w:t>
      </w:r>
      <w:r w:rsidR="003A0BD4" w:rsidRPr="00BD1C03">
        <w:t xml:space="preserve">pre-crisis </w:t>
      </w:r>
      <w:r w:rsidR="000030EF">
        <w:t>decentral</w:t>
      </w:r>
      <w:r w:rsidR="00F6632D">
        <w:t>is</w:t>
      </w:r>
      <w:r w:rsidR="00882F3A" w:rsidRPr="00BD1C03">
        <w:t>ed service delivery</w:t>
      </w:r>
      <w:r w:rsidR="00233072" w:rsidRPr="00BD1C03">
        <w:t>, particularly in Ninewa and Kirkuk,</w:t>
      </w:r>
      <w:r w:rsidR="00882F3A" w:rsidRPr="00BD1C03">
        <w:t xml:space="preserve"> and the risk that further instability present for non-state actors to exploit.</w:t>
      </w:r>
      <w:r w:rsidR="00882F3A" w:rsidRPr="00BD1C03">
        <w:rPr>
          <w:rStyle w:val="EndnoteReference"/>
          <w:rFonts w:ascii="Calibri Light" w:hAnsi="Calibri Light" w:cs="Calibri Light"/>
        </w:rPr>
        <w:endnoteReference w:id="89"/>
      </w:r>
    </w:p>
    <w:p w14:paraId="30E92446" w14:textId="57778044" w:rsidR="00B0505F" w:rsidRPr="00BD1C03" w:rsidRDefault="00B0505F" w:rsidP="00572C61">
      <w:pPr>
        <w:pStyle w:val="Heading1"/>
        <w:numPr>
          <w:ilvl w:val="0"/>
          <w:numId w:val="5"/>
        </w:numPr>
      </w:pPr>
      <w:bookmarkStart w:id="11" w:name="_Toc48318501"/>
      <w:r w:rsidRPr="00BD1C03">
        <w:t>National interest</w:t>
      </w:r>
      <w:bookmarkEnd w:id="11"/>
      <w:r w:rsidRPr="00BD1C03">
        <w:t xml:space="preserve"> </w:t>
      </w:r>
    </w:p>
    <w:p w14:paraId="50590707" w14:textId="4A690884" w:rsidR="006E0D76" w:rsidRPr="00BD1C03" w:rsidRDefault="00B0505F" w:rsidP="0008435D">
      <w:r w:rsidRPr="00BD1C03">
        <w:t xml:space="preserve">The review team were requested to consider how </w:t>
      </w:r>
      <w:r w:rsidR="006E0D76" w:rsidRPr="00BD1C03">
        <w:t>support to Iraq advances Australia’s national interest. Recognising humanitarian assistance is provided on the basis of need</w:t>
      </w:r>
      <w:r w:rsidR="00594EB8" w:rsidRPr="00BD1C03">
        <w:t xml:space="preserve"> and Australia’s commitment to </w:t>
      </w:r>
      <w:r w:rsidR="00CC1D9D" w:rsidRPr="00BD1C03">
        <w:t xml:space="preserve">GHD </w:t>
      </w:r>
      <w:r w:rsidR="00594EB8" w:rsidRPr="00BD1C03">
        <w:t>principles</w:t>
      </w:r>
      <w:r w:rsidR="006E0D76" w:rsidRPr="00BD1C03">
        <w:t>, the focus here is predominantly on stabili</w:t>
      </w:r>
      <w:r w:rsidR="00881D19" w:rsidRPr="00BD1C03">
        <w:t>s</w:t>
      </w:r>
      <w:r w:rsidR="006E0D76" w:rsidRPr="00BD1C03">
        <w:t xml:space="preserve">ation. </w:t>
      </w:r>
      <w:r w:rsidRPr="00BD1C03">
        <w:t xml:space="preserve">Australia’s national interest is served through advancing stabilisation objectives in Iraq and preventing future drivers of conflict, social exclusion and </w:t>
      </w:r>
      <w:r w:rsidR="00C7585B" w:rsidRPr="00BD1C03">
        <w:t>displacement</w:t>
      </w:r>
      <w:r w:rsidRPr="00BD1C03">
        <w:t xml:space="preserve">. </w:t>
      </w:r>
    </w:p>
    <w:p w14:paraId="3C727B9A" w14:textId="58E673AC" w:rsidR="006E0D76" w:rsidRPr="00BD1C03" w:rsidRDefault="00B0505F" w:rsidP="0008435D">
      <w:r w:rsidRPr="00BD1C03">
        <w:t xml:space="preserve">Australia is widely perceived as a trusted and credible partner in Iraq, respected by the </w:t>
      </w:r>
      <w:proofErr w:type="spellStart"/>
      <w:r w:rsidRPr="00BD1C03">
        <w:t>GoI</w:t>
      </w:r>
      <w:proofErr w:type="spellEnd"/>
      <w:r w:rsidRPr="00BD1C03">
        <w:t xml:space="preserve"> due to not being seen as having an agenda and appreciated by like-minded donors for bringing technical expertise and leadership to various coordination fora.</w:t>
      </w:r>
      <w:r w:rsidR="006E0D76" w:rsidRPr="00BD1C03">
        <w:t xml:space="preserve"> Australia is a mid-range donor, ranked seventh </w:t>
      </w:r>
      <w:r w:rsidR="006777F7" w:rsidRPr="00BD1C03">
        <w:t>based on financial contributions</w:t>
      </w:r>
      <w:r w:rsidR="0062386C" w:rsidRPr="00BD1C03">
        <w:t xml:space="preserve"> in 2019</w:t>
      </w:r>
      <w:r w:rsidR="00D628E4" w:rsidRPr="00BD1C03">
        <w:t>,</w:t>
      </w:r>
      <w:r w:rsidR="006777F7" w:rsidRPr="00BD1C03">
        <w:t xml:space="preserve"> </w:t>
      </w:r>
      <w:r w:rsidR="006E0D76" w:rsidRPr="00BD1C03">
        <w:t>though frequently referred to as</w:t>
      </w:r>
      <w:r w:rsidR="006777F7" w:rsidRPr="00BD1C03">
        <w:t xml:space="preserve"> performing and exerting influence above this. DFAT interviewees highlighted the critical importance of financial contributions providing Australia a seat at the table in relevant forums</w:t>
      </w:r>
      <w:r w:rsidR="00D628E4" w:rsidRPr="00BD1C03">
        <w:t xml:space="preserve"> and strategic discussions</w:t>
      </w:r>
      <w:r w:rsidR="006777F7" w:rsidRPr="00BD1C03">
        <w:t>.</w:t>
      </w:r>
    </w:p>
    <w:p w14:paraId="4845986C" w14:textId="61DEAD33" w:rsidR="004A5798" w:rsidRPr="00BD1C03" w:rsidRDefault="0062386C" w:rsidP="0008435D">
      <w:r w:rsidRPr="00BD1C03">
        <w:t>T</w:t>
      </w:r>
      <w:r w:rsidR="00B0505F" w:rsidRPr="00BD1C03">
        <w:t xml:space="preserve">here is wide recognition that </w:t>
      </w:r>
      <w:r w:rsidR="00876B3C" w:rsidRPr="00BD1C03">
        <w:t>longer-term</w:t>
      </w:r>
      <w:r w:rsidR="00B0505F" w:rsidRPr="00BD1C03">
        <w:t xml:space="preserve"> assistance is </w:t>
      </w:r>
      <w:r w:rsidR="008E4D79" w:rsidRPr="00BD1C03">
        <w:t>critical</w:t>
      </w:r>
      <w:r w:rsidR="00B0505F" w:rsidRPr="00BD1C03">
        <w:t xml:space="preserve"> to pave the </w:t>
      </w:r>
      <w:r w:rsidR="00756A00" w:rsidRPr="00BD1C03">
        <w:t xml:space="preserve">necessary </w:t>
      </w:r>
      <w:r w:rsidR="00B0505F" w:rsidRPr="00BD1C03">
        <w:t>conditions for stability and peace in Iraq. The nuance is in taking stock of the results achieved</w:t>
      </w:r>
      <w:r w:rsidR="004F01F7" w:rsidRPr="00BD1C03">
        <w:t>, appreciating the multiple shocks Iraq has faced over this time</w:t>
      </w:r>
      <w:r w:rsidR="00B0505F" w:rsidRPr="00BD1C03">
        <w:t xml:space="preserve"> and understanding the necessary shifts in approach to consolidate gains moving forward. Continued support to Iraq further aligns with Australia’s seat on the Human Rights Council and commitment </w:t>
      </w:r>
      <w:r w:rsidR="00640964" w:rsidRPr="00BD1C03">
        <w:t xml:space="preserve">to advancing gender equality and </w:t>
      </w:r>
      <w:r w:rsidR="008E4D79" w:rsidRPr="00BD1C03">
        <w:t xml:space="preserve">respect for </w:t>
      </w:r>
      <w:r w:rsidR="00640964" w:rsidRPr="00BD1C03">
        <w:t>human rights</w:t>
      </w:r>
      <w:r w:rsidR="008E4D79" w:rsidRPr="00BD1C03">
        <w:t xml:space="preserve"> in recogn</w:t>
      </w:r>
      <w:r w:rsidR="001015D4">
        <w:t>ition of the role they play in “</w:t>
      </w:r>
      <w:r w:rsidR="008E4D79" w:rsidRPr="00BD1C03">
        <w:t xml:space="preserve">making Australia and </w:t>
      </w:r>
      <w:r w:rsidR="001015D4">
        <w:t>the world safer and more secure”</w:t>
      </w:r>
      <w:r w:rsidR="008E4D79" w:rsidRPr="00BD1C03">
        <w:t>.</w:t>
      </w:r>
      <w:r w:rsidR="008E4D79" w:rsidRPr="00BD1C03">
        <w:rPr>
          <w:rStyle w:val="EndnoteReference"/>
          <w:rFonts w:ascii="Calibri Light" w:hAnsi="Calibri Light" w:cs="Calibri Light"/>
        </w:rPr>
        <w:endnoteReference w:id="90"/>
      </w:r>
      <w:r w:rsidR="00B0505F" w:rsidRPr="00BD1C03">
        <w:t xml:space="preserve"> </w:t>
      </w:r>
    </w:p>
    <w:p w14:paraId="13B2DC59" w14:textId="77777777" w:rsidR="004A5798" w:rsidRPr="00BD1C03" w:rsidRDefault="004A5798">
      <w:pPr>
        <w:spacing w:after="0"/>
      </w:pPr>
      <w:r w:rsidRPr="00BD1C03">
        <w:br w:type="page"/>
      </w:r>
    </w:p>
    <w:p w14:paraId="0C410387" w14:textId="27ADA4CF" w:rsidR="00D55809" w:rsidRPr="00BD1C03" w:rsidRDefault="00E95C4A" w:rsidP="00572C61">
      <w:pPr>
        <w:pStyle w:val="Heading1"/>
        <w:numPr>
          <w:ilvl w:val="0"/>
          <w:numId w:val="5"/>
        </w:numPr>
        <w:rPr>
          <w:rFonts w:cstheme="majorHAnsi"/>
          <w:bCs/>
        </w:rPr>
      </w:pPr>
      <w:bookmarkStart w:id="12" w:name="_Toc48318502"/>
      <w:r w:rsidRPr="00BD1C03">
        <w:t>Conclusions</w:t>
      </w:r>
      <w:bookmarkEnd w:id="12"/>
      <w:r w:rsidRPr="00BD1C03">
        <w:tab/>
      </w:r>
      <w:r w:rsidRPr="00BD1C03">
        <w:tab/>
      </w:r>
      <w:r w:rsidRPr="00BD1C03">
        <w:rPr>
          <w:rFonts w:cstheme="majorHAnsi"/>
          <w:bCs/>
        </w:rPr>
        <w:tab/>
      </w:r>
      <w:r w:rsidR="00D55809" w:rsidRPr="00BD1C03">
        <w:rPr>
          <w:bCs/>
        </w:rPr>
        <w:t xml:space="preserve"> </w:t>
      </w:r>
    </w:p>
    <w:p w14:paraId="77C0913B" w14:textId="340B5E13" w:rsidR="00E25FFC" w:rsidRPr="000B478B" w:rsidRDefault="00572C61" w:rsidP="00572C61">
      <w:pPr>
        <w:pStyle w:val="Heading2"/>
        <w:numPr>
          <w:ilvl w:val="1"/>
          <w:numId w:val="5"/>
        </w:numPr>
        <w:rPr>
          <w:sz w:val="40"/>
          <w:szCs w:val="40"/>
        </w:rPr>
      </w:pPr>
      <w:r>
        <w:t xml:space="preserve"> </w:t>
      </w:r>
      <w:r w:rsidR="00E25FFC" w:rsidRPr="000B478B">
        <w:rPr>
          <w:sz w:val="40"/>
          <w:szCs w:val="40"/>
        </w:rPr>
        <w:t>Appropriate</w:t>
      </w:r>
      <w:r w:rsidR="00CE6396" w:rsidRPr="000B478B">
        <w:rPr>
          <w:sz w:val="40"/>
          <w:szCs w:val="40"/>
        </w:rPr>
        <w:t>ness</w:t>
      </w:r>
      <w:r w:rsidR="00E25FFC" w:rsidRPr="000B478B">
        <w:rPr>
          <w:sz w:val="40"/>
          <w:szCs w:val="40"/>
        </w:rPr>
        <w:t xml:space="preserve"> and relevan</w:t>
      </w:r>
      <w:r w:rsidR="00CE6396" w:rsidRPr="000B478B">
        <w:rPr>
          <w:sz w:val="40"/>
          <w:szCs w:val="40"/>
        </w:rPr>
        <w:t>ce</w:t>
      </w:r>
    </w:p>
    <w:p w14:paraId="0B53A226" w14:textId="3EA59667" w:rsidR="000D33D2" w:rsidRPr="00BD1C03" w:rsidRDefault="00EB09EE" w:rsidP="006D5220">
      <w:pPr>
        <w:rPr>
          <w:b/>
        </w:rPr>
      </w:pPr>
      <w:r w:rsidRPr="00BD1C03">
        <w:rPr>
          <w:rStyle w:val="EnfasiChar"/>
        </w:rPr>
        <w:t>DFAT’s Iraq Package was well conceived and relevant to the context in which it was designed</w:t>
      </w:r>
      <w:r w:rsidR="004F01F7" w:rsidRPr="00BD1C03">
        <w:rPr>
          <w:rStyle w:val="EnfasiChar"/>
        </w:rPr>
        <w:t>.</w:t>
      </w:r>
      <w:r w:rsidR="008A4652" w:rsidRPr="00BD1C03">
        <w:rPr>
          <w:b/>
        </w:rPr>
        <w:t xml:space="preserve"> </w:t>
      </w:r>
      <w:r w:rsidR="009F4B4C" w:rsidRPr="00BD1C03">
        <w:t xml:space="preserve">It leveraged a range of appropriate and skilled partners and facilitated activities designed to address a </w:t>
      </w:r>
      <w:r w:rsidR="009D6058" w:rsidRPr="00BD1C03">
        <w:t>range</w:t>
      </w:r>
      <w:r w:rsidR="009F4B4C" w:rsidRPr="00BD1C03">
        <w:t xml:space="preserve"> of high priority </w:t>
      </w:r>
      <w:r w:rsidR="0062386C" w:rsidRPr="00BD1C03">
        <w:t>humanitarian, stabili</w:t>
      </w:r>
      <w:r w:rsidR="00934A05" w:rsidRPr="00BD1C03">
        <w:t>s</w:t>
      </w:r>
      <w:r w:rsidR="0062386C" w:rsidRPr="00BD1C03">
        <w:t xml:space="preserve">ation and social cohesion </w:t>
      </w:r>
      <w:r w:rsidR="009F4B4C" w:rsidRPr="00BD1C03">
        <w:t>needs.</w:t>
      </w:r>
      <w:r w:rsidR="009F4B4C" w:rsidRPr="00BD1C03">
        <w:rPr>
          <w:rFonts w:cstheme="minorHAnsi"/>
          <w:i/>
        </w:rPr>
        <w:t xml:space="preserve"> </w:t>
      </w:r>
      <w:r w:rsidR="004F01F7" w:rsidRPr="00BD1C03">
        <w:t>It</w:t>
      </w:r>
      <w:r w:rsidR="008A4652" w:rsidRPr="00BD1C03">
        <w:t xml:space="preserve"> </w:t>
      </w:r>
      <w:r w:rsidRPr="00BD1C03">
        <w:t xml:space="preserve">has remained relevant due to </w:t>
      </w:r>
      <w:r w:rsidR="00E933DB" w:rsidRPr="00BD1C03">
        <w:t>build</w:t>
      </w:r>
      <w:r w:rsidRPr="00BD1C03">
        <w:t xml:space="preserve"> in flexibility that facilitated adaptiveness to emerging priorities</w:t>
      </w:r>
      <w:r w:rsidR="007A210B" w:rsidRPr="00BD1C03">
        <w:t xml:space="preserve"> </w:t>
      </w:r>
      <w:r w:rsidR="0062386C" w:rsidRPr="00BD1C03">
        <w:t xml:space="preserve">including </w:t>
      </w:r>
      <w:r w:rsidR="008A4652" w:rsidRPr="00BD1C03">
        <w:t>social cohesion</w:t>
      </w:r>
      <w:r w:rsidR="0062386C" w:rsidRPr="00BD1C03">
        <w:t>,</w:t>
      </w:r>
      <w:r w:rsidR="008A4652" w:rsidRPr="00BD1C03">
        <w:t xml:space="preserve"> and </w:t>
      </w:r>
      <w:r w:rsidR="005E0005" w:rsidRPr="00BD1C03">
        <w:t xml:space="preserve">WASH </w:t>
      </w:r>
      <w:r w:rsidR="008A4652" w:rsidRPr="00BD1C03">
        <w:t>needs in</w:t>
      </w:r>
      <w:r w:rsidR="0062386C" w:rsidRPr="00BD1C03">
        <w:t xml:space="preserve"> </w:t>
      </w:r>
      <w:r w:rsidR="00934A05" w:rsidRPr="00BD1C03">
        <w:t xml:space="preserve">central and </w:t>
      </w:r>
      <w:r w:rsidR="00930D1F" w:rsidRPr="00BD1C03">
        <w:t>s</w:t>
      </w:r>
      <w:r w:rsidR="008A4652" w:rsidRPr="00BD1C03">
        <w:t>outh</w:t>
      </w:r>
      <w:r w:rsidR="0062386C" w:rsidRPr="00BD1C03">
        <w:t>ern Iraq</w:t>
      </w:r>
      <w:r w:rsidR="008A4652" w:rsidRPr="00BD1C03">
        <w:t>.</w:t>
      </w:r>
      <w:r w:rsidR="00436404" w:rsidRPr="00BD1C03">
        <w:rPr>
          <w:rFonts w:asciiTheme="majorHAnsi" w:hAnsiTheme="majorHAnsi" w:cstheme="majorHAnsi"/>
        </w:rPr>
        <w:t xml:space="preserve"> </w:t>
      </w:r>
      <w:r w:rsidR="00515D7C" w:rsidRPr="00BD1C03">
        <w:rPr>
          <w:rFonts w:asciiTheme="majorHAnsi" w:hAnsiTheme="majorHAnsi" w:cstheme="majorHAnsi"/>
        </w:rPr>
        <w:t>Iraq was frequently ref</w:t>
      </w:r>
      <w:r w:rsidR="001015D4">
        <w:rPr>
          <w:rFonts w:asciiTheme="majorHAnsi" w:hAnsiTheme="majorHAnsi" w:cstheme="majorHAnsi"/>
        </w:rPr>
        <w:t>erred to as a “protection crisis”</w:t>
      </w:r>
      <w:r w:rsidR="00515D7C" w:rsidRPr="00BD1C03">
        <w:rPr>
          <w:rFonts w:asciiTheme="majorHAnsi" w:hAnsiTheme="majorHAnsi" w:cstheme="majorHAnsi"/>
        </w:rPr>
        <w:t xml:space="preserve"> across the literature and interviews conducted, which is reflected in the investment partnerships and programs.</w:t>
      </w:r>
    </w:p>
    <w:p w14:paraId="024E8C2B" w14:textId="58F7E47B" w:rsidR="008C42FB" w:rsidRPr="00BD1C03" w:rsidRDefault="008C42FB" w:rsidP="0008435D">
      <w:r w:rsidRPr="00BD1C03">
        <w:rPr>
          <w:rStyle w:val="EnfasiChar"/>
        </w:rPr>
        <w:t>Iraq is a complex operating environment with diverse and shifting conflict dynamics</w:t>
      </w:r>
      <w:r w:rsidRPr="00BD1C03">
        <w:t xml:space="preserve"> across the areas of operation of Package partners. The efforts by some partners in</w:t>
      </w:r>
      <w:r w:rsidR="000030EF">
        <w:t>cluding BPF to undertake local</w:t>
      </w:r>
      <w:r w:rsidR="00F6632D">
        <w:t>is</w:t>
      </w:r>
      <w:r w:rsidRPr="00BD1C03">
        <w:t>ed conflict analysis to inform conflict-sensitive programming</w:t>
      </w:r>
      <w:r w:rsidR="00781479" w:rsidRPr="00BD1C03">
        <w:t xml:space="preserve"> </w:t>
      </w:r>
      <w:r w:rsidRPr="00BD1C03">
        <w:t xml:space="preserve">were highly relevant and contributed to measures to engage affected populations.  </w:t>
      </w:r>
      <w:r w:rsidR="002C1AD1" w:rsidRPr="00BD1C03">
        <w:t>Looking forward, conflict analysis that integrates gender and WPS considerations should inform future Package design processes and ongoing programs in protracted crises.</w:t>
      </w:r>
    </w:p>
    <w:p w14:paraId="534AFC13" w14:textId="3324C2A3" w:rsidR="00E25FFC" w:rsidRPr="000B478B" w:rsidRDefault="00572C61" w:rsidP="00572C61">
      <w:pPr>
        <w:pStyle w:val="Heading2"/>
        <w:numPr>
          <w:ilvl w:val="1"/>
          <w:numId w:val="5"/>
        </w:numPr>
        <w:rPr>
          <w:sz w:val="40"/>
          <w:szCs w:val="40"/>
        </w:rPr>
      </w:pPr>
      <w:r>
        <w:t xml:space="preserve"> </w:t>
      </w:r>
      <w:r w:rsidR="00E25FFC" w:rsidRPr="000B478B">
        <w:rPr>
          <w:sz w:val="40"/>
          <w:szCs w:val="40"/>
        </w:rPr>
        <w:t xml:space="preserve">Effectiveness </w:t>
      </w:r>
    </w:p>
    <w:p w14:paraId="2E80D080" w14:textId="189F2154" w:rsidR="003257EF" w:rsidRPr="00BD1C03" w:rsidRDefault="00D95097" w:rsidP="006D5220">
      <w:r w:rsidRPr="00BD1C03">
        <w:rPr>
          <w:rStyle w:val="EnfasiChar"/>
        </w:rPr>
        <w:t>T</w:t>
      </w:r>
      <w:r w:rsidR="00EB09EE" w:rsidRPr="00BD1C03">
        <w:rPr>
          <w:rStyle w:val="EnfasiChar"/>
        </w:rPr>
        <w:t xml:space="preserve">he Package has contributed to important </w:t>
      </w:r>
      <w:r w:rsidR="00681954" w:rsidRPr="00BD1C03">
        <w:rPr>
          <w:rStyle w:val="EnfasiChar"/>
        </w:rPr>
        <w:t>humanitarian, stabili</w:t>
      </w:r>
      <w:r w:rsidR="00881D19" w:rsidRPr="00BD1C03">
        <w:rPr>
          <w:rStyle w:val="EnfasiChar"/>
        </w:rPr>
        <w:t>s</w:t>
      </w:r>
      <w:r w:rsidR="00681954" w:rsidRPr="00BD1C03">
        <w:rPr>
          <w:rStyle w:val="EnfasiChar"/>
        </w:rPr>
        <w:t xml:space="preserve">ation and social cohesion </w:t>
      </w:r>
      <w:r w:rsidR="008A4652" w:rsidRPr="00BD1C03">
        <w:rPr>
          <w:rStyle w:val="EnfasiChar"/>
        </w:rPr>
        <w:t>objectives</w:t>
      </w:r>
      <w:r w:rsidR="008A4652" w:rsidRPr="00BD1C03">
        <w:t>,</w:t>
      </w:r>
      <w:r w:rsidR="00EB09EE" w:rsidRPr="00BD1C03">
        <w:t xml:space="preserve"> </w:t>
      </w:r>
      <w:r w:rsidR="008A4652" w:rsidRPr="00BD1C03">
        <w:t xml:space="preserve">and delivered significant aggregate, partner and policy level results for DFAT and importantly the people of Iraq. </w:t>
      </w:r>
      <w:r w:rsidR="00EB09EE" w:rsidRPr="00BD1C03">
        <w:t xml:space="preserve">More than </w:t>
      </w:r>
      <w:r w:rsidR="003941BE" w:rsidRPr="00BD1C03">
        <w:rPr>
          <w:b/>
          <w:bCs/>
        </w:rPr>
        <w:t>2</w:t>
      </w:r>
      <w:r w:rsidR="00EB09EE" w:rsidRPr="00BD1C03">
        <w:rPr>
          <w:b/>
          <w:bCs/>
        </w:rPr>
        <w:t>.</w:t>
      </w:r>
      <w:r w:rsidR="00401277" w:rsidRPr="00BD1C03">
        <w:rPr>
          <w:b/>
          <w:bCs/>
        </w:rPr>
        <w:t>3</w:t>
      </w:r>
      <w:r w:rsidR="00EB09EE" w:rsidRPr="00BD1C03">
        <w:rPr>
          <w:b/>
          <w:bCs/>
        </w:rPr>
        <w:t xml:space="preserve"> million </w:t>
      </w:r>
      <w:r w:rsidR="00EB09EE" w:rsidRPr="00BD1C03">
        <w:t>Iraqis have benefited from life-saving assistance with targeted investments contributing to outcomes related to protection and assistance</w:t>
      </w:r>
      <w:r w:rsidR="00D63D88" w:rsidRPr="00BD1C03">
        <w:t>,</w:t>
      </w:r>
      <w:r w:rsidR="00EB09EE" w:rsidRPr="00BD1C03">
        <w:t xml:space="preserve"> including GEWE, disability</w:t>
      </w:r>
      <w:r w:rsidR="009F74D3" w:rsidRPr="00BD1C03">
        <w:t xml:space="preserve"> inclusion</w:t>
      </w:r>
      <w:r w:rsidR="00A75937" w:rsidRPr="00BD1C03">
        <w:rPr>
          <w:rStyle w:val="EndnoteReference"/>
          <w:rFonts w:ascii="Calibri Light" w:hAnsi="Calibri Light" w:cs="Calibri Light"/>
          <w:szCs w:val="22"/>
        </w:rPr>
        <w:endnoteReference w:id="91"/>
      </w:r>
      <w:r w:rsidR="00EB09EE" w:rsidRPr="00BD1C03">
        <w:t>,</w:t>
      </w:r>
      <w:r w:rsidR="00910C8E" w:rsidRPr="00BD1C03">
        <w:t xml:space="preserve"> legal assistance,</w:t>
      </w:r>
      <w:r w:rsidR="00EB09EE" w:rsidRPr="00BD1C03">
        <w:t xml:space="preserve"> SRH</w:t>
      </w:r>
      <w:r w:rsidR="008C49AB" w:rsidRPr="00BD1C03">
        <w:t>, MRE</w:t>
      </w:r>
      <w:r w:rsidR="00EB09EE" w:rsidRPr="00BD1C03">
        <w:t xml:space="preserve"> and WASH.</w:t>
      </w:r>
      <w:r w:rsidR="00930D1F" w:rsidRPr="00BD1C03">
        <w:rPr>
          <w:rStyle w:val="EndnoteReference"/>
          <w:rFonts w:ascii="Calibri Light" w:hAnsi="Calibri Light" w:cs="Calibri Light"/>
          <w:szCs w:val="22"/>
        </w:rPr>
        <w:endnoteReference w:id="92"/>
      </w:r>
      <w:r w:rsidR="00681954" w:rsidRPr="00BD1C03">
        <w:t xml:space="preserve"> </w:t>
      </w:r>
      <w:r w:rsidR="008C49AB" w:rsidRPr="00BD1C03">
        <w:t>The Package invested in reducing risk</w:t>
      </w:r>
      <w:r w:rsidR="00401277" w:rsidRPr="00BD1C03">
        <w:t xml:space="preserve"> and barriers to return</w:t>
      </w:r>
      <w:r w:rsidR="008C49AB" w:rsidRPr="00BD1C03">
        <w:t xml:space="preserve"> posed </w:t>
      </w:r>
      <w:r w:rsidR="008368B6" w:rsidRPr="00BD1C03">
        <w:t xml:space="preserve">by </w:t>
      </w:r>
      <w:r w:rsidR="005F0668" w:rsidRPr="00BD1C03">
        <w:t>explosive hazards</w:t>
      </w:r>
      <w:r w:rsidR="00401277" w:rsidRPr="00BD1C03">
        <w:t xml:space="preserve">, </w:t>
      </w:r>
      <w:r w:rsidR="00681954" w:rsidRPr="00BD1C03">
        <w:t>contributing to both humanitarian and stabili</w:t>
      </w:r>
      <w:r w:rsidR="00881D19" w:rsidRPr="00BD1C03">
        <w:t>s</w:t>
      </w:r>
      <w:r w:rsidR="00681954" w:rsidRPr="00BD1C03">
        <w:t>ation outcomes</w:t>
      </w:r>
      <w:r w:rsidR="004726EA" w:rsidRPr="00BD1C03">
        <w:t>. Through the UNDP FFS</w:t>
      </w:r>
      <w:r w:rsidR="002C1AD1" w:rsidRPr="00BD1C03">
        <w:t>,</w:t>
      </w:r>
      <w:r w:rsidR="004726EA" w:rsidRPr="00BD1C03">
        <w:t xml:space="preserve"> DFAT has supported</w:t>
      </w:r>
      <w:r w:rsidR="00EB09EE" w:rsidRPr="00BD1C03">
        <w:t xml:space="preserve"> 5</w:t>
      </w:r>
      <w:r w:rsidR="007E0A64" w:rsidRPr="00BD1C03">
        <w:t xml:space="preserve">8 </w:t>
      </w:r>
      <w:r w:rsidR="00EB09EE" w:rsidRPr="00BD1C03">
        <w:t xml:space="preserve">projects </w:t>
      </w:r>
      <w:r w:rsidR="004726EA" w:rsidRPr="00BD1C03">
        <w:t xml:space="preserve">that have </w:t>
      </w:r>
      <w:r w:rsidR="00D63D88" w:rsidRPr="00BD1C03">
        <w:t>contribut</w:t>
      </w:r>
      <w:r w:rsidR="004726EA" w:rsidRPr="00BD1C03">
        <w:t>ed</w:t>
      </w:r>
      <w:r w:rsidR="00D63D88" w:rsidRPr="00BD1C03">
        <w:t xml:space="preserve"> to </w:t>
      </w:r>
      <w:r w:rsidR="00EB09EE" w:rsidRPr="00BD1C03">
        <w:t>infrastructure rehabilitation and resumption of service delivery</w:t>
      </w:r>
      <w:r w:rsidR="00D63D88" w:rsidRPr="00BD1C03">
        <w:t xml:space="preserve"> in high priority areas</w:t>
      </w:r>
      <w:r w:rsidR="009B405E" w:rsidRPr="00BD1C03">
        <w:t xml:space="preserve">. </w:t>
      </w:r>
      <w:r w:rsidR="00EC0469" w:rsidRPr="00BD1C03">
        <w:t>Through s</w:t>
      </w:r>
      <w:r w:rsidR="00625B61" w:rsidRPr="00BD1C03">
        <w:t>upport to IOM and BPF</w:t>
      </w:r>
      <w:r w:rsidR="00EC0469" w:rsidRPr="00BD1C03">
        <w:t>, s</w:t>
      </w:r>
      <w:r w:rsidR="00C7638F" w:rsidRPr="00BD1C03">
        <w:t xml:space="preserve">ocial cohesion </w:t>
      </w:r>
      <w:r w:rsidR="00EC0469" w:rsidRPr="00BD1C03">
        <w:t>investments</w:t>
      </w:r>
      <w:r w:rsidR="00CA3D9E" w:rsidRPr="00BD1C03">
        <w:t xml:space="preserve"> </w:t>
      </w:r>
      <w:r w:rsidR="009F74D3" w:rsidRPr="00BD1C03">
        <w:t xml:space="preserve">have </w:t>
      </w:r>
      <w:r w:rsidR="00CA3D9E" w:rsidRPr="00BD1C03">
        <w:t>strengthen</w:t>
      </w:r>
      <w:r w:rsidR="00EC0469" w:rsidRPr="00BD1C03">
        <w:t>ed</w:t>
      </w:r>
      <w:r w:rsidR="00CA3D9E" w:rsidRPr="00BD1C03">
        <w:t xml:space="preserve"> 1</w:t>
      </w:r>
      <w:r w:rsidR="006C50AD" w:rsidRPr="00BD1C03">
        <w:t>,</w:t>
      </w:r>
      <w:r w:rsidR="00CA3D9E" w:rsidRPr="00BD1C03">
        <w:t xml:space="preserve">098 community networks </w:t>
      </w:r>
      <w:r w:rsidR="00EC0469" w:rsidRPr="00BD1C03">
        <w:t>to support integration, dialogue and peacebuilding initiatives at the local level</w:t>
      </w:r>
      <w:r w:rsidR="00625B61" w:rsidRPr="00BD1C03">
        <w:t>.</w:t>
      </w:r>
      <w:r w:rsidR="00462914" w:rsidRPr="00BD1C03">
        <w:t xml:space="preserve"> </w:t>
      </w:r>
    </w:p>
    <w:p w14:paraId="3FD97185" w14:textId="566B1BD8" w:rsidR="009E648B" w:rsidRPr="00BD1C03" w:rsidRDefault="009E648B" w:rsidP="0008435D">
      <w:r w:rsidRPr="00BD1C03">
        <w:t xml:space="preserve">Package performance toward the </w:t>
      </w:r>
      <w:r w:rsidR="003257EF" w:rsidRPr="00BD1C03">
        <w:t>thematic priority investment areas of GEWE and disability inclusion</w:t>
      </w:r>
      <w:r w:rsidRPr="00BD1C03">
        <w:t xml:space="preserve"> has achieved significant results</w:t>
      </w:r>
      <w:r w:rsidR="005B68A7" w:rsidRPr="00BD1C03">
        <w:t xml:space="preserve">. </w:t>
      </w:r>
      <w:r w:rsidR="00AF4EA0" w:rsidRPr="00BD1C03">
        <w:t>However,</w:t>
      </w:r>
      <w:r w:rsidR="003257EF" w:rsidRPr="00BD1C03">
        <w:t xml:space="preserve"> the current framing is inconsistent with IASC </w:t>
      </w:r>
      <w:r w:rsidR="0062386C" w:rsidRPr="00BD1C03">
        <w:t>protection</w:t>
      </w:r>
      <w:r w:rsidR="003257EF" w:rsidRPr="00BD1C03">
        <w:t xml:space="preserve"> standards, </w:t>
      </w:r>
      <w:r w:rsidR="00E04199" w:rsidRPr="00BD1C03">
        <w:t xml:space="preserve">is </w:t>
      </w:r>
      <w:r w:rsidR="003257EF" w:rsidRPr="00BD1C03">
        <w:t>not informed by a protection risk analysis and</w:t>
      </w:r>
      <w:r w:rsidR="002C1AD1" w:rsidRPr="00BD1C03">
        <w:t xml:space="preserve"> unable to</w:t>
      </w:r>
      <w:r w:rsidR="003257EF" w:rsidRPr="00BD1C03">
        <w:t xml:space="preserve"> capture the full range of protection results</w:t>
      </w:r>
      <w:r w:rsidR="00946F34" w:rsidRPr="00BD1C03">
        <w:t>.</w:t>
      </w:r>
      <w:r w:rsidR="00910C8E" w:rsidRPr="00BD1C03">
        <w:t xml:space="preserve"> </w:t>
      </w:r>
      <w:r w:rsidRPr="00BD1C03">
        <w:t>T</w:t>
      </w:r>
      <w:r w:rsidR="00910C8E" w:rsidRPr="00BD1C03">
        <w:t xml:space="preserve">here remains a need to </w:t>
      </w:r>
      <w:r w:rsidR="00F32AAB" w:rsidRPr="00BD1C03">
        <w:t>improve</w:t>
      </w:r>
      <w:r w:rsidR="00C31549" w:rsidRPr="00BD1C03">
        <w:t xml:space="preserve"> coherence with</w:t>
      </w:r>
      <w:r w:rsidR="00910C8E" w:rsidRPr="00BD1C03">
        <w:t xml:space="preserve"> </w:t>
      </w:r>
      <w:r w:rsidR="00C80F4B" w:rsidRPr="00BD1C03">
        <w:t xml:space="preserve">IASC </w:t>
      </w:r>
      <w:r w:rsidR="00E04199" w:rsidRPr="00BD1C03">
        <w:t>centrality of protection</w:t>
      </w:r>
      <w:r w:rsidR="00910C8E" w:rsidRPr="00BD1C03">
        <w:t xml:space="preserve"> </w:t>
      </w:r>
      <w:r w:rsidR="00C80F4B" w:rsidRPr="00BD1C03">
        <w:t xml:space="preserve">and three levels of action </w:t>
      </w:r>
      <w:r w:rsidR="00910C8E" w:rsidRPr="00BD1C03">
        <w:t>within th</w:t>
      </w:r>
      <w:r w:rsidR="004C7985" w:rsidRPr="00BD1C03">
        <w:t>e</w:t>
      </w:r>
      <w:r w:rsidR="00910C8E" w:rsidRPr="00BD1C03">
        <w:t xml:space="preserve"> Package approach.</w:t>
      </w:r>
      <w:r w:rsidR="00611405" w:rsidRPr="00BD1C03">
        <w:t xml:space="preserve"> </w:t>
      </w:r>
      <w:r w:rsidR="00C51E57" w:rsidRPr="00BD1C03">
        <w:t xml:space="preserve"> </w:t>
      </w:r>
    </w:p>
    <w:p w14:paraId="630F9C18" w14:textId="4660B28E" w:rsidR="00285A20" w:rsidRPr="00BD1C03" w:rsidRDefault="00C7638F" w:rsidP="0008435D">
      <w:r w:rsidRPr="00BD1C03">
        <w:t>T</w:t>
      </w:r>
      <w:r w:rsidR="00C51E57" w:rsidRPr="00BD1C03">
        <w:t xml:space="preserve">he lack of consistency between DFAT internal guidance and IASC </w:t>
      </w:r>
      <w:r w:rsidR="004C7985" w:rsidRPr="00BD1C03">
        <w:t xml:space="preserve">protection </w:t>
      </w:r>
      <w:r w:rsidR="00C51E57" w:rsidRPr="00BD1C03">
        <w:t>standards, are</w:t>
      </w:r>
      <w:r w:rsidR="00E00114" w:rsidRPr="00BD1C03">
        <w:t xml:space="preserve"> further</w:t>
      </w:r>
      <w:r w:rsidR="00C51E57" w:rsidRPr="00BD1C03">
        <w:t xml:space="preserve"> observable in the M&amp;E tools and subsequent ability to appropriately frame and capture results. </w:t>
      </w:r>
      <w:r w:rsidR="004C7985" w:rsidRPr="00BD1C03">
        <w:t>Aligning DFAT policy and M&amp;E guidance with IASC protection standards</w:t>
      </w:r>
      <w:r w:rsidR="00BB357D" w:rsidRPr="00BD1C03">
        <w:t xml:space="preserve"> improves coherence with sector standards and indicators and better frames and captures the results achieved. </w:t>
      </w:r>
      <w:r w:rsidR="008C49AB" w:rsidRPr="00BD1C03">
        <w:t>AAP practices and results</w:t>
      </w:r>
      <w:r w:rsidR="00414DA0" w:rsidRPr="00BD1C03">
        <w:t xml:space="preserve"> in particula</w:t>
      </w:r>
      <w:r w:rsidR="009E580C" w:rsidRPr="00BD1C03">
        <w:t>r</w:t>
      </w:r>
      <w:r w:rsidR="008C49AB" w:rsidRPr="00BD1C03">
        <w:t xml:space="preserve"> are difficult to </w:t>
      </w:r>
      <w:r w:rsidR="009E580C" w:rsidRPr="00BD1C03">
        <w:t xml:space="preserve">capture with </w:t>
      </w:r>
      <w:r w:rsidR="00A84728" w:rsidRPr="00BD1C03">
        <w:t xml:space="preserve">the </w:t>
      </w:r>
      <w:r w:rsidR="009E580C" w:rsidRPr="00BD1C03">
        <w:t xml:space="preserve">current metrics and </w:t>
      </w:r>
      <w:r w:rsidR="008C49AB" w:rsidRPr="00BD1C03">
        <w:t>verify at a distance</w:t>
      </w:r>
      <w:r w:rsidR="0046370B" w:rsidRPr="00BD1C03">
        <w:t xml:space="preserve"> </w:t>
      </w:r>
      <w:r w:rsidR="009E648B" w:rsidRPr="00BD1C03">
        <w:t>(</w:t>
      </w:r>
      <w:r w:rsidR="00BB357D" w:rsidRPr="00BD1C03">
        <w:t xml:space="preserve">a </w:t>
      </w:r>
      <w:r w:rsidR="009E648B" w:rsidRPr="00BD1C03">
        <w:t xml:space="preserve">limitation </w:t>
      </w:r>
      <w:r w:rsidR="0046370B" w:rsidRPr="00BD1C03">
        <w:t xml:space="preserve">for </w:t>
      </w:r>
      <w:r w:rsidR="00A44E93" w:rsidRPr="00BD1C03">
        <w:t>both this</w:t>
      </w:r>
      <w:r w:rsidR="0046370B" w:rsidRPr="00BD1C03">
        <w:t xml:space="preserve"> review and ongoing package level M&amp;E</w:t>
      </w:r>
      <w:r w:rsidR="009E648B" w:rsidRPr="00BD1C03">
        <w:t>)</w:t>
      </w:r>
      <w:r w:rsidR="00A44E93" w:rsidRPr="00BD1C03">
        <w:t xml:space="preserve">. It is a conclusion of this review that systems to ensure the </w:t>
      </w:r>
      <w:r w:rsidR="00E04199" w:rsidRPr="00BD1C03">
        <w:t xml:space="preserve">inclusive and representative </w:t>
      </w:r>
      <w:r w:rsidR="00A44E93" w:rsidRPr="00BD1C03">
        <w:t>voice of affected populations remain under-developed, and require greater priority moving forward.</w:t>
      </w:r>
    </w:p>
    <w:p w14:paraId="6C0E61E3" w14:textId="13FC38E5" w:rsidR="005E0005" w:rsidRPr="00BD1C03" w:rsidRDefault="005E0005" w:rsidP="0008435D">
      <w:r w:rsidRPr="00BD1C03">
        <w:t xml:space="preserve">Despite </w:t>
      </w:r>
      <w:r w:rsidR="00744AB8" w:rsidRPr="00BD1C03">
        <w:t xml:space="preserve">the </w:t>
      </w:r>
      <w:r w:rsidRPr="00BD1C03">
        <w:t>significant results achieved</w:t>
      </w:r>
      <w:r w:rsidR="00625B61" w:rsidRPr="00BD1C03">
        <w:t xml:space="preserve"> to date</w:t>
      </w:r>
      <w:r w:rsidRPr="00BD1C03">
        <w:t xml:space="preserve">, </w:t>
      </w:r>
      <w:r w:rsidR="00625B61" w:rsidRPr="00BD1C03">
        <w:t xml:space="preserve">complex </w:t>
      </w:r>
      <w:r w:rsidRPr="00BD1C03">
        <w:t>humanitarian, stabili</w:t>
      </w:r>
      <w:r w:rsidR="00881D19" w:rsidRPr="00BD1C03">
        <w:t>s</w:t>
      </w:r>
      <w:r w:rsidRPr="00BD1C03">
        <w:t>ation and social cohesion needs remain</w:t>
      </w:r>
      <w:r w:rsidR="00625B61" w:rsidRPr="00BD1C03">
        <w:t xml:space="preserve"> and will be exacerbated by C</w:t>
      </w:r>
      <w:r w:rsidR="005B68A7" w:rsidRPr="00BD1C03">
        <w:t>OVID</w:t>
      </w:r>
      <w:r w:rsidR="00625B61" w:rsidRPr="00BD1C03">
        <w:t>-19</w:t>
      </w:r>
      <w:r w:rsidRPr="00BD1C03">
        <w:t>:</w:t>
      </w:r>
    </w:p>
    <w:p w14:paraId="7ECE3F7E" w14:textId="495B6BB9" w:rsidR="005E0005" w:rsidRPr="00BD1C03" w:rsidRDefault="005E0005" w:rsidP="00754BE0">
      <w:pPr>
        <w:pStyle w:val="bullets0"/>
      </w:pPr>
      <w:r w:rsidRPr="00BD1C03">
        <w:t xml:space="preserve">Pockets of </w:t>
      </w:r>
      <w:r w:rsidR="00D63D88" w:rsidRPr="00BD1C03">
        <w:t xml:space="preserve">complex </w:t>
      </w:r>
      <w:r w:rsidRPr="00BD1C03">
        <w:t>humanitarian need</w:t>
      </w:r>
      <w:r w:rsidR="00E04199" w:rsidRPr="00BD1C03">
        <w:t>s</w:t>
      </w:r>
      <w:r w:rsidRPr="00BD1C03">
        <w:t xml:space="preserve"> remain such as the hardened IDP caseload</w:t>
      </w:r>
      <w:r w:rsidR="00D63D88" w:rsidRPr="00BD1C03">
        <w:t xml:space="preserve">, </w:t>
      </w:r>
      <w:r w:rsidR="00E04199" w:rsidRPr="00BD1C03">
        <w:t xml:space="preserve">requiring </w:t>
      </w:r>
      <w:r w:rsidR="00D63D88" w:rsidRPr="00BD1C03">
        <w:t xml:space="preserve">renewed </w:t>
      </w:r>
      <w:r w:rsidR="00E04199" w:rsidRPr="00BD1C03">
        <w:t xml:space="preserve">social cohesion </w:t>
      </w:r>
      <w:r w:rsidR="00D63D88" w:rsidRPr="00BD1C03">
        <w:t>efforts</w:t>
      </w:r>
      <w:r w:rsidRPr="00BD1C03">
        <w:t xml:space="preserve"> to address the barriers to their durable returns</w:t>
      </w:r>
      <w:r w:rsidR="009C6D56" w:rsidRPr="00BD1C03">
        <w:t>,</w:t>
      </w:r>
      <w:r w:rsidRPr="00BD1C03">
        <w:t xml:space="preserve"> including high levels of discrimination preventing access to government services.</w:t>
      </w:r>
    </w:p>
    <w:p w14:paraId="4966B2B1" w14:textId="34C695E6" w:rsidR="005E0005" w:rsidRPr="00BD1C03" w:rsidRDefault="005E0005" w:rsidP="00754BE0">
      <w:pPr>
        <w:pStyle w:val="bullets0"/>
      </w:pPr>
      <w:r w:rsidRPr="00BD1C03">
        <w:t>C</w:t>
      </w:r>
      <w:r w:rsidR="005B68A7" w:rsidRPr="00BD1C03">
        <w:t>OVID</w:t>
      </w:r>
      <w:r w:rsidRPr="00BD1C03">
        <w:t xml:space="preserve">-19 </w:t>
      </w:r>
      <w:r w:rsidR="00B77E5F" w:rsidRPr="00BD1C03">
        <w:t xml:space="preserve">will </w:t>
      </w:r>
      <w:r w:rsidRPr="00BD1C03">
        <w:t xml:space="preserve">exacerbate pre-existing </w:t>
      </w:r>
      <w:r w:rsidR="00703AB2" w:rsidRPr="00BD1C03">
        <w:t>needs</w:t>
      </w:r>
      <w:r w:rsidR="00B77E5F" w:rsidRPr="00BD1C03">
        <w:t>, create additional humanitarian needs</w:t>
      </w:r>
      <w:r w:rsidRPr="00BD1C03">
        <w:t xml:space="preserve"> and</w:t>
      </w:r>
      <w:r w:rsidR="00B77E5F" w:rsidRPr="00BD1C03">
        <w:t xml:space="preserve"> has the potential to</w:t>
      </w:r>
      <w:r w:rsidRPr="00BD1C03">
        <w:t xml:space="preserve"> threaten stabili</w:t>
      </w:r>
      <w:r w:rsidR="00881D19" w:rsidRPr="00BD1C03">
        <w:t>s</w:t>
      </w:r>
      <w:r w:rsidRPr="00BD1C03">
        <w:t xml:space="preserve">ation gains. </w:t>
      </w:r>
      <w:r w:rsidR="0059210D" w:rsidRPr="00BD1C03">
        <w:t>It is also likely to worsen</w:t>
      </w:r>
      <w:r w:rsidRPr="00BD1C03">
        <w:t xml:space="preserve"> inequality and vulnerability, </w:t>
      </w:r>
      <w:r w:rsidR="00A453B3" w:rsidRPr="00BD1C03">
        <w:t>create new</w:t>
      </w:r>
      <w:r w:rsidR="00B77E5F" w:rsidRPr="00BD1C03">
        <w:t xml:space="preserve"> health, economic and protection </w:t>
      </w:r>
      <w:r w:rsidR="00744AB8" w:rsidRPr="00BD1C03">
        <w:t>needs</w:t>
      </w:r>
      <w:r w:rsidR="00B77E5F" w:rsidRPr="00BD1C03">
        <w:t xml:space="preserve"> </w:t>
      </w:r>
      <w:r w:rsidRPr="00BD1C03">
        <w:t xml:space="preserve">and </w:t>
      </w:r>
      <w:r w:rsidR="009B405E" w:rsidRPr="00BD1C03">
        <w:t xml:space="preserve">has the potential to </w:t>
      </w:r>
      <w:r w:rsidRPr="00BD1C03">
        <w:t xml:space="preserve">increase conflict risks without an adequately resourced response. </w:t>
      </w:r>
    </w:p>
    <w:p w14:paraId="2072B820" w14:textId="16ECF248" w:rsidR="005E0005" w:rsidRPr="00BD1C03" w:rsidRDefault="0020704B" w:rsidP="00754BE0">
      <w:pPr>
        <w:pStyle w:val="bullets0"/>
      </w:pPr>
      <w:r w:rsidRPr="00BD1C03">
        <w:t>Increased</w:t>
      </w:r>
      <w:r w:rsidR="005E0005" w:rsidRPr="00BD1C03">
        <w:t xml:space="preserve"> attention </w:t>
      </w:r>
      <w:r w:rsidR="00744AB8" w:rsidRPr="00BD1C03">
        <w:t xml:space="preserve">and investment </w:t>
      </w:r>
      <w:r w:rsidR="00AF4EA0" w:rsidRPr="00BD1C03">
        <w:t>are</w:t>
      </w:r>
      <w:r w:rsidR="0059210D" w:rsidRPr="00BD1C03">
        <w:t xml:space="preserve"> </w:t>
      </w:r>
      <w:r w:rsidR="00B21BA2" w:rsidRPr="00BD1C03">
        <w:t>needed in</w:t>
      </w:r>
      <w:r w:rsidR="00BB357D" w:rsidRPr="00BD1C03">
        <w:t xml:space="preserve"> social cohesion and reconciliation,</w:t>
      </w:r>
      <w:r w:rsidR="00B21BA2" w:rsidRPr="00BD1C03">
        <w:t xml:space="preserve"> governance, rule of law, access to justice</w:t>
      </w:r>
      <w:r w:rsidR="00BB357D" w:rsidRPr="00BD1C03">
        <w:t>, decentral</w:t>
      </w:r>
      <w:r w:rsidR="00F6632D">
        <w:t>is</w:t>
      </w:r>
      <w:r w:rsidR="00BB357D" w:rsidRPr="00BD1C03">
        <w:t xml:space="preserve">ed and non-discriminatory service </w:t>
      </w:r>
      <w:r w:rsidR="00E933DB" w:rsidRPr="00BD1C03">
        <w:t>delivery, and</w:t>
      </w:r>
      <w:r w:rsidR="00B21BA2" w:rsidRPr="00BD1C03">
        <w:t xml:space="preserve"> economic reform, particularly </w:t>
      </w:r>
      <w:r w:rsidR="005E0005" w:rsidRPr="00BD1C03">
        <w:t>as the FFS transitions to early recovery</w:t>
      </w:r>
      <w:r w:rsidR="009B405E" w:rsidRPr="00BD1C03">
        <w:t xml:space="preserve"> in 2021</w:t>
      </w:r>
      <w:r w:rsidR="00BB357D" w:rsidRPr="00BD1C03">
        <w:t>.</w:t>
      </w:r>
      <w:r w:rsidR="005E0005" w:rsidRPr="00BD1C03">
        <w:t xml:space="preserve"> </w:t>
      </w:r>
      <w:r w:rsidR="00B21BA2" w:rsidRPr="00BD1C03">
        <w:t>Future assistance to Iraq, including t</w:t>
      </w:r>
      <w:r w:rsidR="00744AB8" w:rsidRPr="00BD1C03">
        <w:t>he next phase of the FFS</w:t>
      </w:r>
      <w:r w:rsidR="00B21BA2" w:rsidRPr="00BD1C03">
        <w:t>,</w:t>
      </w:r>
      <w:r w:rsidR="00744AB8" w:rsidRPr="00BD1C03">
        <w:t xml:space="preserve"> needs to </w:t>
      </w:r>
      <w:r w:rsidR="00B21BA2" w:rsidRPr="00BD1C03">
        <w:t xml:space="preserve">be informed by </w:t>
      </w:r>
      <w:r w:rsidR="00744AB8" w:rsidRPr="00BD1C03">
        <w:t>inclusive community engagement to strengthen social cohesion and ensure no one is left behind.</w:t>
      </w:r>
    </w:p>
    <w:p w14:paraId="50DAFBFD" w14:textId="244BC8D9" w:rsidR="00E25FFC" w:rsidRPr="000B478B" w:rsidRDefault="00572C61" w:rsidP="00572C61">
      <w:pPr>
        <w:pStyle w:val="Heading2"/>
        <w:numPr>
          <w:ilvl w:val="1"/>
          <w:numId w:val="5"/>
        </w:numPr>
        <w:rPr>
          <w:sz w:val="40"/>
          <w:szCs w:val="40"/>
        </w:rPr>
      </w:pPr>
      <w:r>
        <w:t xml:space="preserve"> </w:t>
      </w:r>
      <w:r w:rsidR="00E25FFC" w:rsidRPr="000B478B">
        <w:rPr>
          <w:sz w:val="40"/>
          <w:szCs w:val="40"/>
        </w:rPr>
        <w:t>Connected</w:t>
      </w:r>
      <w:r w:rsidR="00CE6396" w:rsidRPr="000B478B">
        <w:rPr>
          <w:sz w:val="40"/>
          <w:szCs w:val="40"/>
        </w:rPr>
        <w:t>ness</w:t>
      </w:r>
      <w:r w:rsidR="00E25FFC" w:rsidRPr="000B478B">
        <w:rPr>
          <w:sz w:val="40"/>
          <w:szCs w:val="40"/>
        </w:rPr>
        <w:t xml:space="preserve"> and sustainab</w:t>
      </w:r>
      <w:r w:rsidR="00CE6396" w:rsidRPr="000B478B">
        <w:rPr>
          <w:sz w:val="40"/>
          <w:szCs w:val="40"/>
        </w:rPr>
        <w:t>ility</w:t>
      </w:r>
    </w:p>
    <w:p w14:paraId="369C4F5E" w14:textId="3307BAA3" w:rsidR="00CE6396" w:rsidRPr="00BD1C03" w:rsidRDefault="00C57603" w:rsidP="006D5220">
      <w:r w:rsidRPr="00BD1C03">
        <w:rPr>
          <w:rStyle w:val="EnfasiChar"/>
        </w:rPr>
        <w:t xml:space="preserve">The </w:t>
      </w:r>
      <w:r w:rsidR="006B2FC8" w:rsidRPr="00BD1C03">
        <w:rPr>
          <w:rStyle w:val="EnfasiChar"/>
        </w:rPr>
        <w:t>review found</w:t>
      </w:r>
      <w:r w:rsidR="00BB357D" w:rsidRPr="00BD1C03">
        <w:rPr>
          <w:rStyle w:val="EnfasiChar"/>
        </w:rPr>
        <w:t xml:space="preserve"> that</w:t>
      </w:r>
      <w:r w:rsidR="006B2FC8" w:rsidRPr="00BD1C03">
        <w:rPr>
          <w:rStyle w:val="EnfasiChar"/>
        </w:rPr>
        <w:t xml:space="preserve"> </w:t>
      </w:r>
      <w:r w:rsidR="0020704B">
        <w:rPr>
          <w:rStyle w:val="EnfasiChar"/>
        </w:rPr>
        <w:t>partner</w:t>
      </w:r>
      <w:r w:rsidR="0020704B" w:rsidRPr="00BD1C03">
        <w:rPr>
          <w:rStyle w:val="EnfasiChar"/>
        </w:rPr>
        <w:t>s</w:t>
      </w:r>
      <w:r w:rsidR="0020704B">
        <w:rPr>
          <w:rStyle w:val="EnfasiChar"/>
        </w:rPr>
        <w:t>’</w:t>
      </w:r>
      <w:r w:rsidR="006B2FC8" w:rsidRPr="00BD1C03">
        <w:rPr>
          <w:rStyle w:val="EnfasiChar"/>
        </w:rPr>
        <w:t xml:space="preserve"> </w:t>
      </w:r>
      <w:r w:rsidRPr="00BD1C03">
        <w:rPr>
          <w:rStyle w:val="EnfasiChar"/>
        </w:rPr>
        <w:t xml:space="preserve">ability </w:t>
      </w:r>
      <w:r w:rsidR="006C50AD" w:rsidRPr="00BD1C03">
        <w:rPr>
          <w:rStyle w:val="EnfasiChar"/>
        </w:rPr>
        <w:t>to engage</w:t>
      </w:r>
      <w:r w:rsidR="00462914" w:rsidRPr="00BD1C03">
        <w:rPr>
          <w:rStyle w:val="EnfasiChar"/>
        </w:rPr>
        <w:t xml:space="preserve"> </w:t>
      </w:r>
      <w:r w:rsidRPr="00BD1C03">
        <w:rPr>
          <w:rStyle w:val="EnfasiChar"/>
        </w:rPr>
        <w:t xml:space="preserve">with </w:t>
      </w:r>
      <w:proofErr w:type="spellStart"/>
      <w:r w:rsidR="00462914" w:rsidRPr="00BD1C03">
        <w:rPr>
          <w:rStyle w:val="EnfasiChar"/>
        </w:rPr>
        <w:t>GoI</w:t>
      </w:r>
      <w:proofErr w:type="spellEnd"/>
      <w:r w:rsidR="00462914" w:rsidRPr="00BD1C03">
        <w:rPr>
          <w:rStyle w:val="EnfasiChar"/>
        </w:rPr>
        <w:t xml:space="preserve"> </w:t>
      </w:r>
      <w:r w:rsidR="007A5780" w:rsidRPr="00BD1C03">
        <w:rPr>
          <w:rStyle w:val="EnfasiChar"/>
        </w:rPr>
        <w:t>officials var</w:t>
      </w:r>
      <w:r w:rsidRPr="00BD1C03">
        <w:rPr>
          <w:rStyle w:val="EnfasiChar"/>
        </w:rPr>
        <w:t>ies</w:t>
      </w:r>
      <w:r w:rsidR="007A5780" w:rsidRPr="00BD1C03">
        <w:rPr>
          <w:rStyle w:val="EnfasiChar"/>
        </w:rPr>
        <w:t xml:space="preserve"> </w:t>
      </w:r>
      <w:r w:rsidR="00266B85" w:rsidRPr="00BD1C03">
        <w:rPr>
          <w:rStyle w:val="EnfasiChar"/>
        </w:rPr>
        <w:t xml:space="preserve">across </w:t>
      </w:r>
      <w:r w:rsidR="00462914" w:rsidRPr="00BD1C03">
        <w:rPr>
          <w:rStyle w:val="EnfasiChar"/>
        </w:rPr>
        <w:t>geographic areas</w:t>
      </w:r>
      <w:r w:rsidR="00462914" w:rsidRPr="00BD1C03">
        <w:rPr>
          <w:b/>
          <w:bCs/>
        </w:rPr>
        <w:t xml:space="preserve"> </w:t>
      </w:r>
      <w:r w:rsidR="00462914" w:rsidRPr="00BD1C03">
        <w:t>and</w:t>
      </w:r>
      <w:r w:rsidRPr="00BD1C03">
        <w:t xml:space="preserve"> </w:t>
      </w:r>
      <w:r w:rsidR="00F55714" w:rsidRPr="00BD1C03">
        <w:t>is</w:t>
      </w:r>
      <w:r w:rsidR="007A5780" w:rsidRPr="00BD1C03">
        <w:t xml:space="preserve"> </w:t>
      </w:r>
      <w:r w:rsidR="00462914" w:rsidRPr="00BD1C03">
        <w:t xml:space="preserve">complicated by the high turnover of senior staff at </w:t>
      </w:r>
      <w:r w:rsidRPr="00BD1C03">
        <w:t xml:space="preserve">the </w:t>
      </w:r>
      <w:r w:rsidR="00462914" w:rsidRPr="00BD1C03">
        <w:t>central and governorate levels</w:t>
      </w:r>
      <w:r w:rsidR="007A5780" w:rsidRPr="00BD1C03">
        <w:t xml:space="preserve">. </w:t>
      </w:r>
      <w:r w:rsidR="005071A6" w:rsidRPr="00BD1C03">
        <w:t>Mult</w:t>
      </w:r>
      <w:r w:rsidR="00801429" w:rsidRPr="00BD1C03">
        <w:t>i</w:t>
      </w:r>
      <w:r w:rsidR="005071A6" w:rsidRPr="00BD1C03">
        <w:t>lateral p</w:t>
      </w:r>
      <w:r w:rsidR="00955B33" w:rsidRPr="00BD1C03">
        <w:t>artners</w:t>
      </w:r>
      <w:r w:rsidR="00F55714" w:rsidRPr="00BD1C03">
        <w:t xml:space="preserve"> consulted demonstrated</w:t>
      </w:r>
      <w:r w:rsidR="00955B33" w:rsidRPr="00BD1C03">
        <w:t xml:space="preserve"> </w:t>
      </w:r>
      <w:r w:rsidR="005E0591" w:rsidRPr="00BD1C03">
        <w:t xml:space="preserve">high levels of engagement with </w:t>
      </w:r>
      <w:r w:rsidR="007A5780" w:rsidRPr="00BD1C03">
        <w:t xml:space="preserve">their </w:t>
      </w:r>
      <w:proofErr w:type="spellStart"/>
      <w:r w:rsidR="00955B33" w:rsidRPr="00BD1C03">
        <w:t>GoI</w:t>
      </w:r>
      <w:proofErr w:type="spellEnd"/>
      <w:r w:rsidR="0083360F" w:rsidRPr="00BD1C03">
        <w:t xml:space="preserve"> counterparts</w:t>
      </w:r>
      <w:r w:rsidR="00FC035A" w:rsidRPr="00BD1C03">
        <w:t xml:space="preserve"> in order to facilitate sustainability</w:t>
      </w:r>
      <w:r w:rsidR="007A5780" w:rsidRPr="00BD1C03">
        <w:t xml:space="preserve">, though </w:t>
      </w:r>
      <w:r w:rsidR="005071A6" w:rsidRPr="00BD1C03">
        <w:t>were</w:t>
      </w:r>
      <w:r w:rsidR="007A5780" w:rsidRPr="00BD1C03">
        <w:t xml:space="preserve"> open about </w:t>
      </w:r>
      <w:r w:rsidR="00FC035A" w:rsidRPr="00BD1C03">
        <w:t>the</w:t>
      </w:r>
      <w:r w:rsidR="00801429" w:rsidRPr="00BD1C03">
        <w:t xml:space="preserve"> challenges</w:t>
      </w:r>
      <w:r w:rsidR="00F55714" w:rsidRPr="00BD1C03">
        <w:t xml:space="preserve">. </w:t>
      </w:r>
      <w:r w:rsidR="00FC035A" w:rsidRPr="00BD1C03">
        <w:t>T</w:t>
      </w:r>
      <w:r w:rsidR="00955B33" w:rsidRPr="00BD1C03">
        <w:t>he BPF consortium and IOM have demonstrated investment in and support to DPO</w:t>
      </w:r>
      <w:r w:rsidR="0072756F" w:rsidRPr="00BD1C03">
        <w:t xml:space="preserve"> and </w:t>
      </w:r>
      <w:r w:rsidR="00955B33" w:rsidRPr="00BD1C03">
        <w:t>CSOs to advance disability rights and social cohesion objectives.</w:t>
      </w:r>
    </w:p>
    <w:p w14:paraId="07B950BC" w14:textId="0A64FA50" w:rsidR="009B405E" w:rsidRPr="000B478B" w:rsidRDefault="00572C61" w:rsidP="00572C61">
      <w:pPr>
        <w:pStyle w:val="Heading2"/>
        <w:numPr>
          <w:ilvl w:val="1"/>
          <w:numId w:val="5"/>
        </w:numPr>
        <w:rPr>
          <w:sz w:val="40"/>
          <w:szCs w:val="40"/>
        </w:rPr>
      </w:pPr>
      <w:r>
        <w:t xml:space="preserve"> </w:t>
      </w:r>
      <w:r w:rsidR="009B405E" w:rsidRPr="000B478B">
        <w:rPr>
          <w:sz w:val="40"/>
          <w:szCs w:val="40"/>
        </w:rPr>
        <w:t>Efficiency</w:t>
      </w:r>
    </w:p>
    <w:p w14:paraId="61825917" w14:textId="7DDFFD67" w:rsidR="00F77494" w:rsidRPr="00BD1C03" w:rsidRDefault="00020249" w:rsidP="006D5220">
      <w:pPr>
        <w:rPr>
          <w:color w:val="1F497D" w:themeColor="text2"/>
        </w:rPr>
      </w:pPr>
      <w:r w:rsidRPr="00BD1C03">
        <w:rPr>
          <w:rStyle w:val="EnfasiChar"/>
        </w:rPr>
        <w:t>Reaching firm</w:t>
      </w:r>
      <w:r w:rsidR="00266B85" w:rsidRPr="00BD1C03">
        <w:rPr>
          <w:rStyle w:val="EnfasiChar"/>
        </w:rPr>
        <w:t xml:space="preserve"> </w:t>
      </w:r>
      <w:r w:rsidRPr="00BD1C03">
        <w:rPr>
          <w:rStyle w:val="EnfasiChar"/>
        </w:rPr>
        <w:t xml:space="preserve">conclusions in relation to efficiency of Package investments is difficult </w:t>
      </w:r>
      <w:r w:rsidR="00BB357D" w:rsidRPr="00BD1C03">
        <w:rPr>
          <w:rStyle w:val="EnfasiChar"/>
        </w:rPr>
        <w:t xml:space="preserve">due to </w:t>
      </w:r>
      <w:r w:rsidR="00266B85" w:rsidRPr="00BD1C03">
        <w:rPr>
          <w:rStyle w:val="EnfasiChar"/>
        </w:rPr>
        <w:t xml:space="preserve">nature of </w:t>
      </w:r>
      <w:r w:rsidR="00F33782" w:rsidRPr="00BD1C03">
        <w:rPr>
          <w:rStyle w:val="EnfasiChar"/>
        </w:rPr>
        <w:t>un</w:t>
      </w:r>
      <w:r w:rsidR="000B51B4">
        <w:rPr>
          <w:rStyle w:val="EnfasiChar"/>
        </w:rPr>
        <w:t>ear</w:t>
      </w:r>
      <w:r w:rsidR="00F33782" w:rsidRPr="00BD1C03">
        <w:rPr>
          <w:rStyle w:val="EnfasiChar"/>
        </w:rPr>
        <w:t>marked</w:t>
      </w:r>
      <w:r w:rsidR="00266B85" w:rsidRPr="00BD1C03">
        <w:rPr>
          <w:rStyle w:val="EnfasiChar"/>
        </w:rPr>
        <w:t xml:space="preserve"> funding</w:t>
      </w:r>
      <w:r w:rsidR="00BB357D" w:rsidRPr="00BD1C03">
        <w:rPr>
          <w:rStyle w:val="EnfasiChar"/>
        </w:rPr>
        <w:t xml:space="preserve"> and related reporting</w:t>
      </w:r>
      <w:r w:rsidR="00266B85" w:rsidRPr="00BD1C03">
        <w:t>.</w:t>
      </w:r>
      <w:r w:rsidRPr="00BD1C03">
        <w:t xml:space="preserve"> </w:t>
      </w:r>
      <w:r w:rsidR="00F77494" w:rsidRPr="00BD1C03">
        <w:t xml:space="preserve">This makes it difficult for this review to reach meaningful conclusions in relation to the budget and timeline status of investments. </w:t>
      </w:r>
      <w:r w:rsidR="00BB357D" w:rsidRPr="00BD1C03">
        <w:t>However</w:t>
      </w:r>
      <w:r w:rsidR="0020704B">
        <w:t>,</w:t>
      </w:r>
      <w:r w:rsidR="00BB357D" w:rsidRPr="00BD1C03">
        <w:t xml:space="preserve"> </w:t>
      </w:r>
      <w:r w:rsidR="0020704B">
        <w:t>annual PPA</w:t>
      </w:r>
      <w:r w:rsidR="00F77494" w:rsidRPr="00BD1C03">
        <w:t xml:space="preserve">s are undertaken which review individual partner performance over the preceding </w:t>
      </w:r>
      <w:r w:rsidR="00F33782" w:rsidRPr="00BD1C03">
        <w:t>12-month</w:t>
      </w:r>
      <w:r w:rsidR="00F77494" w:rsidRPr="00BD1C03">
        <w:t xml:space="preserve"> period. These point to relatively strong performance among partners in terms of value for money and alignment with DFAT priorities. </w:t>
      </w:r>
    </w:p>
    <w:p w14:paraId="0CCC0BF8" w14:textId="5E88AD41" w:rsidR="00CF1061" w:rsidRPr="00BD1C03" w:rsidRDefault="0020704B" w:rsidP="0008435D">
      <w:r w:rsidRPr="00BD1C03">
        <w:t>Partners’</w:t>
      </w:r>
      <w:r w:rsidR="009D1B3C" w:rsidRPr="00BD1C03">
        <w:t xml:space="preserve"> interviews expressed a strong appreciation for Australia’s </w:t>
      </w:r>
      <w:r>
        <w:t>commitment to multi-year funding;</w:t>
      </w:r>
      <w:r w:rsidR="009D1B3C" w:rsidRPr="00BD1C03">
        <w:t xml:space="preserve"> in terms of its contribution to programming effectiveness, efficiency and enabling of sustainable outcomes. </w:t>
      </w:r>
      <w:r w:rsidR="009F4B4C" w:rsidRPr="00BD1C03">
        <w:t xml:space="preserve">Multi-year funding was </w:t>
      </w:r>
      <w:r w:rsidR="00045D3F" w:rsidRPr="00BD1C03">
        <w:t xml:space="preserve">further </w:t>
      </w:r>
      <w:r w:rsidR="009F4B4C" w:rsidRPr="00BD1C03">
        <w:t>cited as aiding staffing continuity and retention an</w:t>
      </w:r>
      <w:r w:rsidR="009B405E" w:rsidRPr="00BD1C03">
        <w:t>d</w:t>
      </w:r>
      <w:r w:rsidR="009F4B4C" w:rsidRPr="00BD1C03">
        <w:t xml:space="preserve"> key to </w:t>
      </w:r>
      <w:r w:rsidR="009B405E" w:rsidRPr="00BD1C03">
        <w:t>building</w:t>
      </w:r>
      <w:r w:rsidR="009F4B4C" w:rsidRPr="00BD1C03">
        <w:t xml:space="preserve"> relationships with local officials. </w:t>
      </w:r>
      <w:r w:rsidR="009B405E" w:rsidRPr="00BD1C03">
        <w:t>T</w:t>
      </w:r>
      <w:r w:rsidR="009F4B4C" w:rsidRPr="00BD1C03">
        <w:t>here is limited evidence of partners contracting local partners under multi-year funding arrangements</w:t>
      </w:r>
      <w:r w:rsidR="00701B9B" w:rsidRPr="00BD1C03">
        <w:t>.</w:t>
      </w:r>
    </w:p>
    <w:p w14:paraId="37C9EA1E" w14:textId="5EE37B7E" w:rsidR="009B405E" w:rsidRPr="000B478B" w:rsidRDefault="00572C61" w:rsidP="00572C61">
      <w:pPr>
        <w:pStyle w:val="Heading2"/>
        <w:numPr>
          <w:ilvl w:val="1"/>
          <w:numId w:val="5"/>
        </w:numPr>
        <w:rPr>
          <w:sz w:val="40"/>
          <w:szCs w:val="40"/>
        </w:rPr>
      </w:pPr>
      <w:r>
        <w:t xml:space="preserve"> </w:t>
      </w:r>
      <w:r w:rsidR="009B405E" w:rsidRPr="000B478B">
        <w:rPr>
          <w:sz w:val="40"/>
          <w:szCs w:val="40"/>
        </w:rPr>
        <w:t>Monitoring and knowledge management</w:t>
      </w:r>
    </w:p>
    <w:p w14:paraId="6D1BE677" w14:textId="15F8929F" w:rsidR="000F2162" w:rsidRPr="00BD1C03" w:rsidRDefault="000F2162" w:rsidP="006D5220">
      <w:r w:rsidRPr="00BD1C03">
        <w:rPr>
          <w:rStyle w:val="EnfasiChar"/>
        </w:rPr>
        <w:t>DFAT requires minimal project-specific reporting from multilateral partners based on its Grand Bargain commitments</w:t>
      </w:r>
      <w:r w:rsidR="007314D1" w:rsidRPr="00BD1C03">
        <w:rPr>
          <w:b/>
          <w:bCs/>
        </w:rPr>
        <w:t xml:space="preserve"> </w:t>
      </w:r>
      <w:r w:rsidR="007314D1" w:rsidRPr="00BD1C03">
        <w:t>and works to ensure that its information needs align with existing data collection processes</w:t>
      </w:r>
      <w:r w:rsidR="00F77494" w:rsidRPr="00BD1C03">
        <w:t xml:space="preserve">. This results in </w:t>
      </w:r>
      <w:r w:rsidR="00372C3F" w:rsidRPr="00BD1C03">
        <w:t>significant</w:t>
      </w:r>
      <w:r w:rsidRPr="00BD1C03">
        <w:t xml:space="preserve"> </w:t>
      </w:r>
      <w:r w:rsidR="00F77494" w:rsidRPr="00BD1C03">
        <w:t>variation</w:t>
      </w:r>
      <w:r w:rsidRPr="00BD1C03">
        <w:t xml:space="preserve"> in</w:t>
      </w:r>
      <w:r w:rsidR="00045D3F" w:rsidRPr="00BD1C03">
        <w:t xml:space="preserve"> reporting provided</w:t>
      </w:r>
      <w:r w:rsidRPr="00BD1C03">
        <w:t xml:space="preserve"> in terms of quality, focus and depth</w:t>
      </w:r>
      <w:r w:rsidR="00F77494" w:rsidRPr="00BD1C03">
        <w:t xml:space="preserve"> and </w:t>
      </w:r>
      <w:r w:rsidRPr="00BD1C03">
        <w:t xml:space="preserve">an uneven line of sight on the performance of different partners. </w:t>
      </w:r>
      <w:r w:rsidR="00266B85" w:rsidRPr="00BD1C03">
        <w:t>Partner r</w:t>
      </w:r>
      <w:r w:rsidRPr="00BD1C03">
        <w:t xml:space="preserve">eporting is </w:t>
      </w:r>
      <w:r w:rsidR="00266B85" w:rsidRPr="00BD1C03">
        <w:t xml:space="preserve">less than </w:t>
      </w:r>
      <w:r w:rsidRPr="00BD1C03">
        <w:t>adequate in relation to AAP</w:t>
      </w:r>
      <w:r w:rsidR="00E04199" w:rsidRPr="00BD1C03">
        <w:t xml:space="preserve"> and SADD</w:t>
      </w:r>
      <w:r w:rsidRPr="00BD1C03">
        <w:t>.</w:t>
      </w:r>
      <w:r w:rsidR="00744AB8" w:rsidRPr="00BD1C03">
        <w:t xml:space="preserve"> </w:t>
      </w:r>
      <w:r w:rsidR="00975B53" w:rsidRPr="00BD1C03">
        <w:t>M</w:t>
      </w:r>
      <w:r w:rsidR="007A5354" w:rsidRPr="00BD1C03">
        <w:t xml:space="preserve">onitoring by partners and DFAT itself is </w:t>
      </w:r>
      <w:r w:rsidR="00266B85" w:rsidRPr="00BD1C03">
        <w:t>impeded</w:t>
      </w:r>
      <w:r w:rsidR="007A5354" w:rsidRPr="00BD1C03">
        <w:t xml:space="preserve"> by security </w:t>
      </w:r>
      <w:r w:rsidR="007314D1" w:rsidRPr="00BD1C03">
        <w:t xml:space="preserve">and access </w:t>
      </w:r>
      <w:r w:rsidR="007A5354" w:rsidRPr="00BD1C03">
        <w:t>considerations</w:t>
      </w:r>
      <w:r w:rsidR="00045D3F" w:rsidRPr="00BD1C03">
        <w:t xml:space="preserve">, </w:t>
      </w:r>
      <w:r w:rsidR="007A5354" w:rsidRPr="00BD1C03">
        <w:t>which exacerbates monitoring and reporting challenges.</w:t>
      </w:r>
    </w:p>
    <w:p w14:paraId="7CD67B59" w14:textId="0C3BA47D" w:rsidR="000F2162" w:rsidRPr="00BD1C03" w:rsidRDefault="00300316" w:rsidP="0008435D">
      <w:r w:rsidRPr="00BD1C03">
        <w:rPr>
          <w:rStyle w:val="EnfasiChar"/>
        </w:rPr>
        <w:t xml:space="preserve">Given </w:t>
      </w:r>
      <w:r w:rsidR="007314D1" w:rsidRPr="00BD1C03">
        <w:rPr>
          <w:rStyle w:val="EnfasiChar"/>
        </w:rPr>
        <w:t xml:space="preserve">the </w:t>
      </w:r>
      <w:r w:rsidRPr="00BD1C03">
        <w:rPr>
          <w:rStyle w:val="EnfasiChar"/>
        </w:rPr>
        <w:t xml:space="preserve">M&amp;E challenges, the </w:t>
      </w:r>
      <w:r w:rsidR="007314D1" w:rsidRPr="00BD1C03">
        <w:rPr>
          <w:rStyle w:val="EnfasiChar"/>
        </w:rPr>
        <w:t>role of the Iraq-based</w:t>
      </w:r>
      <w:r w:rsidR="004726EA" w:rsidRPr="00BD1C03">
        <w:rPr>
          <w:rStyle w:val="EnfasiChar"/>
        </w:rPr>
        <w:t xml:space="preserve"> </w:t>
      </w:r>
      <w:r w:rsidR="000F2162" w:rsidRPr="00BD1C03">
        <w:rPr>
          <w:rStyle w:val="EnfasiChar"/>
        </w:rPr>
        <w:t>Humanitarian Officer</w:t>
      </w:r>
      <w:r w:rsidRPr="00BD1C03">
        <w:rPr>
          <w:rStyle w:val="EnfasiChar"/>
        </w:rPr>
        <w:t xml:space="preserve"> is key</w:t>
      </w:r>
      <w:r w:rsidRPr="00BD1C03">
        <w:t xml:space="preserve"> in </w:t>
      </w:r>
      <w:r w:rsidR="000F2162" w:rsidRPr="00BD1C03">
        <w:t>engag</w:t>
      </w:r>
      <w:r w:rsidRPr="00BD1C03">
        <w:t xml:space="preserve">ing partners, </w:t>
      </w:r>
      <w:r w:rsidR="00E04199" w:rsidRPr="00BD1C03">
        <w:t xml:space="preserve">representation in </w:t>
      </w:r>
      <w:r w:rsidR="000F2162" w:rsidRPr="00BD1C03">
        <w:t xml:space="preserve">coordination </w:t>
      </w:r>
      <w:r w:rsidR="007314D1" w:rsidRPr="00BD1C03">
        <w:t>fora and</w:t>
      </w:r>
      <w:r w:rsidRPr="00BD1C03">
        <w:t xml:space="preserve"> triangulating </w:t>
      </w:r>
      <w:r w:rsidR="007314D1" w:rsidRPr="00BD1C03">
        <w:t xml:space="preserve">reported results through consultations with relevant stakeholders. </w:t>
      </w:r>
      <w:r w:rsidRPr="00BD1C03">
        <w:t xml:space="preserve">This role </w:t>
      </w:r>
      <w:r w:rsidR="00A453B3" w:rsidRPr="00BD1C03">
        <w:t>further</w:t>
      </w:r>
      <w:r w:rsidRPr="00BD1C03">
        <w:t xml:space="preserve"> </w:t>
      </w:r>
      <w:r w:rsidR="00BD6587" w:rsidRPr="00BD1C03">
        <w:t>facilitate</w:t>
      </w:r>
      <w:r w:rsidR="00A453B3" w:rsidRPr="00BD1C03">
        <w:t>s</w:t>
      </w:r>
      <w:r w:rsidR="00BD6587" w:rsidRPr="00BD1C03">
        <w:t xml:space="preserve"> </w:t>
      </w:r>
      <w:r w:rsidRPr="00BD1C03">
        <w:t xml:space="preserve">opportunities to work with </w:t>
      </w:r>
      <w:r w:rsidR="000F2162" w:rsidRPr="00BD1C03">
        <w:t xml:space="preserve">likeminded donors </w:t>
      </w:r>
      <w:r w:rsidR="00A453B3" w:rsidRPr="00BD1C03">
        <w:t>to advance</w:t>
      </w:r>
      <w:r w:rsidR="000F2162" w:rsidRPr="00BD1C03">
        <w:t xml:space="preserve"> issues of common interest. </w:t>
      </w:r>
    </w:p>
    <w:p w14:paraId="477714FE" w14:textId="23CAF7A2" w:rsidR="000F2162" w:rsidRPr="00BD1C03" w:rsidRDefault="00701B9B" w:rsidP="0008435D">
      <w:r w:rsidRPr="00BD1C03">
        <w:rPr>
          <w:rStyle w:val="EnfasiChar"/>
        </w:rPr>
        <w:t>Like-minded</w:t>
      </w:r>
      <w:r w:rsidR="000F2162" w:rsidRPr="00BD1C03">
        <w:rPr>
          <w:rStyle w:val="EnfasiChar"/>
        </w:rPr>
        <w:t xml:space="preserve"> donors </w:t>
      </w:r>
      <w:r w:rsidR="00BD6587" w:rsidRPr="00BD1C03">
        <w:rPr>
          <w:rStyle w:val="EnfasiChar"/>
        </w:rPr>
        <w:t xml:space="preserve">and agencies </w:t>
      </w:r>
      <w:r w:rsidR="000F2162" w:rsidRPr="00BD1C03">
        <w:rPr>
          <w:rStyle w:val="EnfasiChar"/>
        </w:rPr>
        <w:t>sp</w:t>
      </w:r>
      <w:r w:rsidR="00BD6587" w:rsidRPr="00BD1C03">
        <w:rPr>
          <w:rStyle w:val="EnfasiChar"/>
        </w:rPr>
        <w:t>oke</w:t>
      </w:r>
      <w:r w:rsidR="000F2162" w:rsidRPr="00BD1C03">
        <w:rPr>
          <w:rStyle w:val="EnfasiChar"/>
        </w:rPr>
        <w:t xml:space="preserve"> </w:t>
      </w:r>
      <w:r w:rsidR="00372C3F" w:rsidRPr="00BD1C03">
        <w:rPr>
          <w:rStyle w:val="EnfasiChar"/>
        </w:rPr>
        <w:t xml:space="preserve">to </w:t>
      </w:r>
      <w:r w:rsidR="000F2162" w:rsidRPr="00BD1C03">
        <w:rPr>
          <w:rStyle w:val="EnfasiChar"/>
        </w:rPr>
        <w:t>the efficacy of third party monitoring</w:t>
      </w:r>
      <w:r w:rsidR="000F2162" w:rsidRPr="00BD1C03">
        <w:t xml:space="preserve"> in the Iraq context</w:t>
      </w:r>
      <w:r w:rsidR="007A5354" w:rsidRPr="00BD1C03">
        <w:t>, its critical contribution to</w:t>
      </w:r>
      <w:r w:rsidR="000F2162" w:rsidRPr="00BD1C03">
        <w:t xml:space="preserve"> </w:t>
      </w:r>
      <w:r w:rsidR="007A5354" w:rsidRPr="00BD1C03">
        <w:t xml:space="preserve">helping </w:t>
      </w:r>
      <w:r w:rsidR="000F2162" w:rsidRPr="00BD1C03">
        <w:t>determine the quality and effectiveness of field level performance, a</w:t>
      </w:r>
      <w:r w:rsidR="00266B85" w:rsidRPr="00BD1C03">
        <w:t>s well as</w:t>
      </w:r>
      <w:r w:rsidR="00372C3F" w:rsidRPr="00BD1C03">
        <w:t xml:space="preserve"> contribut</w:t>
      </w:r>
      <w:r w:rsidR="009F74D3" w:rsidRPr="00BD1C03">
        <w:t>e</w:t>
      </w:r>
      <w:r w:rsidR="00372C3F" w:rsidRPr="00BD1C03">
        <w:t xml:space="preserve"> to </w:t>
      </w:r>
      <w:r w:rsidR="000F2162" w:rsidRPr="00BD1C03">
        <w:t>AAP</w:t>
      </w:r>
      <w:r w:rsidR="009F74D3" w:rsidRPr="00BD1C03">
        <w:t xml:space="preserve"> objectives</w:t>
      </w:r>
      <w:r w:rsidR="000F2162" w:rsidRPr="00BD1C03">
        <w:t>.</w:t>
      </w:r>
    </w:p>
    <w:p w14:paraId="6044BD61" w14:textId="3E3A57A2" w:rsidR="00CF1061" w:rsidRPr="00BD1C03" w:rsidRDefault="006E1061" w:rsidP="0008435D">
      <w:r w:rsidRPr="00BD1C03">
        <w:rPr>
          <w:rStyle w:val="EnfasiChar"/>
        </w:rPr>
        <w:t xml:space="preserve">The </w:t>
      </w:r>
      <w:r w:rsidR="00BD6587" w:rsidRPr="00BD1C03">
        <w:rPr>
          <w:rStyle w:val="EnfasiChar"/>
        </w:rPr>
        <w:t>reliance on</w:t>
      </w:r>
      <w:r w:rsidRPr="00BD1C03">
        <w:rPr>
          <w:rStyle w:val="EnfasiChar"/>
        </w:rPr>
        <w:t xml:space="preserve"> IDP returns as an</w:t>
      </w:r>
      <w:r w:rsidR="006C5B3C" w:rsidRPr="00BD1C03">
        <w:rPr>
          <w:rStyle w:val="EnfasiChar"/>
        </w:rPr>
        <w:t xml:space="preserve"> M&amp;E</w:t>
      </w:r>
      <w:r w:rsidRPr="00BD1C03">
        <w:rPr>
          <w:rStyle w:val="EnfasiChar"/>
        </w:rPr>
        <w:t xml:space="preserve"> indicator is unusual and proved problematic</w:t>
      </w:r>
      <w:r w:rsidRPr="00BD1C03">
        <w:t xml:space="preserve"> due to the multiplicity of factors affecting returns</w:t>
      </w:r>
      <w:r w:rsidR="00BD6587" w:rsidRPr="00BD1C03">
        <w:t xml:space="preserve"> and lack of grounding in rights-based language </w:t>
      </w:r>
      <w:r w:rsidR="0037148E" w:rsidRPr="00BD1C03">
        <w:t>– v</w:t>
      </w:r>
      <w:r w:rsidR="00BD6587" w:rsidRPr="00BD1C03">
        <w:t>oluntary, safe and dignifie</w:t>
      </w:r>
      <w:r w:rsidR="0037148E" w:rsidRPr="00BD1C03">
        <w:t>d</w:t>
      </w:r>
      <w:r w:rsidR="00BD6587" w:rsidRPr="00BD1C03">
        <w:t xml:space="preserve">. </w:t>
      </w:r>
    </w:p>
    <w:p w14:paraId="342A9744" w14:textId="57C1D127" w:rsidR="00975B53" w:rsidRPr="00BD1C03" w:rsidRDefault="00975B53" w:rsidP="0008435D">
      <w:pPr>
        <w:rPr>
          <w:rStyle w:val="Heading4Char"/>
          <w:rFonts w:ascii="Calibri" w:eastAsiaTheme="minorEastAsia" w:hAnsi="Calibri" w:cs="Calibri Light"/>
          <w:i w:val="0"/>
          <w:iCs w:val="0"/>
          <w:color w:val="auto"/>
          <w:szCs w:val="22"/>
        </w:rPr>
      </w:pPr>
      <w:r w:rsidRPr="00BD1C03">
        <w:rPr>
          <w:rStyle w:val="EnfasiChar"/>
        </w:rPr>
        <w:t>The lack of clear alignment between DFAT internal guidance and IASC protection standards is impeding M&amp;E efforts</w:t>
      </w:r>
      <w:r w:rsidRPr="00BD1C03">
        <w:t>, which is observable in the M&amp;E tools and has a flow on effect in terms of accurately framing and capturing results.</w:t>
      </w:r>
    </w:p>
    <w:p w14:paraId="49A1A8C4" w14:textId="580585F6" w:rsidR="006E6C44" w:rsidRPr="000B478B" w:rsidRDefault="00572C61" w:rsidP="00572C61">
      <w:pPr>
        <w:pStyle w:val="Heading2"/>
        <w:numPr>
          <w:ilvl w:val="1"/>
          <w:numId w:val="5"/>
        </w:numPr>
        <w:rPr>
          <w:sz w:val="40"/>
          <w:szCs w:val="40"/>
        </w:rPr>
      </w:pPr>
      <w:r>
        <w:t xml:space="preserve"> </w:t>
      </w:r>
      <w:r w:rsidR="006E6C44" w:rsidRPr="000B478B">
        <w:rPr>
          <w:sz w:val="40"/>
          <w:szCs w:val="40"/>
        </w:rPr>
        <w:t>Women, Peace and Security</w:t>
      </w:r>
      <w:r w:rsidR="004726EA" w:rsidRPr="000B478B">
        <w:rPr>
          <w:sz w:val="40"/>
          <w:szCs w:val="40"/>
        </w:rPr>
        <w:t xml:space="preserve"> (WPS)</w:t>
      </w:r>
    </w:p>
    <w:p w14:paraId="675666E9" w14:textId="03C71BF6" w:rsidR="00C16B6A" w:rsidRPr="00BD1C03" w:rsidRDefault="00F77494" w:rsidP="00C62B65">
      <w:pPr>
        <w:spacing w:before="240"/>
        <w:rPr>
          <w:rFonts w:asciiTheme="majorHAnsi" w:hAnsiTheme="majorHAnsi"/>
          <w:i/>
          <w:iCs/>
          <w:color w:val="1F497D" w:themeColor="text2"/>
        </w:rPr>
      </w:pPr>
      <w:r w:rsidRPr="00BD1C03">
        <w:rPr>
          <w:rStyle w:val="EnfasiChar"/>
        </w:rPr>
        <w:t>Australia and the Ambassador in particular have contributed to strengthening the protective environment for women and girls in Iraq through a strategic approach to GEWE</w:t>
      </w:r>
      <w:r w:rsidRPr="00BD1C03">
        <w:t xml:space="preserve">, investment in dedicated programs and mainstreaming through assistance. Looking forward, advancing the WPS agenda in Iraq will require increased attention to women’s meaningful participation. This should include facilitating space for evidence-based dialogue with key stakeholders that gender equality reduces conflict risk and the inclusion of women leads to more durable and quality peace. WPS civil society in particular would benefit from more targeted capacity building measures including access to </w:t>
      </w:r>
      <w:r w:rsidR="0020704B" w:rsidRPr="00BD1C03">
        <w:t>small-scale</w:t>
      </w:r>
      <w:r w:rsidRPr="00BD1C03">
        <w:t xml:space="preserve"> grants.</w:t>
      </w:r>
    </w:p>
    <w:p w14:paraId="0CAEE74E" w14:textId="66F10B80" w:rsidR="00CE6396" w:rsidRPr="000B478B" w:rsidRDefault="00572C61" w:rsidP="00572C61">
      <w:pPr>
        <w:pStyle w:val="Heading2"/>
        <w:numPr>
          <w:ilvl w:val="1"/>
          <w:numId w:val="5"/>
        </w:numPr>
        <w:rPr>
          <w:sz w:val="40"/>
          <w:szCs w:val="40"/>
        </w:rPr>
      </w:pPr>
      <w:r w:rsidRPr="000B478B">
        <w:rPr>
          <w:sz w:val="40"/>
          <w:szCs w:val="40"/>
        </w:rPr>
        <w:t xml:space="preserve"> </w:t>
      </w:r>
      <w:r w:rsidR="00801429" w:rsidRPr="000B478B">
        <w:rPr>
          <w:sz w:val="40"/>
          <w:szCs w:val="40"/>
        </w:rPr>
        <w:t xml:space="preserve">Australia’s </w:t>
      </w:r>
      <w:r w:rsidR="00DE5496" w:rsidRPr="000B478B">
        <w:rPr>
          <w:sz w:val="40"/>
          <w:szCs w:val="40"/>
        </w:rPr>
        <w:t>n</w:t>
      </w:r>
      <w:r w:rsidR="00CE6396" w:rsidRPr="000B478B">
        <w:rPr>
          <w:sz w:val="40"/>
          <w:szCs w:val="40"/>
        </w:rPr>
        <w:t xml:space="preserve">ational </w:t>
      </w:r>
      <w:r w:rsidR="00DE5496" w:rsidRPr="000B478B">
        <w:rPr>
          <w:sz w:val="40"/>
          <w:szCs w:val="40"/>
        </w:rPr>
        <w:t>i</w:t>
      </w:r>
      <w:r w:rsidR="00CE6396" w:rsidRPr="000B478B">
        <w:rPr>
          <w:sz w:val="40"/>
          <w:szCs w:val="40"/>
        </w:rPr>
        <w:t xml:space="preserve">nterest </w:t>
      </w:r>
    </w:p>
    <w:p w14:paraId="7F27461C" w14:textId="4292706C" w:rsidR="007314D1" w:rsidRPr="00BD1C03" w:rsidRDefault="007314D1" w:rsidP="006D5220">
      <w:r w:rsidRPr="00BD1C03">
        <w:rPr>
          <w:rStyle w:val="EnfasiChar"/>
        </w:rPr>
        <w:t>Without minimising the importance of the humanitarian imperative and adherence to GHD principles, there is wide recognition that continued assistance to Iraq is critical to pave the necessary conditions for stability and peace.</w:t>
      </w:r>
      <w:r w:rsidRPr="00BD1C03">
        <w:t xml:space="preserve"> DFAT interviewees further noted the importance of the Package investments in facilitating Australia’s seat at the table in strategic discussions and forums to advocate on WPS and humanitarian reform among other priorities. Continued support to Iraq aligns with Australia’s seat on the Human Right Council (HRC) and commitment to advancing gender equality and respect for human rights in recogn</w:t>
      </w:r>
      <w:r w:rsidR="00F41CC4">
        <w:t>ition of the role they play in “</w:t>
      </w:r>
      <w:r w:rsidRPr="00BD1C03">
        <w:t xml:space="preserve">making Australia and </w:t>
      </w:r>
      <w:r w:rsidR="00F41CC4">
        <w:t>the world safer and more secure”</w:t>
      </w:r>
      <w:r w:rsidRPr="00BD1C03">
        <w:t>.</w:t>
      </w:r>
      <w:r w:rsidRPr="00BD1C03">
        <w:rPr>
          <w:rStyle w:val="EndnoteReference"/>
          <w:rFonts w:ascii="Calibri Light" w:hAnsi="Calibri Light" w:cs="Calibri Light"/>
        </w:rPr>
        <w:endnoteReference w:id="93"/>
      </w:r>
      <w:r w:rsidRPr="00BD1C03">
        <w:t xml:space="preserve"> </w:t>
      </w:r>
    </w:p>
    <w:p w14:paraId="0AC784BA" w14:textId="20B9AE9D" w:rsidR="00EB09EE" w:rsidRPr="00BD1C03" w:rsidRDefault="00EB09EE" w:rsidP="0008435D">
      <w:pPr>
        <w:spacing w:after="120"/>
        <w:rPr>
          <w:rFonts w:asciiTheme="majorHAnsi" w:hAnsiTheme="majorHAnsi" w:cstheme="majorHAnsi"/>
          <w:szCs w:val="22"/>
        </w:rPr>
      </w:pPr>
    </w:p>
    <w:p w14:paraId="062E3E69" w14:textId="77777777" w:rsidR="00372C3F" w:rsidRPr="00BD1C03" w:rsidRDefault="00372C3F" w:rsidP="0008435D">
      <w:pPr>
        <w:rPr>
          <w:rFonts w:asciiTheme="majorHAnsi" w:eastAsiaTheme="majorEastAsia" w:hAnsiTheme="majorHAnsi" w:cstheme="majorBidi"/>
          <w:b/>
          <w:bCs/>
          <w:color w:val="243F60" w:themeColor="accent1" w:themeShade="7F"/>
          <w:sz w:val="24"/>
        </w:rPr>
      </w:pPr>
      <w:r w:rsidRPr="00BD1C03">
        <w:rPr>
          <w:b/>
          <w:bCs/>
        </w:rPr>
        <w:br w:type="page"/>
      </w:r>
    </w:p>
    <w:p w14:paraId="5C3AF07D" w14:textId="0A7AEC63" w:rsidR="00CC182B" w:rsidRPr="00BD1C03" w:rsidRDefault="00D55809" w:rsidP="00572C61">
      <w:pPr>
        <w:pStyle w:val="Heading1"/>
        <w:numPr>
          <w:ilvl w:val="0"/>
          <w:numId w:val="5"/>
        </w:numPr>
      </w:pPr>
      <w:bookmarkStart w:id="13" w:name="_Toc48318503"/>
      <w:r w:rsidRPr="00BD1C03">
        <w:t>Recommendations</w:t>
      </w:r>
      <w:bookmarkEnd w:id="13"/>
    </w:p>
    <w:p w14:paraId="077EF131" w14:textId="335AAF85" w:rsidR="004A7F5F" w:rsidRPr="00BD1C03" w:rsidRDefault="004A7F5F" w:rsidP="0008435D">
      <w:r w:rsidRPr="00BD1C03">
        <w:t>Based on the above conclusions</w:t>
      </w:r>
      <w:r w:rsidR="00975B53" w:rsidRPr="00BD1C03">
        <w:t xml:space="preserve"> and results achieved</w:t>
      </w:r>
      <w:r w:rsidRPr="00BD1C03">
        <w:t xml:space="preserve">, the review </w:t>
      </w:r>
      <w:r w:rsidRPr="00BD1C03">
        <w:rPr>
          <w:b/>
          <w:bCs/>
        </w:rPr>
        <w:t xml:space="preserve">recommends a </w:t>
      </w:r>
      <w:r w:rsidR="00D241EF" w:rsidRPr="00BD1C03">
        <w:rPr>
          <w:b/>
          <w:bCs/>
        </w:rPr>
        <w:t>two-year</w:t>
      </w:r>
      <w:r w:rsidRPr="00BD1C03">
        <w:rPr>
          <w:b/>
          <w:bCs/>
        </w:rPr>
        <w:t xml:space="preserve"> extension of the current package</w:t>
      </w:r>
      <w:r w:rsidRPr="00BD1C03">
        <w:t xml:space="preserve"> to consolidate</w:t>
      </w:r>
      <w:r w:rsidR="00E04199" w:rsidRPr="00BD1C03">
        <w:t xml:space="preserve"> </w:t>
      </w:r>
      <w:r w:rsidRPr="00BD1C03">
        <w:t xml:space="preserve">humanitarian and stabilisation gains. If a </w:t>
      </w:r>
      <w:r w:rsidR="00B319B1" w:rsidRPr="00BD1C03">
        <w:t>two-year</w:t>
      </w:r>
      <w:r w:rsidRPr="00BD1C03">
        <w:t xml:space="preserve"> extension is not possible, annual funding should occur under an updated overarching strategy </w:t>
      </w:r>
      <w:r w:rsidR="00E04199" w:rsidRPr="00BD1C03">
        <w:t>to further advance protection and social cohesion objectives,</w:t>
      </w:r>
      <w:r w:rsidRPr="00BD1C03">
        <w:t xml:space="preserve"> facilitat</w:t>
      </w:r>
      <w:r w:rsidR="00E04199" w:rsidRPr="00BD1C03">
        <w:t>e</w:t>
      </w:r>
      <w:r w:rsidRPr="00BD1C03">
        <w:t xml:space="preserve"> a shift to medium-longer term programming</w:t>
      </w:r>
      <w:r w:rsidR="00E04199" w:rsidRPr="00BD1C03">
        <w:t xml:space="preserve"> </w:t>
      </w:r>
      <w:r w:rsidRPr="00BD1C03">
        <w:t xml:space="preserve">and prevent future drivers of conflict in Iraq.  Further </w:t>
      </w:r>
      <w:r w:rsidR="00E54E26" w:rsidRPr="00BD1C03">
        <w:t xml:space="preserve">specific </w:t>
      </w:r>
      <w:r w:rsidRPr="00BD1C03">
        <w:t>recommendations are outlined below.</w:t>
      </w:r>
    </w:p>
    <w:p w14:paraId="7D7C3979" w14:textId="763D75C1" w:rsidR="006E6C44" w:rsidRPr="00A84D92" w:rsidRDefault="00D33704" w:rsidP="001D2CE7">
      <w:pPr>
        <w:pStyle w:val="Enfasi"/>
      </w:pPr>
      <w:r w:rsidRPr="00A84D92">
        <w:t xml:space="preserve">12.1 </w:t>
      </w:r>
      <w:r w:rsidR="006E6C44" w:rsidRPr="00A84D92">
        <w:t>Maintain and strengthen an appropriate, relevant and effective package approach</w:t>
      </w:r>
      <w:r w:rsidR="00CD4798" w:rsidRPr="00A84D92">
        <w:t xml:space="preserve"> </w:t>
      </w:r>
      <w:r w:rsidR="00E2345A" w:rsidRPr="00A84D92">
        <w:t>through diplomatic leadership and/or programming support</w:t>
      </w:r>
      <w:r w:rsidR="00CD4798" w:rsidRPr="00A84D92">
        <w:t xml:space="preserve"> </w:t>
      </w:r>
      <w:r w:rsidR="004F6A49" w:rsidRPr="00A84D92">
        <w:t>for</w:t>
      </w:r>
      <w:r w:rsidR="00A43245" w:rsidRPr="00A84D92">
        <w:t xml:space="preserve"> the following</w:t>
      </w:r>
      <w:r w:rsidR="00A84D92">
        <w:t>:</w:t>
      </w:r>
    </w:p>
    <w:p w14:paraId="7C743FBC" w14:textId="5D860317" w:rsidR="00E2345A" w:rsidRPr="00BD1C03" w:rsidRDefault="00A84D92" w:rsidP="00CB6C52">
      <w:pPr>
        <w:spacing w:after="0"/>
        <w:rPr>
          <w:b/>
        </w:rPr>
      </w:pPr>
      <w:r w:rsidRPr="00A84D92">
        <w:rPr>
          <w:bCs/>
          <w:i/>
          <w:iCs/>
        </w:rPr>
        <w:t>12.1.1</w:t>
      </w:r>
      <w:r>
        <w:rPr>
          <w:b/>
        </w:rPr>
        <w:t xml:space="preserve"> </w:t>
      </w:r>
      <w:r w:rsidR="00CA73C9" w:rsidRPr="00BD1C03">
        <w:rPr>
          <w:b/>
        </w:rPr>
        <w:t xml:space="preserve">Advocate and maintain support for critical protection services </w:t>
      </w:r>
    </w:p>
    <w:p w14:paraId="475F6C75" w14:textId="1D3E7D01" w:rsidR="00CA73C9" w:rsidRPr="00BD1C03" w:rsidRDefault="00E2345A" w:rsidP="0008435D">
      <w:pPr>
        <w:snapToGrid w:val="0"/>
        <w:spacing w:after="120"/>
        <w:rPr>
          <w:rFonts w:ascii="Calibri Light" w:hAnsi="Calibri Light" w:cs="Calibri Light"/>
          <w:szCs w:val="22"/>
        </w:rPr>
      </w:pPr>
      <w:r w:rsidRPr="00BD1C03">
        <w:rPr>
          <w:rFonts w:ascii="Calibri Light" w:hAnsi="Calibri Light" w:cs="Calibri Light"/>
          <w:szCs w:val="22"/>
        </w:rPr>
        <w:t xml:space="preserve">This </w:t>
      </w:r>
      <w:r w:rsidR="00CA73C9" w:rsidRPr="00BD1C03">
        <w:rPr>
          <w:rFonts w:ascii="Calibri Light" w:hAnsi="Calibri Light" w:cs="Calibri Light"/>
          <w:szCs w:val="22"/>
        </w:rPr>
        <w:t>includ</w:t>
      </w:r>
      <w:r w:rsidRPr="00BD1C03">
        <w:rPr>
          <w:rFonts w:ascii="Calibri Light" w:hAnsi="Calibri Light" w:cs="Calibri Light"/>
          <w:szCs w:val="22"/>
        </w:rPr>
        <w:t>es</w:t>
      </w:r>
      <w:r w:rsidR="00CA73C9" w:rsidRPr="00BD1C03">
        <w:rPr>
          <w:rFonts w:ascii="Calibri Light" w:hAnsi="Calibri Light" w:cs="Calibri Light"/>
          <w:szCs w:val="22"/>
        </w:rPr>
        <w:t xml:space="preserve"> </w:t>
      </w:r>
      <w:r w:rsidR="00B61426" w:rsidRPr="00BD1C03">
        <w:rPr>
          <w:rFonts w:ascii="Calibri Light" w:hAnsi="Calibri Light" w:cs="Calibri Light"/>
          <w:bCs/>
          <w:szCs w:val="22"/>
        </w:rPr>
        <w:t>legal assistance</w:t>
      </w:r>
      <w:r w:rsidR="00B61426" w:rsidRPr="00BD1C03">
        <w:rPr>
          <w:rFonts w:ascii="Calibri Light" w:hAnsi="Calibri Light" w:cs="Calibri Light"/>
          <w:szCs w:val="22"/>
        </w:rPr>
        <w:t xml:space="preserve"> </w:t>
      </w:r>
      <w:r w:rsidR="006C5B3C" w:rsidRPr="00BD1C03">
        <w:rPr>
          <w:rFonts w:ascii="Calibri Light" w:hAnsi="Calibri Light" w:cs="Calibri Light"/>
          <w:szCs w:val="22"/>
        </w:rPr>
        <w:t>to access</w:t>
      </w:r>
      <w:r w:rsidR="00B61426" w:rsidRPr="00BD1C03">
        <w:rPr>
          <w:rFonts w:ascii="Calibri Light" w:hAnsi="Calibri Light" w:cs="Calibri Light"/>
          <w:szCs w:val="22"/>
        </w:rPr>
        <w:t xml:space="preserve"> </w:t>
      </w:r>
      <w:r w:rsidR="00CA73C9" w:rsidRPr="00BD1C03">
        <w:rPr>
          <w:rFonts w:ascii="Calibri Light" w:hAnsi="Calibri Light" w:cs="Calibri Light"/>
          <w:szCs w:val="22"/>
        </w:rPr>
        <w:t xml:space="preserve">civil documentation </w:t>
      </w:r>
      <w:r w:rsidR="006C5B3C" w:rsidRPr="00BD1C03">
        <w:rPr>
          <w:rFonts w:ascii="Calibri Light" w:hAnsi="Calibri Light" w:cs="Calibri Light"/>
          <w:szCs w:val="22"/>
        </w:rPr>
        <w:t>and</w:t>
      </w:r>
      <w:r w:rsidR="00CA73C9" w:rsidRPr="00BD1C03">
        <w:rPr>
          <w:rFonts w:ascii="Calibri Light" w:hAnsi="Calibri Light" w:cs="Calibri Light"/>
          <w:szCs w:val="22"/>
        </w:rPr>
        <w:t xml:space="preserve"> </w:t>
      </w:r>
      <w:r w:rsidR="00EC0469" w:rsidRPr="00BD1C03">
        <w:rPr>
          <w:rFonts w:ascii="Calibri Light" w:hAnsi="Calibri Light" w:cs="Calibri Light"/>
          <w:szCs w:val="22"/>
        </w:rPr>
        <w:t xml:space="preserve">housing, </w:t>
      </w:r>
      <w:r w:rsidR="00CA73C9" w:rsidRPr="00BD1C03">
        <w:rPr>
          <w:rFonts w:ascii="Calibri Light" w:hAnsi="Calibri Light" w:cs="Calibri Light"/>
          <w:szCs w:val="22"/>
        </w:rPr>
        <w:t>land and propert</w:t>
      </w:r>
      <w:r w:rsidR="00C76955" w:rsidRPr="00BD1C03">
        <w:rPr>
          <w:rFonts w:ascii="Calibri Light" w:hAnsi="Calibri Light" w:cs="Calibri Light"/>
          <w:szCs w:val="22"/>
        </w:rPr>
        <w:t>y</w:t>
      </w:r>
      <w:r w:rsidR="00CA73C9" w:rsidRPr="00BD1C03">
        <w:rPr>
          <w:rFonts w:ascii="Calibri Light" w:hAnsi="Calibri Light" w:cs="Calibri Light"/>
          <w:szCs w:val="22"/>
        </w:rPr>
        <w:t xml:space="preserve"> rights</w:t>
      </w:r>
      <w:r w:rsidR="006C5B3C" w:rsidRPr="00BD1C03">
        <w:rPr>
          <w:rFonts w:ascii="Calibri Light" w:hAnsi="Calibri Light" w:cs="Calibri Light"/>
          <w:szCs w:val="22"/>
        </w:rPr>
        <w:t xml:space="preserve"> </w:t>
      </w:r>
      <w:r w:rsidR="00C76955" w:rsidRPr="00BD1C03">
        <w:rPr>
          <w:rFonts w:ascii="Calibri Light" w:hAnsi="Calibri Light" w:cs="Calibri Light"/>
          <w:szCs w:val="22"/>
        </w:rPr>
        <w:t>(</w:t>
      </w:r>
      <w:r w:rsidR="006C5B3C" w:rsidRPr="00BD1C03">
        <w:rPr>
          <w:rFonts w:ascii="Calibri Light" w:hAnsi="Calibri Light" w:cs="Calibri Light"/>
          <w:szCs w:val="22"/>
        </w:rPr>
        <w:t xml:space="preserve">including addressing </w:t>
      </w:r>
      <w:r w:rsidR="00CA73C9" w:rsidRPr="00BD1C03">
        <w:rPr>
          <w:rFonts w:ascii="Calibri Light" w:hAnsi="Calibri Light" w:cs="Calibri Light"/>
          <w:szCs w:val="22"/>
        </w:rPr>
        <w:t>women and children’s specific needs</w:t>
      </w:r>
      <w:r w:rsidR="00C76955" w:rsidRPr="00BD1C03">
        <w:rPr>
          <w:rFonts w:ascii="Calibri Light" w:hAnsi="Calibri Light" w:cs="Calibri Light"/>
          <w:szCs w:val="22"/>
        </w:rPr>
        <w:t>)</w:t>
      </w:r>
      <w:r w:rsidR="00C50D27" w:rsidRPr="00BD1C03">
        <w:rPr>
          <w:rFonts w:ascii="Calibri Light" w:hAnsi="Calibri Light" w:cs="Calibri Light"/>
          <w:szCs w:val="22"/>
        </w:rPr>
        <w:t xml:space="preserve">; </w:t>
      </w:r>
      <w:r w:rsidRPr="00BD1C03">
        <w:rPr>
          <w:rFonts w:ascii="Calibri Light" w:hAnsi="Calibri Light" w:cs="Calibri Light"/>
          <w:bCs/>
          <w:szCs w:val="22"/>
        </w:rPr>
        <w:t xml:space="preserve">inclusive </w:t>
      </w:r>
      <w:r w:rsidR="00CA73C9" w:rsidRPr="00BD1C03">
        <w:rPr>
          <w:rFonts w:ascii="Calibri Light" w:hAnsi="Calibri Light" w:cs="Calibri Light"/>
          <w:bCs/>
          <w:szCs w:val="22"/>
        </w:rPr>
        <w:t>GBV prevention and response services</w:t>
      </w:r>
      <w:r w:rsidR="00CA73C9" w:rsidRPr="00BD1C03">
        <w:rPr>
          <w:rFonts w:ascii="Calibri Light" w:hAnsi="Calibri Light" w:cs="Calibri Light"/>
          <w:szCs w:val="22"/>
        </w:rPr>
        <w:t xml:space="preserve"> including SRH</w:t>
      </w:r>
      <w:r w:rsidR="00C50D27" w:rsidRPr="00BD1C03">
        <w:rPr>
          <w:rFonts w:ascii="Calibri Light" w:hAnsi="Calibri Light" w:cs="Calibri Light"/>
          <w:szCs w:val="22"/>
        </w:rPr>
        <w:t>;</w:t>
      </w:r>
      <w:r w:rsidR="00CA73C9" w:rsidRPr="00BD1C03">
        <w:rPr>
          <w:rFonts w:ascii="Calibri Light" w:hAnsi="Calibri Light" w:cs="Calibri Light"/>
          <w:szCs w:val="22"/>
        </w:rPr>
        <w:t xml:space="preserve"> </w:t>
      </w:r>
      <w:r w:rsidR="00EC0469" w:rsidRPr="00BD1C03">
        <w:rPr>
          <w:rFonts w:ascii="Calibri Light" w:hAnsi="Calibri Light" w:cs="Calibri Light"/>
          <w:szCs w:val="22"/>
        </w:rPr>
        <w:t>MHPSS</w:t>
      </w:r>
      <w:r w:rsidR="00C50D27" w:rsidRPr="00BD1C03">
        <w:rPr>
          <w:rFonts w:ascii="Calibri Light" w:hAnsi="Calibri Light" w:cs="Calibri Light"/>
          <w:szCs w:val="22"/>
        </w:rPr>
        <w:t>;</w:t>
      </w:r>
      <w:r w:rsidR="00EC0469" w:rsidRPr="00BD1C03">
        <w:rPr>
          <w:rFonts w:ascii="Calibri Light" w:hAnsi="Calibri Light" w:cs="Calibri Light"/>
          <w:szCs w:val="22"/>
        </w:rPr>
        <w:t xml:space="preserve"> </w:t>
      </w:r>
      <w:r w:rsidR="00CA73C9" w:rsidRPr="00BD1C03">
        <w:rPr>
          <w:rFonts w:ascii="Calibri Light" w:hAnsi="Calibri Light" w:cs="Calibri Light"/>
          <w:szCs w:val="22"/>
        </w:rPr>
        <w:t>disability inclusion and dedicated services</w:t>
      </w:r>
      <w:r w:rsidR="00C50D27" w:rsidRPr="00BD1C03">
        <w:rPr>
          <w:rFonts w:ascii="Calibri Light" w:hAnsi="Calibri Light" w:cs="Calibri Light"/>
          <w:szCs w:val="22"/>
        </w:rPr>
        <w:t>;</w:t>
      </w:r>
      <w:r w:rsidR="00CA73C9" w:rsidRPr="00BD1C03">
        <w:rPr>
          <w:rFonts w:ascii="Calibri Light" w:hAnsi="Calibri Light" w:cs="Calibri Light"/>
          <w:szCs w:val="22"/>
        </w:rPr>
        <w:t xml:space="preserve"> and detention monitoring</w:t>
      </w:r>
      <w:r w:rsidR="00EC0469" w:rsidRPr="00BD1C03">
        <w:rPr>
          <w:rFonts w:ascii="Calibri Light" w:hAnsi="Calibri Light" w:cs="Calibri Light"/>
          <w:szCs w:val="22"/>
        </w:rPr>
        <w:t>.</w:t>
      </w:r>
    </w:p>
    <w:p w14:paraId="0A386FEE" w14:textId="1F028AF8" w:rsidR="004F6A49" w:rsidRPr="00BD1C03" w:rsidRDefault="00A84D92" w:rsidP="00CB6C52">
      <w:pPr>
        <w:spacing w:after="0"/>
        <w:rPr>
          <w:b/>
        </w:rPr>
      </w:pPr>
      <w:r w:rsidRPr="00A84D92">
        <w:rPr>
          <w:bCs/>
          <w:i/>
          <w:iCs/>
        </w:rPr>
        <w:t>12.1.2</w:t>
      </w:r>
      <w:r>
        <w:rPr>
          <w:b/>
        </w:rPr>
        <w:t xml:space="preserve"> </w:t>
      </w:r>
      <w:r w:rsidR="00CA73C9" w:rsidRPr="00BD1C03">
        <w:rPr>
          <w:b/>
        </w:rPr>
        <w:t xml:space="preserve">Advocate and </w:t>
      </w:r>
      <w:r w:rsidR="00167698" w:rsidRPr="00BD1C03">
        <w:rPr>
          <w:b/>
        </w:rPr>
        <w:t>consider</w:t>
      </w:r>
      <w:r w:rsidR="00065421" w:rsidRPr="00BD1C03">
        <w:rPr>
          <w:b/>
        </w:rPr>
        <w:t xml:space="preserve"> </w:t>
      </w:r>
      <w:r w:rsidR="00D95097" w:rsidRPr="00BD1C03">
        <w:rPr>
          <w:b/>
        </w:rPr>
        <w:t xml:space="preserve">support </w:t>
      </w:r>
      <w:r w:rsidR="006C5B3C" w:rsidRPr="00BD1C03">
        <w:rPr>
          <w:b/>
        </w:rPr>
        <w:t>for</w:t>
      </w:r>
      <w:r w:rsidR="00065421" w:rsidRPr="00BD1C03">
        <w:rPr>
          <w:b/>
        </w:rPr>
        <w:t xml:space="preserve"> </w:t>
      </w:r>
      <w:r w:rsidR="00322782" w:rsidRPr="00BD1C03">
        <w:rPr>
          <w:b/>
        </w:rPr>
        <w:t>programming</w:t>
      </w:r>
      <w:r w:rsidR="00CA73C9" w:rsidRPr="00BD1C03">
        <w:rPr>
          <w:b/>
        </w:rPr>
        <w:t xml:space="preserve"> </w:t>
      </w:r>
      <w:r w:rsidR="00065421" w:rsidRPr="00BD1C03">
        <w:rPr>
          <w:b/>
        </w:rPr>
        <w:t>necessary to advance stabili</w:t>
      </w:r>
      <w:r w:rsidR="00EA019E" w:rsidRPr="00BD1C03">
        <w:rPr>
          <w:b/>
        </w:rPr>
        <w:t>s</w:t>
      </w:r>
      <w:r w:rsidR="00065421" w:rsidRPr="00BD1C03">
        <w:rPr>
          <w:b/>
        </w:rPr>
        <w:t xml:space="preserve">ation objectives </w:t>
      </w:r>
      <w:r w:rsidR="006C5B3C" w:rsidRPr="00BD1C03">
        <w:rPr>
          <w:b/>
        </w:rPr>
        <w:t xml:space="preserve"> </w:t>
      </w:r>
    </w:p>
    <w:p w14:paraId="32D09FB1" w14:textId="6DEF2C80" w:rsidR="00CA73C9" w:rsidRPr="00BD1C03" w:rsidRDefault="006C5B3C" w:rsidP="0008435D">
      <w:r w:rsidRPr="00BD1C03">
        <w:t>This includes</w:t>
      </w:r>
      <w:r w:rsidR="00065421" w:rsidRPr="00BD1C03">
        <w:t xml:space="preserve"> r</w:t>
      </w:r>
      <w:r w:rsidR="00B61426" w:rsidRPr="00BD1C03">
        <w:t xml:space="preserve">econciliation and </w:t>
      </w:r>
      <w:r w:rsidR="00CA73C9" w:rsidRPr="00BD1C03">
        <w:t>social cohesion,</w:t>
      </w:r>
      <w:r w:rsidR="00C50D27" w:rsidRPr="00BD1C03">
        <w:t xml:space="preserve"> governance and </w:t>
      </w:r>
      <w:r w:rsidR="00065421" w:rsidRPr="00BD1C03">
        <w:t>rule of law</w:t>
      </w:r>
      <w:r w:rsidR="00CA73C9" w:rsidRPr="00BD1C03">
        <w:t xml:space="preserve"> </w:t>
      </w:r>
      <w:r w:rsidR="00322782" w:rsidRPr="00BD1C03">
        <w:t>(courts, law reform</w:t>
      </w:r>
      <w:r w:rsidR="00C50D27" w:rsidRPr="00BD1C03">
        <w:t>, HLP rights),</w:t>
      </w:r>
      <w:r w:rsidR="005E0591" w:rsidRPr="00BD1C03">
        <w:t xml:space="preserve"> </w:t>
      </w:r>
      <w:r w:rsidR="00E54E26" w:rsidRPr="00BD1C03">
        <w:t xml:space="preserve">access to justice, </w:t>
      </w:r>
      <w:r w:rsidR="005E0591" w:rsidRPr="00BD1C03">
        <w:t>security sector reform, economic reform,</w:t>
      </w:r>
      <w:r w:rsidR="00065421" w:rsidRPr="00BD1C03">
        <w:t xml:space="preserve"> </w:t>
      </w:r>
      <w:r w:rsidR="00C50D27" w:rsidRPr="00BD1C03">
        <w:t>decentral</w:t>
      </w:r>
      <w:r w:rsidR="00F6632D">
        <w:t>is</w:t>
      </w:r>
      <w:r w:rsidR="00C50D27" w:rsidRPr="00BD1C03">
        <w:t>ed and non-discriminatory government service delivery</w:t>
      </w:r>
      <w:r w:rsidR="005E0591" w:rsidRPr="00BD1C03">
        <w:t xml:space="preserve"> </w:t>
      </w:r>
      <w:r w:rsidR="00C50D27" w:rsidRPr="00BD1C03">
        <w:t>and inclusive community level engagement processes.</w:t>
      </w:r>
    </w:p>
    <w:p w14:paraId="3ABB661B" w14:textId="7024C330" w:rsidR="00E2345A" w:rsidRPr="00BD1C03" w:rsidRDefault="00A84D92" w:rsidP="00CB6C52">
      <w:pPr>
        <w:spacing w:after="0"/>
        <w:rPr>
          <w:b/>
        </w:rPr>
      </w:pPr>
      <w:r w:rsidRPr="00A84D92">
        <w:rPr>
          <w:bCs/>
          <w:i/>
          <w:iCs/>
        </w:rPr>
        <w:t>12.1.3</w:t>
      </w:r>
      <w:r>
        <w:rPr>
          <w:b/>
        </w:rPr>
        <w:t xml:space="preserve"> </w:t>
      </w:r>
      <w:r w:rsidR="00E54E26" w:rsidRPr="00BD1C03">
        <w:rPr>
          <w:b/>
        </w:rPr>
        <w:t>I</w:t>
      </w:r>
      <w:r w:rsidR="00E2345A" w:rsidRPr="00BD1C03">
        <w:rPr>
          <w:b/>
        </w:rPr>
        <w:t xml:space="preserve">ncrease </w:t>
      </w:r>
      <w:r w:rsidR="008B30F1" w:rsidRPr="00BD1C03">
        <w:rPr>
          <w:b/>
        </w:rPr>
        <w:t xml:space="preserve">resource </w:t>
      </w:r>
      <w:r w:rsidR="00E2345A" w:rsidRPr="00BD1C03">
        <w:rPr>
          <w:b/>
        </w:rPr>
        <w:t xml:space="preserve">allocation to reconciliation and social cohesion </w:t>
      </w:r>
      <w:r w:rsidR="00975B53" w:rsidRPr="00BD1C03">
        <w:rPr>
          <w:b/>
        </w:rPr>
        <w:t>and co</w:t>
      </w:r>
      <w:r w:rsidR="000030EF">
        <w:rPr>
          <w:b/>
        </w:rPr>
        <w:t>nsider current and new special</w:t>
      </w:r>
      <w:r w:rsidR="00F6632D">
        <w:rPr>
          <w:b/>
        </w:rPr>
        <w:t>is</w:t>
      </w:r>
      <w:r w:rsidR="00975B53" w:rsidRPr="00BD1C03">
        <w:rPr>
          <w:b/>
        </w:rPr>
        <w:t>ed partners</w:t>
      </w:r>
    </w:p>
    <w:p w14:paraId="088B2551" w14:textId="2EF915FD" w:rsidR="00CA73C9" w:rsidRPr="00BD1C03" w:rsidRDefault="004F6A49" w:rsidP="0008435D">
      <w:r w:rsidRPr="00BD1C03">
        <w:t>In r</w:t>
      </w:r>
      <w:r w:rsidR="00CA73C9" w:rsidRPr="00BD1C03">
        <w:t>ecogni</w:t>
      </w:r>
      <w:r w:rsidRPr="00BD1C03">
        <w:t>tion of</w:t>
      </w:r>
      <w:r w:rsidR="00CA73C9" w:rsidRPr="00BD1C03">
        <w:t xml:space="preserve"> the residual conflict risks and hardened IDP caseload, adapt programming and partnerships to </w:t>
      </w:r>
      <w:r w:rsidR="00C81379" w:rsidRPr="00BD1C03">
        <w:t xml:space="preserve">significantly </w:t>
      </w:r>
      <w:r w:rsidR="00986663" w:rsidRPr="00BD1C03">
        <w:t xml:space="preserve">increase </w:t>
      </w:r>
      <w:r w:rsidR="00C81379" w:rsidRPr="00BD1C03">
        <w:t>the</w:t>
      </w:r>
      <w:r w:rsidR="00C81379" w:rsidRPr="00BD1C03">
        <w:rPr>
          <w:b/>
          <w:bCs/>
        </w:rPr>
        <w:t xml:space="preserve"> </w:t>
      </w:r>
      <w:r w:rsidR="0021798C" w:rsidRPr="00BD1C03">
        <w:t xml:space="preserve">allocation </w:t>
      </w:r>
      <w:r w:rsidR="00986663" w:rsidRPr="00BD1C03">
        <w:t xml:space="preserve">to </w:t>
      </w:r>
      <w:r w:rsidR="00CA73C9" w:rsidRPr="00BD1C03">
        <w:t xml:space="preserve">reconciliation </w:t>
      </w:r>
      <w:r w:rsidR="00B61426" w:rsidRPr="00BD1C03">
        <w:t xml:space="preserve">and social cohesion </w:t>
      </w:r>
      <w:r w:rsidR="009E580C" w:rsidRPr="00BD1C03">
        <w:t xml:space="preserve">across </w:t>
      </w:r>
      <w:r w:rsidR="00C81379" w:rsidRPr="00BD1C03">
        <w:t xml:space="preserve">the </w:t>
      </w:r>
      <w:r w:rsidR="009E580C" w:rsidRPr="00BD1C03">
        <w:t>regional and local levels</w:t>
      </w:r>
      <w:r w:rsidR="00930D1F" w:rsidRPr="00BD1C03">
        <w:t xml:space="preserve"> </w:t>
      </w:r>
      <w:r w:rsidR="00C81379" w:rsidRPr="00BD1C03">
        <w:t>to reduce protection risks and</w:t>
      </w:r>
      <w:r w:rsidR="00930D1F" w:rsidRPr="00BD1C03">
        <w:t xml:space="preserve"> facilitate durable returns</w:t>
      </w:r>
      <w:r w:rsidR="00CA73C9" w:rsidRPr="00BD1C03">
        <w:t>.</w:t>
      </w:r>
      <w:r w:rsidR="00013988" w:rsidRPr="00BD1C03">
        <w:t xml:space="preserve"> </w:t>
      </w:r>
    </w:p>
    <w:p w14:paraId="3DA3BE7F" w14:textId="4F9336C4" w:rsidR="008B30F1" w:rsidRPr="00BD1C03" w:rsidRDefault="00A84D92" w:rsidP="00CB6C52">
      <w:pPr>
        <w:spacing w:after="0"/>
        <w:rPr>
          <w:b/>
        </w:rPr>
      </w:pPr>
      <w:r w:rsidRPr="00A84D92">
        <w:rPr>
          <w:bCs/>
          <w:i/>
          <w:iCs/>
        </w:rPr>
        <w:t>12.1.4</w:t>
      </w:r>
      <w:r>
        <w:rPr>
          <w:b/>
        </w:rPr>
        <w:t xml:space="preserve"> </w:t>
      </w:r>
      <w:r w:rsidR="00521EA1" w:rsidRPr="00BD1C03">
        <w:rPr>
          <w:b/>
        </w:rPr>
        <w:t xml:space="preserve">Support trusted partners to </w:t>
      </w:r>
      <w:r w:rsidR="004E1C00" w:rsidRPr="00BD1C03">
        <w:rPr>
          <w:b/>
        </w:rPr>
        <w:t xml:space="preserve">adapt and </w:t>
      </w:r>
      <w:r w:rsidR="00521EA1" w:rsidRPr="00BD1C03">
        <w:rPr>
          <w:b/>
        </w:rPr>
        <w:t xml:space="preserve">respond to the health, </w:t>
      </w:r>
      <w:r w:rsidR="004E1C00" w:rsidRPr="00BD1C03">
        <w:rPr>
          <w:b/>
        </w:rPr>
        <w:t xml:space="preserve">protection and </w:t>
      </w:r>
      <w:r w:rsidR="00521EA1" w:rsidRPr="00BD1C03">
        <w:rPr>
          <w:b/>
        </w:rPr>
        <w:t>economic impacts of C</w:t>
      </w:r>
      <w:r w:rsidR="00B21BA2" w:rsidRPr="00BD1C03">
        <w:rPr>
          <w:b/>
        </w:rPr>
        <w:t>OVID</w:t>
      </w:r>
      <w:r w:rsidR="00521EA1" w:rsidRPr="00BD1C03">
        <w:rPr>
          <w:b/>
        </w:rPr>
        <w:t>-19</w:t>
      </w:r>
      <w:r w:rsidR="00604884" w:rsidRPr="00BD1C03">
        <w:rPr>
          <w:b/>
        </w:rPr>
        <w:t xml:space="preserve"> on the most vulnerable</w:t>
      </w:r>
    </w:p>
    <w:p w14:paraId="32A1C608" w14:textId="468CFAB5" w:rsidR="00E0533E" w:rsidRPr="00BD1C03" w:rsidRDefault="008B30F1" w:rsidP="0008435D">
      <w:r w:rsidRPr="00BD1C03">
        <w:t>This</w:t>
      </w:r>
      <w:r w:rsidR="00521EA1" w:rsidRPr="00BD1C03">
        <w:t xml:space="preserve"> includ</w:t>
      </w:r>
      <w:r w:rsidRPr="00BD1C03">
        <w:t>es</w:t>
      </w:r>
      <w:r w:rsidR="00604884" w:rsidRPr="00BD1C03">
        <w:t xml:space="preserve"> mitigating</w:t>
      </w:r>
      <w:r w:rsidR="00521EA1" w:rsidRPr="00BD1C03">
        <w:t xml:space="preserve"> </w:t>
      </w:r>
      <w:r w:rsidR="00E54E26" w:rsidRPr="00BD1C03">
        <w:t xml:space="preserve">the </w:t>
      </w:r>
      <w:r w:rsidR="00521EA1" w:rsidRPr="00BD1C03">
        <w:t>risk of</w:t>
      </w:r>
      <w:r w:rsidR="00CC0EE8" w:rsidRPr="00BD1C03">
        <w:t xml:space="preserve"> discrimination and exclusion</w:t>
      </w:r>
      <w:r w:rsidR="00C50D27" w:rsidRPr="00BD1C03">
        <w:t xml:space="preserve"> in access to services</w:t>
      </w:r>
      <w:r w:rsidR="004E1C00" w:rsidRPr="00BD1C03">
        <w:t xml:space="preserve"> for IDPs and returnees</w:t>
      </w:r>
      <w:r w:rsidR="00CE4376" w:rsidRPr="00BD1C03">
        <w:t xml:space="preserve">, </w:t>
      </w:r>
      <w:r w:rsidR="004F6A49" w:rsidRPr="00BD1C03">
        <w:t>increased risk of GBV for women and girls including those with a disability</w:t>
      </w:r>
      <w:r w:rsidR="00E54E26" w:rsidRPr="00BD1C03">
        <w:t>,</w:t>
      </w:r>
      <w:r w:rsidR="00D95097" w:rsidRPr="00BD1C03">
        <w:t xml:space="preserve"> </w:t>
      </w:r>
      <w:r w:rsidR="00CE4376" w:rsidRPr="00BD1C03">
        <w:t xml:space="preserve">and </w:t>
      </w:r>
      <w:r w:rsidR="00C81379" w:rsidRPr="00BD1C03">
        <w:t>harmful coping mechanisms due to loss of livelihoods</w:t>
      </w:r>
      <w:r w:rsidR="00D95097" w:rsidRPr="00BD1C03">
        <w:t>.</w:t>
      </w:r>
    </w:p>
    <w:p w14:paraId="2AABC5CA" w14:textId="1558378D" w:rsidR="00005854" w:rsidRPr="00BD1C03" w:rsidRDefault="00A84D92" w:rsidP="00CB6C52">
      <w:pPr>
        <w:spacing w:after="0"/>
        <w:rPr>
          <w:b/>
        </w:rPr>
      </w:pPr>
      <w:r w:rsidRPr="00A84D92">
        <w:rPr>
          <w:bCs/>
          <w:i/>
          <w:iCs/>
        </w:rPr>
        <w:t>12.1.5</w:t>
      </w:r>
      <w:r>
        <w:rPr>
          <w:b/>
        </w:rPr>
        <w:t xml:space="preserve"> </w:t>
      </w:r>
      <w:r w:rsidR="00005854" w:rsidRPr="00BD1C03">
        <w:rPr>
          <w:b/>
        </w:rPr>
        <w:t>Continue to exercise diplomatic leadership and engage in strategic coordination with like-minded donors on issues of common interest</w:t>
      </w:r>
      <w:r w:rsidR="00975B53" w:rsidRPr="00BD1C03">
        <w:rPr>
          <w:b/>
        </w:rPr>
        <w:t xml:space="preserve"> such as GEWE, WPS and rights-based returns</w:t>
      </w:r>
    </w:p>
    <w:p w14:paraId="08996E23" w14:textId="1CA44C48" w:rsidR="00005854" w:rsidRPr="00BD1C03" w:rsidRDefault="0037148E" w:rsidP="0008435D">
      <w:r w:rsidRPr="00BD1C03">
        <w:t xml:space="preserve">The embassy </w:t>
      </w:r>
      <w:r w:rsidR="00005854" w:rsidRPr="00BD1C03">
        <w:t xml:space="preserve">should continue to leverage access to the </w:t>
      </w:r>
      <w:proofErr w:type="spellStart"/>
      <w:r w:rsidR="00005854" w:rsidRPr="00BD1C03">
        <w:t>GoI</w:t>
      </w:r>
      <w:proofErr w:type="spellEnd"/>
      <w:r w:rsidR="00005854" w:rsidRPr="00BD1C03">
        <w:t xml:space="preserve"> to support bilateral and coordinated advocacy objectives, including on durable rights-based IDP returns and returns from Syria (voluntary, safe and dignified) and consideration of other rights-based durable solutions, as well as advance </w:t>
      </w:r>
      <w:r w:rsidR="00975B53" w:rsidRPr="00BD1C03">
        <w:t xml:space="preserve">GEWE and </w:t>
      </w:r>
      <w:r w:rsidR="00005854" w:rsidRPr="00BD1C03">
        <w:t xml:space="preserve">WPS </w:t>
      </w:r>
      <w:r w:rsidR="00975B53" w:rsidRPr="00BD1C03">
        <w:t>objectives</w:t>
      </w:r>
      <w:r w:rsidR="00005854" w:rsidRPr="00BD1C03">
        <w:t>.</w:t>
      </w:r>
    </w:p>
    <w:p w14:paraId="56AACECF" w14:textId="0FBE3EA8" w:rsidR="00005854" w:rsidRPr="00BD1C03" w:rsidRDefault="00A84D92" w:rsidP="00CB6C52">
      <w:pPr>
        <w:spacing w:after="0"/>
        <w:rPr>
          <w:b/>
        </w:rPr>
      </w:pPr>
      <w:r w:rsidRPr="00A84D92">
        <w:rPr>
          <w:bCs/>
          <w:i/>
          <w:iCs/>
        </w:rPr>
        <w:t>12.1.6</w:t>
      </w:r>
      <w:r>
        <w:rPr>
          <w:b/>
        </w:rPr>
        <w:t xml:space="preserve"> </w:t>
      </w:r>
      <w:r w:rsidR="00005854" w:rsidRPr="00BD1C03">
        <w:rPr>
          <w:b/>
        </w:rPr>
        <w:t xml:space="preserve">Ensure future Packages and </w:t>
      </w:r>
      <w:r w:rsidR="00975B53" w:rsidRPr="00BD1C03">
        <w:rPr>
          <w:b/>
        </w:rPr>
        <w:t xml:space="preserve">ongoing </w:t>
      </w:r>
      <w:r w:rsidR="00005854" w:rsidRPr="00BD1C03">
        <w:rPr>
          <w:b/>
        </w:rPr>
        <w:t xml:space="preserve">activities are informed by conflict analysis </w:t>
      </w:r>
      <w:r w:rsidR="00975B53" w:rsidRPr="00BD1C03">
        <w:rPr>
          <w:b/>
        </w:rPr>
        <w:t>that integrates gender and WPS considerations</w:t>
      </w:r>
    </w:p>
    <w:p w14:paraId="3E123F30" w14:textId="799ECD5D" w:rsidR="00005854" w:rsidRPr="00BD1C03" w:rsidRDefault="00005854" w:rsidP="0008435D">
      <w:r w:rsidRPr="00BD1C03">
        <w:t>Ensure future Packages are informed by conflict analysis and advocate with partners to undertake or access inclusive a</w:t>
      </w:r>
      <w:r w:rsidR="000030EF">
        <w:t>nd participatory local</w:t>
      </w:r>
      <w:r w:rsidR="00F6632D">
        <w:t>is</w:t>
      </w:r>
      <w:r w:rsidRPr="00BD1C03">
        <w:t xml:space="preserve">ed conflict analysis that integrates gender and WPS considerations. Such analysis can better support conflict-sensitive programming, social cohesion efforts and strengthen AAP approaches. </w:t>
      </w:r>
    </w:p>
    <w:p w14:paraId="62C316D6" w14:textId="77777777" w:rsidR="00213868" w:rsidRDefault="00213868" w:rsidP="001D2CE7">
      <w:pPr>
        <w:pStyle w:val="Enfasi"/>
      </w:pPr>
    </w:p>
    <w:p w14:paraId="714FF771" w14:textId="77777777" w:rsidR="00213868" w:rsidRDefault="00213868" w:rsidP="001D2CE7">
      <w:pPr>
        <w:pStyle w:val="Enfasi"/>
      </w:pPr>
    </w:p>
    <w:p w14:paraId="5F085886" w14:textId="36853169" w:rsidR="009E648B" w:rsidRPr="00A84D92" w:rsidRDefault="00D33704" w:rsidP="001D2CE7">
      <w:pPr>
        <w:pStyle w:val="Enfasi"/>
      </w:pPr>
      <w:r w:rsidRPr="00A84D92">
        <w:rPr>
          <w:rFonts w:cstheme="minorHAnsi"/>
        </w:rPr>
        <w:t xml:space="preserve">12.2 </w:t>
      </w:r>
      <w:r w:rsidR="00EE4061" w:rsidRPr="00A84D92">
        <w:rPr>
          <w:rFonts w:cstheme="minorHAnsi"/>
        </w:rPr>
        <w:t>Improve</w:t>
      </w:r>
      <w:r w:rsidR="005E0591" w:rsidRPr="00A84D92">
        <w:rPr>
          <w:rFonts w:cstheme="minorHAnsi"/>
        </w:rPr>
        <w:t xml:space="preserve"> e</w:t>
      </w:r>
      <w:r w:rsidR="00A32833" w:rsidRPr="00A84D92">
        <w:rPr>
          <w:rFonts w:cstheme="minorHAnsi"/>
        </w:rPr>
        <w:t>ffectiveness</w:t>
      </w:r>
      <w:r w:rsidR="005E0591" w:rsidRPr="00A84D92">
        <w:rPr>
          <w:rFonts w:cstheme="minorHAnsi"/>
        </w:rPr>
        <w:t xml:space="preserve"> through alignment with</w:t>
      </w:r>
      <w:r w:rsidR="009E648B" w:rsidRPr="00A84D92">
        <w:rPr>
          <w:rFonts w:cstheme="minorHAnsi"/>
        </w:rPr>
        <w:t xml:space="preserve"> IASC </w:t>
      </w:r>
      <w:r w:rsidR="00AA0058" w:rsidRPr="00A84D92">
        <w:rPr>
          <w:rFonts w:cstheme="minorHAnsi"/>
        </w:rPr>
        <w:t xml:space="preserve">protection </w:t>
      </w:r>
      <w:r w:rsidR="009E648B" w:rsidRPr="00A84D92">
        <w:rPr>
          <w:rFonts w:cstheme="minorHAnsi"/>
        </w:rPr>
        <w:t>standards</w:t>
      </w:r>
      <w:r w:rsidR="00EE4061" w:rsidRPr="00A84D92">
        <w:rPr>
          <w:rFonts w:cstheme="minorHAnsi"/>
        </w:rPr>
        <w:t xml:space="preserve"> and</w:t>
      </w:r>
      <w:r w:rsidR="009E648B" w:rsidRPr="00A84D92">
        <w:rPr>
          <w:rFonts w:cstheme="minorHAnsi"/>
        </w:rPr>
        <w:t xml:space="preserve"> </w:t>
      </w:r>
      <w:r w:rsidR="00946F34" w:rsidRPr="00A84D92">
        <w:t>minimum response level measures</w:t>
      </w:r>
      <w:r w:rsidR="00CE4376" w:rsidRPr="00A84D92">
        <w:t xml:space="preserve"> and </w:t>
      </w:r>
      <w:r w:rsidR="00D536C7" w:rsidRPr="00A84D92">
        <w:t>verifiable indicators for AAP and PSEA,</w:t>
      </w:r>
      <w:r w:rsidR="00AA0058" w:rsidRPr="00A84D92">
        <w:t xml:space="preserve"> </w:t>
      </w:r>
      <w:r w:rsidR="00EE4061" w:rsidRPr="00A84D92">
        <w:t xml:space="preserve">and </w:t>
      </w:r>
      <w:r w:rsidR="00097651" w:rsidRPr="00A84D92">
        <w:t xml:space="preserve">ensure </w:t>
      </w:r>
      <w:r w:rsidR="00EE4061" w:rsidRPr="00A84D92">
        <w:t xml:space="preserve">these inform </w:t>
      </w:r>
      <w:r w:rsidR="00946F34" w:rsidRPr="00A84D92">
        <w:t>future package design</w:t>
      </w:r>
      <w:r w:rsidR="00D536C7" w:rsidRPr="00A84D92">
        <w:t>s</w:t>
      </w:r>
      <w:r w:rsidR="00593D3E" w:rsidRPr="00A84D92">
        <w:t>,</w:t>
      </w:r>
      <w:r w:rsidR="00946F34" w:rsidRPr="00A84D92">
        <w:t xml:space="preserve"> M&amp;E frameworks</w:t>
      </w:r>
      <w:r w:rsidR="00593D3E" w:rsidRPr="00A84D92">
        <w:t xml:space="preserve"> and </w:t>
      </w:r>
      <w:r w:rsidR="00D536C7" w:rsidRPr="00A84D92">
        <w:t>processes</w:t>
      </w:r>
    </w:p>
    <w:p w14:paraId="4BAF0A35" w14:textId="2766534C" w:rsidR="001559C3" w:rsidRPr="00BD1C03" w:rsidRDefault="00A84D92" w:rsidP="00CB6C52">
      <w:pPr>
        <w:spacing w:after="0"/>
        <w:rPr>
          <w:b/>
        </w:rPr>
      </w:pPr>
      <w:r w:rsidRPr="00A84D92">
        <w:rPr>
          <w:rFonts w:asciiTheme="majorHAnsi" w:hAnsiTheme="majorHAnsi" w:cstheme="minorHAnsi"/>
          <w:bCs/>
          <w:i/>
          <w:color w:val="000000" w:themeColor="text1"/>
          <w:lang w:eastAsia="ja-JP"/>
        </w:rPr>
        <w:t>12.2.1</w:t>
      </w:r>
      <w:r>
        <w:rPr>
          <w:rFonts w:asciiTheme="majorHAnsi" w:hAnsiTheme="majorHAnsi" w:cstheme="minorHAnsi"/>
          <w:b/>
          <w:iCs/>
          <w:color w:val="000000" w:themeColor="text1"/>
          <w:lang w:eastAsia="ja-JP"/>
        </w:rPr>
        <w:t xml:space="preserve"> </w:t>
      </w:r>
      <w:r w:rsidR="00975B53" w:rsidRPr="00BD1C03">
        <w:rPr>
          <w:rFonts w:asciiTheme="majorHAnsi" w:hAnsiTheme="majorHAnsi" w:cstheme="minorHAnsi"/>
          <w:b/>
          <w:iCs/>
          <w:color w:val="000000" w:themeColor="text1"/>
          <w:lang w:eastAsia="ja-JP"/>
        </w:rPr>
        <w:t>Strengthen</w:t>
      </w:r>
      <w:r w:rsidR="006D2D93" w:rsidRPr="00BD1C03">
        <w:rPr>
          <w:rFonts w:asciiTheme="majorHAnsi" w:hAnsiTheme="majorHAnsi" w:cstheme="minorHAnsi"/>
          <w:b/>
          <w:iCs/>
          <w:color w:val="000000" w:themeColor="text1"/>
          <w:lang w:eastAsia="ja-JP"/>
        </w:rPr>
        <w:t xml:space="preserve"> Iraq</w:t>
      </w:r>
      <w:r w:rsidR="00475DC5" w:rsidRPr="00BD1C03">
        <w:rPr>
          <w:rFonts w:asciiTheme="majorHAnsi" w:hAnsiTheme="majorHAnsi" w:cstheme="minorHAnsi"/>
          <w:b/>
          <w:iCs/>
          <w:color w:val="000000" w:themeColor="text1"/>
          <w:lang w:eastAsia="ja-JP"/>
        </w:rPr>
        <w:t>’s M&amp;E framework</w:t>
      </w:r>
      <w:r w:rsidR="00AF4EA0" w:rsidRPr="00BD1C03">
        <w:rPr>
          <w:rFonts w:asciiTheme="majorHAnsi" w:hAnsiTheme="majorHAnsi" w:cstheme="minorHAnsi"/>
          <w:b/>
          <w:iCs/>
          <w:color w:val="000000" w:themeColor="text1"/>
          <w:lang w:eastAsia="ja-JP"/>
        </w:rPr>
        <w:t>,</w:t>
      </w:r>
      <w:r w:rsidR="00475DC5" w:rsidRPr="00BD1C03">
        <w:rPr>
          <w:rFonts w:asciiTheme="majorHAnsi" w:hAnsiTheme="majorHAnsi" w:cstheme="minorHAnsi"/>
          <w:b/>
          <w:iCs/>
          <w:color w:val="000000" w:themeColor="text1"/>
          <w:lang w:eastAsia="ja-JP"/>
        </w:rPr>
        <w:t xml:space="preserve"> </w:t>
      </w:r>
      <w:r w:rsidR="006D2D93" w:rsidRPr="00BD1C03">
        <w:rPr>
          <w:b/>
        </w:rPr>
        <w:t>f</w:t>
      </w:r>
      <w:r w:rsidR="00AA0058" w:rsidRPr="00BD1C03">
        <w:rPr>
          <w:b/>
        </w:rPr>
        <w:t xml:space="preserve">uture package designs and M&amp;E processes </w:t>
      </w:r>
      <w:r w:rsidR="001559C3" w:rsidRPr="00BD1C03">
        <w:rPr>
          <w:b/>
        </w:rPr>
        <w:t xml:space="preserve">through alignment with </w:t>
      </w:r>
      <w:r w:rsidR="00EE4061" w:rsidRPr="00BD1C03">
        <w:rPr>
          <w:b/>
        </w:rPr>
        <w:t>IASC protection standards</w:t>
      </w:r>
      <w:r w:rsidR="001559C3" w:rsidRPr="00BD1C03">
        <w:rPr>
          <w:b/>
        </w:rPr>
        <w:t xml:space="preserve"> </w:t>
      </w:r>
    </w:p>
    <w:p w14:paraId="0CDE29DF" w14:textId="22EA934F" w:rsidR="000D33D2" w:rsidRPr="00BD1C03" w:rsidRDefault="001559C3" w:rsidP="0008435D">
      <w:r w:rsidRPr="00BD1C03">
        <w:t>This includes</w:t>
      </w:r>
      <w:r w:rsidR="00E54E26" w:rsidRPr="00BD1C03">
        <w:t xml:space="preserve"> </w:t>
      </w:r>
      <w:r w:rsidR="00AA0058" w:rsidRPr="00BD1C03">
        <w:t>a comprehensive protection risk analysis</w:t>
      </w:r>
      <w:r w:rsidR="00E54E26" w:rsidRPr="00BD1C03">
        <w:t xml:space="preserve"> and three levels of action</w:t>
      </w:r>
      <w:r w:rsidR="00475DC5" w:rsidRPr="00BD1C03">
        <w:t xml:space="preserve"> </w:t>
      </w:r>
      <w:r w:rsidR="007631C5" w:rsidRPr="00BD1C03">
        <w:t>– strategic approach, dedicated programs and mainstreaming.</w:t>
      </w:r>
      <w:r w:rsidRPr="00BD1C03">
        <w:t xml:space="preserve"> </w:t>
      </w:r>
      <w:r w:rsidR="009E648B" w:rsidRPr="00BD1C03">
        <w:t xml:space="preserve">To ensure </w:t>
      </w:r>
      <w:r w:rsidR="00CE6396" w:rsidRPr="00BD1C03">
        <w:t>no-one is left behind</w:t>
      </w:r>
      <w:r w:rsidR="009E648B" w:rsidRPr="00BD1C03">
        <w:t xml:space="preserve"> </w:t>
      </w:r>
      <w:r w:rsidR="00EE4061" w:rsidRPr="00BD1C03">
        <w:t xml:space="preserve">it is important to </w:t>
      </w:r>
      <w:r w:rsidR="009E648B" w:rsidRPr="00BD1C03">
        <w:t>recogn</w:t>
      </w:r>
      <w:r w:rsidR="00F6632D">
        <w:t>is</w:t>
      </w:r>
      <w:r w:rsidR="00225725" w:rsidRPr="00BD1C03">
        <w:t>e</w:t>
      </w:r>
      <w:r w:rsidR="009E648B" w:rsidRPr="00BD1C03">
        <w:t xml:space="preserve"> that </w:t>
      </w:r>
      <w:r w:rsidR="00CE6396" w:rsidRPr="00BD1C03">
        <w:t>vulnerability is intersectional</w:t>
      </w:r>
      <w:r w:rsidR="00D62ACF" w:rsidRPr="00BD1C03">
        <w:t xml:space="preserve"> and compounded by age, gender and diversity factors</w:t>
      </w:r>
      <w:r w:rsidR="00AA0058" w:rsidRPr="00BD1C03">
        <w:t xml:space="preserve">. </w:t>
      </w:r>
      <w:r w:rsidR="004F6A49" w:rsidRPr="00BD1C03">
        <w:t>T</w:t>
      </w:r>
      <w:r w:rsidR="00F32AAB" w:rsidRPr="00BD1C03">
        <w:t xml:space="preserve">he IASC centrality of protection, minimum response level measures (comprehensive </w:t>
      </w:r>
      <w:r w:rsidR="00EE4061" w:rsidRPr="00BD1C03">
        <w:t xml:space="preserve">protection </w:t>
      </w:r>
      <w:r w:rsidR="00F32AAB" w:rsidRPr="00BD1C03">
        <w:t xml:space="preserve">risk analysis, HCT level strategy) and three necessary levels of action </w:t>
      </w:r>
      <w:r w:rsidR="00D62ACF" w:rsidRPr="00BD1C03">
        <w:t xml:space="preserve">at the donor and response levels </w:t>
      </w:r>
      <w:r w:rsidR="00225725" w:rsidRPr="00BD1C03">
        <w:t>should</w:t>
      </w:r>
      <w:r w:rsidR="00F32AAB" w:rsidRPr="00BD1C03">
        <w:t xml:space="preserve"> inform </w:t>
      </w:r>
      <w:r w:rsidR="006D2D93" w:rsidRPr="00BD1C03">
        <w:t xml:space="preserve">a revision of Iraq’s M&amp;E framework and </w:t>
      </w:r>
      <w:r w:rsidR="00F32AAB" w:rsidRPr="00BD1C03">
        <w:t>future package design and M&amp;E frameworks.</w:t>
      </w:r>
      <w:r w:rsidR="00D62ACF" w:rsidRPr="00BD1C03">
        <w:t xml:space="preserve"> </w:t>
      </w:r>
      <w:r w:rsidR="004F6A49" w:rsidRPr="00BD1C03">
        <w:t>S</w:t>
      </w:r>
      <w:r w:rsidR="00D62ACF" w:rsidRPr="00BD1C03">
        <w:t xml:space="preserve">ee </w:t>
      </w:r>
      <w:r w:rsidR="00D62ACF" w:rsidRPr="00AB5EC6">
        <w:rPr>
          <w:b/>
        </w:rPr>
        <w:t>Annex III</w:t>
      </w:r>
      <w:r w:rsidR="007631C5" w:rsidRPr="00BD1C03">
        <w:t xml:space="preserve"> for more details</w:t>
      </w:r>
      <w:r w:rsidR="00BC51B6" w:rsidRPr="00BD1C03">
        <w:t>.</w:t>
      </w:r>
    </w:p>
    <w:p w14:paraId="58A06078" w14:textId="668047B2" w:rsidR="00701B9B" w:rsidRPr="00BD1C03" w:rsidRDefault="00A84D92" w:rsidP="00CB6C52">
      <w:pPr>
        <w:spacing w:after="0"/>
        <w:rPr>
          <w:rFonts w:asciiTheme="majorHAnsi" w:hAnsiTheme="majorHAnsi" w:cstheme="minorHAnsi"/>
          <w:b/>
          <w:iCs/>
        </w:rPr>
      </w:pPr>
      <w:r w:rsidRPr="00A84D92">
        <w:rPr>
          <w:bCs/>
          <w:i/>
          <w:iCs/>
        </w:rPr>
        <w:t>12.2.2</w:t>
      </w:r>
      <w:r>
        <w:rPr>
          <w:b/>
        </w:rPr>
        <w:t xml:space="preserve"> </w:t>
      </w:r>
      <w:r w:rsidR="00946F34" w:rsidRPr="00BD1C03">
        <w:rPr>
          <w:b/>
        </w:rPr>
        <w:t>R</w:t>
      </w:r>
      <w:r w:rsidR="00D62ACF" w:rsidRPr="00BD1C03">
        <w:rPr>
          <w:b/>
        </w:rPr>
        <w:t>evi</w:t>
      </w:r>
      <w:r w:rsidR="006E1061" w:rsidRPr="00BD1C03">
        <w:rPr>
          <w:b/>
        </w:rPr>
        <w:t>ew</w:t>
      </w:r>
      <w:r w:rsidR="00D62ACF" w:rsidRPr="00BD1C03">
        <w:rPr>
          <w:b/>
        </w:rPr>
        <w:t xml:space="preserve"> </w:t>
      </w:r>
      <w:r w:rsidR="001559C3" w:rsidRPr="00BD1C03">
        <w:rPr>
          <w:b/>
        </w:rPr>
        <w:t xml:space="preserve">and update </w:t>
      </w:r>
      <w:r w:rsidR="00D62ACF" w:rsidRPr="00BD1C03">
        <w:rPr>
          <w:b/>
        </w:rPr>
        <w:t>current</w:t>
      </w:r>
      <w:r w:rsidR="00E31389" w:rsidRPr="00BD1C03">
        <w:rPr>
          <w:b/>
        </w:rPr>
        <w:t xml:space="preserve"> M&amp;E processes and</w:t>
      </w:r>
      <w:r w:rsidR="00D62ACF" w:rsidRPr="00BD1C03">
        <w:rPr>
          <w:b/>
        </w:rPr>
        <w:t xml:space="preserve"> indicators</w:t>
      </w:r>
      <w:r w:rsidR="000D33D2" w:rsidRPr="00BD1C03">
        <w:rPr>
          <w:b/>
        </w:rPr>
        <w:t xml:space="preserve"> with reference to independently verifiable</w:t>
      </w:r>
      <w:r w:rsidR="00EE4061" w:rsidRPr="00BD1C03">
        <w:rPr>
          <w:b/>
        </w:rPr>
        <w:t xml:space="preserve"> </w:t>
      </w:r>
      <w:r w:rsidR="000D33D2" w:rsidRPr="00BD1C03">
        <w:rPr>
          <w:b/>
        </w:rPr>
        <w:t xml:space="preserve">indicators </w:t>
      </w:r>
      <w:r w:rsidR="00593D3E" w:rsidRPr="00BD1C03">
        <w:rPr>
          <w:b/>
        </w:rPr>
        <w:t>for</w:t>
      </w:r>
      <w:r w:rsidR="000D33D2" w:rsidRPr="00BD1C03">
        <w:rPr>
          <w:b/>
        </w:rPr>
        <w:t xml:space="preserve"> AAP and PSEA</w:t>
      </w:r>
    </w:p>
    <w:p w14:paraId="346546C9" w14:textId="6A9FD4C2" w:rsidR="00CF1061" w:rsidRPr="00BD1C03" w:rsidRDefault="00383637" w:rsidP="0008435D">
      <w:r w:rsidRPr="00BD1C03">
        <w:t xml:space="preserve">Efforts to strengthen M&amp;E processes and data </w:t>
      </w:r>
      <w:r w:rsidR="00701B9B" w:rsidRPr="00BD1C03">
        <w:t>should take into account both</w:t>
      </w:r>
      <w:r w:rsidR="000D33D2" w:rsidRPr="00BD1C03">
        <w:t xml:space="preserve"> </w:t>
      </w:r>
      <w:proofErr w:type="spellStart"/>
      <w:r w:rsidR="00E2345A" w:rsidRPr="00BD1C03">
        <w:t>i</w:t>
      </w:r>
      <w:proofErr w:type="spellEnd"/>
      <w:r w:rsidR="00E2345A" w:rsidRPr="00BD1C03">
        <w:t xml:space="preserve">) </w:t>
      </w:r>
      <w:r w:rsidR="000D33D2" w:rsidRPr="00BD1C03">
        <w:t>partner</w:t>
      </w:r>
      <w:r w:rsidR="00701B9B" w:rsidRPr="00BD1C03">
        <w:t xml:space="preserve"> level</w:t>
      </w:r>
      <w:r w:rsidR="000D33D2" w:rsidRPr="00BD1C03">
        <w:t xml:space="preserve"> (multiple methods, IEC materials, #</w:t>
      </w:r>
      <w:r w:rsidR="006E1061" w:rsidRPr="00BD1C03">
        <w:t xml:space="preserve"> of cases</w:t>
      </w:r>
      <w:r w:rsidR="000D33D2" w:rsidRPr="00BD1C03">
        <w:t xml:space="preserve">, type of case received and outcome, SOPs and referral pathways) </w:t>
      </w:r>
      <w:r w:rsidR="00701B9B" w:rsidRPr="00BD1C03">
        <w:t xml:space="preserve">and </w:t>
      </w:r>
      <w:r w:rsidR="00E2345A" w:rsidRPr="00BD1C03">
        <w:t>ii)</w:t>
      </w:r>
      <w:r w:rsidR="000D33D2" w:rsidRPr="00BD1C03">
        <w:t xml:space="preserve"> inter-agency measures (SOPs that address safe and confidential handling of PSEA allegations, inter-agency referral pathways, #</w:t>
      </w:r>
      <w:r w:rsidR="006E1061" w:rsidRPr="00BD1C03">
        <w:t xml:space="preserve"> of cases</w:t>
      </w:r>
      <w:r w:rsidR="000D33D2" w:rsidRPr="00BD1C03">
        <w:t xml:space="preserve">, type of case received and outcome). </w:t>
      </w:r>
      <w:r w:rsidR="009D6058" w:rsidRPr="00BD1C03">
        <w:t>It is also recommended partner and inter-agency mechanisms are en</w:t>
      </w:r>
      <w:r w:rsidR="00E54E26" w:rsidRPr="00BD1C03">
        <w:t>couraged</w:t>
      </w:r>
      <w:r w:rsidR="009D6058" w:rsidRPr="00BD1C03">
        <w:t xml:space="preserve"> to collate de-identified </w:t>
      </w:r>
      <w:r w:rsidR="00E54E26" w:rsidRPr="00BD1C03">
        <w:t xml:space="preserve">SADD </w:t>
      </w:r>
      <w:r w:rsidR="009D6058" w:rsidRPr="00BD1C03">
        <w:t>on those consulted in needs assessments and those accessing feedback and complaints mechanisms.</w:t>
      </w:r>
    </w:p>
    <w:p w14:paraId="3AC65AAC" w14:textId="4C20D3F1" w:rsidR="00CD4798" w:rsidRPr="00A84D92" w:rsidRDefault="00D33704" w:rsidP="001D2CE7">
      <w:pPr>
        <w:pStyle w:val="Enfasi"/>
      </w:pPr>
      <w:r w:rsidRPr="00A84D92">
        <w:t xml:space="preserve">12.3 </w:t>
      </w:r>
      <w:r w:rsidR="00593D3E" w:rsidRPr="00A84D92">
        <w:t>Progress</w:t>
      </w:r>
      <w:r w:rsidR="00165334" w:rsidRPr="00A84D92">
        <w:t xml:space="preserve"> connectedness,</w:t>
      </w:r>
      <w:r w:rsidR="00593D3E" w:rsidRPr="00A84D92">
        <w:t xml:space="preserve"> </w:t>
      </w:r>
      <w:r w:rsidR="00CD4798" w:rsidRPr="00A84D92">
        <w:t>sustainability</w:t>
      </w:r>
      <w:r w:rsidR="00E77FB9" w:rsidRPr="00A84D92">
        <w:t xml:space="preserve"> and efficiency</w:t>
      </w:r>
      <w:r w:rsidR="00593D3E" w:rsidRPr="00A84D92">
        <w:t xml:space="preserve"> through a staged transition to </w:t>
      </w:r>
      <w:proofErr w:type="spellStart"/>
      <w:r w:rsidR="00593D3E" w:rsidRPr="00A84D92">
        <w:t>GoI</w:t>
      </w:r>
      <w:proofErr w:type="spellEnd"/>
      <w:r w:rsidR="00593D3E" w:rsidRPr="00A84D92">
        <w:t xml:space="preserve"> leadership, continuation of mult</w:t>
      </w:r>
      <w:r w:rsidR="00165334" w:rsidRPr="00A84D92">
        <w:t>i</w:t>
      </w:r>
      <w:r w:rsidR="00593D3E" w:rsidRPr="00A84D92">
        <w:t>-year funding, investing in local partner systems and advocat</w:t>
      </w:r>
      <w:r w:rsidR="00E54E26" w:rsidRPr="00A84D92">
        <w:t>e</w:t>
      </w:r>
      <w:r w:rsidR="00593D3E" w:rsidRPr="00A84D92">
        <w:t xml:space="preserve"> for an </w:t>
      </w:r>
      <w:r w:rsidR="00E54E26" w:rsidRPr="00A84D92">
        <w:t>appropriate</w:t>
      </w:r>
      <w:r w:rsidR="00593D3E" w:rsidRPr="00A84D92">
        <w:t xml:space="preserve"> and efficient coordination structure</w:t>
      </w:r>
      <w:r w:rsidR="00E77FB9" w:rsidRPr="00A84D92">
        <w:t xml:space="preserve"> </w:t>
      </w:r>
    </w:p>
    <w:p w14:paraId="161BE684" w14:textId="2A4EC7CD" w:rsidR="004A7F5F" w:rsidRPr="00BD1C03" w:rsidRDefault="00A84D92" w:rsidP="00CB6C52">
      <w:pPr>
        <w:spacing w:after="0"/>
        <w:rPr>
          <w:b/>
        </w:rPr>
      </w:pPr>
      <w:r w:rsidRPr="00A84D92">
        <w:rPr>
          <w:bCs/>
          <w:i/>
          <w:iCs/>
        </w:rPr>
        <w:t>12.3.1</w:t>
      </w:r>
      <w:r>
        <w:rPr>
          <w:b/>
        </w:rPr>
        <w:t xml:space="preserve"> </w:t>
      </w:r>
      <w:r w:rsidR="00E424EA" w:rsidRPr="00BD1C03">
        <w:rPr>
          <w:b/>
        </w:rPr>
        <w:t xml:space="preserve">Support </w:t>
      </w:r>
      <w:r w:rsidR="00E54E26" w:rsidRPr="00BD1C03">
        <w:rPr>
          <w:b/>
        </w:rPr>
        <w:t xml:space="preserve">a </w:t>
      </w:r>
      <w:r w:rsidR="00E424EA" w:rsidRPr="00BD1C03">
        <w:rPr>
          <w:b/>
        </w:rPr>
        <w:t>progress</w:t>
      </w:r>
      <w:r w:rsidR="00FF132C" w:rsidRPr="00BD1C03">
        <w:rPr>
          <w:b/>
        </w:rPr>
        <w:t>ive</w:t>
      </w:r>
      <w:r w:rsidR="00E424EA" w:rsidRPr="00BD1C03">
        <w:rPr>
          <w:b/>
        </w:rPr>
        <w:t xml:space="preserve"> transition </w:t>
      </w:r>
      <w:r w:rsidR="00E77FB9" w:rsidRPr="00BD1C03">
        <w:rPr>
          <w:b/>
        </w:rPr>
        <w:t xml:space="preserve">toward </w:t>
      </w:r>
      <w:proofErr w:type="spellStart"/>
      <w:r w:rsidR="00E77FB9" w:rsidRPr="00BD1C03">
        <w:rPr>
          <w:b/>
        </w:rPr>
        <w:t>GoI</w:t>
      </w:r>
      <w:proofErr w:type="spellEnd"/>
      <w:r w:rsidR="00E77FB9" w:rsidRPr="00BD1C03">
        <w:rPr>
          <w:b/>
        </w:rPr>
        <w:t xml:space="preserve"> </w:t>
      </w:r>
      <w:r w:rsidR="00593D3E" w:rsidRPr="00BD1C03">
        <w:rPr>
          <w:b/>
        </w:rPr>
        <w:t>leadership</w:t>
      </w:r>
      <w:r w:rsidR="004A7F5F" w:rsidRPr="00BD1C03">
        <w:rPr>
          <w:b/>
        </w:rPr>
        <w:t>,</w:t>
      </w:r>
      <w:r w:rsidR="00D54880" w:rsidRPr="00BD1C03">
        <w:rPr>
          <w:b/>
        </w:rPr>
        <w:t xml:space="preserve"> </w:t>
      </w:r>
      <w:r w:rsidR="00C15FF3" w:rsidRPr="00BD1C03">
        <w:rPr>
          <w:b/>
        </w:rPr>
        <w:t>continu</w:t>
      </w:r>
      <w:r w:rsidR="004A7F5F" w:rsidRPr="00BD1C03">
        <w:rPr>
          <w:b/>
        </w:rPr>
        <w:t>e</w:t>
      </w:r>
      <w:r w:rsidR="00C15FF3" w:rsidRPr="00BD1C03">
        <w:rPr>
          <w:b/>
        </w:rPr>
        <w:t xml:space="preserve"> </w:t>
      </w:r>
      <w:r w:rsidR="00D54880" w:rsidRPr="00BD1C03">
        <w:rPr>
          <w:b/>
        </w:rPr>
        <w:t>to provide multi-year funding</w:t>
      </w:r>
      <w:r w:rsidR="00E424EA" w:rsidRPr="00BD1C03">
        <w:rPr>
          <w:b/>
        </w:rPr>
        <w:t xml:space="preserve"> </w:t>
      </w:r>
      <w:r w:rsidR="000C2438" w:rsidRPr="00BD1C03">
        <w:rPr>
          <w:b/>
        </w:rPr>
        <w:t xml:space="preserve">and </w:t>
      </w:r>
      <w:r w:rsidR="005D7B5E" w:rsidRPr="00BD1C03">
        <w:rPr>
          <w:b/>
        </w:rPr>
        <w:t xml:space="preserve">require </w:t>
      </w:r>
      <w:r w:rsidR="001559C3" w:rsidRPr="00BD1C03">
        <w:rPr>
          <w:b/>
        </w:rPr>
        <w:t>partners</w:t>
      </w:r>
      <w:r w:rsidR="005D7B5E" w:rsidRPr="00BD1C03">
        <w:rPr>
          <w:b/>
        </w:rPr>
        <w:t xml:space="preserve"> </w:t>
      </w:r>
      <w:r w:rsidR="000C2438" w:rsidRPr="00BD1C03">
        <w:rPr>
          <w:b/>
        </w:rPr>
        <w:t xml:space="preserve">build the financial management and reporting capacity of </w:t>
      </w:r>
      <w:r w:rsidR="001559C3" w:rsidRPr="00BD1C03">
        <w:rPr>
          <w:b/>
        </w:rPr>
        <w:t xml:space="preserve">their </w:t>
      </w:r>
      <w:r w:rsidR="000C2438" w:rsidRPr="00BD1C03">
        <w:rPr>
          <w:b/>
        </w:rPr>
        <w:t>local partners</w:t>
      </w:r>
    </w:p>
    <w:p w14:paraId="4774485C" w14:textId="0E41F21F" w:rsidR="00CD4798" w:rsidRPr="00BD1C03" w:rsidRDefault="00E77FB9" w:rsidP="0008435D">
      <w:pPr>
        <w:rPr>
          <w:color w:val="000000" w:themeColor="text1"/>
        </w:rPr>
      </w:pPr>
      <w:r w:rsidRPr="00BD1C03">
        <w:t>Longer term multi-year funding will be necessary to facilitate government service delivery and leadership,</w:t>
      </w:r>
      <w:r w:rsidR="00097651" w:rsidRPr="00BD1C03">
        <w:t xml:space="preserve"> </w:t>
      </w:r>
      <w:r w:rsidRPr="00BD1C03">
        <w:t xml:space="preserve">and mitigate future conflict risks through unmet protection and </w:t>
      </w:r>
      <w:r w:rsidRPr="00BD1C03">
        <w:rPr>
          <w:color w:val="000000" w:themeColor="text1"/>
        </w:rPr>
        <w:t>displacement needs.</w:t>
      </w:r>
      <w:r w:rsidR="00186F97" w:rsidRPr="00BD1C03">
        <w:rPr>
          <w:color w:val="000000" w:themeColor="text1"/>
        </w:rPr>
        <w:t xml:space="preserve"> </w:t>
      </w:r>
      <w:r w:rsidR="00E424EA" w:rsidRPr="00BD1C03">
        <w:rPr>
          <w:color w:val="000000" w:themeColor="text1"/>
        </w:rPr>
        <w:t xml:space="preserve">Recognising the high levels of discrimination and social cohesion challenges that remain, a progressive transition toward </w:t>
      </w:r>
      <w:proofErr w:type="spellStart"/>
      <w:r w:rsidR="00E424EA" w:rsidRPr="00BD1C03">
        <w:rPr>
          <w:color w:val="000000" w:themeColor="text1"/>
        </w:rPr>
        <w:t>GoI</w:t>
      </w:r>
      <w:proofErr w:type="spellEnd"/>
      <w:r w:rsidR="00E424EA" w:rsidRPr="00BD1C03">
        <w:rPr>
          <w:color w:val="000000" w:themeColor="text1"/>
        </w:rPr>
        <w:t xml:space="preserve"> leadership</w:t>
      </w:r>
      <w:r w:rsidR="00AF4EA0" w:rsidRPr="00BD1C03">
        <w:rPr>
          <w:color w:val="000000" w:themeColor="text1"/>
        </w:rPr>
        <w:t xml:space="preserve"> through sectors</w:t>
      </w:r>
      <w:r w:rsidR="00E424EA" w:rsidRPr="00BD1C03">
        <w:rPr>
          <w:color w:val="000000" w:themeColor="text1"/>
        </w:rPr>
        <w:t xml:space="preserve"> </w:t>
      </w:r>
      <w:r w:rsidR="000C2438" w:rsidRPr="00BD1C03">
        <w:rPr>
          <w:color w:val="000000" w:themeColor="text1"/>
        </w:rPr>
        <w:t xml:space="preserve">such as WASH </w:t>
      </w:r>
      <w:r w:rsidR="00E424EA" w:rsidRPr="00BD1C03">
        <w:rPr>
          <w:color w:val="000000" w:themeColor="text1"/>
        </w:rPr>
        <w:t>is mo</w:t>
      </w:r>
      <w:r w:rsidR="00AF4EA0" w:rsidRPr="00BD1C03">
        <w:rPr>
          <w:color w:val="000000" w:themeColor="text1"/>
        </w:rPr>
        <w:t>re</w:t>
      </w:r>
      <w:r w:rsidR="00E424EA" w:rsidRPr="00BD1C03">
        <w:rPr>
          <w:color w:val="000000" w:themeColor="text1"/>
        </w:rPr>
        <w:t xml:space="preserve"> appropriate. Civil society </w:t>
      </w:r>
      <w:r w:rsidR="000C2438" w:rsidRPr="00BD1C03">
        <w:rPr>
          <w:color w:val="000000" w:themeColor="text1"/>
        </w:rPr>
        <w:t>and national NGOs</w:t>
      </w:r>
      <w:r w:rsidR="00E424EA" w:rsidRPr="00BD1C03">
        <w:rPr>
          <w:color w:val="000000" w:themeColor="text1"/>
        </w:rPr>
        <w:t xml:space="preserve"> play an important accountability role and </w:t>
      </w:r>
      <w:r w:rsidR="00C15FF3" w:rsidRPr="00BD1C03">
        <w:rPr>
          <w:color w:val="000000" w:themeColor="text1"/>
        </w:rPr>
        <w:t>P</w:t>
      </w:r>
      <w:r w:rsidR="000C2438" w:rsidRPr="00BD1C03">
        <w:rPr>
          <w:color w:val="000000" w:themeColor="text1"/>
        </w:rPr>
        <w:t xml:space="preserve">ackage </w:t>
      </w:r>
      <w:r w:rsidR="00E424EA" w:rsidRPr="00BD1C03">
        <w:rPr>
          <w:color w:val="000000" w:themeColor="text1"/>
        </w:rPr>
        <w:t xml:space="preserve">partners </w:t>
      </w:r>
      <w:r w:rsidR="00E54E26" w:rsidRPr="00BD1C03">
        <w:rPr>
          <w:color w:val="000000" w:themeColor="text1"/>
        </w:rPr>
        <w:t>should</w:t>
      </w:r>
      <w:r w:rsidR="00E424EA" w:rsidRPr="00BD1C03">
        <w:rPr>
          <w:color w:val="000000" w:themeColor="text1"/>
        </w:rPr>
        <w:t xml:space="preserve"> </w:t>
      </w:r>
      <w:r w:rsidR="000C2438" w:rsidRPr="00BD1C03">
        <w:rPr>
          <w:color w:val="000000" w:themeColor="text1"/>
        </w:rPr>
        <w:t xml:space="preserve">demonstrate how they will </w:t>
      </w:r>
      <w:r w:rsidR="006C5B3C" w:rsidRPr="00BD1C03">
        <w:rPr>
          <w:color w:val="000000" w:themeColor="text1"/>
        </w:rPr>
        <w:t>build the</w:t>
      </w:r>
      <w:r w:rsidR="000C2438" w:rsidRPr="00BD1C03">
        <w:rPr>
          <w:color w:val="000000" w:themeColor="text1"/>
        </w:rPr>
        <w:t>ir</w:t>
      </w:r>
      <w:r w:rsidR="006C5B3C" w:rsidRPr="00BD1C03">
        <w:rPr>
          <w:color w:val="000000" w:themeColor="text1"/>
        </w:rPr>
        <w:t xml:space="preserve"> </w:t>
      </w:r>
      <w:r w:rsidR="00AF4EA0" w:rsidRPr="00BD1C03">
        <w:rPr>
          <w:color w:val="000000" w:themeColor="text1"/>
        </w:rPr>
        <w:t xml:space="preserve">local partners </w:t>
      </w:r>
      <w:r w:rsidR="006C5B3C" w:rsidRPr="00BD1C03">
        <w:rPr>
          <w:color w:val="000000" w:themeColor="text1"/>
        </w:rPr>
        <w:t>financial management and reporting capacity</w:t>
      </w:r>
      <w:r w:rsidRPr="00BD1C03">
        <w:rPr>
          <w:color w:val="000000" w:themeColor="text1"/>
        </w:rPr>
        <w:t>. Future partner agreements should</w:t>
      </w:r>
      <w:r w:rsidR="006230F0" w:rsidRPr="00BD1C03">
        <w:rPr>
          <w:color w:val="000000" w:themeColor="text1"/>
        </w:rPr>
        <w:t xml:space="preserve"> explicitly</w:t>
      </w:r>
      <w:r w:rsidRPr="00BD1C03">
        <w:rPr>
          <w:color w:val="000000" w:themeColor="text1"/>
        </w:rPr>
        <w:t xml:space="preserve"> detail and track these commitments</w:t>
      </w:r>
      <w:r w:rsidR="00E94CB8" w:rsidRPr="00BD1C03">
        <w:rPr>
          <w:color w:val="000000" w:themeColor="text1"/>
        </w:rPr>
        <w:t>.</w:t>
      </w:r>
    </w:p>
    <w:p w14:paraId="62503B36" w14:textId="3BA9A962" w:rsidR="00ED5E53" w:rsidRPr="00BD1C03" w:rsidRDefault="00A84D92" w:rsidP="00CB6C52">
      <w:pPr>
        <w:spacing w:after="0"/>
        <w:rPr>
          <w:b/>
          <w:color w:val="1F497D" w:themeColor="text2"/>
        </w:rPr>
      </w:pPr>
      <w:r w:rsidRPr="00A84D92">
        <w:rPr>
          <w:bCs/>
          <w:i/>
          <w:iCs/>
        </w:rPr>
        <w:t>12.3.2</w:t>
      </w:r>
      <w:r>
        <w:rPr>
          <w:b/>
        </w:rPr>
        <w:t xml:space="preserve"> </w:t>
      </w:r>
      <w:r w:rsidR="00701B9B" w:rsidRPr="00BD1C03">
        <w:rPr>
          <w:b/>
        </w:rPr>
        <w:t>A</w:t>
      </w:r>
      <w:r w:rsidR="00EE4061" w:rsidRPr="00BD1C03">
        <w:rPr>
          <w:b/>
        </w:rPr>
        <w:t>dvocate for a</w:t>
      </w:r>
      <w:r w:rsidR="00E54E26" w:rsidRPr="00BD1C03">
        <w:rPr>
          <w:b/>
        </w:rPr>
        <w:t xml:space="preserve">n appropriate and </w:t>
      </w:r>
      <w:r w:rsidR="00E424EA" w:rsidRPr="00BD1C03">
        <w:rPr>
          <w:b/>
        </w:rPr>
        <w:t>efficient</w:t>
      </w:r>
      <w:r w:rsidR="00701B9B" w:rsidRPr="00BD1C03">
        <w:rPr>
          <w:b/>
        </w:rPr>
        <w:t xml:space="preserve"> c</w:t>
      </w:r>
      <w:r w:rsidR="00ED5E53" w:rsidRPr="00BD1C03">
        <w:rPr>
          <w:b/>
        </w:rPr>
        <w:t xml:space="preserve">oordination </w:t>
      </w:r>
      <w:r w:rsidR="00E54E26" w:rsidRPr="00BD1C03">
        <w:rPr>
          <w:b/>
        </w:rPr>
        <w:t>structure</w:t>
      </w:r>
      <w:r w:rsidR="0011712A" w:rsidRPr="00BD1C03">
        <w:rPr>
          <w:b/>
        </w:rPr>
        <w:t xml:space="preserve"> moving forward</w:t>
      </w:r>
    </w:p>
    <w:p w14:paraId="2429BB81" w14:textId="67AAF7EE" w:rsidR="00CD4798" w:rsidRPr="00BD1C03" w:rsidRDefault="00E77FB9" w:rsidP="0008435D">
      <w:r w:rsidRPr="00BD1C03">
        <w:t xml:space="preserve">It is recommended that </w:t>
      </w:r>
      <w:r w:rsidR="00CD4798" w:rsidRPr="00BD1C03">
        <w:t>DFAT advocate</w:t>
      </w:r>
      <w:r w:rsidR="00542928" w:rsidRPr="00BD1C03">
        <w:t xml:space="preserve"> </w:t>
      </w:r>
      <w:r w:rsidR="00CD4798" w:rsidRPr="00BD1C03">
        <w:t>for a coordination structure that caters for remaining humanitarian needs and supports an effective C</w:t>
      </w:r>
      <w:r w:rsidR="00B21BA2" w:rsidRPr="00BD1C03">
        <w:t>OVID</w:t>
      </w:r>
      <w:r w:rsidR="00CD4798" w:rsidRPr="00BD1C03">
        <w:t xml:space="preserve">-19 response, maintains the centrality of protection across the </w:t>
      </w:r>
      <w:r w:rsidR="00542928" w:rsidRPr="00BD1C03">
        <w:t xml:space="preserve">HDP </w:t>
      </w:r>
      <w:r w:rsidR="00D85E64" w:rsidRPr="00BD1C03">
        <w:t>continuum</w:t>
      </w:r>
      <w:r w:rsidR="00CD4798" w:rsidRPr="00BD1C03">
        <w:t xml:space="preserve"> and strengthens engagement with </w:t>
      </w:r>
      <w:proofErr w:type="spellStart"/>
      <w:r w:rsidR="00CD4798" w:rsidRPr="00BD1C03">
        <w:t>GoI</w:t>
      </w:r>
      <w:proofErr w:type="spellEnd"/>
      <w:r w:rsidR="00CD4798" w:rsidRPr="00BD1C03">
        <w:t xml:space="preserve"> institutions</w:t>
      </w:r>
      <w:r w:rsidR="000C2438" w:rsidRPr="00BD1C03">
        <w:t xml:space="preserve">, </w:t>
      </w:r>
      <w:r w:rsidR="00CE4376" w:rsidRPr="00BD1C03">
        <w:t>CSOs</w:t>
      </w:r>
      <w:r w:rsidR="001559C3" w:rsidRPr="00BD1C03">
        <w:t>, DPOs</w:t>
      </w:r>
      <w:r w:rsidR="000C2438" w:rsidRPr="00BD1C03">
        <w:t xml:space="preserve"> and national NGOs</w:t>
      </w:r>
      <w:r w:rsidR="00CF1061" w:rsidRPr="00BD1C03">
        <w:t>.</w:t>
      </w:r>
      <w:r w:rsidR="00CD4798" w:rsidRPr="00BD1C03">
        <w:t xml:space="preserve"> </w:t>
      </w:r>
    </w:p>
    <w:p w14:paraId="1EF48027" w14:textId="5C7902B9" w:rsidR="009B405E" w:rsidRPr="00A84D92" w:rsidRDefault="00D33704" w:rsidP="001D2CE7">
      <w:pPr>
        <w:pStyle w:val="Enfasi"/>
      </w:pPr>
      <w:r w:rsidRPr="00A84D92">
        <w:t xml:space="preserve">12.4 </w:t>
      </w:r>
      <w:r w:rsidR="001559C3" w:rsidRPr="00A84D92">
        <w:t>Enhance</w:t>
      </w:r>
      <w:r w:rsidR="003F0CB9" w:rsidRPr="00A84D92">
        <w:t xml:space="preserve"> </w:t>
      </w:r>
      <w:r w:rsidR="000C2438" w:rsidRPr="00A84D92">
        <w:t>Package level M&amp;E</w:t>
      </w:r>
      <w:r w:rsidR="009B405E" w:rsidRPr="00A84D92">
        <w:t xml:space="preserve">, </w:t>
      </w:r>
      <w:r w:rsidR="000C2438" w:rsidRPr="00A84D92">
        <w:t xml:space="preserve">document good practice, address systemic M&amp;E challenges and improve </w:t>
      </w:r>
      <w:r w:rsidR="009B405E" w:rsidRPr="00A84D92">
        <w:t xml:space="preserve">policy </w:t>
      </w:r>
      <w:r w:rsidR="003F0CB9" w:rsidRPr="00A84D92">
        <w:t>coherence</w:t>
      </w:r>
    </w:p>
    <w:p w14:paraId="39C2DB0B" w14:textId="52FEB96C" w:rsidR="004A7F5F" w:rsidRPr="00BD1C03" w:rsidRDefault="00A84D92" w:rsidP="00CB6C52">
      <w:pPr>
        <w:spacing w:after="0"/>
        <w:rPr>
          <w:b/>
        </w:rPr>
      </w:pPr>
      <w:r w:rsidRPr="00A84D92">
        <w:rPr>
          <w:bCs/>
          <w:i/>
          <w:iCs/>
        </w:rPr>
        <w:t>12.4.1</w:t>
      </w:r>
      <w:r>
        <w:rPr>
          <w:b/>
        </w:rPr>
        <w:t xml:space="preserve"> </w:t>
      </w:r>
      <w:r w:rsidR="00255CC3" w:rsidRPr="00BD1C03">
        <w:rPr>
          <w:b/>
        </w:rPr>
        <w:t xml:space="preserve">Strengthen </w:t>
      </w:r>
      <w:r w:rsidR="002766EA" w:rsidRPr="00BD1C03">
        <w:rPr>
          <w:b/>
        </w:rPr>
        <w:t xml:space="preserve">Package level M&amp;E </w:t>
      </w:r>
      <w:r w:rsidR="00255CC3" w:rsidRPr="00BD1C03">
        <w:rPr>
          <w:b/>
        </w:rPr>
        <w:t xml:space="preserve">through </w:t>
      </w:r>
      <w:r w:rsidR="002766EA" w:rsidRPr="00BD1C03">
        <w:rPr>
          <w:b/>
        </w:rPr>
        <w:t>t</w:t>
      </w:r>
      <w:r w:rsidR="00B2249E" w:rsidRPr="00BD1C03">
        <w:rPr>
          <w:b/>
        </w:rPr>
        <w:t>hird party monitoring</w:t>
      </w:r>
    </w:p>
    <w:p w14:paraId="63ADE021" w14:textId="0704A948" w:rsidR="00701B9B" w:rsidRPr="00BD1C03" w:rsidRDefault="002766EA" w:rsidP="0008435D">
      <w:pPr>
        <w:rPr>
          <w:rFonts w:asciiTheme="majorHAnsi" w:hAnsiTheme="majorHAnsi" w:cstheme="majorHAnsi"/>
          <w:color w:val="1F497D" w:themeColor="text2"/>
        </w:rPr>
      </w:pPr>
      <w:r w:rsidRPr="00BD1C03">
        <w:t xml:space="preserve">Third party monitoring </w:t>
      </w:r>
      <w:r w:rsidR="00B2249E" w:rsidRPr="00BD1C03">
        <w:t xml:space="preserve">is recommended in </w:t>
      </w:r>
      <w:r w:rsidR="00CC182B" w:rsidRPr="00BD1C03">
        <w:t xml:space="preserve">the Iraq context due to </w:t>
      </w:r>
      <w:r w:rsidR="00B2249E" w:rsidRPr="00BD1C03">
        <w:t xml:space="preserve">the </w:t>
      </w:r>
      <w:r w:rsidR="00CC182B" w:rsidRPr="00BD1C03">
        <w:t>level of risk</w:t>
      </w:r>
      <w:r w:rsidR="00B2249E" w:rsidRPr="00BD1C03">
        <w:t>,</w:t>
      </w:r>
      <w:r w:rsidR="00CC182B" w:rsidRPr="00BD1C03">
        <w:t xml:space="preserve"> </w:t>
      </w:r>
      <w:r w:rsidR="00B2249E" w:rsidRPr="00BD1C03">
        <w:t xml:space="preserve">limited field access and </w:t>
      </w:r>
      <w:r w:rsidR="003F0CB9" w:rsidRPr="00BD1C03">
        <w:t xml:space="preserve">ability to interact with </w:t>
      </w:r>
      <w:r w:rsidR="00B2249E" w:rsidRPr="00BD1C03">
        <w:t xml:space="preserve">affected populations. </w:t>
      </w:r>
      <w:r w:rsidR="00701B9B" w:rsidRPr="00BD1C03">
        <w:t xml:space="preserve">The current end of program outcomes, subject to the above recommended sectoral program shifts and focus, remain suitable for a </w:t>
      </w:r>
      <w:r w:rsidR="00E77D5C" w:rsidRPr="00BD1C03">
        <w:t>2-year</w:t>
      </w:r>
      <w:r w:rsidR="00701B9B" w:rsidRPr="00BD1C03">
        <w:t xml:space="preserve"> extension. Further </w:t>
      </w:r>
      <w:r w:rsidR="00D536C7" w:rsidRPr="00BD1C03">
        <w:t xml:space="preserve">package level </w:t>
      </w:r>
      <w:r w:rsidR="00701B9B" w:rsidRPr="00BD1C03">
        <w:t xml:space="preserve">M&amp;E recommendations concerning IASC centrality of protection are detailed in </w:t>
      </w:r>
      <w:r w:rsidR="00130A15" w:rsidRPr="00BD1C03">
        <w:rPr>
          <w:b/>
          <w:bCs/>
        </w:rPr>
        <w:t>Annex</w:t>
      </w:r>
      <w:r w:rsidR="00701B9B" w:rsidRPr="00BD1C03">
        <w:rPr>
          <w:b/>
          <w:bCs/>
        </w:rPr>
        <w:t xml:space="preserve"> III</w:t>
      </w:r>
      <w:r w:rsidR="00701B9B" w:rsidRPr="00BD1C03">
        <w:t>.</w:t>
      </w:r>
    </w:p>
    <w:p w14:paraId="238B625A" w14:textId="491957A3" w:rsidR="00225725" w:rsidRPr="00BD1C03" w:rsidRDefault="00A84D92" w:rsidP="00CB6C52">
      <w:pPr>
        <w:spacing w:after="0"/>
        <w:rPr>
          <w:b/>
        </w:rPr>
      </w:pPr>
      <w:r w:rsidRPr="00A84D92">
        <w:rPr>
          <w:bCs/>
          <w:i/>
          <w:iCs/>
        </w:rPr>
        <w:t>12.4.2</w:t>
      </w:r>
      <w:r>
        <w:rPr>
          <w:b/>
        </w:rPr>
        <w:t xml:space="preserve"> </w:t>
      </w:r>
      <w:r w:rsidR="002766EA" w:rsidRPr="00BD1C03">
        <w:rPr>
          <w:b/>
        </w:rPr>
        <w:t>G</w:t>
      </w:r>
      <w:r w:rsidR="00CA73C9" w:rsidRPr="00BD1C03">
        <w:rPr>
          <w:b/>
        </w:rPr>
        <w:t xml:space="preserve">ood practice lessons from Iraq </w:t>
      </w:r>
      <w:r w:rsidR="00225725" w:rsidRPr="00BD1C03">
        <w:rPr>
          <w:b/>
        </w:rPr>
        <w:t>should inform ongoing and future packages</w:t>
      </w:r>
    </w:p>
    <w:p w14:paraId="2BC7E0CA" w14:textId="02C55622" w:rsidR="00CA73C9" w:rsidRPr="00BD1C03" w:rsidRDefault="00E94CB8" w:rsidP="0008435D">
      <w:r w:rsidRPr="00BD1C03">
        <w:t xml:space="preserve">This includes the </w:t>
      </w:r>
      <w:r w:rsidR="00CA73C9" w:rsidRPr="00BD1C03">
        <w:t xml:space="preserve">strategic </w:t>
      </w:r>
      <w:r w:rsidR="0072756F" w:rsidRPr="00BD1C03">
        <w:t>collaboration</w:t>
      </w:r>
      <w:r w:rsidR="00E54E26" w:rsidRPr="00BD1C03">
        <w:t xml:space="preserve"> </w:t>
      </w:r>
      <w:r w:rsidR="006B6BA3" w:rsidRPr="00BD1C03">
        <w:t>and technical support</w:t>
      </w:r>
      <w:r w:rsidR="00C15FF3" w:rsidRPr="00BD1C03">
        <w:t xml:space="preserve"> </w:t>
      </w:r>
      <w:r w:rsidR="00E52864" w:rsidRPr="00BD1C03">
        <w:t xml:space="preserve">between </w:t>
      </w:r>
      <w:r w:rsidR="00CA73C9" w:rsidRPr="00BD1C03">
        <w:t xml:space="preserve">the Ambassador and </w:t>
      </w:r>
      <w:r w:rsidR="001559C3" w:rsidRPr="00BD1C03">
        <w:t>Iraq-based</w:t>
      </w:r>
      <w:r w:rsidR="00CA73C9" w:rsidRPr="00BD1C03">
        <w:t xml:space="preserve"> </w:t>
      </w:r>
      <w:r w:rsidR="0072756F" w:rsidRPr="00BD1C03">
        <w:t>H</w:t>
      </w:r>
      <w:r w:rsidR="00CA73C9" w:rsidRPr="00BD1C03">
        <w:t xml:space="preserve">umanitarian </w:t>
      </w:r>
      <w:r w:rsidR="0072756F" w:rsidRPr="00BD1C03">
        <w:t>O</w:t>
      </w:r>
      <w:r w:rsidR="00B0505F" w:rsidRPr="00BD1C03">
        <w:t>fficer</w:t>
      </w:r>
      <w:r w:rsidR="00CA73C9" w:rsidRPr="00BD1C03">
        <w:t xml:space="preserve"> </w:t>
      </w:r>
      <w:r w:rsidRPr="00BD1C03">
        <w:t>to</w:t>
      </w:r>
      <w:r w:rsidR="002042BC" w:rsidRPr="00BD1C03">
        <w:t xml:space="preserve"> progress</w:t>
      </w:r>
      <w:r w:rsidR="006B6BA3" w:rsidRPr="00BD1C03">
        <w:t xml:space="preserve"> relevant Package related protection</w:t>
      </w:r>
      <w:r w:rsidRPr="00BD1C03">
        <w:t>, access</w:t>
      </w:r>
      <w:r w:rsidR="006B6BA3" w:rsidRPr="00BD1C03">
        <w:t xml:space="preserve"> and policy priorities</w:t>
      </w:r>
      <w:r w:rsidRPr="00BD1C03">
        <w:t>. Th</w:t>
      </w:r>
      <w:r w:rsidR="00CE4376" w:rsidRPr="00BD1C03">
        <w:t>e</w:t>
      </w:r>
      <w:r w:rsidRPr="00BD1C03">
        <w:t xml:space="preserve"> highly regarded coordination between the two roles, and leveraging of respective strengths and access,</w:t>
      </w:r>
      <w:r w:rsidR="006B6BA3" w:rsidRPr="00BD1C03">
        <w:t xml:space="preserve"> </w:t>
      </w:r>
      <w:r w:rsidR="00CA73C9" w:rsidRPr="00BD1C03">
        <w:t>should be documented to inform ongoing and future packages</w:t>
      </w:r>
      <w:r w:rsidR="00B2249E" w:rsidRPr="00BD1C03">
        <w:t xml:space="preserve">, and </w:t>
      </w:r>
      <w:r w:rsidR="00CC182B" w:rsidRPr="00BD1C03">
        <w:t xml:space="preserve">DFAT’s </w:t>
      </w:r>
      <w:r w:rsidR="00B2249E" w:rsidRPr="00BD1C03">
        <w:t>work in similar contexts</w:t>
      </w:r>
      <w:r w:rsidR="00B51376" w:rsidRPr="00BD1C03">
        <w:t>.</w:t>
      </w:r>
      <w:r w:rsidR="00CE6396" w:rsidRPr="00BD1C03">
        <w:t xml:space="preserve"> It is recommended</w:t>
      </w:r>
      <w:r w:rsidR="002042BC" w:rsidRPr="00BD1C03">
        <w:t xml:space="preserve"> </w:t>
      </w:r>
      <w:r w:rsidR="00CE6396" w:rsidRPr="00BD1C03">
        <w:t xml:space="preserve">an extension of this package maintains the </w:t>
      </w:r>
      <w:r w:rsidRPr="00BD1C03">
        <w:t>posted</w:t>
      </w:r>
      <w:r w:rsidR="00CE6396" w:rsidRPr="00BD1C03">
        <w:t xml:space="preserve"> Humanitarian Officer position</w:t>
      </w:r>
      <w:r w:rsidRPr="00BD1C03">
        <w:t xml:space="preserve"> and</w:t>
      </w:r>
      <w:r w:rsidR="00DA092F" w:rsidRPr="00BD1C03">
        <w:t xml:space="preserve"> </w:t>
      </w:r>
      <w:r w:rsidRPr="00BD1C03">
        <w:t>increase</w:t>
      </w:r>
      <w:r w:rsidR="001559C3" w:rsidRPr="00BD1C03">
        <w:t>s</w:t>
      </w:r>
      <w:r w:rsidR="00CE4376" w:rsidRPr="00BD1C03">
        <w:t xml:space="preserve"> their</w:t>
      </w:r>
      <w:r w:rsidRPr="00BD1C03">
        <w:t xml:space="preserve"> scope </w:t>
      </w:r>
      <w:r w:rsidR="00E77D5C" w:rsidRPr="00BD1C03">
        <w:t>for more</w:t>
      </w:r>
      <w:r w:rsidR="001559C3" w:rsidRPr="00BD1C03">
        <w:t xml:space="preserve"> </w:t>
      </w:r>
      <w:r w:rsidR="00CE4376" w:rsidRPr="00BD1C03">
        <w:t xml:space="preserve">structured </w:t>
      </w:r>
      <w:r w:rsidR="00DA092F" w:rsidRPr="00BD1C03">
        <w:t>dialogue with partners</w:t>
      </w:r>
      <w:r w:rsidRPr="00BD1C03">
        <w:t xml:space="preserve"> on M&amp;E</w:t>
      </w:r>
      <w:r w:rsidR="00DA092F" w:rsidRPr="00BD1C03">
        <w:t xml:space="preserve"> reporting</w:t>
      </w:r>
      <w:r w:rsidR="00CE6396" w:rsidRPr="00BD1C03">
        <w:t>.</w:t>
      </w:r>
    </w:p>
    <w:p w14:paraId="4B232B33" w14:textId="01521B2C" w:rsidR="004A7F5F" w:rsidRPr="00BD1C03" w:rsidRDefault="00A84D92" w:rsidP="00CB6C52">
      <w:pPr>
        <w:spacing w:after="0"/>
        <w:rPr>
          <w:b/>
        </w:rPr>
      </w:pPr>
      <w:r w:rsidRPr="00A84D92">
        <w:rPr>
          <w:bCs/>
          <w:i/>
          <w:iCs/>
        </w:rPr>
        <w:t>12.4.3</w:t>
      </w:r>
      <w:r>
        <w:rPr>
          <w:b/>
        </w:rPr>
        <w:t xml:space="preserve"> </w:t>
      </w:r>
      <w:r w:rsidR="00225725" w:rsidRPr="00BD1C03">
        <w:rPr>
          <w:b/>
        </w:rPr>
        <w:t>R</w:t>
      </w:r>
      <w:r w:rsidR="009B405E" w:rsidRPr="00BD1C03">
        <w:rPr>
          <w:b/>
        </w:rPr>
        <w:t>eview the systemic challenges that result in high levels of variation in partner reporting</w:t>
      </w:r>
      <w:r w:rsidR="00593D3E" w:rsidRPr="00BD1C03">
        <w:rPr>
          <w:b/>
        </w:rPr>
        <w:t>,</w:t>
      </w:r>
      <w:r w:rsidR="00225725" w:rsidRPr="00BD1C03">
        <w:rPr>
          <w:b/>
        </w:rPr>
        <w:t xml:space="preserve"> </w:t>
      </w:r>
      <w:r w:rsidR="00593D3E" w:rsidRPr="00BD1C03">
        <w:rPr>
          <w:b/>
        </w:rPr>
        <w:t>policy coherence</w:t>
      </w:r>
      <w:r w:rsidR="00165334" w:rsidRPr="00BD1C03">
        <w:rPr>
          <w:b/>
        </w:rPr>
        <w:t xml:space="preserve"> and ability to capture results</w:t>
      </w:r>
    </w:p>
    <w:p w14:paraId="694E3F06" w14:textId="2B4A2B23" w:rsidR="009B405E" w:rsidRPr="00BD1C03" w:rsidRDefault="00B21214" w:rsidP="0008435D">
      <w:r w:rsidRPr="00BD1C03">
        <w:t>S</w:t>
      </w:r>
      <w:r w:rsidR="00225725" w:rsidRPr="00BD1C03">
        <w:t xml:space="preserve">ystemic challenges are </w:t>
      </w:r>
      <w:r w:rsidRPr="00BD1C03">
        <w:t xml:space="preserve">undermining </w:t>
      </w:r>
      <w:r w:rsidR="00225725" w:rsidRPr="00BD1C03">
        <w:t xml:space="preserve">the </w:t>
      </w:r>
      <w:r w:rsidR="009B405E" w:rsidRPr="00BD1C03">
        <w:t xml:space="preserve">ability to interpret and understand results achieved. </w:t>
      </w:r>
      <w:r w:rsidRPr="00BD1C03">
        <w:t>Op</w:t>
      </w:r>
      <w:r w:rsidR="009B405E" w:rsidRPr="00BD1C03">
        <w:t xml:space="preserve">portunities </w:t>
      </w:r>
      <w:r w:rsidRPr="00BD1C03">
        <w:t xml:space="preserve">exist </w:t>
      </w:r>
      <w:r w:rsidR="009B405E" w:rsidRPr="00BD1C03">
        <w:t xml:space="preserve">to improve coherence through updating internal DFAT </w:t>
      </w:r>
      <w:r w:rsidR="00A44E93" w:rsidRPr="00BD1C03">
        <w:t xml:space="preserve">policy </w:t>
      </w:r>
      <w:r w:rsidR="009B405E" w:rsidRPr="00BD1C03">
        <w:t xml:space="preserve">guidance and M&amp;E processes including the </w:t>
      </w:r>
      <w:r w:rsidR="00E54E26" w:rsidRPr="00BD1C03">
        <w:t>H</w:t>
      </w:r>
      <w:r w:rsidR="009B405E" w:rsidRPr="00BD1C03">
        <w:t>AQC and PPA to reflect IASC protection</w:t>
      </w:r>
      <w:r w:rsidR="00EE4061" w:rsidRPr="00BD1C03">
        <w:t xml:space="preserve"> standards</w:t>
      </w:r>
      <w:r w:rsidR="009B405E" w:rsidRPr="00BD1C03">
        <w:t xml:space="preserve">, </w:t>
      </w:r>
      <w:r w:rsidR="0011712A" w:rsidRPr="00BD1C03">
        <w:t xml:space="preserve">the </w:t>
      </w:r>
      <w:r w:rsidR="00E54E26" w:rsidRPr="00BD1C03">
        <w:t>difference between child protection compliance and programming</w:t>
      </w:r>
      <w:r w:rsidR="0011712A" w:rsidRPr="00BD1C03">
        <w:t>,</w:t>
      </w:r>
      <w:r w:rsidR="00E54E26" w:rsidRPr="00BD1C03">
        <w:t xml:space="preserve"> and</w:t>
      </w:r>
      <w:r w:rsidR="009B405E" w:rsidRPr="00BD1C03">
        <w:t xml:space="preserve"> include independently verifiable </w:t>
      </w:r>
      <w:r w:rsidR="0011712A" w:rsidRPr="00BD1C03">
        <w:t>indicators</w:t>
      </w:r>
      <w:r w:rsidR="009B405E" w:rsidRPr="00BD1C03">
        <w:t xml:space="preserve"> for AAP</w:t>
      </w:r>
      <w:r w:rsidR="00E54E26" w:rsidRPr="00BD1C03">
        <w:t xml:space="preserve"> and </w:t>
      </w:r>
      <w:r w:rsidR="00801429" w:rsidRPr="00BD1C03">
        <w:t>PSEA</w:t>
      </w:r>
      <w:r w:rsidR="009B405E" w:rsidRPr="00BD1C03">
        <w:t>.</w:t>
      </w:r>
      <w:r w:rsidR="009B405E" w:rsidRPr="00BD1C03">
        <w:rPr>
          <w:rFonts w:asciiTheme="majorHAnsi" w:hAnsiTheme="majorHAnsi" w:cstheme="majorHAnsi"/>
        </w:rPr>
        <w:t xml:space="preserve"> </w:t>
      </w:r>
    </w:p>
    <w:p w14:paraId="23CD1356" w14:textId="27707539" w:rsidR="004A7F5F" w:rsidRPr="00BD1C03" w:rsidRDefault="00A84D92" w:rsidP="00CB6C52">
      <w:pPr>
        <w:spacing w:after="0"/>
        <w:rPr>
          <w:b/>
        </w:rPr>
      </w:pPr>
      <w:r w:rsidRPr="00A84D92">
        <w:rPr>
          <w:bCs/>
          <w:i/>
          <w:iCs/>
        </w:rPr>
        <w:t>12.4.4</w:t>
      </w:r>
      <w:r>
        <w:rPr>
          <w:b/>
        </w:rPr>
        <w:t xml:space="preserve"> </w:t>
      </w:r>
      <w:r w:rsidR="001559C3" w:rsidRPr="00BD1C03">
        <w:rPr>
          <w:b/>
        </w:rPr>
        <w:t xml:space="preserve">Initiate DFAT </w:t>
      </w:r>
      <w:r w:rsidR="00701B69" w:rsidRPr="00BD1C03">
        <w:rPr>
          <w:b/>
        </w:rPr>
        <w:t>p</w:t>
      </w:r>
      <w:r w:rsidR="001559C3" w:rsidRPr="00BD1C03">
        <w:rPr>
          <w:b/>
        </w:rPr>
        <w:t xml:space="preserve">olicy </w:t>
      </w:r>
      <w:r w:rsidR="00701B69" w:rsidRPr="00BD1C03">
        <w:rPr>
          <w:b/>
        </w:rPr>
        <w:t>g</w:t>
      </w:r>
      <w:r w:rsidR="001559C3" w:rsidRPr="00BD1C03">
        <w:rPr>
          <w:b/>
        </w:rPr>
        <w:t xml:space="preserve">uidance to accompany the Partnerships for Recovery: Australia’s COVID-19 Development Response (2020) to support Australia’s engagement in complex protracted crises and </w:t>
      </w:r>
      <w:r w:rsidR="00491601" w:rsidRPr="00BD1C03">
        <w:rPr>
          <w:b/>
        </w:rPr>
        <w:t xml:space="preserve">address the significant policy level and normative developments since the release of </w:t>
      </w:r>
      <w:r w:rsidR="001559C3" w:rsidRPr="00BD1C03">
        <w:rPr>
          <w:b/>
        </w:rPr>
        <w:t xml:space="preserve">the </w:t>
      </w:r>
      <w:r w:rsidR="00491601" w:rsidRPr="00BD1C03">
        <w:rPr>
          <w:b/>
        </w:rPr>
        <w:t>Humanitarian Strategy (2016) and Protection Framework (201</w:t>
      </w:r>
      <w:r w:rsidR="00C23559" w:rsidRPr="00BD1C03">
        <w:rPr>
          <w:b/>
        </w:rPr>
        <w:t>3)</w:t>
      </w:r>
    </w:p>
    <w:p w14:paraId="79D4C3D6" w14:textId="00F661BE" w:rsidR="009B405E" w:rsidRPr="00BD1C03" w:rsidRDefault="00225725" w:rsidP="0008435D">
      <w:pPr>
        <w:rPr>
          <w:b/>
          <w:bCs/>
        </w:rPr>
      </w:pPr>
      <w:r w:rsidRPr="00BD1C03">
        <w:t>Th</w:t>
      </w:r>
      <w:r w:rsidR="00701B69" w:rsidRPr="00BD1C03">
        <w:t>e</w:t>
      </w:r>
      <w:r w:rsidRPr="00BD1C03">
        <w:t xml:space="preserve"> </w:t>
      </w:r>
      <w:r w:rsidR="0011712A" w:rsidRPr="00BD1C03">
        <w:t xml:space="preserve">policy guidance </w:t>
      </w:r>
      <w:r w:rsidRPr="00BD1C03">
        <w:t>should</w:t>
      </w:r>
      <w:r w:rsidR="009B405E" w:rsidRPr="00BD1C03">
        <w:t xml:space="preserve"> address </w:t>
      </w:r>
      <w:r w:rsidR="0037148E" w:rsidRPr="00BD1C03">
        <w:t xml:space="preserve">policy and normative </w:t>
      </w:r>
      <w:r w:rsidR="009B405E" w:rsidRPr="00BD1C03">
        <w:t>developments related to the HDP nexus, stabilisation</w:t>
      </w:r>
      <w:r w:rsidR="00A84728" w:rsidRPr="00BD1C03">
        <w:t xml:space="preserve"> and recovery</w:t>
      </w:r>
      <w:r w:rsidR="009B405E" w:rsidRPr="00BD1C03">
        <w:t xml:space="preserve">, </w:t>
      </w:r>
      <w:r w:rsidR="00E54E26" w:rsidRPr="00BD1C03">
        <w:t xml:space="preserve">social cohesion and reconciliation, </w:t>
      </w:r>
      <w:r w:rsidR="009B405E" w:rsidRPr="00BD1C03">
        <w:t xml:space="preserve">WPS, WHS </w:t>
      </w:r>
      <w:r w:rsidR="00A44E93" w:rsidRPr="00BD1C03">
        <w:t>and Grand Bargain</w:t>
      </w:r>
      <w:r w:rsidR="00CE6396" w:rsidRPr="00BD1C03">
        <w:t xml:space="preserve"> </w:t>
      </w:r>
      <w:r w:rsidR="009B405E" w:rsidRPr="00BD1C03">
        <w:t xml:space="preserve">commitments, </w:t>
      </w:r>
      <w:r w:rsidR="00CE6396" w:rsidRPr="00BD1C03">
        <w:t xml:space="preserve">IASC </w:t>
      </w:r>
      <w:r w:rsidR="003F0CB9" w:rsidRPr="00BD1C03">
        <w:t xml:space="preserve">centrality of </w:t>
      </w:r>
      <w:r w:rsidR="009B405E" w:rsidRPr="00BD1C03">
        <w:t>protection</w:t>
      </w:r>
      <w:r w:rsidR="003F0CB9" w:rsidRPr="00BD1C03">
        <w:t xml:space="preserve"> </w:t>
      </w:r>
      <w:r w:rsidR="009B405E" w:rsidRPr="00BD1C03">
        <w:t>and respect for humanitarian principles and access.</w:t>
      </w:r>
    </w:p>
    <w:p w14:paraId="2B27C326" w14:textId="2B02ED14" w:rsidR="00F32AAB" w:rsidRPr="00A84D92" w:rsidRDefault="00D33704" w:rsidP="001D2CE7">
      <w:pPr>
        <w:pStyle w:val="Enfasi"/>
      </w:pPr>
      <w:r w:rsidRPr="00A84D92">
        <w:t xml:space="preserve">12.5 </w:t>
      </w:r>
      <w:r w:rsidR="00225725" w:rsidRPr="00A84D92">
        <w:t>Advance</w:t>
      </w:r>
      <w:r w:rsidR="00F32AAB" w:rsidRPr="00A84D92">
        <w:t xml:space="preserve"> the W</w:t>
      </w:r>
      <w:r w:rsidR="00E54E26" w:rsidRPr="00A84D92">
        <w:t>PS</w:t>
      </w:r>
      <w:r w:rsidR="00F32AAB" w:rsidRPr="00A84D92">
        <w:t xml:space="preserve"> agenda</w:t>
      </w:r>
      <w:r w:rsidR="00EB3F92" w:rsidRPr="00A84D92">
        <w:t xml:space="preserve"> </w:t>
      </w:r>
      <w:r w:rsidR="000C2438" w:rsidRPr="00A84D92">
        <w:t xml:space="preserve">through </w:t>
      </w:r>
      <w:r w:rsidR="00EF4256" w:rsidRPr="00A84D92">
        <w:t xml:space="preserve">supporting </w:t>
      </w:r>
      <w:r w:rsidR="00140FD8" w:rsidRPr="00A84D92">
        <w:t xml:space="preserve">Iraqi women’s </w:t>
      </w:r>
      <w:r w:rsidR="000C2438" w:rsidRPr="00A84D92">
        <w:t xml:space="preserve">meaningful participation </w:t>
      </w:r>
    </w:p>
    <w:p w14:paraId="5CBF5A63" w14:textId="2693269F" w:rsidR="004A7F5F" w:rsidRPr="00BD1C03" w:rsidRDefault="00A84D92" w:rsidP="00CB6C52">
      <w:pPr>
        <w:spacing w:after="0"/>
        <w:rPr>
          <w:b/>
        </w:rPr>
      </w:pPr>
      <w:r w:rsidRPr="00A84D92">
        <w:rPr>
          <w:bCs/>
          <w:i/>
          <w:iCs/>
          <w:color w:val="000000" w:themeColor="text1"/>
        </w:rPr>
        <w:t>12.5.1</w:t>
      </w:r>
      <w:r w:rsidRPr="00A84D92">
        <w:rPr>
          <w:bCs/>
          <w:color w:val="000000" w:themeColor="text1"/>
        </w:rPr>
        <w:t xml:space="preserve"> </w:t>
      </w:r>
      <w:r w:rsidR="002766EA" w:rsidRPr="00BD1C03">
        <w:rPr>
          <w:b/>
          <w:color w:val="000000" w:themeColor="text1"/>
        </w:rPr>
        <w:t xml:space="preserve">Increase </w:t>
      </w:r>
      <w:r w:rsidR="00BD6587" w:rsidRPr="00BD1C03">
        <w:rPr>
          <w:b/>
          <w:color w:val="000000" w:themeColor="text1"/>
        </w:rPr>
        <w:t xml:space="preserve">bilateral </w:t>
      </w:r>
      <w:r w:rsidR="002766EA" w:rsidRPr="00BD1C03">
        <w:rPr>
          <w:b/>
          <w:color w:val="000000" w:themeColor="text1"/>
        </w:rPr>
        <w:t>diplomatic</w:t>
      </w:r>
      <w:r w:rsidR="00EF4256" w:rsidRPr="00BD1C03">
        <w:rPr>
          <w:b/>
          <w:color w:val="000000" w:themeColor="text1"/>
        </w:rPr>
        <w:t xml:space="preserve"> </w:t>
      </w:r>
      <w:r w:rsidR="00BD6587" w:rsidRPr="00BD1C03">
        <w:rPr>
          <w:b/>
          <w:color w:val="000000" w:themeColor="text1"/>
        </w:rPr>
        <w:t>engagement</w:t>
      </w:r>
      <w:r w:rsidR="002766EA" w:rsidRPr="00BD1C03">
        <w:rPr>
          <w:b/>
          <w:color w:val="000000" w:themeColor="text1"/>
        </w:rPr>
        <w:t xml:space="preserve"> and coordinated advocacy with </w:t>
      </w:r>
      <w:r w:rsidR="002766EA" w:rsidRPr="00BD1C03">
        <w:rPr>
          <w:b/>
        </w:rPr>
        <w:t>like-minded donors</w:t>
      </w:r>
      <w:r w:rsidR="00BD6587" w:rsidRPr="00BD1C03">
        <w:rPr>
          <w:b/>
        </w:rPr>
        <w:t xml:space="preserve"> on</w:t>
      </w:r>
      <w:r w:rsidR="00A84728" w:rsidRPr="00BD1C03">
        <w:rPr>
          <w:b/>
        </w:rPr>
        <w:t xml:space="preserve"> the participation pillar </w:t>
      </w:r>
      <w:r w:rsidR="002766EA" w:rsidRPr="00BD1C03">
        <w:rPr>
          <w:b/>
        </w:rPr>
        <w:t>of the WPS agenda</w:t>
      </w:r>
      <w:r w:rsidR="00EF4256" w:rsidRPr="00BD1C03">
        <w:rPr>
          <w:b/>
        </w:rPr>
        <w:t xml:space="preserve"> in Iraq</w:t>
      </w:r>
    </w:p>
    <w:p w14:paraId="3EC943C5" w14:textId="7E364E91" w:rsidR="00801D4D" w:rsidRPr="00BD1C03" w:rsidRDefault="00F32AAB" w:rsidP="0008435D">
      <w:r w:rsidRPr="00BD1C03">
        <w:t>Australia should</w:t>
      </w:r>
      <w:r w:rsidR="00140FD8" w:rsidRPr="00BD1C03">
        <w:t xml:space="preserve"> </w:t>
      </w:r>
      <w:r w:rsidRPr="00BD1C03">
        <w:t xml:space="preserve">continue to advocate for an updated and adequately budgeted NAP </w:t>
      </w:r>
      <w:r w:rsidR="00165334" w:rsidRPr="00BD1C03">
        <w:t xml:space="preserve">and </w:t>
      </w:r>
      <w:r w:rsidRPr="00BD1C03">
        <w:t>support regular dialogue with inclusive and representative WPS civil society</w:t>
      </w:r>
      <w:r w:rsidR="00165334" w:rsidRPr="00BD1C03">
        <w:t>.</w:t>
      </w:r>
      <w:r w:rsidRPr="00BD1C03">
        <w:t xml:space="preserve">  Australia is well positioned to advance WPS objectives in Iraq</w:t>
      </w:r>
      <w:r w:rsidR="00140FD8" w:rsidRPr="00BD1C03">
        <w:t xml:space="preserve"> and increase attention to </w:t>
      </w:r>
      <w:r w:rsidR="00255CC3" w:rsidRPr="00BD1C03">
        <w:t xml:space="preserve">women’s </w:t>
      </w:r>
      <w:r w:rsidR="00140FD8" w:rsidRPr="00BD1C03">
        <w:t>participation</w:t>
      </w:r>
      <w:r w:rsidR="00BD6587" w:rsidRPr="00BD1C03">
        <w:t>, both bilaterally and together with like-minded donors</w:t>
      </w:r>
      <w:r w:rsidRPr="00BD1C03">
        <w:t xml:space="preserve"> given the Embassy’s </w:t>
      </w:r>
      <w:r w:rsidR="00140FD8" w:rsidRPr="00BD1C03">
        <w:t xml:space="preserve">achievements </w:t>
      </w:r>
      <w:r w:rsidRPr="00BD1C03">
        <w:t>to date.</w:t>
      </w:r>
      <w:r w:rsidR="001559C3" w:rsidRPr="00BD1C03">
        <w:t xml:space="preserve"> Consider requesting a review of the Women Peace and Humanitarian Fund’s contribution to women’s participation and leadership in Iraq and </w:t>
      </w:r>
      <w:r w:rsidR="002D3D75" w:rsidRPr="00BD1C03">
        <w:t xml:space="preserve">explore </w:t>
      </w:r>
      <w:r w:rsidR="001559C3" w:rsidRPr="00BD1C03">
        <w:t>opportunities to strengthen direct support to WPS civil society.</w:t>
      </w:r>
      <w:r w:rsidR="00776E8C" w:rsidRPr="00BD1C03">
        <w:rPr>
          <w:rStyle w:val="EndnoteReference"/>
          <w:rFonts w:ascii="Calibri Light" w:hAnsi="Calibri Light" w:cs="Calibri Light"/>
          <w:szCs w:val="22"/>
        </w:rPr>
        <w:endnoteReference w:id="94"/>
      </w:r>
    </w:p>
    <w:p w14:paraId="0470FBE7" w14:textId="77777777" w:rsidR="00801D4D" w:rsidRPr="00BD1C03" w:rsidRDefault="00801D4D">
      <w:pPr>
        <w:spacing w:after="0"/>
      </w:pPr>
      <w:r w:rsidRPr="00BD1C03">
        <w:br w:type="page"/>
      </w:r>
    </w:p>
    <w:p w14:paraId="7E95CDE4" w14:textId="3295A9A7" w:rsidR="00801D4D" w:rsidRPr="00BD1C03" w:rsidRDefault="00801D4D" w:rsidP="0083629E">
      <w:pPr>
        <w:pStyle w:val="Heading1"/>
        <w:spacing w:after="240"/>
      </w:pPr>
      <w:bookmarkStart w:id="14" w:name="_Toc48318504"/>
      <w:r w:rsidRPr="00BD1C03">
        <w:t>Annex I</w:t>
      </w:r>
      <w:r w:rsidR="00860EAA" w:rsidRPr="00BD1C03">
        <w:t xml:space="preserve"> –</w:t>
      </w:r>
      <w:r w:rsidR="002D7861">
        <w:t xml:space="preserve"> List of I</w:t>
      </w:r>
      <w:r w:rsidRPr="00BD1C03">
        <w:t>nterviewees</w:t>
      </w:r>
      <w:bookmarkEnd w:id="14"/>
    </w:p>
    <w:p w14:paraId="53DD5088" w14:textId="24317339" w:rsidR="002816BE" w:rsidRPr="00BD1C03" w:rsidRDefault="00801D4D" w:rsidP="00801D4D">
      <w:pPr>
        <w:spacing w:line="22" w:lineRule="atLeast"/>
      </w:pPr>
      <w:r w:rsidRPr="00BD1C03">
        <w:t xml:space="preserve">Interviewees were selected based on known key informants within DFAT and </w:t>
      </w:r>
      <w:proofErr w:type="spellStart"/>
      <w:r w:rsidRPr="00BD1C03">
        <w:t>WoG</w:t>
      </w:r>
      <w:proofErr w:type="spellEnd"/>
      <w:r w:rsidRPr="00BD1C03">
        <w:t>, package partners and relevant non-package actors. A total of 33 interviews have been conducted with 43 individuals, 20 female, 23 male. Names have been removed for privacy reasons.</w:t>
      </w:r>
    </w:p>
    <w:tbl>
      <w:tblPr>
        <w:tblStyle w:val="GridTable1Light-Accent31"/>
        <w:tblW w:w="8505" w:type="dxa"/>
        <w:tblLayout w:type="fixed"/>
        <w:tblLook w:val="04A0" w:firstRow="1" w:lastRow="0" w:firstColumn="1" w:lastColumn="0" w:noHBand="0" w:noVBand="1"/>
      </w:tblPr>
      <w:tblGrid>
        <w:gridCol w:w="1617"/>
        <w:gridCol w:w="5489"/>
        <w:gridCol w:w="1399"/>
      </w:tblGrid>
      <w:tr w:rsidR="00AA4247" w:rsidRPr="00BD1C03" w14:paraId="45C39089" w14:textId="77777777" w:rsidTr="00204E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dxa"/>
            <w:tcBorders>
              <w:bottom w:val="single" w:sz="4" w:space="0" w:color="4F6228" w:themeColor="accent3" w:themeShade="80"/>
            </w:tcBorders>
          </w:tcPr>
          <w:p w14:paraId="7492DEA3" w14:textId="77777777" w:rsidR="00AA4247" w:rsidRPr="0038210E" w:rsidRDefault="00AA4247" w:rsidP="00F10C69">
            <w:pPr>
              <w:spacing w:before="120" w:after="120"/>
              <w:rPr>
                <w:sz w:val="32"/>
              </w:rPr>
            </w:pPr>
            <w:r w:rsidRPr="0038210E">
              <w:rPr>
                <w:b w:val="0"/>
                <w:sz w:val="32"/>
              </w:rPr>
              <w:t>Name(s)</w:t>
            </w:r>
          </w:p>
        </w:tc>
        <w:tc>
          <w:tcPr>
            <w:tcW w:w="5489" w:type="dxa"/>
            <w:tcBorders>
              <w:bottom w:val="single" w:sz="4" w:space="0" w:color="4F6228" w:themeColor="accent3" w:themeShade="80"/>
            </w:tcBorders>
          </w:tcPr>
          <w:p w14:paraId="4173F812" w14:textId="77777777" w:rsidR="00AA4247" w:rsidRPr="0038210E" w:rsidRDefault="00AA4247" w:rsidP="00F10C69">
            <w:pPr>
              <w:spacing w:before="120" w:after="120"/>
              <w:cnfStyle w:val="100000000000" w:firstRow="1" w:lastRow="0" w:firstColumn="0" w:lastColumn="0" w:oddVBand="0" w:evenVBand="0" w:oddHBand="0" w:evenHBand="0" w:firstRowFirstColumn="0" w:firstRowLastColumn="0" w:lastRowFirstColumn="0" w:lastRowLastColumn="0"/>
              <w:rPr>
                <w:sz w:val="32"/>
              </w:rPr>
            </w:pPr>
            <w:r w:rsidRPr="0038210E">
              <w:rPr>
                <w:b w:val="0"/>
                <w:sz w:val="32"/>
              </w:rPr>
              <w:t>Title/ Role and Organisation</w:t>
            </w:r>
          </w:p>
        </w:tc>
        <w:tc>
          <w:tcPr>
            <w:tcW w:w="1399" w:type="dxa"/>
            <w:tcBorders>
              <w:bottom w:val="single" w:sz="4" w:space="0" w:color="4F6228" w:themeColor="accent3" w:themeShade="80"/>
            </w:tcBorders>
          </w:tcPr>
          <w:p w14:paraId="190090E6" w14:textId="77777777" w:rsidR="00AA4247" w:rsidRPr="0038210E" w:rsidRDefault="00AA4247" w:rsidP="00F10C69">
            <w:pPr>
              <w:spacing w:before="120" w:after="120"/>
              <w:cnfStyle w:val="100000000000" w:firstRow="1" w:lastRow="0" w:firstColumn="0" w:lastColumn="0" w:oddVBand="0" w:evenVBand="0" w:oddHBand="0" w:evenHBand="0" w:firstRowFirstColumn="0" w:firstRowLastColumn="0" w:lastRowFirstColumn="0" w:lastRowLastColumn="0"/>
              <w:rPr>
                <w:sz w:val="32"/>
              </w:rPr>
            </w:pPr>
            <w:r w:rsidRPr="0038210E">
              <w:rPr>
                <w:b w:val="0"/>
                <w:sz w:val="32"/>
              </w:rPr>
              <w:t xml:space="preserve">Date </w:t>
            </w:r>
          </w:p>
        </w:tc>
      </w:tr>
      <w:tr w:rsidR="00AA4247" w:rsidRPr="00BD1C03" w14:paraId="020DC4C8" w14:textId="77777777" w:rsidTr="00204EDB">
        <w:tc>
          <w:tcPr>
            <w:cnfStyle w:val="001000000000" w:firstRow="0" w:lastRow="0" w:firstColumn="1" w:lastColumn="0" w:oddVBand="0" w:evenVBand="0" w:oddHBand="0" w:evenHBand="0" w:firstRowFirstColumn="0" w:firstRowLastColumn="0" w:lastRowFirstColumn="0" w:lastRowLastColumn="0"/>
            <w:tcW w:w="8505" w:type="dxa"/>
            <w:gridSpan w:val="3"/>
          </w:tcPr>
          <w:p w14:paraId="7A8CAE75" w14:textId="77777777" w:rsidR="00AA4247" w:rsidRPr="00912630" w:rsidRDefault="00AA4247" w:rsidP="00F10C69">
            <w:pPr>
              <w:spacing w:before="120" w:after="120"/>
              <w:rPr>
                <w:rFonts w:asciiTheme="majorHAnsi" w:hAnsiTheme="majorHAnsi"/>
                <w:bCs w:val="0"/>
                <w:color w:val="76923C" w:themeColor="accent3" w:themeShade="BF"/>
              </w:rPr>
            </w:pPr>
            <w:r w:rsidRPr="00912630">
              <w:rPr>
                <w:rFonts w:asciiTheme="majorHAnsi" w:hAnsiTheme="majorHAnsi"/>
                <w:bCs w:val="0"/>
                <w:color w:val="4F6228" w:themeColor="accent3" w:themeShade="80"/>
              </w:rPr>
              <w:t>DFAT and Whole of Government Partners</w:t>
            </w:r>
          </w:p>
        </w:tc>
      </w:tr>
      <w:tr w:rsidR="00AA4247" w:rsidRPr="00BD1C03" w14:paraId="1ABE70A8" w14:textId="77777777" w:rsidTr="00204EDB">
        <w:tc>
          <w:tcPr>
            <w:cnfStyle w:val="001000000000" w:firstRow="0" w:lastRow="0" w:firstColumn="1" w:lastColumn="0" w:oddVBand="0" w:evenVBand="0" w:oddHBand="0" w:evenHBand="0" w:firstRowFirstColumn="0" w:firstRowLastColumn="0" w:lastRowFirstColumn="0" w:lastRowLastColumn="0"/>
            <w:tcW w:w="1617" w:type="dxa"/>
          </w:tcPr>
          <w:p w14:paraId="6542CCF3" w14:textId="77777777" w:rsidR="00AA4247" w:rsidRPr="00BD1C03" w:rsidRDefault="00AA4247" w:rsidP="00F10C69">
            <w:pPr>
              <w:spacing w:before="40" w:after="40" w:line="22" w:lineRule="atLeast"/>
              <w:rPr>
                <w:rFonts w:cstheme="majorHAnsi"/>
                <w:color w:val="000000" w:themeColor="text1"/>
                <w:szCs w:val="22"/>
              </w:rPr>
            </w:pPr>
          </w:p>
        </w:tc>
        <w:tc>
          <w:tcPr>
            <w:tcW w:w="5489" w:type="dxa"/>
          </w:tcPr>
          <w:p w14:paraId="4EBD6B22" w14:textId="77777777" w:rsidR="00AA4247" w:rsidRPr="00BD1C03" w:rsidRDefault="00AA4247"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szCs w:val="22"/>
              </w:rPr>
              <w:t>Protracted Crises and Refugee Section, Humanitarian and Refugee Policy Branch, DFAT Canberra</w:t>
            </w:r>
          </w:p>
        </w:tc>
        <w:tc>
          <w:tcPr>
            <w:tcW w:w="1399" w:type="dxa"/>
          </w:tcPr>
          <w:p w14:paraId="53C3D490" w14:textId="77777777" w:rsidR="00AA4247" w:rsidRPr="00BD1C03" w:rsidRDefault="00AA4247"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szCs w:val="22"/>
              </w:rPr>
              <w:t>24.04.20</w:t>
            </w:r>
          </w:p>
        </w:tc>
      </w:tr>
      <w:tr w:rsidR="00AA4247" w:rsidRPr="00BD1C03" w14:paraId="118C5E29" w14:textId="77777777" w:rsidTr="00204EDB">
        <w:tc>
          <w:tcPr>
            <w:cnfStyle w:val="001000000000" w:firstRow="0" w:lastRow="0" w:firstColumn="1" w:lastColumn="0" w:oddVBand="0" w:evenVBand="0" w:oddHBand="0" w:evenHBand="0" w:firstRowFirstColumn="0" w:firstRowLastColumn="0" w:lastRowFirstColumn="0" w:lastRowLastColumn="0"/>
            <w:tcW w:w="1617" w:type="dxa"/>
          </w:tcPr>
          <w:p w14:paraId="16F4966E" w14:textId="77777777" w:rsidR="00AA4247" w:rsidRPr="00BD1C03" w:rsidRDefault="00AA4247" w:rsidP="00F10C69">
            <w:pPr>
              <w:spacing w:before="40" w:after="40" w:line="22" w:lineRule="atLeast"/>
              <w:ind w:left="814"/>
              <w:rPr>
                <w:rFonts w:cstheme="majorHAnsi"/>
                <w:color w:val="000000" w:themeColor="text1"/>
                <w:szCs w:val="22"/>
              </w:rPr>
            </w:pPr>
          </w:p>
        </w:tc>
        <w:tc>
          <w:tcPr>
            <w:tcW w:w="5489" w:type="dxa"/>
          </w:tcPr>
          <w:p w14:paraId="403BB2AF" w14:textId="77777777" w:rsidR="00AA4247" w:rsidRPr="00BD1C03" w:rsidRDefault="00AA4247"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szCs w:val="22"/>
              </w:rPr>
              <w:t>Former Humanitarian Advisor, Australian Embassy Iraq</w:t>
            </w:r>
          </w:p>
        </w:tc>
        <w:tc>
          <w:tcPr>
            <w:tcW w:w="1399" w:type="dxa"/>
          </w:tcPr>
          <w:p w14:paraId="4D42AA4E" w14:textId="77777777" w:rsidR="00AA4247" w:rsidRPr="00BD1C03" w:rsidRDefault="00AA4247"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szCs w:val="22"/>
              </w:rPr>
              <w:t>02.03.20 &amp; 07.04.20</w:t>
            </w:r>
          </w:p>
        </w:tc>
      </w:tr>
      <w:tr w:rsidR="00AA4247" w:rsidRPr="00BD1C03" w14:paraId="37A44036" w14:textId="77777777" w:rsidTr="00204EDB">
        <w:tc>
          <w:tcPr>
            <w:cnfStyle w:val="001000000000" w:firstRow="0" w:lastRow="0" w:firstColumn="1" w:lastColumn="0" w:oddVBand="0" w:evenVBand="0" w:oddHBand="0" w:evenHBand="0" w:firstRowFirstColumn="0" w:firstRowLastColumn="0" w:lastRowFirstColumn="0" w:lastRowLastColumn="0"/>
            <w:tcW w:w="1617" w:type="dxa"/>
          </w:tcPr>
          <w:p w14:paraId="51050CFB" w14:textId="77777777" w:rsidR="00AA4247" w:rsidRPr="00BD1C03" w:rsidRDefault="00AA4247" w:rsidP="00F10C69">
            <w:pPr>
              <w:spacing w:before="40" w:after="40" w:line="22" w:lineRule="atLeast"/>
              <w:rPr>
                <w:rFonts w:cstheme="majorHAnsi"/>
                <w:color w:val="000000" w:themeColor="text1"/>
                <w:szCs w:val="22"/>
              </w:rPr>
            </w:pPr>
          </w:p>
        </w:tc>
        <w:tc>
          <w:tcPr>
            <w:tcW w:w="5489" w:type="dxa"/>
          </w:tcPr>
          <w:p w14:paraId="49CFDAF7" w14:textId="77777777" w:rsidR="00AA4247" w:rsidRPr="00BD1C03" w:rsidRDefault="00AA4247"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szCs w:val="22"/>
              </w:rPr>
              <w:t xml:space="preserve">Australian Embassy Jordan, previously Middle East Development Section </w:t>
            </w:r>
          </w:p>
          <w:p w14:paraId="46101125" w14:textId="77777777" w:rsidR="00AA4247" w:rsidRPr="00BD1C03" w:rsidRDefault="00AA4247"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szCs w:val="22"/>
              </w:rPr>
              <w:t>Former Humanitarian Advisor, Australian Embassy Iraq</w:t>
            </w:r>
          </w:p>
        </w:tc>
        <w:tc>
          <w:tcPr>
            <w:tcW w:w="1399" w:type="dxa"/>
          </w:tcPr>
          <w:p w14:paraId="716E82FE" w14:textId="77777777" w:rsidR="00AA4247" w:rsidRPr="00BD1C03" w:rsidRDefault="00AA4247"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szCs w:val="22"/>
              </w:rPr>
              <w:t xml:space="preserve">19.03.20 </w:t>
            </w:r>
          </w:p>
        </w:tc>
      </w:tr>
      <w:tr w:rsidR="00AA4247" w:rsidRPr="00BD1C03" w14:paraId="33751ED0" w14:textId="77777777" w:rsidTr="00204EDB">
        <w:tc>
          <w:tcPr>
            <w:cnfStyle w:val="001000000000" w:firstRow="0" w:lastRow="0" w:firstColumn="1" w:lastColumn="0" w:oddVBand="0" w:evenVBand="0" w:oddHBand="0" w:evenHBand="0" w:firstRowFirstColumn="0" w:firstRowLastColumn="0" w:lastRowFirstColumn="0" w:lastRowLastColumn="0"/>
            <w:tcW w:w="1617" w:type="dxa"/>
          </w:tcPr>
          <w:p w14:paraId="33402DDC" w14:textId="77777777" w:rsidR="00AA4247" w:rsidRPr="00BD1C03" w:rsidRDefault="00AA4247" w:rsidP="00F10C69">
            <w:pPr>
              <w:spacing w:before="40" w:after="40" w:line="22" w:lineRule="atLeast"/>
              <w:rPr>
                <w:rFonts w:cstheme="majorHAnsi"/>
                <w:color w:val="000000" w:themeColor="text1"/>
                <w:szCs w:val="22"/>
              </w:rPr>
            </w:pPr>
            <w:r w:rsidRPr="00BD1C03">
              <w:rPr>
                <w:rFonts w:cstheme="majorHAnsi"/>
                <w:color w:val="000000" w:themeColor="text1"/>
                <w:szCs w:val="22"/>
              </w:rPr>
              <w:t xml:space="preserve"> </w:t>
            </w:r>
          </w:p>
        </w:tc>
        <w:tc>
          <w:tcPr>
            <w:tcW w:w="5489" w:type="dxa"/>
          </w:tcPr>
          <w:p w14:paraId="402C2D62" w14:textId="77777777" w:rsidR="00AA4247" w:rsidRPr="00BD1C03" w:rsidRDefault="00AA4247"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szCs w:val="22"/>
              </w:rPr>
              <w:t>Iraq lead, Iran, Iraq and Syria Section</w:t>
            </w:r>
          </w:p>
          <w:p w14:paraId="79D5E7FB" w14:textId="77777777" w:rsidR="00AA4247" w:rsidRPr="00BD1C03" w:rsidRDefault="00AA4247"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szCs w:val="22"/>
              </w:rPr>
              <w:t>Former Director, Iran, Iraq and Syria Section</w:t>
            </w:r>
          </w:p>
          <w:p w14:paraId="1E319128" w14:textId="77777777" w:rsidR="00AA4247" w:rsidRPr="00BD1C03" w:rsidRDefault="00AA4247"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szCs w:val="22"/>
              </w:rPr>
              <w:t>Current Direction, Iran, Iraq and Syria Section, Middle East Branch, DFAT Canberra</w:t>
            </w:r>
          </w:p>
        </w:tc>
        <w:tc>
          <w:tcPr>
            <w:tcW w:w="1399" w:type="dxa"/>
          </w:tcPr>
          <w:p w14:paraId="6E9A6081" w14:textId="77777777" w:rsidR="00AA4247" w:rsidRPr="00BD1C03" w:rsidRDefault="00AA4247"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szCs w:val="22"/>
              </w:rPr>
              <w:t>02.04.20</w:t>
            </w:r>
          </w:p>
        </w:tc>
      </w:tr>
      <w:tr w:rsidR="00AA4247" w:rsidRPr="00BD1C03" w14:paraId="63FD3C64" w14:textId="77777777" w:rsidTr="00204EDB">
        <w:tc>
          <w:tcPr>
            <w:cnfStyle w:val="001000000000" w:firstRow="0" w:lastRow="0" w:firstColumn="1" w:lastColumn="0" w:oddVBand="0" w:evenVBand="0" w:oddHBand="0" w:evenHBand="0" w:firstRowFirstColumn="0" w:firstRowLastColumn="0" w:lastRowFirstColumn="0" w:lastRowLastColumn="0"/>
            <w:tcW w:w="1617" w:type="dxa"/>
          </w:tcPr>
          <w:p w14:paraId="2F2BE569" w14:textId="77777777" w:rsidR="00AA4247" w:rsidRPr="00BD1C03" w:rsidRDefault="00AA4247" w:rsidP="00F10C69">
            <w:pPr>
              <w:spacing w:before="40" w:after="40" w:line="22" w:lineRule="atLeast"/>
              <w:rPr>
                <w:rFonts w:cstheme="majorHAnsi"/>
                <w:color w:val="000000" w:themeColor="text1"/>
                <w:szCs w:val="22"/>
              </w:rPr>
            </w:pPr>
          </w:p>
        </w:tc>
        <w:tc>
          <w:tcPr>
            <w:tcW w:w="5489" w:type="dxa"/>
          </w:tcPr>
          <w:p w14:paraId="420CAA70" w14:textId="77777777" w:rsidR="00AA4247" w:rsidRPr="00BD1C03" w:rsidRDefault="00AA4247"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szCs w:val="22"/>
              </w:rPr>
              <w:t xml:space="preserve">Counsellor (Immigration) Department of Home Affairs, Australian Embassy Jordan </w:t>
            </w:r>
          </w:p>
        </w:tc>
        <w:tc>
          <w:tcPr>
            <w:tcW w:w="1399" w:type="dxa"/>
          </w:tcPr>
          <w:p w14:paraId="7AF3547D" w14:textId="77777777" w:rsidR="00AA4247" w:rsidRPr="00BD1C03" w:rsidRDefault="00AA4247"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szCs w:val="22"/>
              </w:rPr>
              <w:t>23.03.20</w:t>
            </w:r>
          </w:p>
        </w:tc>
      </w:tr>
      <w:tr w:rsidR="00AA4247" w:rsidRPr="00BD1C03" w14:paraId="03C93C03" w14:textId="77777777" w:rsidTr="00204EDB">
        <w:tc>
          <w:tcPr>
            <w:cnfStyle w:val="001000000000" w:firstRow="0" w:lastRow="0" w:firstColumn="1" w:lastColumn="0" w:oddVBand="0" w:evenVBand="0" w:oddHBand="0" w:evenHBand="0" w:firstRowFirstColumn="0" w:firstRowLastColumn="0" w:lastRowFirstColumn="0" w:lastRowLastColumn="0"/>
            <w:tcW w:w="1617" w:type="dxa"/>
          </w:tcPr>
          <w:p w14:paraId="0502A146" w14:textId="77777777" w:rsidR="00AA4247" w:rsidRPr="00BD1C03" w:rsidRDefault="00AA4247" w:rsidP="00F10C69">
            <w:pPr>
              <w:spacing w:before="40" w:after="40" w:line="22" w:lineRule="atLeast"/>
              <w:rPr>
                <w:rFonts w:cstheme="majorHAnsi"/>
                <w:color w:val="000000" w:themeColor="text1"/>
                <w:szCs w:val="22"/>
              </w:rPr>
            </w:pPr>
          </w:p>
        </w:tc>
        <w:tc>
          <w:tcPr>
            <w:tcW w:w="5489" w:type="dxa"/>
          </w:tcPr>
          <w:p w14:paraId="50F19ED8" w14:textId="0061D6A6" w:rsidR="00AA4247" w:rsidRPr="00BD1C03" w:rsidRDefault="00AA4247"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szCs w:val="22"/>
              </w:rPr>
              <w:t xml:space="preserve">Colonel, Defence </w:t>
            </w:r>
            <w:r w:rsidR="0020704B" w:rsidRPr="00BD1C03">
              <w:rPr>
                <w:szCs w:val="22"/>
              </w:rPr>
              <w:t>Attaché</w:t>
            </w:r>
            <w:r w:rsidRPr="00BD1C03">
              <w:rPr>
                <w:szCs w:val="22"/>
              </w:rPr>
              <w:t>, Australian Embassy Iraq</w:t>
            </w:r>
          </w:p>
        </w:tc>
        <w:tc>
          <w:tcPr>
            <w:tcW w:w="1399" w:type="dxa"/>
          </w:tcPr>
          <w:p w14:paraId="6067A8F2" w14:textId="77777777" w:rsidR="00AA4247" w:rsidRPr="00BD1C03" w:rsidRDefault="00AA4247"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szCs w:val="22"/>
              </w:rPr>
              <w:t>03.04.20</w:t>
            </w:r>
          </w:p>
        </w:tc>
      </w:tr>
      <w:tr w:rsidR="00AA4247" w:rsidRPr="00BD1C03" w14:paraId="06F6A4DC" w14:textId="77777777" w:rsidTr="00204EDB">
        <w:tc>
          <w:tcPr>
            <w:cnfStyle w:val="001000000000" w:firstRow="0" w:lastRow="0" w:firstColumn="1" w:lastColumn="0" w:oddVBand="0" w:evenVBand="0" w:oddHBand="0" w:evenHBand="0" w:firstRowFirstColumn="0" w:firstRowLastColumn="0" w:lastRowFirstColumn="0" w:lastRowLastColumn="0"/>
            <w:tcW w:w="1617" w:type="dxa"/>
          </w:tcPr>
          <w:p w14:paraId="5A0FE860" w14:textId="77777777" w:rsidR="00AA4247" w:rsidRPr="00BD1C03" w:rsidRDefault="00AA4247" w:rsidP="00F10C69">
            <w:pPr>
              <w:spacing w:before="40" w:after="40" w:line="22" w:lineRule="atLeast"/>
              <w:rPr>
                <w:rFonts w:cstheme="majorHAnsi"/>
                <w:color w:val="000000" w:themeColor="text1"/>
                <w:szCs w:val="22"/>
              </w:rPr>
            </w:pPr>
          </w:p>
        </w:tc>
        <w:tc>
          <w:tcPr>
            <w:tcW w:w="5489" w:type="dxa"/>
          </w:tcPr>
          <w:p w14:paraId="2F5287F0" w14:textId="77777777" w:rsidR="00AA4247" w:rsidRPr="00BD1C03" w:rsidRDefault="00AA4247"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szCs w:val="22"/>
              </w:rPr>
              <w:t>Current Humanitarian Advisor, Australian Embassy Iraq</w:t>
            </w:r>
          </w:p>
        </w:tc>
        <w:tc>
          <w:tcPr>
            <w:tcW w:w="1399" w:type="dxa"/>
          </w:tcPr>
          <w:p w14:paraId="0C35CC98" w14:textId="77777777" w:rsidR="00AA4247" w:rsidRPr="00BD1C03" w:rsidRDefault="00AA4247"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szCs w:val="22"/>
              </w:rPr>
              <w:t>01.04.20</w:t>
            </w:r>
          </w:p>
        </w:tc>
      </w:tr>
      <w:tr w:rsidR="00AA4247" w:rsidRPr="00BD1C03" w14:paraId="4A45F4C2" w14:textId="77777777" w:rsidTr="00204EDB">
        <w:tc>
          <w:tcPr>
            <w:cnfStyle w:val="001000000000" w:firstRow="0" w:lastRow="0" w:firstColumn="1" w:lastColumn="0" w:oddVBand="0" w:evenVBand="0" w:oddHBand="0" w:evenHBand="0" w:firstRowFirstColumn="0" w:firstRowLastColumn="0" w:lastRowFirstColumn="0" w:lastRowLastColumn="0"/>
            <w:tcW w:w="1617" w:type="dxa"/>
          </w:tcPr>
          <w:p w14:paraId="3F1F43E5" w14:textId="77777777" w:rsidR="00AA4247" w:rsidRPr="00BD1C03" w:rsidRDefault="00AA4247" w:rsidP="00F10C69">
            <w:pPr>
              <w:spacing w:before="40" w:after="40" w:line="22" w:lineRule="atLeast"/>
              <w:rPr>
                <w:rFonts w:cstheme="majorHAnsi"/>
                <w:color w:val="000000" w:themeColor="text1"/>
                <w:szCs w:val="22"/>
              </w:rPr>
            </w:pPr>
          </w:p>
        </w:tc>
        <w:tc>
          <w:tcPr>
            <w:tcW w:w="5489" w:type="dxa"/>
          </w:tcPr>
          <w:p w14:paraId="2D7C75F8" w14:textId="77777777" w:rsidR="00AA4247" w:rsidRPr="00BD1C03" w:rsidRDefault="00AA4247"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szCs w:val="22"/>
              </w:rPr>
              <w:t>Ambassador, Australian Embassy Iraq</w:t>
            </w:r>
          </w:p>
        </w:tc>
        <w:tc>
          <w:tcPr>
            <w:tcW w:w="1399" w:type="dxa"/>
          </w:tcPr>
          <w:p w14:paraId="1AC67367" w14:textId="77777777" w:rsidR="00AA4247" w:rsidRPr="00BD1C03" w:rsidRDefault="00AA4247"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szCs w:val="22"/>
              </w:rPr>
              <w:t>15.04.20</w:t>
            </w:r>
          </w:p>
        </w:tc>
      </w:tr>
      <w:tr w:rsidR="00AA4247" w:rsidRPr="00BD1C03" w14:paraId="35243CD2" w14:textId="77777777" w:rsidTr="00204EDB">
        <w:tc>
          <w:tcPr>
            <w:cnfStyle w:val="001000000000" w:firstRow="0" w:lastRow="0" w:firstColumn="1" w:lastColumn="0" w:oddVBand="0" w:evenVBand="0" w:oddHBand="0" w:evenHBand="0" w:firstRowFirstColumn="0" w:firstRowLastColumn="0" w:lastRowFirstColumn="0" w:lastRowLastColumn="0"/>
            <w:tcW w:w="8505" w:type="dxa"/>
            <w:gridSpan w:val="3"/>
          </w:tcPr>
          <w:p w14:paraId="78CB951C" w14:textId="77777777" w:rsidR="00AA4247" w:rsidRPr="00912630" w:rsidRDefault="00AA4247" w:rsidP="00F10C69">
            <w:pPr>
              <w:spacing w:before="120" w:after="120"/>
              <w:rPr>
                <w:bCs w:val="0"/>
                <w:color w:val="4F6228" w:themeColor="accent3" w:themeShade="80"/>
                <w:szCs w:val="22"/>
              </w:rPr>
            </w:pPr>
            <w:r w:rsidRPr="00912630">
              <w:rPr>
                <w:rFonts w:asciiTheme="majorHAnsi" w:hAnsiTheme="majorHAnsi"/>
                <w:bCs w:val="0"/>
                <w:color w:val="4F6228" w:themeColor="accent3" w:themeShade="80"/>
              </w:rPr>
              <w:t>Package Partners</w:t>
            </w:r>
          </w:p>
        </w:tc>
      </w:tr>
      <w:tr w:rsidR="00AA4247" w:rsidRPr="00BD1C03" w14:paraId="4CC321E6" w14:textId="77777777" w:rsidTr="00204EDB">
        <w:tc>
          <w:tcPr>
            <w:cnfStyle w:val="001000000000" w:firstRow="0" w:lastRow="0" w:firstColumn="1" w:lastColumn="0" w:oddVBand="0" w:evenVBand="0" w:oddHBand="0" w:evenHBand="0" w:firstRowFirstColumn="0" w:firstRowLastColumn="0" w:lastRowFirstColumn="0" w:lastRowLastColumn="0"/>
            <w:tcW w:w="8505" w:type="dxa"/>
            <w:gridSpan w:val="3"/>
          </w:tcPr>
          <w:p w14:paraId="4A3E22A0" w14:textId="77777777" w:rsidR="00AA4247" w:rsidRPr="001D2CE7" w:rsidRDefault="00AA4247" w:rsidP="00F10C69">
            <w:pPr>
              <w:spacing w:before="120" w:after="120" w:line="22" w:lineRule="atLeast"/>
              <w:rPr>
                <w:bCs w:val="0"/>
                <w:color w:val="4F6228" w:themeColor="accent3" w:themeShade="80"/>
                <w:szCs w:val="22"/>
              </w:rPr>
            </w:pPr>
            <w:r w:rsidRPr="001D2CE7">
              <w:rPr>
                <w:bCs w:val="0"/>
                <w:color w:val="4F6228" w:themeColor="accent3" w:themeShade="80"/>
                <w:szCs w:val="22"/>
              </w:rPr>
              <w:t>Building Peaceful Futures consortium</w:t>
            </w:r>
          </w:p>
        </w:tc>
      </w:tr>
      <w:tr w:rsidR="00AA4247" w:rsidRPr="00BD1C03" w14:paraId="3063B29C" w14:textId="77777777" w:rsidTr="00204EDB">
        <w:tc>
          <w:tcPr>
            <w:cnfStyle w:val="001000000000" w:firstRow="0" w:lastRow="0" w:firstColumn="1" w:lastColumn="0" w:oddVBand="0" w:evenVBand="0" w:oddHBand="0" w:evenHBand="0" w:firstRowFirstColumn="0" w:firstRowLastColumn="0" w:lastRowFirstColumn="0" w:lastRowLastColumn="0"/>
            <w:tcW w:w="1617" w:type="dxa"/>
          </w:tcPr>
          <w:p w14:paraId="74F86339" w14:textId="77777777" w:rsidR="00AA4247" w:rsidRPr="00BD1C03" w:rsidRDefault="00AA4247" w:rsidP="00F10C69">
            <w:pPr>
              <w:spacing w:before="40" w:after="40" w:line="22" w:lineRule="atLeast"/>
              <w:rPr>
                <w:rFonts w:cstheme="majorHAnsi"/>
                <w:color w:val="000000" w:themeColor="text1"/>
                <w:szCs w:val="22"/>
              </w:rPr>
            </w:pPr>
          </w:p>
        </w:tc>
        <w:tc>
          <w:tcPr>
            <w:tcW w:w="5489" w:type="dxa"/>
          </w:tcPr>
          <w:p w14:paraId="78036668" w14:textId="77777777" w:rsidR="00AA4247" w:rsidRPr="00BD1C03" w:rsidRDefault="00AA4247"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rFonts w:cstheme="majorHAnsi"/>
                <w:iCs/>
                <w:color w:val="000000" w:themeColor="text1"/>
                <w:szCs w:val="22"/>
              </w:rPr>
              <w:t>BPF Consortium Lead, Save the Children</w:t>
            </w:r>
          </w:p>
        </w:tc>
        <w:tc>
          <w:tcPr>
            <w:tcW w:w="1399" w:type="dxa"/>
          </w:tcPr>
          <w:p w14:paraId="0A63C405" w14:textId="36F33B3D" w:rsidR="00AA4247" w:rsidRPr="00BD1C03" w:rsidRDefault="001C7D54"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Pr>
                <w:szCs w:val="22"/>
              </w:rPr>
              <w:t>19.03.20</w:t>
            </w:r>
          </w:p>
        </w:tc>
      </w:tr>
      <w:tr w:rsidR="00AA4247" w:rsidRPr="00BD1C03" w14:paraId="4CC46076" w14:textId="77777777" w:rsidTr="00204EDB">
        <w:tc>
          <w:tcPr>
            <w:cnfStyle w:val="001000000000" w:firstRow="0" w:lastRow="0" w:firstColumn="1" w:lastColumn="0" w:oddVBand="0" w:evenVBand="0" w:oddHBand="0" w:evenHBand="0" w:firstRowFirstColumn="0" w:firstRowLastColumn="0" w:lastRowFirstColumn="0" w:lastRowLastColumn="0"/>
            <w:tcW w:w="1617" w:type="dxa"/>
          </w:tcPr>
          <w:p w14:paraId="7BC7C663" w14:textId="77777777" w:rsidR="00AA4247" w:rsidRPr="00BD1C03" w:rsidRDefault="00AA4247" w:rsidP="00F10C69">
            <w:pPr>
              <w:spacing w:before="40" w:after="40" w:line="22" w:lineRule="atLeast"/>
              <w:rPr>
                <w:rFonts w:cstheme="majorHAnsi"/>
                <w:color w:val="000000" w:themeColor="text1"/>
                <w:szCs w:val="22"/>
              </w:rPr>
            </w:pPr>
          </w:p>
        </w:tc>
        <w:tc>
          <w:tcPr>
            <w:tcW w:w="5489" w:type="dxa"/>
          </w:tcPr>
          <w:p w14:paraId="3A12BB40" w14:textId="77777777" w:rsidR="00AA4247" w:rsidRPr="00BD1C03" w:rsidRDefault="00AA4247"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szCs w:val="22"/>
              </w:rPr>
            </w:pPr>
            <w:r w:rsidRPr="00BD1C03">
              <w:rPr>
                <w:rFonts w:cstheme="majorHAnsi"/>
                <w:iCs/>
                <w:color w:val="000000" w:themeColor="text1"/>
                <w:szCs w:val="22"/>
              </w:rPr>
              <w:t xml:space="preserve">Humanitarian Director </w:t>
            </w:r>
          </w:p>
          <w:p w14:paraId="7BA666AE" w14:textId="77777777" w:rsidR="00AA4247" w:rsidRPr="00BD1C03" w:rsidRDefault="00AA4247"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rFonts w:cstheme="majorHAnsi"/>
                <w:iCs/>
                <w:color w:val="000000" w:themeColor="text1"/>
                <w:szCs w:val="22"/>
              </w:rPr>
              <w:t>Humanitarian Adviser, Save the Children</w:t>
            </w:r>
          </w:p>
        </w:tc>
        <w:tc>
          <w:tcPr>
            <w:tcW w:w="1399" w:type="dxa"/>
          </w:tcPr>
          <w:p w14:paraId="39BE18A6" w14:textId="77777777" w:rsidR="00AA4247" w:rsidRPr="00BD1C03" w:rsidRDefault="00AA4247"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szCs w:val="22"/>
              </w:rPr>
              <w:t>26.03.20</w:t>
            </w:r>
          </w:p>
        </w:tc>
      </w:tr>
      <w:tr w:rsidR="00AA4247" w:rsidRPr="00BD1C03" w14:paraId="19D81969" w14:textId="77777777" w:rsidTr="00204EDB">
        <w:tc>
          <w:tcPr>
            <w:cnfStyle w:val="001000000000" w:firstRow="0" w:lastRow="0" w:firstColumn="1" w:lastColumn="0" w:oddVBand="0" w:evenVBand="0" w:oddHBand="0" w:evenHBand="0" w:firstRowFirstColumn="0" w:firstRowLastColumn="0" w:lastRowFirstColumn="0" w:lastRowLastColumn="0"/>
            <w:tcW w:w="1617" w:type="dxa"/>
          </w:tcPr>
          <w:p w14:paraId="24B565A3" w14:textId="77777777" w:rsidR="00AA4247" w:rsidRPr="00BD1C03" w:rsidRDefault="00AA4247" w:rsidP="00F10C69">
            <w:pPr>
              <w:spacing w:before="40" w:after="40" w:line="22" w:lineRule="atLeast"/>
              <w:rPr>
                <w:rFonts w:cstheme="majorHAnsi"/>
                <w:color w:val="000000" w:themeColor="text1"/>
                <w:szCs w:val="22"/>
              </w:rPr>
            </w:pPr>
          </w:p>
        </w:tc>
        <w:tc>
          <w:tcPr>
            <w:tcW w:w="5489" w:type="dxa"/>
          </w:tcPr>
          <w:p w14:paraId="5E08DEBA" w14:textId="77777777" w:rsidR="00AA4247" w:rsidRPr="00BD1C03" w:rsidRDefault="00AA4247"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rFonts w:cstheme="majorHAnsi"/>
                <w:iCs/>
                <w:color w:val="000000" w:themeColor="text1"/>
                <w:szCs w:val="22"/>
              </w:rPr>
            </w:pPr>
            <w:r w:rsidRPr="00BD1C03">
              <w:rPr>
                <w:rFonts w:cstheme="majorHAnsi"/>
                <w:iCs/>
                <w:color w:val="000000" w:themeColor="text1"/>
                <w:szCs w:val="22"/>
              </w:rPr>
              <w:t xml:space="preserve">Country Director </w:t>
            </w:r>
          </w:p>
          <w:p w14:paraId="15556E79" w14:textId="77777777" w:rsidR="00AA4247" w:rsidRPr="00BD1C03" w:rsidRDefault="00AA4247"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rFonts w:cstheme="majorHAnsi"/>
                <w:iCs/>
                <w:color w:val="000000" w:themeColor="text1"/>
                <w:szCs w:val="22"/>
              </w:rPr>
              <w:t>Head of Programs, Norwegian Refugee Council (NRC)</w:t>
            </w:r>
          </w:p>
        </w:tc>
        <w:tc>
          <w:tcPr>
            <w:tcW w:w="1399" w:type="dxa"/>
          </w:tcPr>
          <w:p w14:paraId="097BD6D3" w14:textId="77777777" w:rsidR="00AA4247" w:rsidRPr="00BD1C03" w:rsidRDefault="00AA4247"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szCs w:val="22"/>
              </w:rPr>
              <w:t>30.03.20</w:t>
            </w:r>
          </w:p>
          <w:p w14:paraId="6EED1F56" w14:textId="77777777" w:rsidR="00AA4247" w:rsidRPr="00BD1C03" w:rsidRDefault="00AA4247"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p>
        </w:tc>
      </w:tr>
      <w:tr w:rsidR="00AA4247" w:rsidRPr="00BD1C03" w14:paraId="6B4EA257" w14:textId="77777777" w:rsidTr="00204EDB">
        <w:tc>
          <w:tcPr>
            <w:cnfStyle w:val="001000000000" w:firstRow="0" w:lastRow="0" w:firstColumn="1" w:lastColumn="0" w:oddVBand="0" w:evenVBand="0" w:oddHBand="0" w:evenHBand="0" w:firstRowFirstColumn="0" w:firstRowLastColumn="0" w:lastRowFirstColumn="0" w:lastRowLastColumn="0"/>
            <w:tcW w:w="1617" w:type="dxa"/>
          </w:tcPr>
          <w:p w14:paraId="12538BAB" w14:textId="77777777" w:rsidR="00AA4247" w:rsidRPr="00BD1C03" w:rsidRDefault="00AA4247" w:rsidP="00F10C69">
            <w:pPr>
              <w:spacing w:before="40" w:after="40" w:line="22" w:lineRule="atLeast"/>
              <w:rPr>
                <w:rFonts w:cstheme="majorHAnsi"/>
                <w:color w:val="000000" w:themeColor="text1"/>
                <w:szCs w:val="22"/>
              </w:rPr>
            </w:pPr>
          </w:p>
        </w:tc>
        <w:tc>
          <w:tcPr>
            <w:tcW w:w="5489" w:type="dxa"/>
          </w:tcPr>
          <w:p w14:paraId="2A21CD47" w14:textId="77777777" w:rsidR="00AA4247" w:rsidRPr="00BD1C03" w:rsidRDefault="00AA4247"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iCs/>
                <w:szCs w:val="22"/>
              </w:rPr>
            </w:pPr>
            <w:r w:rsidRPr="00BD1C03">
              <w:rPr>
                <w:iCs/>
                <w:szCs w:val="22"/>
              </w:rPr>
              <w:t xml:space="preserve">Country Director </w:t>
            </w:r>
          </w:p>
          <w:p w14:paraId="6DCCF26F" w14:textId="77777777" w:rsidR="00AA4247" w:rsidRPr="00BD1C03" w:rsidRDefault="00AA4247"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iCs/>
                <w:szCs w:val="22"/>
              </w:rPr>
              <w:t>Technical Adviser, Humanity &amp; Inclusion</w:t>
            </w:r>
          </w:p>
        </w:tc>
        <w:tc>
          <w:tcPr>
            <w:tcW w:w="1399" w:type="dxa"/>
          </w:tcPr>
          <w:p w14:paraId="6A7D7DC3" w14:textId="77777777" w:rsidR="00AA4247" w:rsidRPr="00BD1C03" w:rsidRDefault="00AA4247"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szCs w:val="22"/>
              </w:rPr>
              <w:t>31.03.20</w:t>
            </w:r>
          </w:p>
        </w:tc>
      </w:tr>
      <w:tr w:rsidR="00AA4247" w:rsidRPr="00BD1C03" w14:paraId="0AD9790A" w14:textId="77777777" w:rsidTr="00204EDB">
        <w:tc>
          <w:tcPr>
            <w:cnfStyle w:val="001000000000" w:firstRow="0" w:lastRow="0" w:firstColumn="1" w:lastColumn="0" w:oddVBand="0" w:evenVBand="0" w:oddHBand="0" w:evenHBand="0" w:firstRowFirstColumn="0" w:firstRowLastColumn="0" w:lastRowFirstColumn="0" w:lastRowLastColumn="0"/>
            <w:tcW w:w="1617" w:type="dxa"/>
          </w:tcPr>
          <w:p w14:paraId="42B6D127" w14:textId="77777777" w:rsidR="00AA4247" w:rsidRPr="00BD1C03" w:rsidRDefault="00AA4247" w:rsidP="00F10C69">
            <w:pPr>
              <w:spacing w:before="40" w:after="40" w:line="22" w:lineRule="atLeast"/>
              <w:rPr>
                <w:rFonts w:cstheme="majorHAnsi"/>
                <w:color w:val="000000" w:themeColor="text1"/>
                <w:szCs w:val="22"/>
              </w:rPr>
            </w:pPr>
          </w:p>
        </w:tc>
        <w:tc>
          <w:tcPr>
            <w:tcW w:w="5489" w:type="dxa"/>
          </w:tcPr>
          <w:p w14:paraId="7A828E38" w14:textId="77777777" w:rsidR="00AA4247" w:rsidRPr="00BD1C03" w:rsidRDefault="00AA4247"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iCs/>
                <w:szCs w:val="22"/>
              </w:rPr>
            </w:pPr>
            <w:r w:rsidRPr="00BD1C03">
              <w:rPr>
                <w:iCs/>
                <w:szCs w:val="22"/>
              </w:rPr>
              <w:t xml:space="preserve">Country Director </w:t>
            </w:r>
          </w:p>
          <w:p w14:paraId="7D96FE5D" w14:textId="77777777" w:rsidR="00AA4247" w:rsidRPr="00BD1C03" w:rsidRDefault="00AA4247"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iCs/>
                <w:szCs w:val="22"/>
              </w:rPr>
              <w:t>Head of Programs, Care</w:t>
            </w:r>
          </w:p>
        </w:tc>
        <w:tc>
          <w:tcPr>
            <w:tcW w:w="1399" w:type="dxa"/>
          </w:tcPr>
          <w:p w14:paraId="24A93816" w14:textId="77777777" w:rsidR="00AA4247" w:rsidRPr="00BD1C03" w:rsidRDefault="00AA4247"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szCs w:val="22"/>
              </w:rPr>
              <w:t>24.04.20</w:t>
            </w:r>
          </w:p>
        </w:tc>
      </w:tr>
      <w:tr w:rsidR="00AA4247" w:rsidRPr="00BD1C03" w14:paraId="726EE4F9" w14:textId="77777777" w:rsidTr="00204EDB">
        <w:tc>
          <w:tcPr>
            <w:cnfStyle w:val="001000000000" w:firstRow="0" w:lastRow="0" w:firstColumn="1" w:lastColumn="0" w:oddVBand="0" w:evenVBand="0" w:oddHBand="0" w:evenHBand="0" w:firstRowFirstColumn="0" w:firstRowLastColumn="0" w:lastRowFirstColumn="0" w:lastRowLastColumn="0"/>
            <w:tcW w:w="1617" w:type="dxa"/>
          </w:tcPr>
          <w:p w14:paraId="54052E54" w14:textId="77777777" w:rsidR="00AA4247" w:rsidRPr="00BD1C03" w:rsidRDefault="00AA4247" w:rsidP="00F10C69">
            <w:pPr>
              <w:spacing w:before="40" w:after="40" w:line="22" w:lineRule="atLeast"/>
              <w:rPr>
                <w:rFonts w:cstheme="majorHAnsi"/>
                <w:color w:val="000000" w:themeColor="text1"/>
                <w:szCs w:val="22"/>
              </w:rPr>
            </w:pPr>
          </w:p>
        </w:tc>
        <w:tc>
          <w:tcPr>
            <w:tcW w:w="5489" w:type="dxa"/>
          </w:tcPr>
          <w:p w14:paraId="65CF211C" w14:textId="77777777" w:rsidR="00AA4247" w:rsidRPr="00BD1C03" w:rsidRDefault="00AA4247"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szCs w:val="22"/>
              </w:rPr>
              <w:t>Independent BPF Evaluator</w:t>
            </w:r>
          </w:p>
        </w:tc>
        <w:tc>
          <w:tcPr>
            <w:tcW w:w="1399" w:type="dxa"/>
          </w:tcPr>
          <w:p w14:paraId="56360BC8" w14:textId="77777777" w:rsidR="00AA4247" w:rsidRPr="00BD1C03" w:rsidRDefault="00AA4247"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szCs w:val="22"/>
              </w:rPr>
              <w:t>01.04.20</w:t>
            </w:r>
          </w:p>
        </w:tc>
      </w:tr>
      <w:tr w:rsidR="00AA4247" w:rsidRPr="00BD1C03" w14:paraId="125F001B" w14:textId="77777777" w:rsidTr="00204EDB">
        <w:tc>
          <w:tcPr>
            <w:cnfStyle w:val="001000000000" w:firstRow="0" w:lastRow="0" w:firstColumn="1" w:lastColumn="0" w:oddVBand="0" w:evenVBand="0" w:oddHBand="0" w:evenHBand="0" w:firstRowFirstColumn="0" w:firstRowLastColumn="0" w:lastRowFirstColumn="0" w:lastRowLastColumn="0"/>
            <w:tcW w:w="1617" w:type="dxa"/>
          </w:tcPr>
          <w:p w14:paraId="23532530" w14:textId="77777777" w:rsidR="00AA4247" w:rsidRPr="00BD1C03" w:rsidRDefault="00AA4247" w:rsidP="00F10C69">
            <w:pPr>
              <w:spacing w:before="40" w:after="40" w:line="22" w:lineRule="atLeast"/>
              <w:rPr>
                <w:rFonts w:cstheme="majorHAnsi"/>
                <w:color w:val="000000" w:themeColor="text1"/>
                <w:szCs w:val="22"/>
              </w:rPr>
            </w:pPr>
          </w:p>
        </w:tc>
        <w:tc>
          <w:tcPr>
            <w:tcW w:w="5489" w:type="dxa"/>
          </w:tcPr>
          <w:p w14:paraId="47C65850" w14:textId="77777777" w:rsidR="00AA4247" w:rsidRPr="00BD1C03" w:rsidRDefault="00AA4247"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szCs w:val="22"/>
              </w:rPr>
              <w:t>Australian Humanitarian Partnership (AHP) Support Unit</w:t>
            </w:r>
          </w:p>
        </w:tc>
        <w:tc>
          <w:tcPr>
            <w:tcW w:w="1399" w:type="dxa"/>
          </w:tcPr>
          <w:p w14:paraId="1F36BF8B" w14:textId="77777777" w:rsidR="00AA4247" w:rsidRPr="00BD1C03" w:rsidRDefault="00AA4247"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szCs w:val="22"/>
              </w:rPr>
              <w:t>02.04.20</w:t>
            </w:r>
          </w:p>
        </w:tc>
      </w:tr>
      <w:tr w:rsidR="00605CC3" w:rsidRPr="00BD1C03" w14:paraId="2A93D7B6" w14:textId="77777777" w:rsidTr="00204EDB">
        <w:tc>
          <w:tcPr>
            <w:cnfStyle w:val="001000000000" w:firstRow="0" w:lastRow="0" w:firstColumn="1" w:lastColumn="0" w:oddVBand="0" w:evenVBand="0" w:oddHBand="0" w:evenHBand="0" w:firstRowFirstColumn="0" w:firstRowLastColumn="0" w:lastRowFirstColumn="0" w:lastRowLastColumn="0"/>
            <w:tcW w:w="8505" w:type="dxa"/>
            <w:gridSpan w:val="3"/>
          </w:tcPr>
          <w:p w14:paraId="03889A4B" w14:textId="13BEE51C" w:rsidR="00605CC3" w:rsidRPr="001D2CE7" w:rsidRDefault="00605CC3" w:rsidP="00F10C69">
            <w:pPr>
              <w:spacing w:before="120" w:after="120" w:line="22" w:lineRule="atLeast"/>
              <w:rPr>
                <w:color w:val="4F6228" w:themeColor="accent3" w:themeShade="80"/>
                <w:szCs w:val="22"/>
              </w:rPr>
            </w:pPr>
            <w:r w:rsidRPr="001D2CE7">
              <w:rPr>
                <w:rFonts w:cstheme="majorHAnsi"/>
                <w:color w:val="4F6228" w:themeColor="accent3" w:themeShade="80"/>
                <w:szCs w:val="22"/>
              </w:rPr>
              <w:t>Direct multilateral investment partners</w:t>
            </w:r>
          </w:p>
        </w:tc>
      </w:tr>
      <w:tr w:rsidR="00605CC3" w:rsidRPr="00BD1C03" w14:paraId="10058355" w14:textId="77777777" w:rsidTr="00204EDB">
        <w:tc>
          <w:tcPr>
            <w:cnfStyle w:val="001000000000" w:firstRow="0" w:lastRow="0" w:firstColumn="1" w:lastColumn="0" w:oddVBand="0" w:evenVBand="0" w:oddHBand="0" w:evenHBand="0" w:firstRowFirstColumn="0" w:firstRowLastColumn="0" w:lastRowFirstColumn="0" w:lastRowLastColumn="0"/>
            <w:tcW w:w="1617" w:type="dxa"/>
          </w:tcPr>
          <w:p w14:paraId="1C9AE47A" w14:textId="77777777" w:rsidR="00605CC3" w:rsidRPr="00BD1C03" w:rsidRDefault="00605CC3" w:rsidP="00F10C69">
            <w:pPr>
              <w:spacing w:before="40" w:after="40" w:line="22" w:lineRule="atLeast"/>
              <w:rPr>
                <w:rFonts w:cstheme="majorHAnsi"/>
                <w:color w:val="000000" w:themeColor="text1"/>
                <w:szCs w:val="22"/>
              </w:rPr>
            </w:pPr>
          </w:p>
        </w:tc>
        <w:tc>
          <w:tcPr>
            <w:tcW w:w="5489" w:type="dxa"/>
          </w:tcPr>
          <w:p w14:paraId="7D3BE393" w14:textId="562DCA13" w:rsidR="00605CC3" w:rsidRPr="00BD1C03" w:rsidRDefault="00605CC3"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rFonts w:eastAsia="Times New Roman" w:cs="Calibri"/>
                <w:color w:val="000000"/>
                <w:szCs w:val="22"/>
                <w:bdr w:val="none" w:sz="0" w:space="0" w:color="auto" w:frame="1"/>
                <w:lang w:eastAsia="en-GB"/>
              </w:rPr>
              <w:t xml:space="preserve">Head of Stabilisation, IOM </w:t>
            </w:r>
          </w:p>
        </w:tc>
        <w:tc>
          <w:tcPr>
            <w:tcW w:w="1399" w:type="dxa"/>
          </w:tcPr>
          <w:p w14:paraId="7D9674A3" w14:textId="35AE0FB9" w:rsidR="00605CC3" w:rsidRPr="00BD1C03" w:rsidRDefault="00605CC3"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szCs w:val="22"/>
              </w:rPr>
              <w:t>30.03.20</w:t>
            </w:r>
          </w:p>
        </w:tc>
      </w:tr>
      <w:tr w:rsidR="00605CC3" w:rsidRPr="00BD1C03" w14:paraId="7202CDEB" w14:textId="77777777" w:rsidTr="00204EDB">
        <w:tc>
          <w:tcPr>
            <w:cnfStyle w:val="001000000000" w:firstRow="0" w:lastRow="0" w:firstColumn="1" w:lastColumn="0" w:oddVBand="0" w:evenVBand="0" w:oddHBand="0" w:evenHBand="0" w:firstRowFirstColumn="0" w:firstRowLastColumn="0" w:lastRowFirstColumn="0" w:lastRowLastColumn="0"/>
            <w:tcW w:w="1617" w:type="dxa"/>
          </w:tcPr>
          <w:p w14:paraId="27410C2D" w14:textId="77777777" w:rsidR="00605CC3" w:rsidRPr="00BD1C03" w:rsidRDefault="00605CC3" w:rsidP="00F10C69">
            <w:pPr>
              <w:spacing w:before="40" w:after="40" w:line="22" w:lineRule="atLeast"/>
              <w:rPr>
                <w:rFonts w:cstheme="majorHAnsi"/>
                <w:color w:val="000000" w:themeColor="text1"/>
                <w:szCs w:val="22"/>
              </w:rPr>
            </w:pPr>
          </w:p>
        </w:tc>
        <w:tc>
          <w:tcPr>
            <w:tcW w:w="5489" w:type="dxa"/>
          </w:tcPr>
          <w:p w14:paraId="057CD937" w14:textId="719DF75B" w:rsidR="00605CC3" w:rsidRPr="00BD1C03" w:rsidRDefault="00605CC3"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szCs w:val="22"/>
              </w:rPr>
              <w:t>Country Representative, UNFPA</w:t>
            </w:r>
          </w:p>
        </w:tc>
        <w:tc>
          <w:tcPr>
            <w:tcW w:w="1399" w:type="dxa"/>
          </w:tcPr>
          <w:p w14:paraId="21A5D5AB" w14:textId="54276561" w:rsidR="00605CC3" w:rsidRPr="00BD1C03" w:rsidRDefault="00605CC3"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rFonts w:eastAsia="Times New Roman" w:cs="Calibri"/>
                <w:color w:val="000000"/>
                <w:szCs w:val="22"/>
                <w:bdr w:val="none" w:sz="0" w:space="0" w:color="auto" w:frame="1"/>
                <w:lang w:eastAsia="en-GB"/>
              </w:rPr>
              <w:t>23.03.20</w:t>
            </w:r>
          </w:p>
        </w:tc>
      </w:tr>
      <w:tr w:rsidR="00605CC3" w:rsidRPr="00BD1C03" w14:paraId="33C7D988" w14:textId="77777777" w:rsidTr="00204EDB">
        <w:tc>
          <w:tcPr>
            <w:cnfStyle w:val="001000000000" w:firstRow="0" w:lastRow="0" w:firstColumn="1" w:lastColumn="0" w:oddVBand="0" w:evenVBand="0" w:oddHBand="0" w:evenHBand="0" w:firstRowFirstColumn="0" w:firstRowLastColumn="0" w:lastRowFirstColumn="0" w:lastRowLastColumn="0"/>
            <w:tcW w:w="1617" w:type="dxa"/>
          </w:tcPr>
          <w:p w14:paraId="5562AB66" w14:textId="77777777" w:rsidR="00605CC3" w:rsidRPr="00BD1C03" w:rsidRDefault="00605CC3" w:rsidP="00F10C69">
            <w:pPr>
              <w:spacing w:before="40" w:after="40" w:line="22" w:lineRule="atLeast"/>
              <w:rPr>
                <w:rFonts w:cstheme="majorHAnsi"/>
                <w:color w:val="000000" w:themeColor="text1"/>
                <w:szCs w:val="22"/>
              </w:rPr>
            </w:pPr>
          </w:p>
        </w:tc>
        <w:tc>
          <w:tcPr>
            <w:tcW w:w="5489" w:type="dxa"/>
          </w:tcPr>
          <w:p w14:paraId="45563BD3" w14:textId="3818F4ED" w:rsidR="00605CC3" w:rsidRPr="00BD1C03" w:rsidRDefault="00605CC3"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szCs w:val="22"/>
              </w:rPr>
              <w:t>Reporting Officer, UNDP</w:t>
            </w:r>
          </w:p>
        </w:tc>
        <w:tc>
          <w:tcPr>
            <w:tcW w:w="1399" w:type="dxa"/>
          </w:tcPr>
          <w:p w14:paraId="1841EA57" w14:textId="115075AA" w:rsidR="00605CC3" w:rsidRPr="00BD1C03" w:rsidRDefault="00605CC3"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szCs w:val="22"/>
              </w:rPr>
              <w:t>31.03.20</w:t>
            </w:r>
          </w:p>
        </w:tc>
      </w:tr>
      <w:tr w:rsidR="00605CC3" w:rsidRPr="00BD1C03" w14:paraId="4D0A9F3A" w14:textId="77777777" w:rsidTr="00204EDB">
        <w:tc>
          <w:tcPr>
            <w:cnfStyle w:val="001000000000" w:firstRow="0" w:lastRow="0" w:firstColumn="1" w:lastColumn="0" w:oddVBand="0" w:evenVBand="0" w:oddHBand="0" w:evenHBand="0" w:firstRowFirstColumn="0" w:firstRowLastColumn="0" w:lastRowFirstColumn="0" w:lastRowLastColumn="0"/>
            <w:tcW w:w="1617" w:type="dxa"/>
          </w:tcPr>
          <w:p w14:paraId="1FE28CF9" w14:textId="77777777" w:rsidR="00605CC3" w:rsidRPr="00BD1C03" w:rsidRDefault="00605CC3" w:rsidP="00F10C69">
            <w:pPr>
              <w:spacing w:before="40" w:after="40" w:line="22" w:lineRule="atLeast"/>
              <w:rPr>
                <w:rFonts w:cstheme="majorHAnsi"/>
                <w:color w:val="000000" w:themeColor="text1"/>
                <w:szCs w:val="22"/>
              </w:rPr>
            </w:pPr>
          </w:p>
        </w:tc>
        <w:tc>
          <w:tcPr>
            <w:tcW w:w="5489" w:type="dxa"/>
          </w:tcPr>
          <w:p w14:paraId="5146FD9B" w14:textId="27AE01F4" w:rsidR="00605CC3" w:rsidRPr="00BD1C03" w:rsidRDefault="00605CC3"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szCs w:val="22"/>
              </w:rPr>
              <w:t xml:space="preserve">Chief WASH, UNICEF </w:t>
            </w:r>
          </w:p>
        </w:tc>
        <w:tc>
          <w:tcPr>
            <w:tcW w:w="1399" w:type="dxa"/>
          </w:tcPr>
          <w:p w14:paraId="2B7BF249" w14:textId="598DC4DB" w:rsidR="00605CC3" w:rsidRPr="00BD1C03" w:rsidRDefault="00605CC3"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rFonts w:eastAsia="Times New Roman" w:cs="Calibri"/>
                <w:color w:val="000000"/>
                <w:szCs w:val="22"/>
                <w:bdr w:val="none" w:sz="0" w:space="0" w:color="auto" w:frame="1"/>
                <w:lang w:eastAsia="en-GB"/>
              </w:rPr>
              <w:t xml:space="preserve">24.02.20 </w:t>
            </w:r>
          </w:p>
        </w:tc>
      </w:tr>
      <w:tr w:rsidR="00605CC3" w:rsidRPr="00BD1C03" w14:paraId="0E9B7D63" w14:textId="77777777" w:rsidTr="00204EDB">
        <w:tc>
          <w:tcPr>
            <w:cnfStyle w:val="001000000000" w:firstRow="0" w:lastRow="0" w:firstColumn="1" w:lastColumn="0" w:oddVBand="0" w:evenVBand="0" w:oddHBand="0" w:evenHBand="0" w:firstRowFirstColumn="0" w:firstRowLastColumn="0" w:lastRowFirstColumn="0" w:lastRowLastColumn="0"/>
            <w:tcW w:w="1617" w:type="dxa"/>
          </w:tcPr>
          <w:p w14:paraId="514B94F4" w14:textId="77777777" w:rsidR="00605CC3" w:rsidRPr="00BD1C03" w:rsidRDefault="00605CC3" w:rsidP="00F10C69">
            <w:pPr>
              <w:spacing w:before="40" w:after="40" w:line="22" w:lineRule="atLeast"/>
              <w:rPr>
                <w:rFonts w:cstheme="majorHAnsi"/>
                <w:color w:val="000000" w:themeColor="text1"/>
                <w:szCs w:val="22"/>
              </w:rPr>
            </w:pPr>
          </w:p>
        </w:tc>
        <w:tc>
          <w:tcPr>
            <w:tcW w:w="5489" w:type="dxa"/>
          </w:tcPr>
          <w:p w14:paraId="5B9E26FC" w14:textId="2F4C3E84" w:rsidR="00605CC3" w:rsidRPr="00BD1C03" w:rsidRDefault="00605CC3"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rFonts w:eastAsia="Times New Roman" w:cs="Calibri"/>
                <w:color w:val="000000"/>
                <w:szCs w:val="22"/>
                <w:bdr w:val="none" w:sz="0" w:space="0" w:color="auto" w:frame="1"/>
                <w:lang w:eastAsia="en-GB"/>
              </w:rPr>
              <w:t>Deputy Head(s) of Delegation, IHO</w:t>
            </w:r>
          </w:p>
        </w:tc>
        <w:tc>
          <w:tcPr>
            <w:tcW w:w="1399" w:type="dxa"/>
          </w:tcPr>
          <w:p w14:paraId="5D4A8349" w14:textId="7A908146" w:rsidR="00605CC3" w:rsidRPr="00BD1C03" w:rsidRDefault="00605CC3"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rFonts w:eastAsia="Times New Roman" w:cs="Calibri"/>
                <w:color w:val="000000"/>
                <w:szCs w:val="22"/>
                <w:bdr w:val="none" w:sz="0" w:space="0" w:color="auto" w:frame="1"/>
                <w:lang w:eastAsia="en-GB"/>
              </w:rPr>
              <w:t>26.03.20</w:t>
            </w:r>
          </w:p>
        </w:tc>
      </w:tr>
      <w:tr w:rsidR="00605CC3" w:rsidRPr="00BD1C03" w14:paraId="1682BD32" w14:textId="77777777" w:rsidTr="00204EDB">
        <w:tc>
          <w:tcPr>
            <w:cnfStyle w:val="001000000000" w:firstRow="0" w:lastRow="0" w:firstColumn="1" w:lastColumn="0" w:oddVBand="0" w:evenVBand="0" w:oddHBand="0" w:evenHBand="0" w:firstRowFirstColumn="0" w:firstRowLastColumn="0" w:lastRowFirstColumn="0" w:lastRowLastColumn="0"/>
            <w:tcW w:w="1617" w:type="dxa"/>
          </w:tcPr>
          <w:p w14:paraId="5CF1B307" w14:textId="77777777" w:rsidR="00605CC3" w:rsidRPr="00BD1C03" w:rsidRDefault="00605CC3" w:rsidP="00F10C69">
            <w:pPr>
              <w:spacing w:before="40" w:after="40" w:line="22" w:lineRule="atLeast"/>
              <w:rPr>
                <w:rFonts w:cstheme="majorHAnsi"/>
                <w:color w:val="000000" w:themeColor="text1"/>
                <w:szCs w:val="22"/>
              </w:rPr>
            </w:pPr>
          </w:p>
        </w:tc>
        <w:tc>
          <w:tcPr>
            <w:tcW w:w="5489" w:type="dxa"/>
          </w:tcPr>
          <w:p w14:paraId="14BC41E9" w14:textId="77777777" w:rsidR="00605CC3" w:rsidRPr="00BD1C03" w:rsidRDefault="00605CC3"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szCs w:val="22"/>
              </w:rPr>
              <w:t>Country Representative</w:t>
            </w:r>
          </w:p>
          <w:p w14:paraId="3F6DEA63" w14:textId="15393547" w:rsidR="00605CC3" w:rsidRPr="00BD1C03" w:rsidRDefault="00605CC3"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szCs w:val="22"/>
              </w:rPr>
              <w:t>Program Officer, UNMAS</w:t>
            </w:r>
          </w:p>
        </w:tc>
        <w:tc>
          <w:tcPr>
            <w:tcW w:w="1399" w:type="dxa"/>
          </w:tcPr>
          <w:p w14:paraId="76C59F72" w14:textId="4EBDB005" w:rsidR="00605CC3" w:rsidRPr="00BD1C03" w:rsidRDefault="00605CC3"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rFonts w:eastAsia="Times New Roman" w:cs="Calibri"/>
                <w:color w:val="000000"/>
                <w:szCs w:val="22"/>
                <w:bdr w:val="none" w:sz="0" w:space="0" w:color="auto" w:frame="1"/>
                <w:lang w:eastAsia="en-GB"/>
              </w:rPr>
              <w:t>02.04.20</w:t>
            </w:r>
          </w:p>
        </w:tc>
      </w:tr>
      <w:tr w:rsidR="00605CC3" w:rsidRPr="00BD1C03" w14:paraId="18242D8A" w14:textId="77777777" w:rsidTr="00204EDB">
        <w:tc>
          <w:tcPr>
            <w:cnfStyle w:val="001000000000" w:firstRow="0" w:lastRow="0" w:firstColumn="1" w:lastColumn="0" w:oddVBand="0" w:evenVBand="0" w:oddHBand="0" w:evenHBand="0" w:firstRowFirstColumn="0" w:firstRowLastColumn="0" w:lastRowFirstColumn="0" w:lastRowLastColumn="0"/>
            <w:tcW w:w="1617" w:type="dxa"/>
          </w:tcPr>
          <w:p w14:paraId="34C744FC" w14:textId="77777777" w:rsidR="00605CC3" w:rsidRPr="00BD1C03" w:rsidRDefault="00605CC3" w:rsidP="00F10C69">
            <w:pPr>
              <w:spacing w:before="40" w:after="40" w:line="22" w:lineRule="atLeast"/>
              <w:rPr>
                <w:rFonts w:cstheme="majorHAnsi"/>
                <w:color w:val="000000" w:themeColor="text1"/>
                <w:szCs w:val="22"/>
              </w:rPr>
            </w:pPr>
          </w:p>
        </w:tc>
        <w:tc>
          <w:tcPr>
            <w:tcW w:w="5489" w:type="dxa"/>
          </w:tcPr>
          <w:p w14:paraId="5BAE49E4" w14:textId="5E1697BE" w:rsidR="00605CC3" w:rsidRPr="00BD1C03" w:rsidRDefault="00605CC3"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szCs w:val="22"/>
              </w:rPr>
              <w:t>Humanitarian Advisory Group (HAG)</w:t>
            </w:r>
          </w:p>
        </w:tc>
        <w:tc>
          <w:tcPr>
            <w:tcW w:w="1399" w:type="dxa"/>
          </w:tcPr>
          <w:p w14:paraId="4855A192" w14:textId="23C82B64" w:rsidR="00605CC3" w:rsidRPr="00BD1C03" w:rsidRDefault="00605CC3"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szCs w:val="22"/>
              </w:rPr>
              <w:t>27.02.20</w:t>
            </w:r>
          </w:p>
        </w:tc>
      </w:tr>
      <w:tr w:rsidR="00605CC3" w:rsidRPr="00BD1C03" w14:paraId="0A1C07AF" w14:textId="77777777" w:rsidTr="00204EDB">
        <w:tc>
          <w:tcPr>
            <w:cnfStyle w:val="001000000000" w:firstRow="0" w:lastRow="0" w:firstColumn="1" w:lastColumn="0" w:oddVBand="0" w:evenVBand="0" w:oddHBand="0" w:evenHBand="0" w:firstRowFirstColumn="0" w:firstRowLastColumn="0" w:lastRowFirstColumn="0" w:lastRowLastColumn="0"/>
            <w:tcW w:w="1617" w:type="dxa"/>
          </w:tcPr>
          <w:p w14:paraId="1B27C7AD" w14:textId="77777777" w:rsidR="00605CC3" w:rsidRPr="00BD1C03" w:rsidRDefault="00605CC3" w:rsidP="00F10C69">
            <w:pPr>
              <w:spacing w:before="40" w:after="40" w:line="22" w:lineRule="atLeast"/>
              <w:rPr>
                <w:rFonts w:cstheme="majorHAnsi"/>
                <w:color w:val="000000" w:themeColor="text1"/>
                <w:szCs w:val="22"/>
              </w:rPr>
            </w:pPr>
          </w:p>
        </w:tc>
        <w:tc>
          <w:tcPr>
            <w:tcW w:w="5489" w:type="dxa"/>
          </w:tcPr>
          <w:p w14:paraId="60240180" w14:textId="51356D39" w:rsidR="00605CC3" w:rsidRPr="00BD1C03" w:rsidRDefault="00605CC3"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rFonts w:cstheme="majorHAnsi"/>
                <w:color w:val="000000" w:themeColor="text1"/>
                <w:szCs w:val="22"/>
              </w:rPr>
              <w:t>HAG</w:t>
            </w:r>
          </w:p>
        </w:tc>
        <w:tc>
          <w:tcPr>
            <w:tcW w:w="1399" w:type="dxa"/>
          </w:tcPr>
          <w:p w14:paraId="605A7A8B" w14:textId="09AC1201" w:rsidR="00605CC3" w:rsidRPr="00BD1C03" w:rsidRDefault="00605CC3"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rPr>
                <w:szCs w:val="22"/>
              </w:rPr>
            </w:pPr>
            <w:r w:rsidRPr="00BD1C03">
              <w:rPr>
                <w:szCs w:val="22"/>
              </w:rPr>
              <w:t>18.03.20</w:t>
            </w:r>
          </w:p>
        </w:tc>
      </w:tr>
      <w:tr w:rsidR="00605CC3" w:rsidRPr="00BD1C03" w14:paraId="06929969" w14:textId="77777777" w:rsidTr="00204EDB">
        <w:tc>
          <w:tcPr>
            <w:cnfStyle w:val="001000000000" w:firstRow="0" w:lastRow="0" w:firstColumn="1" w:lastColumn="0" w:oddVBand="0" w:evenVBand="0" w:oddHBand="0" w:evenHBand="0" w:firstRowFirstColumn="0" w:firstRowLastColumn="0" w:lastRowFirstColumn="0" w:lastRowLastColumn="0"/>
            <w:tcW w:w="8505" w:type="dxa"/>
            <w:gridSpan w:val="3"/>
          </w:tcPr>
          <w:p w14:paraId="1D029173" w14:textId="54F734AF" w:rsidR="00605CC3" w:rsidRPr="00BD1C03" w:rsidRDefault="00605CC3" w:rsidP="00F10C69">
            <w:pPr>
              <w:spacing w:before="120" w:after="120" w:line="22" w:lineRule="atLeast"/>
              <w:rPr>
                <w:szCs w:val="22"/>
              </w:rPr>
            </w:pPr>
            <w:r w:rsidRPr="001D2CE7">
              <w:rPr>
                <w:rFonts w:cstheme="majorHAnsi"/>
                <w:bCs w:val="0"/>
                <w:iCs/>
                <w:color w:val="4F6228" w:themeColor="accent3" w:themeShade="80"/>
                <w:szCs w:val="22"/>
              </w:rPr>
              <w:t>Non-Package Actors</w:t>
            </w:r>
          </w:p>
        </w:tc>
      </w:tr>
      <w:tr w:rsidR="00605CC3" w:rsidRPr="00BD1C03" w14:paraId="1EAE166F" w14:textId="77777777" w:rsidTr="00204EDB">
        <w:tc>
          <w:tcPr>
            <w:cnfStyle w:val="001000000000" w:firstRow="0" w:lastRow="0" w:firstColumn="1" w:lastColumn="0" w:oddVBand="0" w:evenVBand="0" w:oddHBand="0" w:evenHBand="0" w:firstRowFirstColumn="0" w:firstRowLastColumn="0" w:lastRowFirstColumn="0" w:lastRowLastColumn="0"/>
            <w:tcW w:w="1617" w:type="dxa"/>
          </w:tcPr>
          <w:p w14:paraId="2800157A" w14:textId="77777777" w:rsidR="00605CC3" w:rsidRPr="00AE5A98" w:rsidRDefault="00605CC3" w:rsidP="00F10C69">
            <w:pPr>
              <w:spacing w:before="40" w:after="40" w:line="22" w:lineRule="atLeast"/>
            </w:pPr>
          </w:p>
        </w:tc>
        <w:tc>
          <w:tcPr>
            <w:tcW w:w="5489" w:type="dxa"/>
          </w:tcPr>
          <w:p w14:paraId="2644B1C7" w14:textId="18C00CA8" w:rsidR="00605CC3" w:rsidRPr="00AE5A98" w:rsidRDefault="00605CC3"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pPr>
            <w:r w:rsidRPr="00AE5A98">
              <w:t xml:space="preserve">Deputy Director and Government Liaison, NCCI </w:t>
            </w:r>
          </w:p>
        </w:tc>
        <w:tc>
          <w:tcPr>
            <w:tcW w:w="1399" w:type="dxa"/>
          </w:tcPr>
          <w:p w14:paraId="3464EB92" w14:textId="1AB23F0F" w:rsidR="00605CC3" w:rsidRPr="00AE5A98" w:rsidRDefault="00605CC3"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pPr>
            <w:r w:rsidRPr="00AE5A98">
              <w:t>27.03.20</w:t>
            </w:r>
          </w:p>
        </w:tc>
      </w:tr>
      <w:tr w:rsidR="00605CC3" w:rsidRPr="00BD1C03" w14:paraId="5DFEB9D5" w14:textId="77777777" w:rsidTr="00204EDB">
        <w:tc>
          <w:tcPr>
            <w:cnfStyle w:val="001000000000" w:firstRow="0" w:lastRow="0" w:firstColumn="1" w:lastColumn="0" w:oddVBand="0" w:evenVBand="0" w:oddHBand="0" w:evenHBand="0" w:firstRowFirstColumn="0" w:firstRowLastColumn="0" w:lastRowFirstColumn="0" w:lastRowLastColumn="0"/>
            <w:tcW w:w="1617" w:type="dxa"/>
          </w:tcPr>
          <w:p w14:paraId="53211FDB" w14:textId="77777777" w:rsidR="00605CC3" w:rsidRPr="00AE5A98" w:rsidRDefault="00605CC3" w:rsidP="00F10C69">
            <w:pPr>
              <w:spacing w:before="40" w:after="40" w:line="22" w:lineRule="atLeast"/>
            </w:pPr>
          </w:p>
        </w:tc>
        <w:tc>
          <w:tcPr>
            <w:tcW w:w="5489" w:type="dxa"/>
          </w:tcPr>
          <w:p w14:paraId="38CFEDCD" w14:textId="4329D480" w:rsidR="00605CC3" w:rsidRPr="00AE5A98" w:rsidRDefault="00605CC3"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pPr>
            <w:r w:rsidRPr="00AE5A98">
              <w:t>Deputy Head of Mission, OCHA Iraq</w:t>
            </w:r>
          </w:p>
        </w:tc>
        <w:tc>
          <w:tcPr>
            <w:tcW w:w="1399" w:type="dxa"/>
          </w:tcPr>
          <w:p w14:paraId="1BE291C3" w14:textId="36CA193A" w:rsidR="00605CC3" w:rsidRPr="00AE5A98" w:rsidRDefault="00605CC3"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pPr>
            <w:r w:rsidRPr="00AE5A98">
              <w:t>20.03.20</w:t>
            </w:r>
          </w:p>
        </w:tc>
      </w:tr>
      <w:tr w:rsidR="00605CC3" w:rsidRPr="00BD1C03" w14:paraId="7790868C" w14:textId="77777777" w:rsidTr="00204EDB">
        <w:tc>
          <w:tcPr>
            <w:cnfStyle w:val="001000000000" w:firstRow="0" w:lastRow="0" w:firstColumn="1" w:lastColumn="0" w:oddVBand="0" w:evenVBand="0" w:oddHBand="0" w:evenHBand="0" w:firstRowFirstColumn="0" w:firstRowLastColumn="0" w:lastRowFirstColumn="0" w:lastRowLastColumn="0"/>
            <w:tcW w:w="1617" w:type="dxa"/>
          </w:tcPr>
          <w:p w14:paraId="02CF098C" w14:textId="77777777" w:rsidR="00605CC3" w:rsidRPr="00AE5A98" w:rsidRDefault="00605CC3" w:rsidP="00F10C69">
            <w:pPr>
              <w:spacing w:before="40" w:after="40" w:line="22" w:lineRule="atLeast"/>
            </w:pPr>
          </w:p>
        </w:tc>
        <w:tc>
          <w:tcPr>
            <w:tcW w:w="5489" w:type="dxa"/>
          </w:tcPr>
          <w:p w14:paraId="5BADE6E5" w14:textId="0236A10A" w:rsidR="00605CC3" w:rsidRPr="00AE5A98" w:rsidRDefault="00605CC3"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pPr>
            <w:r w:rsidRPr="00AE5A98">
              <w:t>Humanitarian Adviser, DFID Iraq</w:t>
            </w:r>
          </w:p>
        </w:tc>
        <w:tc>
          <w:tcPr>
            <w:tcW w:w="1399" w:type="dxa"/>
          </w:tcPr>
          <w:p w14:paraId="397FD163" w14:textId="04CC9D61" w:rsidR="00605CC3" w:rsidRPr="00AE5A98" w:rsidRDefault="00605CC3"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pPr>
            <w:r w:rsidRPr="00AE5A98">
              <w:t>24.03.20</w:t>
            </w:r>
          </w:p>
        </w:tc>
      </w:tr>
      <w:tr w:rsidR="00605CC3" w:rsidRPr="00BD1C03" w14:paraId="09053913" w14:textId="77777777" w:rsidTr="00204EDB">
        <w:tc>
          <w:tcPr>
            <w:cnfStyle w:val="001000000000" w:firstRow="0" w:lastRow="0" w:firstColumn="1" w:lastColumn="0" w:oddVBand="0" w:evenVBand="0" w:oddHBand="0" w:evenHBand="0" w:firstRowFirstColumn="0" w:firstRowLastColumn="0" w:lastRowFirstColumn="0" w:lastRowLastColumn="0"/>
            <w:tcW w:w="1617" w:type="dxa"/>
          </w:tcPr>
          <w:p w14:paraId="063E259F" w14:textId="77777777" w:rsidR="00605CC3" w:rsidRPr="00AE5A98" w:rsidRDefault="00605CC3" w:rsidP="00F10C69">
            <w:pPr>
              <w:spacing w:before="40" w:after="40" w:line="22" w:lineRule="atLeast"/>
            </w:pPr>
          </w:p>
        </w:tc>
        <w:tc>
          <w:tcPr>
            <w:tcW w:w="5489" w:type="dxa"/>
          </w:tcPr>
          <w:p w14:paraId="1936050E" w14:textId="38BE542E" w:rsidR="00605CC3" w:rsidRPr="00AE5A98" w:rsidRDefault="00605CC3"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pPr>
            <w:r w:rsidRPr="00AE5A98">
              <w:t>Head of Stabilisation, Canada</w:t>
            </w:r>
          </w:p>
        </w:tc>
        <w:tc>
          <w:tcPr>
            <w:tcW w:w="1399" w:type="dxa"/>
          </w:tcPr>
          <w:p w14:paraId="486C97B8" w14:textId="78B02D2F" w:rsidR="00605CC3" w:rsidRPr="00AE5A98" w:rsidRDefault="00605CC3"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pPr>
            <w:r w:rsidRPr="00AE5A98">
              <w:t>23.03.20</w:t>
            </w:r>
          </w:p>
        </w:tc>
      </w:tr>
      <w:tr w:rsidR="00605CC3" w:rsidRPr="00BD1C03" w14:paraId="6B48B350" w14:textId="77777777" w:rsidTr="00204EDB">
        <w:tc>
          <w:tcPr>
            <w:cnfStyle w:val="001000000000" w:firstRow="0" w:lastRow="0" w:firstColumn="1" w:lastColumn="0" w:oddVBand="0" w:evenVBand="0" w:oddHBand="0" w:evenHBand="0" w:firstRowFirstColumn="0" w:firstRowLastColumn="0" w:lastRowFirstColumn="0" w:lastRowLastColumn="0"/>
            <w:tcW w:w="1617" w:type="dxa"/>
          </w:tcPr>
          <w:p w14:paraId="33AE6062" w14:textId="77777777" w:rsidR="00605CC3" w:rsidRPr="00AE5A98" w:rsidRDefault="00605CC3" w:rsidP="00F10C69">
            <w:pPr>
              <w:spacing w:before="40" w:after="40" w:line="22" w:lineRule="atLeast"/>
            </w:pPr>
          </w:p>
        </w:tc>
        <w:tc>
          <w:tcPr>
            <w:tcW w:w="5489" w:type="dxa"/>
          </w:tcPr>
          <w:p w14:paraId="43B466E5" w14:textId="19C255BE" w:rsidR="00605CC3" w:rsidRPr="00AE5A98" w:rsidRDefault="00605CC3"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pPr>
            <w:r w:rsidRPr="00AE5A98">
              <w:t xml:space="preserve">Charges </w:t>
            </w:r>
            <w:proofErr w:type="spellStart"/>
            <w:r w:rsidRPr="00AE5A98">
              <w:t>d’Affaires</w:t>
            </w:r>
            <w:proofErr w:type="spellEnd"/>
            <w:r w:rsidRPr="00AE5A98">
              <w:t>, Norway</w:t>
            </w:r>
          </w:p>
        </w:tc>
        <w:tc>
          <w:tcPr>
            <w:tcW w:w="1399" w:type="dxa"/>
          </w:tcPr>
          <w:p w14:paraId="7ADC2A1E" w14:textId="4F6022A1" w:rsidR="00605CC3" w:rsidRPr="00AE5A98" w:rsidRDefault="00605CC3"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pPr>
            <w:r w:rsidRPr="00AE5A98">
              <w:t>26.03.20</w:t>
            </w:r>
          </w:p>
        </w:tc>
      </w:tr>
      <w:tr w:rsidR="00605CC3" w:rsidRPr="00BD1C03" w14:paraId="4DD12277" w14:textId="77777777" w:rsidTr="00204EDB">
        <w:tc>
          <w:tcPr>
            <w:cnfStyle w:val="001000000000" w:firstRow="0" w:lastRow="0" w:firstColumn="1" w:lastColumn="0" w:oddVBand="0" w:evenVBand="0" w:oddHBand="0" w:evenHBand="0" w:firstRowFirstColumn="0" w:firstRowLastColumn="0" w:lastRowFirstColumn="0" w:lastRowLastColumn="0"/>
            <w:tcW w:w="1617" w:type="dxa"/>
          </w:tcPr>
          <w:p w14:paraId="04A2D2FB" w14:textId="77777777" w:rsidR="00605CC3" w:rsidRPr="00AE5A98" w:rsidRDefault="00605CC3" w:rsidP="00F10C69">
            <w:pPr>
              <w:spacing w:before="40" w:after="40" w:line="22" w:lineRule="atLeast"/>
            </w:pPr>
          </w:p>
        </w:tc>
        <w:tc>
          <w:tcPr>
            <w:tcW w:w="5489" w:type="dxa"/>
          </w:tcPr>
          <w:p w14:paraId="361D54B4" w14:textId="61418E13" w:rsidR="00605CC3" w:rsidRPr="00AE5A98" w:rsidRDefault="00605CC3" w:rsidP="00F10C69">
            <w:pPr>
              <w:adjustRightInd w:val="0"/>
              <w:snapToGrid w:val="0"/>
              <w:spacing w:before="40" w:after="40" w:line="22" w:lineRule="atLeast"/>
              <w:cnfStyle w:val="000000000000" w:firstRow="0" w:lastRow="0" w:firstColumn="0" w:lastColumn="0" w:oddVBand="0" w:evenVBand="0" w:oddHBand="0" w:evenHBand="0" w:firstRowFirstColumn="0" w:firstRowLastColumn="0" w:lastRowFirstColumn="0" w:lastRowLastColumn="0"/>
            </w:pPr>
            <w:r w:rsidRPr="00AE5A98">
              <w:t>Acting Dep Director Stabil</w:t>
            </w:r>
            <w:r w:rsidR="00F6632D">
              <w:t>is</w:t>
            </w:r>
            <w:r w:rsidRPr="00AE5A98">
              <w:t>ation, USAID</w:t>
            </w:r>
          </w:p>
          <w:p w14:paraId="1E474B8B" w14:textId="77777777" w:rsidR="00605CC3" w:rsidRPr="00AE5A98" w:rsidRDefault="00605CC3" w:rsidP="00F10C69">
            <w:pPr>
              <w:adjustRightInd w:val="0"/>
              <w:snapToGrid w:val="0"/>
              <w:spacing w:before="40" w:after="40" w:line="22" w:lineRule="atLeast"/>
              <w:cnfStyle w:val="000000000000" w:firstRow="0" w:lastRow="0" w:firstColumn="0" w:lastColumn="0" w:oddVBand="0" w:evenVBand="0" w:oddHBand="0" w:evenHBand="0" w:firstRowFirstColumn="0" w:firstRowLastColumn="0" w:lastRowFirstColumn="0" w:lastRowLastColumn="0"/>
            </w:pPr>
            <w:r w:rsidRPr="00AE5A98">
              <w:t>Director, Program Office, USAID</w:t>
            </w:r>
          </w:p>
          <w:p w14:paraId="75849975" w14:textId="3029D848" w:rsidR="00605CC3" w:rsidRPr="00AE5A98" w:rsidRDefault="00605CC3"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pPr>
            <w:r w:rsidRPr="00AE5A98">
              <w:t>Senior Refugee Coordinator, US State Department</w:t>
            </w:r>
          </w:p>
        </w:tc>
        <w:tc>
          <w:tcPr>
            <w:tcW w:w="1399" w:type="dxa"/>
          </w:tcPr>
          <w:p w14:paraId="7B001922" w14:textId="505B1241" w:rsidR="00605CC3" w:rsidRPr="00AE5A98" w:rsidRDefault="00605CC3"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pPr>
            <w:r w:rsidRPr="00AE5A98">
              <w:t>24.03.20</w:t>
            </w:r>
          </w:p>
        </w:tc>
      </w:tr>
      <w:tr w:rsidR="00605CC3" w:rsidRPr="00BD1C03" w14:paraId="6C651E87" w14:textId="77777777" w:rsidTr="00204EDB">
        <w:tc>
          <w:tcPr>
            <w:cnfStyle w:val="001000000000" w:firstRow="0" w:lastRow="0" w:firstColumn="1" w:lastColumn="0" w:oddVBand="0" w:evenVBand="0" w:oddHBand="0" w:evenHBand="0" w:firstRowFirstColumn="0" w:firstRowLastColumn="0" w:lastRowFirstColumn="0" w:lastRowLastColumn="0"/>
            <w:tcW w:w="1617" w:type="dxa"/>
          </w:tcPr>
          <w:p w14:paraId="59F90351" w14:textId="77777777" w:rsidR="00605CC3" w:rsidRPr="00AE5A98" w:rsidRDefault="00605CC3" w:rsidP="00F10C69">
            <w:pPr>
              <w:spacing w:before="40" w:after="40" w:line="22" w:lineRule="atLeast"/>
            </w:pPr>
          </w:p>
        </w:tc>
        <w:tc>
          <w:tcPr>
            <w:tcW w:w="5489" w:type="dxa"/>
          </w:tcPr>
          <w:p w14:paraId="4101323D" w14:textId="50D8281F" w:rsidR="00605CC3" w:rsidRPr="00AE5A98" w:rsidRDefault="00605CC3"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pPr>
            <w:r w:rsidRPr="00AE5A98">
              <w:t>Protection Cluster Coordinator, Iraq</w:t>
            </w:r>
          </w:p>
        </w:tc>
        <w:tc>
          <w:tcPr>
            <w:tcW w:w="1399" w:type="dxa"/>
          </w:tcPr>
          <w:p w14:paraId="65F112A5" w14:textId="0F88054E" w:rsidR="00605CC3" w:rsidRPr="00AE5A98" w:rsidRDefault="00605CC3"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pPr>
            <w:r w:rsidRPr="00AE5A98">
              <w:t>25.03.20</w:t>
            </w:r>
          </w:p>
        </w:tc>
      </w:tr>
      <w:tr w:rsidR="00605CC3" w:rsidRPr="00BD1C03" w14:paraId="24E87EED" w14:textId="77777777" w:rsidTr="00204EDB">
        <w:tc>
          <w:tcPr>
            <w:cnfStyle w:val="001000000000" w:firstRow="0" w:lastRow="0" w:firstColumn="1" w:lastColumn="0" w:oddVBand="0" w:evenVBand="0" w:oddHBand="0" w:evenHBand="0" w:firstRowFirstColumn="0" w:firstRowLastColumn="0" w:lastRowFirstColumn="0" w:lastRowLastColumn="0"/>
            <w:tcW w:w="1617" w:type="dxa"/>
          </w:tcPr>
          <w:p w14:paraId="59514B69" w14:textId="77777777" w:rsidR="00605CC3" w:rsidRPr="00AE5A98" w:rsidRDefault="00605CC3" w:rsidP="00F10C69">
            <w:pPr>
              <w:spacing w:before="40" w:after="40" w:line="22" w:lineRule="atLeast"/>
            </w:pPr>
          </w:p>
        </w:tc>
        <w:tc>
          <w:tcPr>
            <w:tcW w:w="5489" w:type="dxa"/>
          </w:tcPr>
          <w:p w14:paraId="1EC6DD14" w14:textId="70404538" w:rsidR="00605CC3" w:rsidRPr="00AE5A98" w:rsidRDefault="00605CC3"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pPr>
            <w:r w:rsidRPr="00AE5A98">
              <w:t>Assistant Representative Protection, UNHCR Iraq</w:t>
            </w:r>
          </w:p>
        </w:tc>
        <w:tc>
          <w:tcPr>
            <w:tcW w:w="1399" w:type="dxa"/>
          </w:tcPr>
          <w:p w14:paraId="4E1C0B40" w14:textId="6CAC64E9" w:rsidR="00605CC3" w:rsidRPr="00AE5A98" w:rsidRDefault="00605CC3"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pPr>
            <w:r w:rsidRPr="00AE5A98">
              <w:t>03.04.20</w:t>
            </w:r>
          </w:p>
        </w:tc>
      </w:tr>
      <w:tr w:rsidR="00605CC3" w:rsidRPr="00BD1C03" w14:paraId="65507E8D" w14:textId="77777777" w:rsidTr="00204EDB">
        <w:tc>
          <w:tcPr>
            <w:cnfStyle w:val="001000000000" w:firstRow="0" w:lastRow="0" w:firstColumn="1" w:lastColumn="0" w:oddVBand="0" w:evenVBand="0" w:oddHBand="0" w:evenHBand="0" w:firstRowFirstColumn="0" w:firstRowLastColumn="0" w:lastRowFirstColumn="0" w:lastRowLastColumn="0"/>
            <w:tcW w:w="1617" w:type="dxa"/>
          </w:tcPr>
          <w:p w14:paraId="0FED96A7" w14:textId="77777777" w:rsidR="00605CC3" w:rsidRPr="00AE5A98" w:rsidRDefault="00605CC3" w:rsidP="00F10C69">
            <w:pPr>
              <w:spacing w:before="40" w:after="40" w:line="22" w:lineRule="atLeast"/>
            </w:pPr>
          </w:p>
        </w:tc>
        <w:tc>
          <w:tcPr>
            <w:tcW w:w="5489" w:type="dxa"/>
          </w:tcPr>
          <w:p w14:paraId="28B93B25" w14:textId="2CA82A51" w:rsidR="00605CC3" w:rsidRPr="00AE5A98" w:rsidRDefault="00605CC3"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pPr>
            <w:r w:rsidRPr="00AE5A98">
              <w:t xml:space="preserve">Senior Protection Adviser, </w:t>
            </w:r>
            <w:proofErr w:type="spellStart"/>
            <w:r w:rsidRPr="00AE5A98">
              <w:t>Procap</w:t>
            </w:r>
            <w:proofErr w:type="spellEnd"/>
            <w:r w:rsidRPr="00AE5A98">
              <w:t xml:space="preserve">/ GPC Consultant </w:t>
            </w:r>
          </w:p>
        </w:tc>
        <w:tc>
          <w:tcPr>
            <w:tcW w:w="1399" w:type="dxa"/>
          </w:tcPr>
          <w:p w14:paraId="651EAFF0" w14:textId="4A6C4004" w:rsidR="00605CC3" w:rsidRPr="00AE5A98" w:rsidRDefault="00605CC3" w:rsidP="00F10C69">
            <w:pPr>
              <w:spacing w:before="40" w:after="40" w:line="22" w:lineRule="atLeast"/>
              <w:cnfStyle w:val="000000000000" w:firstRow="0" w:lastRow="0" w:firstColumn="0" w:lastColumn="0" w:oddVBand="0" w:evenVBand="0" w:oddHBand="0" w:evenHBand="0" w:firstRowFirstColumn="0" w:firstRowLastColumn="0" w:lastRowFirstColumn="0" w:lastRowLastColumn="0"/>
            </w:pPr>
            <w:r w:rsidRPr="00AE5A98">
              <w:t>02.04.20</w:t>
            </w:r>
          </w:p>
        </w:tc>
      </w:tr>
    </w:tbl>
    <w:p w14:paraId="0D6B8C82" w14:textId="77777777" w:rsidR="007C1259" w:rsidRPr="00BD1C03" w:rsidRDefault="007C1259" w:rsidP="00801D4D"/>
    <w:p w14:paraId="277877B8" w14:textId="3183193A" w:rsidR="00801D4D" w:rsidRPr="00BD1C03" w:rsidRDefault="00801D4D" w:rsidP="00801D4D">
      <w:pPr>
        <w:rPr>
          <w:rFonts w:asciiTheme="majorHAnsi" w:eastAsiaTheme="majorEastAsia" w:hAnsiTheme="majorHAnsi" w:cstheme="majorBidi"/>
          <w:color w:val="243F60" w:themeColor="accent1" w:themeShade="7F"/>
        </w:rPr>
      </w:pPr>
      <w:r w:rsidRPr="00BD1C03">
        <w:br w:type="page"/>
      </w:r>
    </w:p>
    <w:p w14:paraId="4C4BCD44" w14:textId="6617ADEB" w:rsidR="001C7D54" w:rsidRDefault="007C1259" w:rsidP="00CC437F">
      <w:pPr>
        <w:pStyle w:val="Heading1"/>
      </w:pPr>
      <w:bookmarkStart w:id="15" w:name="_Toc48318505"/>
      <w:r w:rsidRPr="00BD1C03">
        <w:t>Annex II – Review Pla</w:t>
      </w:r>
      <w:r w:rsidR="001C7D54">
        <w:t>n</w:t>
      </w:r>
      <w:bookmarkEnd w:id="15"/>
    </w:p>
    <w:p w14:paraId="570ABF8F" w14:textId="2A34AC7E" w:rsidR="001C7D54" w:rsidRPr="00BD1C03" w:rsidRDefault="00E50AD2" w:rsidP="00B13F20">
      <w:pPr>
        <w:pStyle w:val="Heading2"/>
      </w:pPr>
      <w:r>
        <w:t>Stabilisation p</w:t>
      </w:r>
      <w:r w:rsidR="001C7D54" w:rsidRPr="00BD1C03">
        <w:t xml:space="preserve">ackage </w:t>
      </w:r>
    </w:p>
    <w:p w14:paraId="0B31DD4F" w14:textId="51C46DA8" w:rsidR="00F72EA1" w:rsidRPr="00BD1C03" w:rsidRDefault="00E50AD2" w:rsidP="00E50AD2">
      <w:pPr>
        <w:pStyle w:val="Heading3"/>
      </w:pPr>
      <w:r>
        <w:t>Evaluation p</w:t>
      </w:r>
      <w:r w:rsidR="001C7D54" w:rsidRPr="00BD1C03">
        <w:t xml:space="preserve">lan </w:t>
      </w:r>
      <w:r>
        <w:t xml:space="preserve">- </w:t>
      </w:r>
      <w:r w:rsidR="001C7D54" w:rsidRPr="00BD1C03">
        <w:t xml:space="preserve">March 2019 </w:t>
      </w:r>
    </w:p>
    <w:p w14:paraId="2845C6F4" w14:textId="0565F0F5" w:rsidR="00F72EA1" w:rsidRPr="00BD1C03" w:rsidRDefault="00F72EA1" w:rsidP="00B13F20">
      <w:pPr>
        <w:pStyle w:val="Heading2"/>
      </w:pPr>
      <w:r w:rsidRPr="00BD1C03">
        <w:t>Introduction</w:t>
      </w:r>
    </w:p>
    <w:p w14:paraId="17EE3FD5" w14:textId="5FA36847" w:rsidR="00F72EA1" w:rsidRPr="00BD1C03" w:rsidRDefault="00F72EA1" w:rsidP="002D7861">
      <w:pPr>
        <w:pStyle w:val="Heading3"/>
      </w:pPr>
      <w:r w:rsidRPr="00BD1C03">
        <w:t xml:space="preserve">Overview </w:t>
      </w:r>
    </w:p>
    <w:p w14:paraId="4991BE6B" w14:textId="76B43BE4" w:rsidR="00F72EA1" w:rsidRPr="00BD1C03" w:rsidRDefault="00F72EA1" w:rsidP="00F72EA1">
      <w:r w:rsidRPr="00BD1C03">
        <w:t>The Iraq Humanitar</w:t>
      </w:r>
      <w:r w:rsidR="00F41CC4">
        <w:t>ian and Stabilisation Package (“</w:t>
      </w:r>
      <w:r w:rsidRPr="00BD1C03">
        <w:t>the Package</w:t>
      </w:r>
      <w:r w:rsidR="00F41CC4">
        <w:t>”</w:t>
      </w:r>
      <w:r w:rsidRPr="00BD1C03">
        <w:t xml:space="preserve">) is a three-year $100 million package designed to support humanitarian and stabilisation efforts in Iraq, concluding in June 2020. </w:t>
      </w:r>
    </w:p>
    <w:p w14:paraId="7742FB4A" w14:textId="77777777" w:rsidR="00F72EA1" w:rsidRPr="00BD1C03" w:rsidRDefault="00F72EA1" w:rsidP="00F72EA1">
      <w:r w:rsidRPr="00BD1C03">
        <w:t xml:space="preserve">This review will assess the relevance, effectiveness, and efficiency of the Package and inform the development of potential future investments. It is intended to act as an important accountability mechanism for DFAT, while also providing evidence to support forward-focused decision-making by DFAT staff and senior executives. </w:t>
      </w:r>
    </w:p>
    <w:p w14:paraId="5FAF3FB7" w14:textId="77777777" w:rsidR="00F72EA1" w:rsidRPr="002D7861" w:rsidRDefault="00F72EA1" w:rsidP="002D7861">
      <w:pPr>
        <w:pStyle w:val="Heading4"/>
      </w:pPr>
      <w:r w:rsidRPr="002D7861">
        <w:t>Background</w:t>
      </w:r>
    </w:p>
    <w:p w14:paraId="612C36CE" w14:textId="2114B728" w:rsidR="00F72EA1" w:rsidRPr="00BD1C03" w:rsidRDefault="00F72EA1" w:rsidP="00F72EA1">
      <w:r w:rsidRPr="00BD1C03">
        <w:t>In 2017 at the time of the package’s design, the UN estimated that up to 11 million Iraqis would need humanitarian assistance in 2018, including 5.1 million children.</w:t>
      </w:r>
      <w:r w:rsidRPr="00BD1C03">
        <w:rPr>
          <w:vertAlign w:val="superscript"/>
        </w:rPr>
        <w:footnoteReference w:id="1"/>
      </w:r>
      <w:r w:rsidRPr="00BD1C03">
        <w:rPr>
          <w:vertAlign w:val="superscript"/>
        </w:rPr>
        <w:t> </w:t>
      </w:r>
      <w:r w:rsidRPr="00BD1C03">
        <w:t>As at October 2017, over 66,500 Iraqi civilians had died of war-related causes since 2014.</w:t>
      </w:r>
      <w:r w:rsidRPr="00BD1C03">
        <w:rPr>
          <w:vertAlign w:val="superscript"/>
        </w:rPr>
        <w:footnoteReference w:id="2"/>
      </w:r>
      <w:r w:rsidRPr="00BD1C03">
        <w:t xml:space="preserve"> Since January 2014, nearly 3.2 million Iraqis have been internally displaced, including some who have been displaced multiple times.</w:t>
      </w:r>
      <w:r w:rsidRPr="00BD1C03">
        <w:rPr>
          <w:vertAlign w:val="superscript"/>
        </w:rPr>
        <w:footnoteReference w:id="3"/>
      </w:r>
      <w:r w:rsidRPr="00BD1C03">
        <w:t xml:space="preserve"> The scale of protection needs in Iraq are so great that the UN ha</w:t>
      </w:r>
      <w:r w:rsidR="00F41CC4">
        <w:t>s repeatedly described it as a “protection crisis”</w:t>
      </w:r>
      <w:r w:rsidRPr="00BD1C03">
        <w:t xml:space="preserve">. </w:t>
      </w:r>
    </w:p>
    <w:p w14:paraId="783F692E" w14:textId="77777777" w:rsidR="00F72EA1" w:rsidRPr="00BD1C03" w:rsidRDefault="00F72EA1" w:rsidP="00F72EA1">
      <w:r w:rsidRPr="00BD1C03">
        <w:t>The overall objective of the Package is to support international efforts to meet the humanitarian needs of the most vulnerable conflict-affected populations in Iraq and assist communities to become more resilient. This broad need emerges from the sustained period of conflict, displacement and instability that Iraq has experienced since 2003, and felt most recently and acutely as a result of the 2014-17 conflict against ISIL. Activities are designed to address short and medium-term humanitarian needs of affected populations, with a focus on humanitarian assistance; rapid recovery and stabilisation activities in retaken areas (including rehabilitation of essential public services and economic opportunities); and reconciliation and social cohesion. These investments will contribute to two end-of-package outcomes:</w:t>
      </w:r>
    </w:p>
    <w:p w14:paraId="33B2FC94" w14:textId="77777777" w:rsidR="00F72EA1" w:rsidRPr="00BD1C03" w:rsidRDefault="00F72EA1" w:rsidP="00937AED">
      <w:pPr>
        <w:pStyle w:val="ListParagraph"/>
        <w:numPr>
          <w:ilvl w:val="0"/>
          <w:numId w:val="16"/>
        </w:numPr>
      </w:pPr>
      <w:r w:rsidRPr="00BD1C03">
        <w:t xml:space="preserve">Vulnerable people in Iraq affected by the conflict receive inclusive humanitarian assistance and have greater access to protection services; </w:t>
      </w:r>
    </w:p>
    <w:p w14:paraId="74907EC6" w14:textId="77777777" w:rsidR="00F72EA1" w:rsidRPr="00BD1C03" w:rsidRDefault="00F72EA1" w:rsidP="00937AED">
      <w:pPr>
        <w:pStyle w:val="ListParagraph"/>
        <w:numPr>
          <w:ilvl w:val="0"/>
          <w:numId w:val="16"/>
        </w:numPr>
      </w:pPr>
      <w:r w:rsidRPr="00BD1C03">
        <w:t>Institutions, infrastructure and social conditions improved for conflict-affected populations to recover and build resilience in a safe and stable environment.</w:t>
      </w:r>
    </w:p>
    <w:p w14:paraId="665C56EE" w14:textId="77777777" w:rsidR="00F72EA1" w:rsidRPr="00BD1C03" w:rsidRDefault="00F72EA1" w:rsidP="00F72EA1">
      <w:r w:rsidRPr="00BD1C03">
        <w:t>The Package provides funding to the UNFPA, UNDP, ICRC, UNICEF, IOM, UNMAS and an NGO consortium led by Save the Children.</w:t>
      </w:r>
    </w:p>
    <w:p w14:paraId="7F7FE2F7" w14:textId="77777777" w:rsidR="00F72EA1" w:rsidRPr="00BD1C03" w:rsidRDefault="00F72EA1" w:rsidP="00F72EA1">
      <w:r w:rsidRPr="00BD1C03">
        <w:t xml:space="preserve">Gender equality, women’s empowerment, disability inclusion and protection are key priorities for Australia’s humanitarian program as outlined in DFAT’s </w:t>
      </w:r>
      <w:r w:rsidRPr="00BD1C03">
        <w:rPr>
          <w:i/>
        </w:rPr>
        <w:t>Humanitarian Strategy</w:t>
      </w:r>
      <w:r w:rsidRPr="00BD1C03">
        <w:t xml:space="preserve"> (2016)</w:t>
      </w:r>
      <w:r w:rsidRPr="00BD1C03">
        <w:rPr>
          <w:vertAlign w:val="superscript"/>
        </w:rPr>
        <w:footnoteReference w:id="4"/>
      </w:r>
      <w:r w:rsidRPr="00BD1C03">
        <w:t xml:space="preserve"> and Protection Framework (2013), and reflected and integrated within the Iraq package.</w:t>
      </w:r>
    </w:p>
    <w:p w14:paraId="68331D42" w14:textId="77777777" w:rsidR="00F72EA1" w:rsidRPr="00BD1C03" w:rsidRDefault="00F72EA1" w:rsidP="00F72EA1">
      <w:r w:rsidRPr="00BD1C03">
        <w:t>A monitoring and evaluation framework has guided DFAT to compile performance reporting at regular intervals, with technical support provided by the Humanitarian Advisory Group (HAG).</w:t>
      </w:r>
    </w:p>
    <w:p w14:paraId="0BF64CD0" w14:textId="77777777" w:rsidR="00F72EA1" w:rsidRPr="00BD1C03" w:rsidRDefault="00F72EA1" w:rsidP="00F72EA1">
      <w:r w:rsidRPr="00BD1C03">
        <w:t>The initial Investment Design rated the Package as high risk, noting that DFAT would have limited capacity to directly monitor activities. A full risk assessment was conducted at start-up and a Risk Management Plan developed to monitor risk against each activity supported through this package.</w:t>
      </w:r>
    </w:p>
    <w:p w14:paraId="02ED8741" w14:textId="77777777" w:rsidR="00F72EA1" w:rsidRPr="00BD1C03" w:rsidRDefault="00F72EA1" w:rsidP="002D7861">
      <w:pPr>
        <w:pStyle w:val="Heading4"/>
      </w:pPr>
      <w:r w:rsidRPr="00BD1C03">
        <w:t>Overall Australian support to Iraq</w:t>
      </w:r>
    </w:p>
    <w:p w14:paraId="6D6A8B39" w14:textId="77777777" w:rsidR="00F72EA1" w:rsidRPr="00BD1C03" w:rsidRDefault="00F72EA1" w:rsidP="00F72EA1">
      <w:r w:rsidRPr="00BD1C03">
        <w:t>The overall objective of the Package is to support international efforts to meet the humanitarian needs of the most vulnerable conflict-affected populations in Iraq (particularly women, children and persons with disabilities), while also assisting communities to become more resilient and stable.</w:t>
      </w:r>
    </w:p>
    <w:p w14:paraId="2B6BF5E8" w14:textId="77777777" w:rsidR="00F72EA1" w:rsidRPr="00BD1C03" w:rsidRDefault="00F72EA1" w:rsidP="00F72EA1">
      <w:r w:rsidRPr="00BD1C03">
        <w:t>The Package aimed to capture Iraq’s diverse needs at the time of design in late 2017, by providing a mechanism through which short and medium-term humanitarian needs of affected populations could be addressed; rapid recovery and stabilisation activities in liberated areas supported (including rehabilitation of essential public services and economic opportunities); and reconciliation and social cohesion progressed.</w:t>
      </w:r>
    </w:p>
    <w:p w14:paraId="67C59AEC" w14:textId="77777777" w:rsidR="00F72EA1" w:rsidRPr="00BD1C03" w:rsidRDefault="00F72EA1" w:rsidP="00F72EA1">
      <w:r w:rsidRPr="00BD1C03">
        <w:t xml:space="preserve">Protection, disability inclusion, and gender equality and women’s empowerment were all identified as priority areas where DFAT could add value and tangibly address the needs of the Iraqi people. More specifically, it was determined that partners would be required to mainstream gender throughout their work, as a strategy for promoting enduring peace by engaging whole communities to drive economic growth, reduce poverty and build resilience. </w:t>
      </w:r>
    </w:p>
    <w:p w14:paraId="22D5412E" w14:textId="77777777" w:rsidR="00F72EA1" w:rsidRPr="00BD1C03" w:rsidRDefault="00F72EA1" w:rsidP="00F72EA1">
      <w:r w:rsidRPr="00BD1C03">
        <w:t>Funding was also specified for reconciliation efforts aimed at supporting social cohesion activities that promote peaceful coexistence and reintegration between affected and displaced communities, and help prevent a further return to violence. However, the Package acknowledges that reconciliation in Iraq is aspirational and the risks associated with progress in this area are high, given the fragile context.</w:t>
      </w:r>
    </w:p>
    <w:p w14:paraId="6A323556" w14:textId="77777777" w:rsidR="00F72EA1" w:rsidRPr="00BD1C03" w:rsidRDefault="00F72EA1" w:rsidP="002D7861">
      <w:pPr>
        <w:pStyle w:val="Heading4"/>
      </w:pPr>
      <w:r w:rsidRPr="00BD1C03">
        <w:t>The Package</w:t>
      </w:r>
    </w:p>
    <w:p w14:paraId="233503DA" w14:textId="77777777" w:rsidR="00F72EA1" w:rsidRPr="00BD1C03" w:rsidRDefault="00F72EA1" w:rsidP="00F72EA1">
      <w:r w:rsidRPr="00BD1C03">
        <w:t>The proposed approach was for DFAT to work through existing and trusted partners that have demonstrated experience in responding to the crisis, robust security, financial and risk management systems, and child protection and environment safeguards policies that DFAT have confidence in.</w:t>
      </w:r>
    </w:p>
    <w:p w14:paraId="43E19358" w14:textId="77777777" w:rsidR="00F72EA1" w:rsidRPr="00BD1C03" w:rsidRDefault="00F72EA1" w:rsidP="00F72EA1">
      <w:r w:rsidRPr="00BD1C03">
        <w:t>Specific investments include:</w:t>
      </w:r>
    </w:p>
    <w:p w14:paraId="3FDE65F2" w14:textId="77777777" w:rsidR="00F72EA1" w:rsidRPr="00BD1C03" w:rsidRDefault="00F72EA1" w:rsidP="00937AED">
      <w:pPr>
        <w:pStyle w:val="bullets0"/>
      </w:pPr>
      <w:r w:rsidRPr="00BD1C03">
        <w:t>ICRC ($18 million over 2017-20) (unearmarked) – delivering medical assistance and physical rehabilitation services (including for mine injuries); providing water, food and essential household items to affected populations; contribute to repairing water and health infrastructure; and protection activities such as reconnecting families;</w:t>
      </w:r>
    </w:p>
    <w:p w14:paraId="51F9B99F" w14:textId="77777777" w:rsidR="00F72EA1" w:rsidRPr="00BD1C03" w:rsidRDefault="00F72EA1" w:rsidP="00937AED">
      <w:pPr>
        <w:pStyle w:val="bullets0"/>
      </w:pPr>
      <w:r w:rsidRPr="00BD1C03">
        <w:t>UNFPA ($12.86 million over 2017-20) (earmarked and unearmarked) – to address sexual and reproductive health issues, youth engagement and gender equality;</w:t>
      </w:r>
    </w:p>
    <w:p w14:paraId="7452F841" w14:textId="77777777" w:rsidR="00F72EA1" w:rsidRPr="00BD1C03" w:rsidRDefault="00F72EA1" w:rsidP="00937AED">
      <w:pPr>
        <w:pStyle w:val="bullets0"/>
      </w:pPr>
      <w:r w:rsidRPr="00BD1C03">
        <w:t>UNDP Funding Facility for Stabilisation ($18 million over 2017-20) (unearmarked) – to provide funding support to the key stabilisation mechanism supporting Iraqi authorities to restore essential public services and rehabilitate critical infrastructure;</w:t>
      </w:r>
    </w:p>
    <w:p w14:paraId="2E0ABA3E" w14:textId="77777777" w:rsidR="00F72EA1" w:rsidRPr="00BD1C03" w:rsidRDefault="00F72EA1" w:rsidP="00937AED">
      <w:pPr>
        <w:pStyle w:val="bullets0"/>
      </w:pPr>
      <w:r w:rsidRPr="00BD1C03">
        <w:t>UNMAS ($11 million over 2018-20) (unearmarked) – mine mapping and clearance work, capacity building for fellow mine action actors and risk education;</w:t>
      </w:r>
    </w:p>
    <w:p w14:paraId="6C97B443" w14:textId="77777777" w:rsidR="00F72EA1" w:rsidRPr="00BD1C03" w:rsidRDefault="00F72EA1" w:rsidP="00937AED">
      <w:pPr>
        <w:pStyle w:val="bullets0"/>
      </w:pPr>
      <w:r w:rsidRPr="00BD1C03">
        <w:t>Save the Children led consortium ($20 million over 2017-20) – to support implementation of the Building Peaceful Futures project, which aimed to support the safe return and reintegration of returnees, and improve vulnerable people’s resilience through inclusive access to essential protection, water, sanitation and hygiene, legal support, and primary and sexual reproductive health services in Ninewa and Kirkuk Governorates;</w:t>
      </w:r>
    </w:p>
    <w:p w14:paraId="12EB6315" w14:textId="77777777" w:rsidR="00F72EA1" w:rsidRPr="00BD1C03" w:rsidRDefault="00F72EA1" w:rsidP="00937AED">
      <w:pPr>
        <w:pStyle w:val="bullets0"/>
      </w:pPr>
      <w:r w:rsidRPr="00BD1C03">
        <w:t>IOM ($8.18 million over Jan 2019 – June 2020) (softly earmarked to social cohesion) – institutional and community reconciliation, creating an enabling environment of mutual trust within conflict-affected populations, including, where possible, supporting and promoting leadership and engagement by women;</w:t>
      </w:r>
    </w:p>
    <w:p w14:paraId="6B44D01A" w14:textId="77777777" w:rsidR="00F72EA1" w:rsidRPr="00BD1C03" w:rsidRDefault="00F72EA1" w:rsidP="00937AED">
      <w:pPr>
        <w:pStyle w:val="bullets0"/>
      </w:pPr>
      <w:r w:rsidRPr="00BD1C03">
        <w:t xml:space="preserve">UNICEF ($8.5 million Jan 2019 – June 2020) (earmarked) – to support costs related to implementation of urgent WASH programming in southern governorates of Basra, </w:t>
      </w:r>
      <w:proofErr w:type="spellStart"/>
      <w:r w:rsidRPr="00BD1C03">
        <w:t>Thi-Qar</w:t>
      </w:r>
      <w:proofErr w:type="spellEnd"/>
      <w:r w:rsidRPr="00BD1C03">
        <w:t xml:space="preserve"> and </w:t>
      </w:r>
      <w:proofErr w:type="spellStart"/>
      <w:r w:rsidRPr="00BD1C03">
        <w:t>Qadissiya</w:t>
      </w:r>
      <w:proofErr w:type="spellEnd"/>
      <w:r w:rsidRPr="00BD1C03">
        <w:t>.</w:t>
      </w:r>
    </w:p>
    <w:p w14:paraId="49F06D7B" w14:textId="5C745102" w:rsidR="00F72EA1" w:rsidRPr="00BD1C03" w:rsidRDefault="00F72EA1" w:rsidP="00F72EA1">
      <w:r w:rsidRPr="00BD1C03">
        <w:t>At design, the package set aside $18 million to provide flexibility in programming to allow for emerging priorities to be addressed. Support provided to both IOM and UNICEF occurred through util</w:t>
      </w:r>
      <w:r w:rsidR="00B43345">
        <w:t>is</w:t>
      </w:r>
      <w:r w:rsidRPr="00BD1C03">
        <w:t xml:space="preserve">ation of these funds, with IOM also benefiting from the reconciliation funding allocation. </w:t>
      </w:r>
    </w:p>
    <w:p w14:paraId="27A4E13A" w14:textId="77777777" w:rsidR="00F72EA1" w:rsidRPr="00BD1C03" w:rsidRDefault="00F72EA1" w:rsidP="002D7861">
      <w:pPr>
        <w:pStyle w:val="Heading3"/>
      </w:pPr>
      <w:r w:rsidRPr="00BD1C03">
        <w:t>Evaluation context</w:t>
      </w:r>
    </w:p>
    <w:p w14:paraId="7B6123DE" w14:textId="6B5980E2" w:rsidR="00F72EA1" w:rsidRPr="00BD1C03" w:rsidRDefault="00F72EA1" w:rsidP="00F72EA1">
      <w:r w:rsidRPr="00BD1C03">
        <w:t>The Iraq response is a complex and multi-faceted humanitarian crisis. The scale of protection needs in Iraq are so great that the UN ha</w:t>
      </w:r>
      <w:r w:rsidR="00F41CC4">
        <w:t>s repeatedly described it as a “protection crisis”</w:t>
      </w:r>
      <w:r w:rsidRPr="00BD1C03">
        <w:t xml:space="preserve"> and the centrality of protection is firmly enshrined at the core of the humanitarian response plan. Since January 2014, nearly 3.2 million Iraqis have been internally displaced, including some who have been displaced multiple times.</w:t>
      </w:r>
      <w:r w:rsidRPr="00BD1C03">
        <w:rPr>
          <w:vertAlign w:val="superscript"/>
        </w:rPr>
        <w:footnoteReference w:id="5"/>
      </w:r>
    </w:p>
    <w:p w14:paraId="58A9E585" w14:textId="35776B50" w:rsidR="00F72EA1" w:rsidRPr="00BD1C03" w:rsidRDefault="00F72EA1" w:rsidP="00F72EA1">
      <w:r w:rsidRPr="00BD1C03">
        <w:t>As of January 2020, of the 6 million displaced by the 2014-17 conflict against ISIL, 4.1 million remain in need of some form of assistance and 1.77 million remain in acute need (half of which are concentrated in Ninewa and Al-</w:t>
      </w:r>
      <w:proofErr w:type="spellStart"/>
      <w:r w:rsidRPr="00BD1C03">
        <w:t>anbar</w:t>
      </w:r>
      <w:proofErr w:type="spellEnd"/>
      <w:r w:rsidRPr="00BD1C03">
        <w:t>).</w:t>
      </w:r>
      <w:r w:rsidRPr="00BD1C03">
        <w:rPr>
          <w:vertAlign w:val="superscript"/>
        </w:rPr>
        <w:footnoteReference w:id="6"/>
      </w:r>
      <w:r w:rsidRPr="00BD1C03">
        <w:t xml:space="preserve"> While returns have occurred, 1.5 million remain displaced and the priority is voluntary, dignified, informed and sustainable returns in line with the Principled Framework for Returns.</w:t>
      </w:r>
      <w:r w:rsidRPr="00BD1C03">
        <w:rPr>
          <w:vertAlign w:val="superscript"/>
        </w:rPr>
        <w:footnoteReference w:id="7"/>
      </w:r>
      <w:r w:rsidRPr="00BD1C03">
        <w:t xml:space="preserve"> Humanitarian access remains a challenge with 93 </w:t>
      </w:r>
      <w:r w:rsidR="00495DB3">
        <w:t>percent</w:t>
      </w:r>
      <w:r w:rsidRPr="00BD1C03">
        <w:t xml:space="preserve"> of districts in northern and central Iraq facing access constraints.</w:t>
      </w:r>
      <w:r w:rsidRPr="00BD1C03">
        <w:rPr>
          <w:vertAlign w:val="superscript"/>
        </w:rPr>
        <w:footnoteReference w:id="8"/>
      </w:r>
      <w:r w:rsidRPr="00BD1C03">
        <w:rPr>
          <w:vertAlign w:val="superscript"/>
        </w:rPr>
        <w:t xml:space="preserve"> </w:t>
      </w:r>
      <w:r w:rsidRPr="00BD1C03">
        <w:t>These needs and challenges are compounded by political instability, pre-existing vulnerability, limited government service delivery and historically under-served areas and populations.</w:t>
      </w:r>
    </w:p>
    <w:p w14:paraId="08D7127C" w14:textId="77777777" w:rsidR="00F72EA1" w:rsidRPr="00BD1C03" w:rsidRDefault="00F72EA1" w:rsidP="00F72EA1">
      <w:r w:rsidRPr="00BD1C03">
        <w:t>Since its commencement, Australia has been a committed supporter to the Iraq crisis response. This Package was specifically designed in the context of the progressive retreat of ISIL in Iraq, and the resulting needs posed by widespread displacement, destruction of infrastructure and decreased stability having impacted millions of Iraqis. This context presents both ongoing humanitarian needs as well as opportunities to support initiatives aimed at stabilisation and securing progress achieved in recent years, in terms of the Government of Iraq (GOI) now having control of most of the country.</w:t>
      </w:r>
    </w:p>
    <w:p w14:paraId="3DECD97E" w14:textId="77777777" w:rsidR="00F72EA1" w:rsidRPr="00BD1C03" w:rsidRDefault="00F72EA1" w:rsidP="00F72EA1">
      <w:r w:rsidRPr="00BD1C03">
        <w:t xml:space="preserve">The international humanitarian response in Iraq is coordinated under the UN’s Iraq Humanitarian Response Plan, while stabilisation efforts are led by the GOI and implemented by the UN Development Program’s (UNDP) Funding Facility for Stabilisation (FFS). Australian support aligns with these plans, and is directed through international organisations – primarily UN agencies, but also includes a $20 million grant to an NGO consortium led by Save the Children. </w:t>
      </w:r>
    </w:p>
    <w:p w14:paraId="42608453" w14:textId="1381D7A1" w:rsidR="00F72EA1" w:rsidRPr="00BD1C03" w:rsidRDefault="00F72EA1" w:rsidP="00F72EA1">
      <w:r w:rsidRPr="00BD1C03">
        <w:t>Monitoring and evaluation (M&amp;E) has been funded through the package budget, and is based upon an overarching package M&amp;E framework developed at start-up. The M&amp;E framework operates at multiple levels, covering high-level program issues as well as partner level performance. At the higher level, monitoring aims to evaluate performance in terms of alignment with humanitarian aid policy objectives and indicators to allow DFAT to measure the success of this multi-year funding modality. At investment level, the package M&amp;E framework draws in and integrates partner-level performance assessment frameworks, allowing for tailored assessment metrics for each partner, taking into consideration issues such as size and duration of activities, ability to u</w:t>
      </w:r>
      <w:r w:rsidR="00F41CC4">
        <w:t>ndertake direct monitoring and “attribution versus contribution”</w:t>
      </w:r>
      <w:r w:rsidRPr="00BD1C03">
        <w:t xml:space="preserve"> issues.</w:t>
      </w:r>
    </w:p>
    <w:p w14:paraId="0F712B14" w14:textId="0BD05407" w:rsidR="00F72EA1" w:rsidRPr="00BD1C03" w:rsidRDefault="00F72EA1" w:rsidP="00F72EA1">
      <w:r w:rsidRPr="00BD1C03">
        <w:t>The overarching M&amp;E framework is further informed by regular post</w:t>
      </w:r>
      <w:r w:rsidR="00404252">
        <w:t>-</w:t>
      </w:r>
      <w:r w:rsidRPr="00BD1C03">
        <w:t xml:space="preserve">monitoring, DFAT’s Investment Quality Reporting (IQR) process, partners own reporting, high-level consultations, annual field monitoring and annual Package Reviews. </w:t>
      </w:r>
    </w:p>
    <w:p w14:paraId="038E556B" w14:textId="211CBF06" w:rsidR="00F72EA1" w:rsidRPr="00BD1C03" w:rsidRDefault="00E50AD2" w:rsidP="00B13F20">
      <w:pPr>
        <w:pStyle w:val="Heading2"/>
      </w:pPr>
      <w:r>
        <w:t>About the e</w:t>
      </w:r>
      <w:r w:rsidR="00F72EA1" w:rsidRPr="00BD1C03">
        <w:t>valuation</w:t>
      </w:r>
    </w:p>
    <w:p w14:paraId="066F915D" w14:textId="5F6498B5" w:rsidR="00F72EA1" w:rsidRPr="00BD1C03" w:rsidRDefault="00E50AD2" w:rsidP="002D7861">
      <w:pPr>
        <w:pStyle w:val="Heading3"/>
      </w:pPr>
      <w:r>
        <w:t>Purpose of the e</w:t>
      </w:r>
      <w:r w:rsidR="00F72EA1" w:rsidRPr="00BD1C03">
        <w:t>valuation</w:t>
      </w:r>
    </w:p>
    <w:p w14:paraId="012845B3" w14:textId="77777777" w:rsidR="00F72EA1" w:rsidRPr="00BD1C03" w:rsidRDefault="00F72EA1" w:rsidP="00F72EA1">
      <w:r w:rsidRPr="00BD1C03">
        <w:t xml:space="preserve">The evaluation will assess: </w:t>
      </w:r>
    </w:p>
    <w:p w14:paraId="01069E40" w14:textId="77777777" w:rsidR="00F72EA1" w:rsidRPr="00BD1C03" w:rsidRDefault="00F72EA1" w:rsidP="00937AED">
      <w:pPr>
        <w:pStyle w:val="bullets0"/>
      </w:pPr>
      <w:r w:rsidRPr="00BD1C03">
        <w:t xml:space="preserve">the relevance, effectiveness and efficiency of the package, and make recommendations for future programming if package is extended 1-2 years with similar or reduced funding; </w:t>
      </w:r>
    </w:p>
    <w:p w14:paraId="75F1B5E5" w14:textId="77777777" w:rsidR="00F72EA1" w:rsidRPr="00BD1C03" w:rsidRDefault="00F72EA1" w:rsidP="00937AED">
      <w:pPr>
        <w:pStyle w:val="bullets0"/>
      </w:pPr>
      <w:r w:rsidRPr="00BD1C03">
        <w:t xml:space="preserve">the extent to which the Package protects the safety, dignity and rights of affected people and meets the needs of those most vulnerable (considering gender, disability in particular); </w:t>
      </w:r>
    </w:p>
    <w:p w14:paraId="54DC03D1" w14:textId="77777777" w:rsidR="00F72EA1" w:rsidRPr="00BD1C03" w:rsidRDefault="00F72EA1" w:rsidP="00937AED">
      <w:pPr>
        <w:pStyle w:val="bullets0"/>
      </w:pPr>
      <w:r w:rsidRPr="00BD1C03">
        <w:t>whether the Package was delivered in a way which reinforced local capacity; supported recovery, resilience and long-term development;</w:t>
      </w:r>
    </w:p>
    <w:p w14:paraId="178B508E" w14:textId="77777777" w:rsidR="00F72EA1" w:rsidRPr="00BD1C03" w:rsidRDefault="00F72EA1" w:rsidP="00937AED">
      <w:pPr>
        <w:pStyle w:val="bullets0"/>
      </w:pPr>
      <w:r w:rsidRPr="00BD1C03">
        <w:t>the extent to which Australia’s approach was coordinated and complementary to efforts of other actors; the extent to which Australia engaged with and influenced the international humanitarian system; and will comment on how the program contributes to Australia’s national interests.</w:t>
      </w:r>
    </w:p>
    <w:p w14:paraId="569E1314" w14:textId="77777777" w:rsidR="00F72EA1" w:rsidRPr="00BD1C03" w:rsidRDefault="00F72EA1" w:rsidP="00F72EA1">
      <w:r w:rsidRPr="00BD1C03">
        <w:t>The review will deliver a set of recommendations that will be practical in nature and focused on those which can inform ongoing and future investments.</w:t>
      </w:r>
    </w:p>
    <w:p w14:paraId="094EC8A6" w14:textId="77777777" w:rsidR="00F72EA1" w:rsidRPr="00BD1C03" w:rsidRDefault="00F72EA1" w:rsidP="002D7861">
      <w:pPr>
        <w:pStyle w:val="Heading3"/>
      </w:pPr>
      <w:r w:rsidRPr="00BD1C03">
        <w:t>Evaluation approach</w:t>
      </w:r>
    </w:p>
    <w:p w14:paraId="2E744EBD" w14:textId="77777777" w:rsidR="00F72EA1" w:rsidRPr="00BD1C03" w:rsidRDefault="00F72EA1" w:rsidP="00F72EA1">
      <w:r w:rsidRPr="00BD1C03">
        <w:t>This desk-based review will consider evaluation criteria of relevance, effectiveness and efficiency. Preliminary consultations have been undertaken with staff at DFAT desk, DFAT post (recently departed officer) and with HAG (who support Package M&amp;E).</w:t>
      </w:r>
    </w:p>
    <w:p w14:paraId="3EFD789C" w14:textId="77777777" w:rsidR="00F72EA1" w:rsidRPr="00BD1C03" w:rsidRDefault="00F72EA1" w:rsidP="00F72EA1">
      <w:r w:rsidRPr="00BD1C03">
        <w:t>Questions to be considered during the evaluation were pre-prepared and included in the evaluation terms of reference (see below at 5).</w:t>
      </w:r>
    </w:p>
    <w:p w14:paraId="1D08CB3F" w14:textId="77777777" w:rsidR="00F72EA1" w:rsidRPr="00BD1C03" w:rsidRDefault="00F72EA1" w:rsidP="00F72EA1">
      <w:r w:rsidRPr="00BD1C03">
        <w:t>The process of the evaluation will involve the following steps:</w:t>
      </w:r>
    </w:p>
    <w:p w14:paraId="7569E9CE" w14:textId="77777777" w:rsidR="00F72EA1" w:rsidRPr="00BD1C03" w:rsidRDefault="00F72EA1" w:rsidP="00747938">
      <w:pPr>
        <w:pStyle w:val="ListParagraph"/>
        <w:numPr>
          <w:ilvl w:val="0"/>
          <w:numId w:val="35"/>
        </w:numPr>
        <w:ind w:left="284" w:hanging="284"/>
      </w:pPr>
      <w:r w:rsidRPr="00BD1C03">
        <w:t>Preliminary review of relevant documentation at donor, response, package and investment levels:</w:t>
      </w:r>
    </w:p>
    <w:p w14:paraId="7B3B6D55" w14:textId="77777777" w:rsidR="00F72EA1" w:rsidRPr="00BD1C03" w:rsidRDefault="00F72EA1" w:rsidP="00F72EA1">
      <w:pPr>
        <w:rPr>
          <w:i/>
        </w:rPr>
      </w:pPr>
      <w:r w:rsidRPr="00BD1C03">
        <w:rPr>
          <w:i/>
        </w:rPr>
        <w:t>Donor level</w:t>
      </w:r>
    </w:p>
    <w:p w14:paraId="31DE4C7E" w14:textId="77777777" w:rsidR="00F72EA1" w:rsidRPr="00BD1C03" w:rsidRDefault="00F72EA1" w:rsidP="00E605E2">
      <w:pPr>
        <w:pStyle w:val="bullets0"/>
      </w:pPr>
      <w:r w:rsidRPr="00BD1C03">
        <w:t>DFAT Humanitarian Strategy</w:t>
      </w:r>
    </w:p>
    <w:p w14:paraId="382945EE" w14:textId="77777777" w:rsidR="00F72EA1" w:rsidRPr="00BD1C03" w:rsidRDefault="00F72EA1" w:rsidP="00E605E2">
      <w:pPr>
        <w:pStyle w:val="bullets0"/>
      </w:pPr>
      <w:r w:rsidRPr="00BD1C03">
        <w:t xml:space="preserve">Protection in Humanitarian Action framework </w:t>
      </w:r>
    </w:p>
    <w:p w14:paraId="226C923B" w14:textId="77777777" w:rsidR="00F72EA1" w:rsidRPr="00BD1C03" w:rsidRDefault="00F72EA1" w:rsidP="00E605E2">
      <w:pPr>
        <w:pStyle w:val="bullets0"/>
      </w:pPr>
      <w:r w:rsidRPr="00BD1C03">
        <w:t>Foreign Policy White Paper</w:t>
      </w:r>
    </w:p>
    <w:p w14:paraId="3A32A1F3" w14:textId="77777777" w:rsidR="00F72EA1" w:rsidRPr="00BD1C03" w:rsidRDefault="00F72EA1" w:rsidP="00F72EA1">
      <w:pPr>
        <w:rPr>
          <w:i/>
        </w:rPr>
      </w:pPr>
      <w:r w:rsidRPr="00BD1C03">
        <w:rPr>
          <w:i/>
        </w:rPr>
        <w:t>Response level</w:t>
      </w:r>
    </w:p>
    <w:p w14:paraId="437BA9D0" w14:textId="77777777" w:rsidR="00F72EA1" w:rsidRPr="00BD1C03" w:rsidRDefault="00F72EA1" w:rsidP="00E605E2">
      <w:pPr>
        <w:pStyle w:val="bullets0"/>
      </w:pPr>
      <w:r w:rsidRPr="00BD1C03">
        <w:t>UN’s Iraq Humanitarian Response Plan</w:t>
      </w:r>
    </w:p>
    <w:p w14:paraId="7A2E75CA" w14:textId="77777777" w:rsidR="00F72EA1" w:rsidRPr="00BD1C03" w:rsidRDefault="00F72EA1" w:rsidP="00E605E2">
      <w:pPr>
        <w:pStyle w:val="bullets0"/>
      </w:pPr>
      <w:r w:rsidRPr="00BD1C03">
        <w:t>UN Development Program’s (UNDP) Funding Facility for Stabilisation</w:t>
      </w:r>
    </w:p>
    <w:p w14:paraId="6369AF6E" w14:textId="77777777" w:rsidR="00F72EA1" w:rsidRPr="00BD1C03" w:rsidRDefault="00F72EA1" w:rsidP="00E605E2">
      <w:pPr>
        <w:pStyle w:val="bullets0"/>
      </w:pPr>
      <w:r w:rsidRPr="00BD1C03">
        <w:t xml:space="preserve">Clusters/ Working Groups, notably protection, returns and AAP </w:t>
      </w:r>
    </w:p>
    <w:p w14:paraId="687C0246" w14:textId="77777777" w:rsidR="00F72EA1" w:rsidRPr="00BD1C03" w:rsidRDefault="00F72EA1" w:rsidP="00F72EA1">
      <w:pPr>
        <w:rPr>
          <w:i/>
        </w:rPr>
      </w:pPr>
      <w:r w:rsidRPr="00BD1C03">
        <w:rPr>
          <w:i/>
        </w:rPr>
        <w:t>Package level</w:t>
      </w:r>
    </w:p>
    <w:p w14:paraId="7870262C" w14:textId="77777777" w:rsidR="00F72EA1" w:rsidRPr="00BD1C03" w:rsidRDefault="00F72EA1" w:rsidP="00E605E2">
      <w:pPr>
        <w:pStyle w:val="bullets0"/>
      </w:pPr>
      <w:r w:rsidRPr="00BD1C03">
        <w:t>Iraq Humanitarian and Stabilisation Package – Investment Design</w:t>
      </w:r>
    </w:p>
    <w:p w14:paraId="017551A9" w14:textId="77777777" w:rsidR="00F72EA1" w:rsidRPr="00BD1C03" w:rsidRDefault="00F72EA1" w:rsidP="00E605E2">
      <w:pPr>
        <w:pStyle w:val="bullets0"/>
      </w:pPr>
      <w:r w:rsidRPr="00BD1C03">
        <w:t>Package M&amp;E Framework</w:t>
      </w:r>
    </w:p>
    <w:p w14:paraId="0CCA749F" w14:textId="77777777" w:rsidR="00F72EA1" w:rsidRPr="00BD1C03" w:rsidRDefault="00F72EA1" w:rsidP="00E605E2">
      <w:pPr>
        <w:pStyle w:val="bullets0"/>
      </w:pPr>
      <w:r w:rsidRPr="00BD1C03">
        <w:t>Package level reporting</w:t>
      </w:r>
    </w:p>
    <w:p w14:paraId="4DE8C264" w14:textId="77777777" w:rsidR="00F72EA1" w:rsidRPr="00BD1C03" w:rsidRDefault="00F72EA1" w:rsidP="00F72EA1">
      <w:pPr>
        <w:rPr>
          <w:i/>
        </w:rPr>
      </w:pPr>
      <w:r w:rsidRPr="00BD1C03">
        <w:rPr>
          <w:i/>
        </w:rPr>
        <w:t>Investment level</w:t>
      </w:r>
    </w:p>
    <w:p w14:paraId="7576585E" w14:textId="77777777" w:rsidR="00F72EA1" w:rsidRPr="00BD1C03" w:rsidRDefault="00F72EA1" w:rsidP="00E605E2">
      <w:pPr>
        <w:pStyle w:val="bullets0"/>
      </w:pPr>
      <w:r w:rsidRPr="00BD1C03">
        <w:t>Investment partner strategies</w:t>
      </w:r>
    </w:p>
    <w:p w14:paraId="5829152B" w14:textId="77777777" w:rsidR="00F72EA1" w:rsidRPr="00BD1C03" w:rsidRDefault="00F72EA1" w:rsidP="00E605E2">
      <w:pPr>
        <w:pStyle w:val="bullets0"/>
      </w:pPr>
      <w:r w:rsidRPr="00BD1C03">
        <w:t>Investment partner reporting</w:t>
      </w:r>
    </w:p>
    <w:p w14:paraId="3B1DF8C0" w14:textId="77777777" w:rsidR="00F72EA1" w:rsidRPr="00BD1C03" w:rsidRDefault="00F72EA1" w:rsidP="00747938">
      <w:pPr>
        <w:pStyle w:val="ListParagraph"/>
        <w:numPr>
          <w:ilvl w:val="0"/>
          <w:numId w:val="35"/>
        </w:numPr>
        <w:ind w:left="284" w:hanging="284"/>
      </w:pPr>
      <w:r w:rsidRPr="00BD1C03">
        <w:t>Preparation of an Evaluation Plan (this document)</w:t>
      </w:r>
    </w:p>
    <w:p w14:paraId="07DCA755" w14:textId="77777777" w:rsidR="00F72EA1" w:rsidRPr="00BD1C03" w:rsidRDefault="00F72EA1" w:rsidP="00747938">
      <w:pPr>
        <w:pStyle w:val="ListParagraph"/>
        <w:numPr>
          <w:ilvl w:val="0"/>
          <w:numId w:val="35"/>
        </w:numPr>
        <w:ind w:left="284" w:hanging="284"/>
      </w:pPr>
      <w:r w:rsidRPr="00BD1C03">
        <w:t>Key informant interviewing</w:t>
      </w:r>
    </w:p>
    <w:p w14:paraId="370C2998" w14:textId="77777777" w:rsidR="00F72EA1" w:rsidRPr="00BD1C03" w:rsidRDefault="00F72EA1" w:rsidP="00747938">
      <w:pPr>
        <w:pStyle w:val="ListParagraph"/>
        <w:numPr>
          <w:ilvl w:val="0"/>
          <w:numId w:val="35"/>
        </w:numPr>
        <w:ind w:left="284" w:hanging="284"/>
      </w:pPr>
      <w:r w:rsidRPr="00BD1C03">
        <w:t>Presentation of preliminary results</w:t>
      </w:r>
    </w:p>
    <w:p w14:paraId="68A46B28" w14:textId="77777777" w:rsidR="00F72EA1" w:rsidRPr="00BD1C03" w:rsidRDefault="00F72EA1" w:rsidP="00747938">
      <w:pPr>
        <w:pStyle w:val="ListParagraph"/>
        <w:numPr>
          <w:ilvl w:val="0"/>
          <w:numId w:val="35"/>
        </w:numPr>
        <w:ind w:left="284" w:hanging="284"/>
      </w:pPr>
      <w:r w:rsidRPr="00BD1C03">
        <w:t>Development of draft report</w:t>
      </w:r>
    </w:p>
    <w:p w14:paraId="06AFCD8E" w14:textId="77777777" w:rsidR="00F72EA1" w:rsidRPr="00BD1C03" w:rsidRDefault="00F72EA1" w:rsidP="00747938">
      <w:pPr>
        <w:pStyle w:val="ListParagraph"/>
        <w:numPr>
          <w:ilvl w:val="0"/>
          <w:numId w:val="35"/>
        </w:numPr>
        <w:ind w:left="284" w:hanging="284"/>
      </w:pPr>
      <w:r w:rsidRPr="00BD1C03">
        <w:t>Submission of final report</w:t>
      </w:r>
    </w:p>
    <w:p w14:paraId="216D62E8" w14:textId="77777777" w:rsidR="00F72EA1" w:rsidRPr="00BD1C03" w:rsidRDefault="00F72EA1" w:rsidP="00747938">
      <w:pPr>
        <w:pStyle w:val="ListParagraph"/>
        <w:numPr>
          <w:ilvl w:val="0"/>
          <w:numId w:val="35"/>
        </w:numPr>
        <w:ind w:left="284" w:hanging="284"/>
      </w:pPr>
      <w:r w:rsidRPr="00BD1C03">
        <w:t>Presentation of key findings</w:t>
      </w:r>
    </w:p>
    <w:p w14:paraId="75E9417A" w14:textId="77777777" w:rsidR="00F72EA1" w:rsidRPr="00BD1C03" w:rsidRDefault="00F72EA1" w:rsidP="00A25BD3">
      <w:pPr>
        <w:pStyle w:val="Heading3"/>
      </w:pPr>
      <w:r w:rsidRPr="00BD1C03">
        <w:t>Evaluation timeline</w:t>
      </w:r>
    </w:p>
    <w:p w14:paraId="1081D843" w14:textId="74734922" w:rsidR="00F72EA1" w:rsidRPr="00BD1C03" w:rsidRDefault="00F72EA1" w:rsidP="00F72EA1">
      <w:r w:rsidRPr="00BD1C03">
        <w:t xml:space="preserve">The evaluation will take place from February to April 2020. The key scheduling requirement is for the final report to be available at the end of April 2020 to assess the value of the program and inform a decision regarding possible program extension from July 2020. </w:t>
      </w:r>
    </w:p>
    <w:tbl>
      <w:tblPr>
        <w:tblStyle w:val="GridTable1Light-Accent31"/>
        <w:tblW w:w="9026" w:type="dxa"/>
        <w:tblLook w:val="04A0" w:firstRow="1" w:lastRow="0" w:firstColumn="1" w:lastColumn="0" w:noHBand="0" w:noVBand="1"/>
      </w:tblPr>
      <w:tblGrid>
        <w:gridCol w:w="5594"/>
        <w:gridCol w:w="1956"/>
        <w:gridCol w:w="1476"/>
      </w:tblGrid>
      <w:tr w:rsidR="00CD175C" w:rsidRPr="00BD1C03" w14:paraId="2573758B" w14:textId="77777777" w:rsidTr="005961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94" w:type="dxa"/>
            <w:tcBorders>
              <w:bottom w:val="single" w:sz="4" w:space="0" w:color="4F6228" w:themeColor="accent3" w:themeShade="80"/>
            </w:tcBorders>
          </w:tcPr>
          <w:p w14:paraId="66529C8F" w14:textId="77777777" w:rsidR="00CD175C" w:rsidRPr="0038210E" w:rsidRDefault="00CD175C" w:rsidP="00C86EF8">
            <w:pPr>
              <w:spacing w:before="120" w:after="120"/>
              <w:rPr>
                <w:b w:val="0"/>
                <w:bCs w:val="0"/>
                <w:sz w:val="32"/>
                <w:szCs w:val="32"/>
              </w:rPr>
            </w:pPr>
            <w:r w:rsidRPr="0038210E">
              <w:rPr>
                <w:b w:val="0"/>
                <w:bCs w:val="0"/>
                <w:sz w:val="32"/>
                <w:szCs w:val="32"/>
              </w:rPr>
              <w:t>Action</w:t>
            </w:r>
          </w:p>
        </w:tc>
        <w:tc>
          <w:tcPr>
            <w:tcW w:w="1956" w:type="dxa"/>
            <w:tcBorders>
              <w:bottom w:val="single" w:sz="4" w:space="0" w:color="4F6228" w:themeColor="accent3" w:themeShade="80"/>
            </w:tcBorders>
          </w:tcPr>
          <w:p w14:paraId="0A4CFB49" w14:textId="77777777" w:rsidR="00CD175C" w:rsidRPr="0038210E" w:rsidRDefault="00CD175C" w:rsidP="00C86EF8">
            <w:pPr>
              <w:spacing w:before="120" w:after="120"/>
              <w:cnfStyle w:val="100000000000" w:firstRow="1" w:lastRow="0" w:firstColumn="0" w:lastColumn="0" w:oddVBand="0" w:evenVBand="0" w:oddHBand="0" w:evenHBand="0" w:firstRowFirstColumn="0" w:firstRowLastColumn="0" w:lastRowFirstColumn="0" w:lastRowLastColumn="0"/>
              <w:rPr>
                <w:b w:val="0"/>
                <w:bCs w:val="0"/>
                <w:sz w:val="32"/>
                <w:szCs w:val="32"/>
              </w:rPr>
            </w:pPr>
            <w:r w:rsidRPr="0038210E">
              <w:rPr>
                <w:b w:val="0"/>
                <w:bCs w:val="0"/>
                <w:sz w:val="32"/>
                <w:szCs w:val="32"/>
              </w:rPr>
              <w:t>Approximate Days (total)</w:t>
            </w:r>
          </w:p>
        </w:tc>
        <w:tc>
          <w:tcPr>
            <w:tcW w:w="1476" w:type="dxa"/>
            <w:tcBorders>
              <w:bottom w:val="single" w:sz="4" w:space="0" w:color="4F6228" w:themeColor="accent3" w:themeShade="80"/>
            </w:tcBorders>
          </w:tcPr>
          <w:p w14:paraId="4650D11F" w14:textId="77777777" w:rsidR="00CD175C" w:rsidRPr="0038210E" w:rsidRDefault="00CD175C" w:rsidP="00C86EF8">
            <w:pPr>
              <w:spacing w:before="120" w:after="120"/>
              <w:cnfStyle w:val="100000000000" w:firstRow="1" w:lastRow="0" w:firstColumn="0" w:lastColumn="0" w:oddVBand="0" w:evenVBand="0" w:oddHBand="0" w:evenHBand="0" w:firstRowFirstColumn="0" w:firstRowLastColumn="0" w:lastRowFirstColumn="0" w:lastRowLastColumn="0"/>
              <w:rPr>
                <w:b w:val="0"/>
                <w:bCs w:val="0"/>
                <w:sz w:val="32"/>
                <w:szCs w:val="32"/>
              </w:rPr>
            </w:pPr>
            <w:r w:rsidRPr="0038210E">
              <w:rPr>
                <w:b w:val="0"/>
                <w:bCs w:val="0"/>
                <w:sz w:val="32"/>
                <w:szCs w:val="32"/>
              </w:rPr>
              <w:t>Deadline</w:t>
            </w:r>
          </w:p>
        </w:tc>
      </w:tr>
      <w:tr w:rsidR="00CD175C" w:rsidRPr="00BD1C03" w14:paraId="6778066A" w14:textId="77777777" w:rsidTr="00912630">
        <w:tc>
          <w:tcPr>
            <w:cnfStyle w:val="001000000000" w:firstRow="0" w:lastRow="0" w:firstColumn="1" w:lastColumn="0" w:oddVBand="0" w:evenVBand="0" w:oddHBand="0" w:evenHBand="0" w:firstRowFirstColumn="0" w:firstRowLastColumn="0" w:lastRowFirstColumn="0" w:lastRowLastColumn="0"/>
            <w:tcW w:w="5594" w:type="dxa"/>
          </w:tcPr>
          <w:p w14:paraId="597122D2" w14:textId="77777777" w:rsidR="00CD175C" w:rsidRPr="0038210E" w:rsidRDefault="00CD175C" w:rsidP="00C86EF8">
            <w:pPr>
              <w:spacing w:before="120" w:after="120"/>
              <w:rPr>
                <w:b w:val="0"/>
              </w:rPr>
            </w:pPr>
            <w:r w:rsidRPr="0038210E">
              <w:rPr>
                <w:b w:val="0"/>
              </w:rPr>
              <w:t>Preparation of review plan</w:t>
            </w:r>
          </w:p>
        </w:tc>
        <w:tc>
          <w:tcPr>
            <w:tcW w:w="1956" w:type="dxa"/>
          </w:tcPr>
          <w:p w14:paraId="6451BD82" w14:textId="77777777" w:rsidR="00CD175C" w:rsidRPr="00BD1C03" w:rsidRDefault="00CD175C" w:rsidP="00C86EF8">
            <w:pPr>
              <w:spacing w:before="120" w:after="120"/>
              <w:jc w:val="center"/>
              <w:cnfStyle w:val="000000000000" w:firstRow="0" w:lastRow="0" w:firstColumn="0" w:lastColumn="0" w:oddVBand="0" w:evenVBand="0" w:oddHBand="0" w:evenHBand="0" w:firstRowFirstColumn="0" w:firstRowLastColumn="0" w:lastRowFirstColumn="0" w:lastRowLastColumn="0"/>
            </w:pPr>
            <w:r w:rsidRPr="00BD1C03">
              <w:t>6</w:t>
            </w:r>
          </w:p>
        </w:tc>
        <w:tc>
          <w:tcPr>
            <w:tcW w:w="1476" w:type="dxa"/>
          </w:tcPr>
          <w:p w14:paraId="2EE021A8" w14:textId="77777777" w:rsidR="00CD175C" w:rsidRPr="00BD1C03" w:rsidRDefault="00CD175C" w:rsidP="00C86EF8">
            <w:pPr>
              <w:spacing w:before="120" w:after="120"/>
              <w:jc w:val="center"/>
              <w:cnfStyle w:val="000000000000" w:firstRow="0" w:lastRow="0" w:firstColumn="0" w:lastColumn="0" w:oddVBand="0" w:evenVBand="0" w:oddHBand="0" w:evenHBand="0" w:firstRowFirstColumn="0" w:firstRowLastColumn="0" w:lastRowFirstColumn="0" w:lastRowLastColumn="0"/>
            </w:pPr>
            <w:r w:rsidRPr="00BD1C03">
              <w:t>9 March</w:t>
            </w:r>
          </w:p>
        </w:tc>
      </w:tr>
      <w:tr w:rsidR="00CD175C" w:rsidRPr="00BD1C03" w14:paraId="179AE24F" w14:textId="77777777" w:rsidTr="00912630">
        <w:tc>
          <w:tcPr>
            <w:cnfStyle w:val="001000000000" w:firstRow="0" w:lastRow="0" w:firstColumn="1" w:lastColumn="0" w:oddVBand="0" w:evenVBand="0" w:oddHBand="0" w:evenHBand="0" w:firstRowFirstColumn="0" w:firstRowLastColumn="0" w:lastRowFirstColumn="0" w:lastRowLastColumn="0"/>
            <w:tcW w:w="5594" w:type="dxa"/>
          </w:tcPr>
          <w:p w14:paraId="029B0F4A" w14:textId="77777777" w:rsidR="00CD175C" w:rsidRPr="0038210E" w:rsidRDefault="00CD175C" w:rsidP="00C86EF8">
            <w:pPr>
              <w:spacing w:before="120" w:after="120"/>
              <w:rPr>
                <w:b w:val="0"/>
              </w:rPr>
            </w:pPr>
            <w:r w:rsidRPr="0038210E">
              <w:rPr>
                <w:b w:val="0"/>
              </w:rPr>
              <w:t xml:space="preserve">A desk review of background documents </w:t>
            </w:r>
          </w:p>
        </w:tc>
        <w:tc>
          <w:tcPr>
            <w:tcW w:w="1956" w:type="dxa"/>
          </w:tcPr>
          <w:p w14:paraId="11A64A40" w14:textId="77777777" w:rsidR="00CD175C" w:rsidRPr="00BD1C03" w:rsidRDefault="00CD175C" w:rsidP="00C86EF8">
            <w:pPr>
              <w:spacing w:before="120" w:after="120"/>
              <w:jc w:val="center"/>
              <w:cnfStyle w:val="000000000000" w:firstRow="0" w:lastRow="0" w:firstColumn="0" w:lastColumn="0" w:oddVBand="0" w:evenVBand="0" w:oddHBand="0" w:evenHBand="0" w:firstRowFirstColumn="0" w:firstRowLastColumn="0" w:lastRowFirstColumn="0" w:lastRowLastColumn="0"/>
            </w:pPr>
            <w:r w:rsidRPr="00BD1C03">
              <w:t>10</w:t>
            </w:r>
          </w:p>
        </w:tc>
        <w:tc>
          <w:tcPr>
            <w:tcW w:w="1476" w:type="dxa"/>
          </w:tcPr>
          <w:p w14:paraId="337B2DDA" w14:textId="77777777" w:rsidR="00CD175C" w:rsidRPr="00BD1C03" w:rsidRDefault="00CD175C" w:rsidP="00C86EF8">
            <w:pPr>
              <w:spacing w:before="120" w:after="120"/>
              <w:jc w:val="center"/>
              <w:cnfStyle w:val="000000000000" w:firstRow="0" w:lastRow="0" w:firstColumn="0" w:lastColumn="0" w:oddVBand="0" w:evenVBand="0" w:oddHBand="0" w:evenHBand="0" w:firstRowFirstColumn="0" w:firstRowLastColumn="0" w:lastRowFirstColumn="0" w:lastRowLastColumn="0"/>
            </w:pPr>
            <w:r w:rsidRPr="00BD1C03">
              <w:t>20 March</w:t>
            </w:r>
          </w:p>
        </w:tc>
      </w:tr>
      <w:tr w:rsidR="00CD175C" w:rsidRPr="00BD1C03" w14:paraId="4C892714" w14:textId="77777777" w:rsidTr="00912630">
        <w:tc>
          <w:tcPr>
            <w:cnfStyle w:val="001000000000" w:firstRow="0" w:lastRow="0" w:firstColumn="1" w:lastColumn="0" w:oddVBand="0" w:evenVBand="0" w:oddHBand="0" w:evenHBand="0" w:firstRowFirstColumn="0" w:firstRowLastColumn="0" w:lastRowFirstColumn="0" w:lastRowLastColumn="0"/>
            <w:tcW w:w="5594" w:type="dxa"/>
          </w:tcPr>
          <w:p w14:paraId="2BE8A992" w14:textId="77777777" w:rsidR="00CD175C" w:rsidRPr="0038210E" w:rsidRDefault="00CD175C" w:rsidP="00C86EF8">
            <w:pPr>
              <w:spacing w:before="120" w:after="120"/>
              <w:rPr>
                <w:b w:val="0"/>
              </w:rPr>
            </w:pPr>
            <w:r w:rsidRPr="0038210E">
              <w:rPr>
                <w:b w:val="0"/>
              </w:rPr>
              <w:t xml:space="preserve">Key informant interviews with stakeholders </w:t>
            </w:r>
          </w:p>
        </w:tc>
        <w:tc>
          <w:tcPr>
            <w:tcW w:w="1956" w:type="dxa"/>
          </w:tcPr>
          <w:p w14:paraId="17BE1AB6" w14:textId="77777777" w:rsidR="00CD175C" w:rsidRPr="00BD1C03" w:rsidRDefault="00CD175C" w:rsidP="00C86EF8">
            <w:pPr>
              <w:spacing w:before="120" w:after="120"/>
              <w:jc w:val="center"/>
              <w:cnfStyle w:val="000000000000" w:firstRow="0" w:lastRow="0" w:firstColumn="0" w:lastColumn="0" w:oddVBand="0" w:evenVBand="0" w:oddHBand="0" w:evenHBand="0" w:firstRowFirstColumn="0" w:firstRowLastColumn="0" w:lastRowFirstColumn="0" w:lastRowLastColumn="0"/>
            </w:pPr>
            <w:r w:rsidRPr="00BD1C03">
              <w:t>8</w:t>
            </w:r>
          </w:p>
        </w:tc>
        <w:tc>
          <w:tcPr>
            <w:tcW w:w="1476" w:type="dxa"/>
          </w:tcPr>
          <w:p w14:paraId="73137555" w14:textId="77777777" w:rsidR="00CD175C" w:rsidRPr="00BD1C03" w:rsidRDefault="00CD175C" w:rsidP="00C86EF8">
            <w:pPr>
              <w:spacing w:before="120" w:after="120"/>
              <w:jc w:val="center"/>
              <w:cnfStyle w:val="000000000000" w:firstRow="0" w:lastRow="0" w:firstColumn="0" w:lastColumn="0" w:oddVBand="0" w:evenVBand="0" w:oddHBand="0" w:evenHBand="0" w:firstRowFirstColumn="0" w:firstRowLastColumn="0" w:lastRowFirstColumn="0" w:lastRowLastColumn="0"/>
            </w:pPr>
            <w:r w:rsidRPr="00BD1C03">
              <w:t>27 March</w:t>
            </w:r>
          </w:p>
        </w:tc>
      </w:tr>
      <w:tr w:rsidR="00CD175C" w:rsidRPr="00BD1C03" w14:paraId="26982A90" w14:textId="77777777" w:rsidTr="00912630">
        <w:tc>
          <w:tcPr>
            <w:cnfStyle w:val="001000000000" w:firstRow="0" w:lastRow="0" w:firstColumn="1" w:lastColumn="0" w:oddVBand="0" w:evenVBand="0" w:oddHBand="0" w:evenHBand="0" w:firstRowFirstColumn="0" w:firstRowLastColumn="0" w:lastRowFirstColumn="0" w:lastRowLastColumn="0"/>
            <w:tcW w:w="5594" w:type="dxa"/>
          </w:tcPr>
          <w:p w14:paraId="44AD0501" w14:textId="77777777" w:rsidR="00CD175C" w:rsidRPr="0038210E" w:rsidRDefault="00CD175C" w:rsidP="00C86EF8">
            <w:pPr>
              <w:spacing w:before="120" w:after="120"/>
              <w:rPr>
                <w:b w:val="0"/>
              </w:rPr>
            </w:pPr>
            <w:r w:rsidRPr="0038210E">
              <w:rPr>
                <w:b w:val="0"/>
              </w:rPr>
              <w:t xml:space="preserve">Presentation of preliminary findings </w:t>
            </w:r>
          </w:p>
        </w:tc>
        <w:tc>
          <w:tcPr>
            <w:tcW w:w="1956" w:type="dxa"/>
          </w:tcPr>
          <w:p w14:paraId="3CA5CFEE" w14:textId="77777777" w:rsidR="00CD175C" w:rsidRPr="00BD1C03" w:rsidRDefault="00CD175C" w:rsidP="00C86EF8">
            <w:pPr>
              <w:spacing w:before="120" w:after="120"/>
              <w:jc w:val="center"/>
              <w:cnfStyle w:val="000000000000" w:firstRow="0" w:lastRow="0" w:firstColumn="0" w:lastColumn="0" w:oddVBand="0" w:evenVBand="0" w:oddHBand="0" w:evenHBand="0" w:firstRowFirstColumn="0" w:firstRowLastColumn="0" w:lastRowFirstColumn="0" w:lastRowLastColumn="0"/>
            </w:pPr>
            <w:r w:rsidRPr="00BD1C03">
              <w:t>2</w:t>
            </w:r>
          </w:p>
        </w:tc>
        <w:tc>
          <w:tcPr>
            <w:tcW w:w="1476" w:type="dxa"/>
          </w:tcPr>
          <w:p w14:paraId="4026ABC3" w14:textId="77777777" w:rsidR="00CD175C" w:rsidRPr="00BD1C03" w:rsidRDefault="00CD175C" w:rsidP="00C86EF8">
            <w:pPr>
              <w:spacing w:before="120" w:after="120"/>
              <w:jc w:val="center"/>
              <w:cnfStyle w:val="000000000000" w:firstRow="0" w:lastRow="0" w:firstColumn="0" w:lastColumn="0" w:oddVBand="0" w:evenVBand="0" w:oddHBand="0" w:evenHBand="0" w:firstRowFirstColumn="0" w:firstRowLastColumn="0" w:lastRowFirstColumn="0" w:lastRowLastColumn="0"/>
            </w:pPr>
            <w:r w:rsidRPr="00BD1C03">
              <w:t>2 April</w:t>
            </w:r>
          </w:p>
        </w:tc>
      </w:tr>
      <w:tr w:rsidR="00CD175C" w:rsidRPr="00BD1C03" w14:paraId="45A1F3B3" w14:textId="77777777" w:rsidTr="00912630">
        <w:tc>
          <w:tcPr>
            <w:cnfStyle w:val="001000000000" w:firstRow="0" w:lastRow="0" w:firstColumn="1" w:lastColumn="0" w:oddVBand="0" w:evenVBand="0" w:oddHBand="0" w:evenHBand="0" w:firstRowFirstColumn="0" w:firstRowLastColumn="0" w:lastRowFirstColumn="0" w:lastRowLastColumn="0"/>
            <w:tcW w:w="5594" w:type="dxa"/>
          </w:tcPr>
          <w:p w14:paraId="36A59E2B" w14:textId="77777777" w:rsidR="00CD175C" w:rsidRPr="0038210E" w:rsidRDefault="00CD175C" w:rsidP="00C86EF8">
            <w:pPr>
              <w:spacing w:before="120" w:after="120"/>
              <w:rPr>
                <w:b w:val="0"/>
              </w:rPr>
            </w:pPr>
            <w:r w:rsidRPr="0038210E">
              <w:rPr>
                <w:b w:val="0"/>
              </w:rPr>
              <w:t xml:space="preserve">Development of draft report </w:t>
            </w:r>
          </w:p>
        </w:tc>
        <w:tc>
          <w:tcPr>
            <w:tcW w:w="1956" w:type="dxa"/>
          </w:tcPr>
          <w:p w14:paraId="0AB1B8E2" w14:textId="77777777" w:rsidR="00CD175C" w:rsidRPr="00BD1C03" w:rsidRDefault="00CD175C" w:rsidP="00C86EF8">
            <w:pPr>
              <w:spacing w:before="120" w:after="120"/>
              <w:jc w:val="center"/>
              <w:cnfStyle w:val="000000000000" w:firstRow="0" w:lastRow="0" w:firstColumn="0" w:lastColumn="0" w:oddVBand="0" w:evenVBand="0" w:oddHBand="0" w:evenHBand="0" w:firstRowFirstColumn="0" w:firstRowLastColumn="0" w:lastRowFirstColumn="0" w:lastRowLastColumn="0"/>
            </w:pPr>
            <w:r w:rsidRPr="00BD1C03">
              <w:t>10</w:t>
            </w:r>
          </w:p>
        </w:tc>
        <w:tc>
          <w:tcPr>
            <w:tcW w:w="1476" w:type="dxa"/>
          </w:tcPr>
          <w:p w14:paraId="5F0E60BC" w14:textId="77777777" w:rsidR="00CD175C" w:rsidRPr="00BD1C03" w:rsidRDefault="00CD175C" w:rsidP="00C86EF8">
            <w:pPr>
              <w:spacing w:before="120" w:after="120"/>
              <w:jc w:val="center"/>
              <w:cnfStyle w:val="000000000000" w:firstRow="0" w:lastRow="0" w:firstColumn="0" w:lastColumn="0" w:oddVBand="0" w:evenVBand="0" w:oddHBand="0" w:evenHBand="0" w:firstRowFirstColumn="0" w:firstRowLastColumn="0" w:lastRowFirstColumn="0" w:lastRowLastColumn="0"/>
            </w:pPr>
            <w:r w:rsidRPr="00BD1C03">
              <w:t>8 April</w:t>
            </w:r>
          </w:p>
        </w:tc>
      </w:tr>
      <w:tr w:rsidR="00CD175C" w:rsidRPr="00BD1C03" w14:paraId="6AB74BCD" w14:textId="77777777" w:rsidTr="00912630">
        <w:tc>
          <w:tcPr>
            <w:cnfStyle w:val="001000000000" w:firstRow="0" w:lastRow="0" w:firstColumn="1" w:lastColumn="0" w:oddVBand="0" w:evenVBand="0" w:oddHBand="0" w:evenHBand="0" w:firstRowFirstColumn="0" w:firstRowLastColumn="0" w:lastRowFirstColumn="0" w:lastRowLastColumn="0"/>
            <w:tcW w:w="5594" w:type="dxa"/>
          </w:tcPr>
          <w:p w14:paraId="710EE6FA" w14:textId="77777777" w:rsidR="00CD175C" w:rsidRPr="0038210E" w:rsidRDefault="00CD175C" w:rsidP="00C86EF8">
            <w:pPr>
              <w:spacing w:before="120" w:after="120"/>
              <w:rPr>
                <w:b w:val="0"/>
              </w:rPr>
            </w:pPr>
            <w:r w:rsidRPr="0038210E">
              <w:rPr>
                <w:b w:val="0"/>
              </w:rPr>
              <w:t>Submission of the final report</w:t>
            </w:r>
          </w:p>
        </w:tc>
        <w:tc>
          <w:tcPr>
            <w:tcW w:w="1956" w:type="dxa"/>
          </w:tcPr>
          <w:p w14:paraId="63BFF390" w14:textId="77777777" w:rsidR="00CD175C" w:rsidRPr="00BD1C03" w:rsidRDefault="00CD175C" w:rsidP="00C86EF8">
            <w:pPr>
              <w:spacing w:before="120" w:after="120"/>
              <w:jc w:val="center"/>
              <w:cnfStyle w:val="000000000000" w:firstRow="0" w:lastRow="0" w:firstColumn="0" w:lastColumn="0" w:oddVBand="0" w:evenVBand="0" w:oddHBand="0" w:evenHBand="0" w:firstRowFirstColumn="0" w:firstRowLastColumn="0" w:lastRowFirstColumn="0" w:lastRowLastColumn="0"/>
            </w:pPr>
            <w:r w:rsidRPr="00BD1C03">
              <w:t>7</w:t>
            </w:r>
          </w:p>
        </w:tc>
        <w:tc>
          <w:tcPr>
            <w:tcW w:w="1476" w:type="dxa"/>
          </w:tcPr>
          <w:p w14:paraId="55EFC722" w14:textId="77777777" w:rsidR="00CD175C" w:rsidRPr="00BD1C03" w:rsidRDefault="00CD175C" w:rsidP="00C86EF8">
            <w:pPr>
              <w:spacing w:before="120" w:after="120"/>
              <w:jc w:val="center"/>
              <w:cnfStyle w:val="000000000000" w:firstRow="0" w:lastRow="0" w:firstColumn="0" w:lastColumn="0" w:oddVBand="0" w:evenVBand="0" w:oddHBand="0" w:evenHBand="0" w:firstRowFirstColumn="0" w:firstRowLastColumn="0" w:lastRowFirstColumn="0" w:lastRowLastColumn="0"/>
            </w:pPr>
            <w:r w:rsidRPr="00BD1C03">
              <w:t>20 April</w:t>
            </w:r>
          </w:p>
        </w:tc>
      </w:tr>
      <w:tr w:rsidR="00CD175C" w:rsidRPr="00BD1C03" w14:paraId="5CB007A8" w14:textId="77777777" w:rsidTr="00912630">
        <w:tc>
          <w:tcPr>
            <w:cnfStyle w:val="001000000000" w:firstRow="0" w:lastRow="0" w:firstColumn="1" w:lastColumn="0" w:oddVBand="0" w:evenVBand="0" w:oddHBand="0" w:evenHBand="0" w:firstRowFirstColumn="0" w:firstRowLastColumn="0" w:lastRowFirstColumn="0" w:lastRowLastColumn="0"/>
            <w:tcW w:w="5594" w:type="dxa"/>
          </w:tcPr>
          <w:p w14:paraId="14E3D942" w14:textId="77777777" w:rsidR="00CD175C" w:rsidRPr="0038210E" w:rsidRDefault="00CD175C" w:rsidP="00C86EF8">
            <w:pPr>
              <w:spacing w:before="120" w:after="120"/>
              <w:rPr>
                <w:b w:val="0"/>
              </w:rPr>
            </w:pPr>
            <w:r w:rsidRPr="0038210E">
              <w:rPr>
                <w:b w:val="0"/>
              </w:rPr>
              <w:t>Presentation of final key findings</w:t>
            </w:r>
          </w:p>
        </w:tc>
        <w:tc>
          <w:tcPr>
            <w:tcW w:w="1956" w:type="dxa"/>
          </w:tcPr>
          <w:p w14:paraId="04126E08" w14:textId="77777777" w:rsidR="00CD175C" w:rsidRPr="00BD1C03" w:rsidRDefault="00CD175C" w:rsidP="00C86EF8">
            <w:pPr>
              <w:spacing w:before="120" w:after="120"/>
              <w:jc w:val="center"/>
              <w:cnfStyle w:val="000000000000" w:firstRow="0" w:lastRow="0" w:firstColumn="0" w:lastColumn="0" w:oddVBand="0" w:evenVBand="0" w:oddHBand="0" w:evenHBand="0" w:firstRowFirstColumn="0" w:firstRowLastColumn="0" w:lastRowFirstColumn="0" w:lastRowLastColumn="0"/>
            </w:pPr>
            <w:r w:rsidRPr="00BD1C03">
              <w:t>2</w:t>
            </w:r>
          </w:p>
        </w:tc>
        <w:tc>
          <w:tcPr>
            <w:tcW w:w="1476" w:type="dxa"/>
          </w:tcPr>
          <w:p w14:paraId="5213CD19" w14:textId="77777777" w:rsidR="00CD175C" w:rsidRPr="00BD1C03" w:rsidRDefault="00CD175C" w:rsidP="00C86EF8">
            <w:pPr>
              <w:spacing w:before="120" w:after="120"/>
              <w:jc w:val="center"/>
              <w:cnfStyle w:val="000000000000" w:firstRow="0" w:lastRow="0" w:firstColumn="0" w:lastColumn="0" w:oddVBand="0" w:evenVBand="0" w:oddHBand="0" w:evenHBand="0" w:firstRowFirstColumn="0" w:firstRowLastColumn="0" w:lastRowFirstColumn="0" w:lastRowLastColumn="0"/>
            </w:pPr>
            <w:r w:rsidRPr="00BD1C03">
              <w:t>As agreed</w:t>
            </w:r>
          </w:p>
        </w:tc>
      </w:tr>
      <w:tr w:rsidR="00CD175C" w:rsidRPr="00BD1C03" w14:paraId="6AB5A2D1" w14:textId="77777777" w:rsidTr="00912630">
        <w:tc>
          <w:tcPr>
            <w:cnfStyle w:val="001000000000" w:firstRow="0" w:lastRow="0" w:firstColumn="1" w:lastColumn="0" w:oddVBand="0" w:evenVBand="0" w:oddHBand="0" w:evenHBand="0" w:firstRowFirstColumn="0" w:firstRowLastColumn="0" w:lastRowFirstColumn="0" w:lastRowLastColumn="0"/>
            <w:tcW w:w="5594" w:type="dxa"/>
          </w:tcPr>
          <w:p w14:paraId="68228E1F" w14:textId="77777777" w:rsidR="00CD175C" w:rsidRPr="00912630" w:rsidRDefault="00CD175C" w:rsidP="00C86EF8">
            <w:pPr>
              <w:pStyle w:val="BodyText"/>
              <w:spacing w:after="120"/>
              <w:rPr>
                <w:rFonts w:cstheme="minorHAnsi"/>
                <w:color w:val="4F6228" w:themeColor="accent3" w:themeShade="80"/>
              </w:rPr>
            </w:pPr>
            <w:r w:rsidRPr="00912630">
              <w:rPr>
                <w:rFonts w:asciiTheme="majorHAnsi" w:hAnsiTheme="majorHAnsi"/>
                <w:color w:val="4F6228" w:themeColor="accent3" w:themeShade="80"/>
              </w:rPr>
              <w:t>TOTAL</w:t>
            </w:r>
          </w:p>
        </w:tc>
        <w:tc>
          <w:tcPr>
            <w:tcW w:w="1956" w:type="dxa"/>
          </w:tcPr>
          <w:p w14:paraId="10B33027" w14:textId="77777777" w:rsidR="00CD175C" w:rsidRPr="00912630" w:rsidRDefault="00CD175C" w:rsidP="00C86EF8">
            <w:pPr>
              <w:pStyle w:val="BodyText"/>
              <w:spacing w:after="120"/>
              <w:jc w:val="center"/>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912630">
              <w:rPr>
                <w:rFonts w:asciiTheme="majorHAnsi" w:hAnsiTheme="majorHAnsi"/>
                <w:b/>
                <w:bCs/>
                <w:color w:val="4F6228" w:themeColor="accent3" w:themeShade="80"/>
              </w:rPr>
              <w:t>44</w:t>
            </w:r>
          </w:p>
        </w:tc>
        <w:tc>
          <w:tcPr>
            <w:tcW w:w="1476" w:type="dxa"/>
          </w:tcPr>
          <w:p w14:paraId="454B096E" w14:textId="77777777" w:rsidR="00CD175C" w:rsidRPr="00BD1C03" w:rsidRDefault="00CD175C" w:rsidP="00C86EF8">
            <w:pPr>
              <w:spacing w:before="120" w:after="120"/>
              <w:jc w:val="center"/>
              <w:cnfStyle w:val="000000000000" w:firstRow="0" w:lastRow="0" w:firstColumn="0" w:lastColumn="0" w:oddVBand="0" w:evenVBand="0" w:oddHBand="0" w:evenHBand="0" w:firstRowFirstColumn="0" w:firstRowLastColumn="0" w:lastRowFirstColumn="0" w:lastRowLastColumn="0"/>
            </w:pPr>
          </w:p>
        </w:tc>
      </w:tr>
    </w:tbl>
    <w:p w14:paraId="05C99278" w14:textId="77777777" w:rsidR="00CD175C" w:rsidRPr="00BD1C03" w:rsidRDefault="00CD175C" w:rsidP="00F72EA1"/>
    <w:p w14:paraId="1088AE47" w14:textId="5F5ABA42" w:rsidR="00CD175C" w:rsidRPr="00BD1C03" w:rsidRDefault="00CD175C">
      <w:pPr>
        <w:spacing w:after="0"/>
      </w:pPr>
      <w:r w:rsidRPr="00BD1C03">
        <w:br w:type="page"/>
      </w:r>
    </w:p>
    <w:p w14:paraId="1569FE57" w14:textId="77777777" w:rsidR="00CD175C" w:rsidRPr="00BD1C03" w:rsidRDefault="00CD175C" w:rsidP="00B13F20">
      <w:pPr>
        <w:pStyle w:val="Heading2"/>
      </w:pPr>
      <w:r w:rsidRPr="00BD1C03">
        <w:t>Interviewing of key stakeholders</w:t>
      </w:r>
    </w:p>
    <w:p w14:paraId="1E4F15F7" w14:textId="482EAB86" w:rsidR="00CD175C" w:rsidRPr="00BD1C03" w:rsidRDefault="00CD175C" w:rsidP="00CD175C">
      <w:r w:rsidRPr="00BD1C03">
        <w:t xml:space="preserve">An interview guide has been drafted based on Analytical Framework and can be found at </w:t>
      </w:r>
      <w:r w:rsidR="000C03CE">
        <w:t>below</w:t>
      </w:r>
      <w:r w:rsidRPr="00BD1C03">
        <w:t>. It is anticipated a minimum of 20 key informant interviews will be undertaken, drawing on the indicative list of interviewees provided below:</w:t>
      </w:r>
    </w:p>
    <w:p w14:paraId="3A1FB5CF" w14:textId="77777777" w:rsidR="00CD175C" w:rsidRPr="00BD1C03" w:rsidRDefault="00CD175C" w:rsidP="001D2CE7">
      <w:pPr>
        <w:pStyle w:val="Enfasi"/>
      </w:pPr>
      <w:r w:rsidRPr="00BD1C03">
        <w:t>In Australia</w:t>
      </w:r>
    </w:p>
    <w:p w14:paraId="6D8EA61B" w14:textId="77777777" w:rsidR="00CD175C" w:rsidRPr="00BD1C03" w:rsidRDefault="00CD175C" w:rsidP="00CD175C">
      <w:r w:rsidRPr="00BD1C03">
        <w:t>DFAT Canberra</w:t>
      </w:r>
    </w:p>
    <w:p w14:paraId="148746D5" w14:textId="77777777" w:rsidR="00CD175C" w:rsidRPr="00BD1C03" w:rsidRDefault="00CD175C" w:rsidP="00CD175C">
      <w:pPr>
        <w:pStyle w:val="bullets0"/>
      </w:pPr>
      <w:r w:rsidRPr="00BD1C03">
        <w:t>Save the Children, Humanity and Inclusion &amp; Care</w:t>
      </w:r>
    </w:p>
    <w:p w14:paraId="24B517F2" w14:textId="77777777" w:rsidR="00CD175C" w:rsidRPr="00BD1C03" w:rsidRDefault="00CD175C" w:rsidP="00CD175C">
      <w:pPr>
        <w:pStyle w:val="bullets0"/>
      </w:pPr>
      <w:r w:rsidRPr="00BD1C03">
        <w:t>Australian Humanitarian Partnership Support Unit</w:t>
      </w:r>
    </w:p>
    <w:p w14:paraId="52646C17" w14:textId="77777777" w:rsidR="00CD175C" w:rsidRPr="00BD1C03" w:rsidRDefault="00CD175C" w:rsidP="00CD175C">
      <w:pPr>
        <w:pStyle w:val="bullets0"/>
      </w:pPr>
      <w:r w:rsidRPr="00BD1C03">
        <w:t>Humanitarian Advisory Group</w:t>
      </w:r>
    </w:p>
    <w:p w14:paraId="71938BA3" w14:textId="77777777" w:rsidR="00CD175C" w:rsidRPr="00BD1C03" w:rsidRDefault="00CD175C" w:rsidP="001D2CE7">
      <w:pPr>
        <w:pStyle w:val="Enfasi"/>
      </w:pPr>
      <w:r w:rsidRPr="00BD1C03">
        <w:t>In Iraq</w:t>
      </w:r>
    </w:p>
    <w:p w14:paraId="4460F1E3" w14:textId="77777777" w:rsidR="00CD175C" w:rsidRPr="00BD1C03" w:rsidRDefault="00CD175C" w:rsidP="00CD175C">
      <w:pPr>
        <w:pStyle w:val="bullets0"/>
      </w:pPr>
      <w:r w:rsidRPr="00BD1C03">
        <w:t>UN package partners (UNDP, IOM, UNMAS, UNICEF, UNFPA, UNICEF)</w:t>
      </w:r>
    </w:p>
    <w:p w14:paraId="562C6D1A" w14:textId="77777777" w:rsidR="00CD175C" w:rsidRPr="00BD1C03" w:rsidRDefault="00CD175C" w:rsidP="00CD175C">
      <w:pPr>
        <w:pStyle w:val="bullets0"/>
      </w:pPr>
      <w:r w:rsidRPr="00BD1C03">
        <w:t xml:space="preserve">DFAT post in Iraq (Humanitarian Advisors, Deputy </w:t>
      </w:r>
      <w:proofErr w:type="spellStart"/>
      <w:r w:rsidRPr="00BD1C03">
        <w:t>HoM</w:t>
      </w:r>
      <w:proofErr w:type="spellEnd"/>
      <w:r w:rsidRPr="00BD1C03">
        <w:t>)</w:t>
      </w:r>
    </w:p>
    <w:p w14:paraId="01625DE8" w14:textId="72D5C8FC" w:rsidR="00CD175C" w:rsidRPr="00BD1C03" w:rsidRDefault="00CD175C" w:rsidP="00CD175C">
      <w:pPr>
        <w:pStyle w:val="bullets0"/>
      </w:pPr>
      <w:r w:rsidRPr="00BD1C03">
        <w:t>NGO package partners (Sa</w:t>
      </w:r>
      <w:r w:rsidR="00D8380E">
        <w:t>ve, Humanity and Inclusion, CARE</w:t>
      </w:r>
      <w:r w:rsidRPr="00BD1C03">
        <w:t xml:space="preserve"> &amp; NRC)</w:t>
      </w:r>
    </w:p>
    <w:p w14:paraId="35B9507E" w14:textId="77777777" w:rsidR="00CD175C" w:rsidRPr="00BD1C03" w:rsidRDefault="00CD175C" w:rsidP="00CD175C">
      <w:pPr>
        <w:pStyle w:val="bullets0"/>
      </w:pPr>
      <w:r w:rsidRPr="00BD1C03">
        <w:t>ICRC</w:t>
      </w:r>
    </w:p>
    <w:p w14:paraId="2151C8FE" w14:textId="77777777" w:rsidR="00CD175C" w:rsidRPr="00BD1C03" w:rsidRDefault="00CD175C" w:rsidP="00CD175C">
      <w:pPr>
        <w:pStyle w:val="bullets0"/>
      </w:pPr>
      <w:r w:rsidRPr="00BD1C03">
        <w:t>OCHA</w:t>
      </w:r>
    </w:p>
    <w:p w14:paraId="599887B2" w14:textId="77777777" w:rsidR="00CD175C" w:rsidRPr="00BD1C03" w:rsidRDefault="00CD175C" w:rsidP="00CD175C">
      <w:pPr>
        <w:pStyle w:val="bullets0"/>
      </w:pPr>
      <w:r w:rsidRPr="00BD1C03">
        <w:t>National Protection Cluster (Incl. UNHCR)</w:t>
      </w:r>
    </w:p>
    <w:p w14:paraId="4B9AA62F" w14:textId="77777777" w:rsidR="00CD175C" w:rsidRPr="00BD1C03" w:rsidRDefault="00CD175C" w:rsidP="00CD175C">
      <w:pPr>
        <w:pStyle w:val="bullets0"/>
      </w:pPr>
      <w:r w:rsidRPr="00BD1C03">
        <w:t>Returns and AAP Working Groups</w:t>
      </w:r>
    </w:p>
    <w:p w14:paraId="06E62FD8" w14:textId="77777777" w:rsidR="00CD175C" w:rsidRPr="00BD1C03" w:rsidRDefault="00CD175C" w:rsidP="00CD175C">
      <w:pPr>
        <w:pStyle w:val="bullets0"/>
      </w:pPr>
      <w:r w:rsidRPr="00BD1C03">
        <w:t>Local partners (Iraqi civil society, WPS actors)</w:t>
      </w:r>
    </w:p>
    <w:p w14:paraId="47C631FB" w14:textId="77777777" w:rsidR="00CD175C" w:rsidRPr="00BD1C03" w:rsidRDefault="00CD175C" w:rsidP="00CD175C">
      <w:pPr>
        <w:pStyle w:val="bullets0"/>
      </w:pPr>
      <w:r w:rsidRPr="00BD1C03">
        <w:t>Other embassies (US, UK, Germany)</w:t>
      </w:r>
    </w:p>
    <w:p w14:paraId="19785316" w14:textId="77777777" w:rsidR="00CD175C" w:rsidRPr="00BD1C03" w:rsidRDefault="00CD175C" w:rsidP="00CD175C">
      <w:pPr>
        <w:pStyle w:val="bullets0"/>
      </w:pPr>
      <w:r w:rsidRPr="00BD1C03">
        <w:t xml:space="preserve">Relevant </w:t>
      </w:r>
      <w:proofErr w:type="spellStart"/>
      <w:r w:rsidRPr="00BD1C03">
        <w:t>WoG</w:t>
      </w:r>
      <w:proofErr w:type="spellEnd"/>
      <w:r w:rsidRPr="00BD1C03">
        <w:t xml:space="preserve"> partners </w:t>
      </w:r>
      <w:proofErr w:type="spellStart"/>
      <w:r w:rsidRPr="00BD1C03">
        <w:t>eg</w:t>
      </w:r>
      <w:proofErr w:type="spellEnd"/>
      <w:r w:rsidRPr="00BD1C03">
        <w:t xml:space="preserve"> ADF</w:t>
      </w:r>
    </w:p>
    <w:p w14:paraId="381831DC" w14:textId="77777777" w:rsidR="00CD175C" w:rsidRPr="00BD1C03" w:rsidRDefault="00CD175C" w:rsidP="00CD175C">
      <w:pPr>
        <w:pStyle w:val="bullets0"/>
      </w:pPr>
      <w:r w:rsidRPr="00BD1C03">
        <w:t>BPF Evaluation team (lead consultant)</w:t>
      </w:r>
    </w:p>
    <w:p w14:paraId="4AC8BDE7" w14:textId="4E60A190" w:rsidR="00CD175C" w:rsidRPr="00BD1C03" w:rsidRDefault="00CD175C" w:rsidP="00B13F20">
      <w:pPr>
        <w:pStyle w:val="Heading2"/>
      </w:pPr>
      <w:r w:rsidRPr="00BD1C03">
        <w:t xml:space="preserve">Preparation of a draft report </w:t>
      </w:r>
    </w:p>
    <w:p w14:paraId="122A245B" w14:textId="37B2812E" w:rsidR="00CD175C" w:rsidRPr="00BD1C03" w:rsidRDefault="00CD175C" w:rsidP="00942F20">
      <w:pPr>
        <w:pStyle w:val="Heading3"/>
      </w:pPr>
      <w:r w:rsidRPr="00BD1C03">
        <w:t>K</w:t>
      </w:r>
      <w:r w:rsidR="00E50AD2">
        <w:t>ey audiences and u</w:t>
      </w:r>
      <w:r w:rsidRPr="00BD1C03">
        <w:t>se</w:t>
      </w:r>
    </w:p>
    <w:p w14:paraId="75C17DF0" w14:textId="77777777" w:rsidR="00CD175C" w:rsidRPr="00BD1C03" w:rsidRDefault="00CD175C" w:rsidP="00CD175C">
      <w:r w:rsidRPr="00BD1C03">
        <w:t xml:space="preserve">The final report is intended to provide an important accountability mechanism to DFAT, and analysis and evidence to support decision-making by DFAT’s staff and senior executives. </w:t>
      </w:r>
    </w:p>
    <w:p w14:paraId="1B0959F3" w14:textId="77777777" w:rsidR="00CD175C" w:rsidRPr="00BD1C03" w:rsidRDefault="00CD175C" w:rsidP="00CD175C">
      <w:r w:rsidRPr="00BD1C03">
        <w:t xml:space="preserve">It is anticipated that the evaluation will be of interest to a range of audiences. Primary audiences will be: </w:t>
      </w:r>
    </w:p>
    <w:p w14:paraId="50CC7932" w14:textId="77777777" w:rsidR="00CD175C" w:rsidRPr="00BD1C03" w:rsidRDefault="00CD175C" w:rsidP="00CD175C">
      <w:pPr>
        <w:pStyle w:val="bullets0"/>
      </w:pPr>
      <w:r w:rsidRPr="00BD1C03">
        <w:t>DFAT Humanitarian Section</w:t>
      </w:r>
    </w:p>
    <w:p w14:paraId="4F525CAA" w14:textId="77777777" w:rsidR="00CD175C" w:rsidRPr="00BD1C03" w:rsidRDefault="00CD175C" w:rsidP="00CD175C">
      <w:pPr>
        <w:pStyle w:val="bullets0"/>
      </w:pPr>
      <w:r w:rsidRPr="00BD1C03">
        <w:t xml:space="preserve">DFAT Middle East Desk </w:t>
      </w:r>
    </w:p>
    <w:p w14:paraId="25B9B602" w14:textId="77777777" w:rsidR="00CD175C" w:rsidRPr="00BD1C03" w:rsidRDefault="00CD175C" w:rsidP="00CD175C">
      <w:pPr>
        <w:pStyle w:val="bullets0"/>
      </w:pPr>
      <w:r w:rsidRPr="00BD1C03">
        <w:t>AHP Support Unit and implementing agencies – Save the Children, CARE, Norwegian Refugee Council, Humanity &amp; Inclusion (formerly Handicap International)</w:t>
      </w:r>
    </w:p>
    <w:p w14:paraId="608832CE" w14:textId="77777777" w:rsidR="00CD175C" w:rsidRPr="00BD1C03" w:rsidRDefault="00CD175C" w:rsidP="00CD175C">
      <w:pPr>
        <w:pStyle w:val="bullets0"/>
      </w:pPr>
      <w:r w:rsidRPr="00BD1C03">
        <w:t>Whole of Government partners</w:t>
      </w:r>
    </w:p>
    <w:p w14:paraId="6411FEFF" w14:textId="77777777" w:rsidR="00CD175C" w:rsidRPr="00BD1C03" w:rsidRDefault="00CD175C" w:rsidP="00CD175C">
      <w:pPr>
        <w:pStyle w:val="bullets0"/>
      </w:pPr>
      <w:r w:rsidRPr="00BD1C03">
        <w:t>Australian Embassy Iraq</w:t>
      </w:r>
    </w:p>
    <w:p w14:paraId="217067A3" w14:textId="77777777" w:rsidR="00CD175C" w:rsidRPr="00BD1C03" w:rsidRDefault="00CD175C" w:rsidP="00CD175C">
      <w:r w:rsidRPr="00BD1C03">
        <w:t>The evaluation will deliver a set of findings about the Iraq Humanitarian and Stabilisation Package, and make recommendations regarding future Australian assistance to Iraq. It is also hoped that lessons from this evaluation can inform future humanitarian and/or stabilisation packages within the context of protracted crises and complex operating environments.</w:t>
      </w:r>
    </w:p>
    <w:p w14:paraId="133D879C" w14:textId="785AAD2F" w:rsidR="00CD175C" w:rsidRPr="00BD1C03" w:rsidRDefault="00CD175C">
      <w:pPr>
        <w:spacing w:after="0"/>
      </w:pPr>
      <w:r w:rsidRPr="00BD1C03">
        <w:br w:type="page"/>
      </w:r>
    </w:p>
    <w:p w14:paraId="2AEBF521" w14:textId="3A19730D" w:rsidR="00CD175C" w:rsidRPr="00BD1C03" w:rsidRDefault="00E50AD2" w:rsidP="00B13F20">
      <w:pPr>
        <w:pStyle w:val="Heading2"/>
      </w:pPr>
      <w:r>
        <w:t>Evaluation q</w:t>
      </w:r>
      <w:r w:rsidR="00CD175C" w:rsidRPr="00BD1C03">
        <w:t>uest</w:t>
      </w:r>
      <w:r>
        <w:t>ions and s</w:t>
      </w:r>
      <w:r w:rsidR="00CD175C" w:rsidRPr="00BD1C03">
        <w:t>ub questions</w:t>
      </w:r>
    </w:p>
    <w:tbl>
      <w:tblPr>
        <w:tblStyle w:val="GridTable1Light-Accent31"/>
        <w:tblW w:w="8910" w:type="dxa"/>
        <w:tblLook w:val="04A0" w:firstRow="1" w:lastRow="0" w:firstColumn="1" w:lastColumn="0" w:noHBand="0" w:noVBand="1"/>
        <w:tblCaption w:val="Table 3"/>
      </w:tblPr>
      <w:tblGrid>
        <w:gridCol w:w="2150"/>
        <w:gridCol w:w="6760"/>
      </w:tblGrid>
      <w:tr w:rsidR="00CD175C" w:rsidRPr="00BD1C03" w14:paraId="530247F5" w14:textId="77777777" w:rsidTr="005961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50" w:type="dxa"/>
            <w:tcBorders>
              <w:bottom w:val="single" w:sz="4" w:space="0" w:color="4F6228" w:themeColor="accent3" w:themeShade="80"/>
            </w:tcBorders>
          </w:tcPr>
          <w:p w14:paraId="0B43AF75" w14:textId="77777777" w:rsidR="00CD175C" w:rsidRPr="0038210E" w:rsidRDefault="00CD175C" w:rsidP="00C86EF8">
            <w:pPr>
              <w:rPr>
                <w:bCs w:val="0"/>
                <w:sz w:val="24"/>
              </w:rPr>
            </w:pPr>
            <w:r w:rsidRPr="0038210E">
              <w:rPr>
                <w:bCs w:val="0"/>
                <w:sz w:val="24"/>
              </w:rPr>
              <w:t>Evaluation Criteria</w:t>
            </w:r>
          </w:p>
        </w:tc>
        <w:tc>
          <w:tcPr>
            <w:tcW w:w="6760" w:type="dxa"/>
            <w:tcBorders>
              <w:bottom w:val="single" w:sz="4" w:space="0" w:color="4F6228" w:themeColor="accent3" w:themeShade="80"/>
            </w:tcBorders>
          </w:tcPr>
          <w:p w14:paraId="3EAECD2F" w14:textId="77777777" w:rsidR="00CD175C" w:rsidRPr="0038210E" w:rsidRDefault="00CD175C" w:rsidP="00C86EF8">
            <w:pPr>
              <w:cnfStyle w:val="100000000000" w:firstRow="1" w:lastRow="0" w:firstColumn="0" w:lastColumn="0" w:oddVBand="0" w:evenVBand="0" w:oddHBand="0" w:evenHBand="0" w:firstRowFirstColumn="0" w:firstRowLastColumn="0" w:lastRowFirstColumn="0" w:lastRowLastColumn="0"/>
              <w:rPr>
                <w:bCs w:val="0"/>
                <w:sz w:val="24"/>
              </w:rPr>
            </w:pPr>
            <w:r w:rsidRPr="0038210E">
              <w:rPr>
                <w:bCs w:val="0"/>
                <w:sz w:val="24"/>
              </w:rPr>
              <w:t>Key Evaluation Question and Sub-Questions</w:t>
            </w:r>
          </w:p>
        </w:tc>
      </w:tr>
      <w:tr w:rsidR="00CD175C" w:rsidRPr="00BD1C03" w14:paraId="55862B0D" w14:textId="77777777" w:rsidTr="00912630">
        <w:tc>
          <w:tcPr>
            <w:cnfStyle w:val="001000000000" w:firstRow="0" w:lastRow="0" w:firstColumn="1" w:lastColumn="0" w:oddVBand="0" w:evenVBand="0" w:oddHBand="0" w:evenHBand="0" w:firstRowFirstColumn="0" w:firstRowLastColumn="0" w:lastRowFirstColumn="0" w:lastRowLastColumn="0"/>
            <w:tcW w:w="2150" w:type="dxa"/>
          </w:tcPr>
          <w:p w14:paraId="198F7193" w14:textId="77777777" w:rsidR="00CD175C" w:rsidRPr="0038210E" w:rsidRDefault="00CD175C" w:rsidP="00C86EF8">
            <w:pPr>
              <w:rPr>
                <w:bCs w:val="0"/>
                <w:color w:val="76923C" w:themeColor="accent3" w:themeShade="BF"/>
                <w:sz w:val="24"/>
              </w:rPr>
            </w:pPr>
            <w:r w:rsidRPr="0038210E">
              <w:rPr>
                <w:bCs w:val="0"/>
                <w:color w:val="4F6228" w:themeColor="accent3" w:themeShade="80"/>
                <w:sz w:val="24"/>
              </w:rPr>
              <w:t>Relevance</w:t>
            </w:r>
          </w:p>
        </w:tc>
        <w:tc>
          <w:tcPr>
            <w:tcW w:w="6760" w:type="dxa"/>
          </w:tcPr>
          <w:p w14:paraId="2F04D9A3" w14:textId="77777777" w:rsidR="00CD175C" w:rsidRPr="001E55CB" w:rsidRDefault="00CD175C" w:rsidP="00CD175C">
            <w:pPr>
              <w:pStyle w:val="ListParagraph"/>
              <w:widowControl w:val="0"/>
              <w:numPr>
                <w:ilvl w:val="0"/>
                <w:numId w:val="19"/>
              </w:numPr>
              <w:autoSpaceDE w:val="0"/>
              <w:autoSpaceDN w:val="0"/>
              <w:adjustRightInd w:val="0"/>
              <w:spacing w:after="120"/>
              <w:ind w:left="402"/>
              <w:cnfStyle w:val="000000000000" w:firstRow="0" w:lastRow="0" w:firstColumn="0" w:lastColumn="0" w:oddVBand="0" w:evenVBand="0" w:oddHBand="0" w:evenHBand="0" w:firstRowFirstColumn="0" w:firstRowLastColumn="0" w:lastRowFirstColumn="0" w:lastRowLastColumn="0"/>
              <w:rPr>
                <w:rFonts w:cs="Calibri"/>
                <w:color w:val="4F6228" w:themeColor="accent3" w:themeShade="80"/>
              </w:rPr>
            </w:pPr>
            <w:r w:rsidRPr="001E55CB">
              <w:rPr>
                <w:rFonts w:cs="Calibri"/>
                <w:color w:val="4F6228" w:themeColor="accent3" w:themeShade="80"/>
              </w:rPr>
              <w:t>Is the Package appropriate and relevant?</w:t>
            </w:r>
          </w:p>
          <w:p w14:paraId="681E15C2" w14:textId="77777777" w:rsidR="00CD175C" w:rsidRPr="00BD1C03" w:rsidRDefault="00CD175C" w:rsidP="00CD175C">
            <w:pPr>
              <w:pStyle w:val="ListParagraph"/>
              <w:numPr>
                <w:ilvl w:val="0"/>
                <w:numId w:val="21"/>
              </w:numPr>
              <w:spacing w:before="120" w:after="120"/>
              <w:ind w:left="402"/>
              <w:jc w:val="both"/>
              <w:cnfStyle w:val="000000000000" w:firstRow="0" w:lastRow="0" w:firstColumn="0" w:lastColumn="0" w:oddVBand="0" w:evenVBand="0" w:oddHBand="0" w:evenHBand="0" w:firstRowFirstColumn="0" w:firstRowLastColumn="0" w:lastRowFirstColumn="0" w:lastRowLastColumn="0"/>
              <w:rPr>
                <w:rFonts w:cs="Arial"/>
              </w:rPr>
            </w:pPr>
            <w:bookmarkStart w:id="16" w:name="_Hlk522019341"/>
            <w:r w:rsidRPr="00BD1C03">
              <w:rPr>
                <w:rFonts w:cs="Arial"/>
              </w:rPr>
              <w:t xml:space="preserve">Is there a clear link between end of program outcomes and needs and priorities of affected population? </w:t>
            </w:r>
          </w:p>
          <w:p w14:paraId="6535A19F" w14:textId="77777777" w:rsidR="00CD175C" w:rsidRPr="00BD1C03" w:rsidRDefault="00CD175C" w:rsidP="00CD175C">
            <w:pPr>
              <w:pStyle w:val="ListParagraph"/>
              <w:numPr>
                <w:ilvl w:val="0"/>
                <w:numId w:val="21"/>
              </w:numPr>
              <w:spacing w:before="120" w:after="120"/>
              <w:ind w:left="402"/>
              <w:jc w:val="both"/>
              <w:cnfStyle w:val="000000000000" w:firstRow="0" w:lastRow="0" w:firstColumn="0" w:lastColumn="0" w:oddVBand="0" w:evenVBand="0" w:oddHBand="0" w:evenHBand="0" w:firstRowFirstColumn="0" w:firstRowLastColumn="0" w:lastRowFirstColumn="0" w:lastRowLastColumn="0"/>
            </w:pPr>
            <w:r w:rsidRPr="00BD1C03">
              <w:rPr>
                <w:rFonts w:cs="Arial"/>
              </w:rPr>
              <w:t xml:space="preserve">Did communities receive the assistance they most needed, when they most needed it, and in a way that was most useful and accessible for them? </w:t>
            </w:r>
            <w:bookmarkEnd w:id="16"/>
            <w:r w:rsidRPr="00BD1C03">
              <w:rPr>
                <w:rFonts w:cs="Arial"/>
              </w:rPr>
              <w:t>If not, what barriers were faced?</w:t>
            </w:r>
          </w:p>
        </w:tc>
      </w:tr>
      <w:tr w:rsidR="00CD175C" w:rsidRPr="00BD1C03" w14:paraId="03315CCD" w14:textId="77777777" w:rsidTr="00912630">
        <w:tc>
          <w:tcPr>
            <w:cnfStyle w:val="001000000000" w:firstRow="0" w:lastRow="0" w:firstColumn="1" w:lastColumn="0" w:oddVBand="0" w:evenVBand="0" w:oddHBand="0" w:evenHBand="0" w:firstRowFirstColumn="0" w:firstRowLastColumn="0" w:lastRowFirstColumn="0" w:lastRowLastColumn="0"/>
            <w:tcW w:w="2150" w:type="dxa"/>
          </w:tcPr>
          <w:p w14:paraId="172E66D8" w14:textId="77777777" w:rsidR="00CD175C" w:rsidRPr="0038210E" w:rsidRDefault="00CD175C" w:rsidP="00C86EF8">
            <w:pPr>
              <w:rPr>
                <w:bCs w:val="0"/>
                <w:color w:val="76923C" w:themeColor="accent3" w:themeShade="BF"/>
                <w:sz w:val="24"/>
              </w:rPr>
            </w:pPr>
            <w:r w:rsidRPr="0038210E">
              <w:rPr>
                <w:bCs w:val="0"/>
                <w:color w:val="4F6228" w:themeColor="accent3" w:themeShade="80"/>
                <w:sz w:val="24"/>
              </w:rPr>
              <w:t>Effectiveness</w:t>
            </w:r>
          </w:p>
        </w:tc>
        <w:tc>
          <w:tcPr>
            <w:tcW w:w="6760" w:type="dxa"/>
          </w:tcPr>
          <w:p w14:paraId="6A2C2D21" w14:textId="77777777" w:rsidR="00CD175C" w:rsidRPr="00912630" w:rsidRDefault="00CD175C" w:rsidP="00FA5030">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4F6228" w:themeColor="accent3" w:themeShade="80"/>
                <w:sz w:val="22"/>
                <w:szCs w:val="22"/>
                <w:lang w:val="en-GB"/>
              </w:rPr>
            </w:pPr>
            <w:r w:rsidRPr="00912630">
              <w:rPr>
                <w:rFonts w:asciiTheme="majorHAnsi" w:hAnsiTheme="majorHAnsi"/>
                <w:bCs/>
                <w:color w:val="4F6228" w:themeColor="accent3" w:themeShade="80"/>
                <w:sz w:val="22"/>
                <w:szCs w:val="22"/>
                <w:lang w:val="en-GB"/>
              </w:rPr>
              <w:t xml:space="preserve">2. </w:t>
            </w:r>
            <w:r w:rsidRPr="00912630">
              <w:rPr>
                <w:rFonts w:asciiTheme="majorHAnsi" w:hAnsiTheme="majorHAnsi" w:cs="Calibri"/>
                <w:bCs/>
                <w:color w:val="4F6228" w:themeColor="accent3" w:themeShade="80"/>
                <w:sz w:val="22"/>
                <w:szCs w:val="22"/>
                <w:lang w:val="en-GB"/>
              </w:rPr>
              <w:t xml:space="preserve">Is the Package effective? </w:t>
            </w:r>
          </w:p>
          <w:p w14:paraId="3BCC41D3" w14:textId="77777777" w:rsidR="00CD175C" w:rsidRPr="00BD1C03" w:rsidRDefault="00CD175C" w:rsidP="00FA5030">
            <w:pPr>
              <w:pStyle w:val="ListParagraph"/>
              <w:numPr>
                <w:ilvl w:val="0"/>
                <w:numId w:val="20"/>
              </w:numPr>
              <w:spacing w:after="0"/>
              <w:contextualSpacing w:val="0"/>
              <w:jc w:val="both"/>
              <w:cnfStyle w:val="000000000000" w:firstRow="0" w:lastRow="0" w:firstColumn="0" w:lastColumn="0" w:oddVBand="0" w:evenVBand="0" w:oddHBand="0" w:evenHBand="0" w:firstRowFirstColumn="0" w:firstRowLastColumn="0" w:lastRowFirstColumn="0" w:lastRowLastColumn="0"/>
              <w:rPr>
                <w:rFonts w:cs="Arial"/>
              </w:rPr>
            </w:pPr>
            <w:r w:rsidRPr="00BD1C03">
              <w:rPr>
                <w:rFonts w:cs="Arial"/>
              </w:rPr>
              <w:t xml:space="preserve">Did the investment protect the safety, dignity and rights of affected people? </w:t>
            </w:r>
          </w:p>
          <w:p w14:paraId="260618A4" w14:textId="77777777" w:rsidR="00CD175C" w:rsidRPr="00BD1C03" w:rsidRDefault="00CD175C" w:rsidP="00FA5030">
            <w:pPr>
              <w:pStyle w:val="ListParagraph"/>
              <w:numPr>
                <w:ilvl w:val="0"/>
                <w:numId w:val="26"/>
              </w:numPr>
              <w:spacing w:before="120" w:after="0"/>
              <w:contextualSpacing w:val="0"/>
              <w:jc w:val="both"/>
              <w:cnfStyle w:val="000000000000" w:firstRow="0" w:lastRow="0" w:firstColumn="0" w:lastColumn="0" w:oddVBand="0" w:evenVBand="0" w:oddHBand="0" w:evenHBand="0" w:firstRowFirstColumn="0" w:firstRowLastColumn="0" w:lastRowFirstColumn="0" w:lastRowLastColumn="0"/>
            </w:pPr>
            <w:r w:rsidRPr="00BD1C03">
              <w:t xml:space="preserve">Did investments make a difference in terms of gender equality and empowering women and girls? </w:t>
            </w:r>
          </w:p>
          <w:p w14:paraId="4508D236" w14:textId="5234A00A" w:rsidR="00CD175C" w:rsidRPr="00FA5030" w:rsidRDefault="00CD175C" w:rsidP="00FA5030">
            <w:pPr>
              <w:pStyle w:val="ListParagraph"/>
              <w:numPr>
                <w:ilvl w:val="0"/>
                <w:numId w:val="27"/>
              </w:numPr>
              <w:spacing w:before="120" w:after="0"/>
              <w:ind w:left="680" w:hanging="323"/>
              <w:jc w:val="both"/>
              <w:cnfStyle w:val="000000000000" w:firstRow="0" w:lastRow="0" w:firstColumn="0" w:lastColumn="0" w:oddVBand="0" w:evenVBand="0" w:oddHBand="0" w:evenHBand="0" w:firstRowFirstColumn="0" w:firstRowLastColumn="0" w:lastRowFirstColumn="0" w:lastRowLastColumn="0"/>
              <w:rPr>
                <w:rFonts w:cs="Arial"/>
              </w:rPr>
            </w:pPr>
            <w:r w:rsidRPr="00BD1C03">
              <w:rPr>
                <w:rFonts w:cs="Arial"/>
              </w:rPr>
              <w:t xml:space="preserve">Did people with a disability have equal access to partner programs and were their unique needs met? </w:t>
            </w:r>
          </w:p>
          <w:p w14:paraId="7E753F93" w14:textId="77777777" w:rsidR="00CD175C" w:rsidRPr="00BD1C03" w:rsidRDefault="00CD175C" w:rsidP="00FA5030">
            <w:pPr>
              <w:pStyle w:val="ListParagraph"/>
              <w:numPr>
                <w:ilvl w:val="0"/>
                <w:numId w:val="20"/>
              </w:numPr>
              <w:spacing w:before="120" w:after="0"/>
              <w:contextualSpacing w:val="0"/>
              <w:jc w:val="both"/>
              <w:cnfStyle w:val="000000000000" w:firstRow="0" w:lastRow="0" w:firstColumn="0" w:lastColumn="0" w:oddVBand="0" w:evenVBand="0" w:oddHBand="0" w:evenHBand="0" w:firstRowFirstColumn="0" w:firstRowLastColumn="0" w:lastRowFirstColumn="0" w:lastRowLastColumn="0"/>
              <w:rPr>
                <w:rFonts w:cs="Arial"/>
              </w:rPr>
            </w:pPr>
            <w:r w:rsidRPr="00BD1C03">
              <w:rPr>
                <w:rFonts w:cs="Arial"/>
              </w:rPr>
              <w:t>To what extent have the end of program outcomes been achieved, most significant results, and are any unintended outcomes eventuating, either negative or positive?</w:t>
            </w:r>
          </w:p>
          <w:p w14:paraId="7314E20F" w14:textId="77777777" w:rsidR="00CD175C" w:rsidRPr="00BD1C03" w:rsidRDefault="00CD175C" w:rsidP="00FA5030">
            <w:pPr>
              <w:pStyle w:val="ListParagraph"/>
              <w:numPr>
                <w:ilvl w:val="0"/>
                <w:numId w:val="20"/>
              </w:numPr>
              <w:spacing w:before="120" w:after="0"/>
              <w:jc w:val="both"/>
              <w:cnfStyle w:val="000000000000" w:firstRow="0" w:lastRow="0" w:firstColumn="0" w:lastColumn="0" w:oddVBand="0" w:evenVBand="0" w:oddHBand="0" w:evenHBand="0" w:firstRowFirstColumn="0" w:firstRowLastColumn="0" w:lastRowFirstColumn="0" w:lastRowLastColumn="0"/>
              <w:rPr>
                <w:rFonts w:cs="Arial"/>
              </w:rPr>
            </w:pPr>
            <w:r w:rsidRPr="00BD1C03">
              <w:t>Were</w:t>
            </w:r>
            <w:r w:rsidRPr="00BD1C03">
              <w:rPr>
                <w:rFonts w:cs="Arial"/>
              </w:rPr>
              <w:t xml:space="preserve"> DFAT’s M&amp;E practices suitable to inform their management? Did these M&amp;E practices enable them to assess the effectiveness and inclusion of their response? What would improve their M&amp;E practices?</w:t>
            </w:r>
          </w:p>
        </w:tc>
      </w:tr>
      <w:tr w:rsidR="00CD175C" w:rsidRPr="00BD1C03" w14:paraId="2A917133" w14:textId="77777777" w:rsidTr="00912630">
        <w:tc>
          <w:tcPr>
            <w:cnfStyle w:val="001000000000" w:firstRow="0" w:lastRow="0" w:firstColumn="1" w:lastColumn="0" w:oddVBand="0" w:evenVBand="0" w:oddHBand="0" w:evenHBand="0" w:firstRowFirstColumn="0" w:firstRowLastColumn="0" w:lastRowFirstColumn="0" w:lastRowLastColumn="0"/>
            <w:tcW w:w="2150" w:type="dxa"/>
          </w:tcPr>
          <w:p w14:paraId="17C1E7FC" w14:textId="77777777" w:rsidR="00CD175C" w:rsidRPr="0038210E" w:rsidRDefault="00CD175C" w:rsidP="00C86EF8">
            <w:pPr>
              <w:rPr>
                <w:bCs w:val="0"/>
                <w:color w:val="4F6228" w:themeColor="accent3" w:themeShade="80"/>
                <w:sz w:val="24"/>
              </w:rPr>
            </w:pPr>
            <w:r w:rsidRPr="0038210E">
              <w:rPr>
                <w:bCs w:val="0"/>
                <w:color w:val="4F6228" w:themeColor="accent3" w:themeShade="80"/>
                <w:sz w:val="24"/>
              </w:rPr>
              <w:t>Efficiency</w:t>
            </w:r>
          </w:p>
        </w:tc>
        <w:tc>
          <w:tcPr>
            <w:tcW w:w="6760" w:type="dxa"/>
          </w:tcPr>
          <w:p w14:paraId="04ED7B48" w14:textId="77777777" w:rsidR="00CD175C" w:rsidRPr="001E55CB" w:rsidRDefault="00CD175C" w:rsidP="00FA5030">
            <w:pPr>
              <w:spacing w:after="0"/>
              <w:cnfStyle w:val="000000000000" w:firstRow="0" w:lastRow="0" w:firstColumn="0" w:lastColumn="0" w:oddVBand="0" w:evenVBand="0" w:oddHBand="0" w:evenHBand="0" w:firstRowFirstColumn="0" w:firstRowLastColumn="0" w:lastRowFirstColumn="0" w:lastRowLastColumn="0"/>
              <w:rPr>
                <w:bCs/>
                <w:color w:val="4F6228" w:themeColor="accent3" w:themeShade="80"/>
              </w:rPr>
            </w:pPr>
            <w:r w:rsidRPr="001E55CB">
              <w:rPr>
                <w:bCs/>
                <w:color w:val="4F6228" w:themeColor="accent3" w:themeShade="80"/>
              </w:rPr>
              <w:t xml:space="preserve">3. How efficient was the package?  </w:t>
            </w:r>
          </w:p>
          <w:p w14:paraId="259F1D46" w14:textId="77777777" w:rsidR="00CD175C" w:rsidRPr="00BD1C03" w:rsidRDefault="00CD175C" w:rsidP="00CD175C">
            <w:pPr>
              <w:pStyle w:val="ListParagraph"/>
              <w:numPr>
                <w:ilvl w:val="0"/>
                <w:numId w:val="22"/>
              </w:numPr>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cs="Arial"/>
              </w:rPr>
            </w:pPr>
            <w:r w:rsidRPr="00BD1C03">
              <w:rPr>
                <w:rFonts w:cs="Arial"/>
              </w:rPr>
              <w:t xml:space="preserve">To what extent is the project being implemented according to agreed timelines and budgets? </w:t>
            </w:r>
          </w:p>
          <w:p w14:paraId="6432CF09" w14:textId="77777777" w:rsidR="00CD175C" w:rsidRPr="00BD1C03" w:rsidRDefault="00CD175C" w:rsidP="00CD175C">
            <w:pPr>
              <w:pStyle w:val="ListParagraph"/>
              <w:numPr>
                <w:ilvl w:val="0"/>
                <w:numId w:val="22"/>
              </w:numPr>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cs="Arial"/>
              </w:rPr>
            </w:pPr>
            <w:r w:rsidRPr="00BD1C03">
              <w:rPr>
                <w:rFonts w:cs="Arial"/>
              </w:rPr>
              <w:t xml:space="preserve">In what ways is the project being implemented to achieve good value for money? </w:t>
            </w:r>
          </w:p>
          <w:p w14:paraId="0C3D667D" w14:textId="77777777" w:rsidR="00CD175C" w:rsidRPr="00BD1C03" w:rsidRDefault="00CD175C" w:rsidP="00CD175C">
            <w:pPr>
              <w:pStyle w:val="ListParagraph"/>
              <w:numPr>
                <w:ilvl w:val="0"/>
                <w:numId w:val="22"/>
              </w:numPr>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cs="Arial"/>
              </w:rPr>
            </w:pPr>
            <w:r w:rsidRPr="00BD1C03">
              <w:rPr>
                <w:rFonts w:cs="Arial"/>
              </w:rPr>
              <w:t xml:space="preserve">Are there benefits from the multi-year funding that could not have been achieved with annual funding? Has this supported the project’s aims, and if so, how? </w:t>
            </w:r>
          </w:p>
        </w:tc>
      </w:tr>
      <w:tr w:rsidR="00CD175C" w:rsidRPr="00BD1C03" w14:paraId="7458BFFB" w14:textId="77777777" w:rsidTr="00912630">
        <w:tc>
          <w:tcPr>
            <w:cnfStyle w:val="001000000000" w:firstRow="0" w:lastRow="0" w:firstColumn="1" w:lastColumn="0" w:oddVBand="0" w:evenVBand="0" w:oddHBand="0" w:evenHBand="0" w:firstRowFirstColumn="0" w:firstRowLastColumn="0" w:lastRowFirstColumn="0" w:lastRowLastColumn="0"/>
            <w:tcW w:w="2150" w:type="dxa"/>
          </w:tcPr>
          <w:p w14:paraId="28B07650" w14:textId="77777777" w:rsidR="00CD175C" w:rsidRPr="0038210E" w:rsidRDefault="00CD175C" w:rsidP="00C86EF8">
            <w:pPr>
              <w:rPr>
                <w:bCs w:val="0"/>
                <w:color w:val="76923C" w:themeColor="accent3" w:themeShade="BF"/>
                <w:sz w:val="24"/>
              </w:rPr>
            </w:pPr>
            <w:r w:rsidRPr="0038210E">
              <w:rPr>
                <w:bCs w:val="0"/>
                <w:color w:val="4F6228" w:themeColor="accent3" w:themeShade="80"/>
                <w:sz w:val="24"/>
              </w:rPr>
              <w:t>Sustainable</w:t>
            </w:r>
          </w:p>
        </w:tc>
        <w:tc>
          <w:tcPr>
            <w:tcW w:w="6760" w:type="dxa"/>
          </w:tcPr>
          <w:p w14:paraId="14B7AB2A" w14:textId="77777777" w:rsidR="00CD175C" w:rsidRPr="001E55CB" w:rsidRDefault="00CD175C" w:rsidP="00FA5030">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cs="Calibri"/>
                <w:bCs/>
                <w:color w:val="4F6228" w:themeColor="accent3" w:themeShade="80"/>
                <w:sz w:val="22"/>
                <w:szCs w:val="22"/>
                <w:lang w:val="en-GB"/>
              </w:rPr>
            </w:pPr>
            <w:r w:rsidRPr="001E55CB">
              <w:rPr>
                <w:rFonts w:asciiTheme="majorHAnsi" w:hAnsiTheme="majorHAnsi"/>
                <w:bCs/>
                <w:color w:val="4F6228" w:themeColor="accent3" w:themeShade="80"/>
                <w:sz w:val="22"/>
                <w:szCs w:val="22"/>
                <w:lang w:val="en-GB"/>
              </w:rPr>
              <w:t>4. How connected and sustainable is the package?</w:t>
            </w:r>
            <w:r w:rsidRPr="001E55CB">
              <w:rPr>
                <w:rFonts w:asciiTheme="majorHAnsi" w:hAnsiTheme="majorHAnsi" w:cs="Calibri"/>
                <w:bCs/>
                <w:color w:val="4F6228" w:themeColor="accent3" w:themeShade="80"/>
                <w:sz w:val="22"/>
                <w:szCs w:val="22"/>
                <w:lang w:val="en-GB"/>
              </w:rPr>
              <w:t xml:space="preserve"> </w:t>
            </w:r>
          </w:p>
          <w:p w14:paraId="652E2466" w14:textId="77777777" w:rsidR="00CD175C" w:rsidRPr="00BD1C03" w:rsidRDefault="00CD175C" w:rsidP="00CD175C">
            <w:pPr>
              <w:pStyle w:val="ListParagraph"/>
              <w:numPr>
                <w:ilvl w:val="0"/>
                <w:numId w:val="23"/>
              </w:numPr>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cs="Arial"/>
              </w:rPr>
            </w:pPr>
            <w:r w:rsidRPr="00BD1C03">
              <w:rPr>
                <w:rFonts w:cs="Arial"/>
              </w:rPr>
              <w:t xml:space="preserve">Was the investment delivered in a way which supported stabilisation, recovery, resilience and long-term development? </w:t>
            </w:r>
          </w:p>
          <w:p w14:paraId="36375B76" w14:textId="77777777" w:rsidR="00CD175C" w:rsidRPr="00BD1C03" w:rsidRDefault="00CD175C" w:rsidP="00CD175C">
            <w:pPr>
              <w:pStyle w:val="ListParagraph"/>
              <w:numPr>
                <w:ilvl w:val="0"/>
                <w:numId w:val="23"/>
              </w:numPr>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cs="Arial"/>
              </w:rPr>
            </w:pPr>
            <w:r w:rsidRPr="00BD1C03">
              <w:rPr>
                <w:rFonts w:cs="Arial"/>
              </w:rPr>
              <w:t>To what extent were Government of Iraq (</w:t>
            </w:r>
            <w:proofErr w:type="spellStart"/>
            <w:r w:rsidRPr="00BD1C03">
              <w:rPr>
                <w:rFonts w:cs="Arial"/>
              </w:rPr>
              <w:t>GoI</w:t>
            </w:r>
            <w:proofErr w:type="spellEnd"/>
            <w:r w:rsidRPr="00BD1C03">
              <w:rPr>
                <w:rFonts w:cs="Arial"/>
              </w:rPr>
              <w:t>) and key local actors able to guide and influence the project?</w:t>
            </w:r>
          </w:p>
          <w:p w14:paraId="04BC81C2" w14:textId="077E53A1" w:rsidR="00CD175C" w:rsidRPr="00BD1C03" w:rsidRDefault="00CD175C" w:rsidP="00CD175C">
            <w:pPr>
              <w:pStyle w:val="ListParagraph"/>
              <w:numPr>
                <w:ilvl w:val="0"/>
                <w:numId w:val="23"/>
              </w:numPr>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cs="Arial"/>
              </w:rPr>
            </w:pPr>
            <w:r w:rsidRPr="00BD1C03">
              <w:rPr>
                <w:rFonts w:cs="Arial"/>
              </w:rPr>
              <w:t>To what extent did the project strengthen local partners, including civil society (e</w:t>
            </w:r>
            <w:r w:rsidR="00F41CC4">
              <w:rPr>
                <w:rFonts w:cs="Arial"/>
              </w:rPr>
              <w:t>.g. local women’s organ</w:t>
            </w:r>
            <w:r w:rsidR="00B43345">
              <w:rPr>
                <w:rFonts w:cs="Arial"/>
              </w:rPr>
              <w:t>is</w:t>
            </w:r>
            <w:r w:rsidR="00F41CC4">
              <w:rPr>
                <w:rFonts w:cs="Arial"/>
              </w:rPr>
              <w:t>ations</w:t>
            </w:r>
            <w:r w:rsidRPr="00BD1C03">
              <w:rPr>
                <w:rFonts w:cs="Arial"/>
              </w:rPr>
              <w:t xml:space="preserve">, </w:t>
            </w:r>
            <w:r w:rsidR="00F41CC4">
              <w:rPr>
                <w:rFonts w:cs="Arial"/>
              </w:rPr>
              <w:t>disabled people’s organ</w:t>
            </w:r>
            <w:r w:rsidR="00B43345">
              <w:rPr>
                <w:rFonts w:cs="Arial"/>
              </w:rPr>
              <w:t>is</w:t>
            </w:r>
            <w:r w:rsidR="00F41CC4">
              <w:rPr>
                <w:rFonts w:cs="Arial"/>
              </w:rPr>
              <w:t>ations</w:t>
            </w:r>
            <w:r w:rsidRPr="00BD1C03">
              <w:rPr>
                <w:rFonts w:cs="Arial"/>
              </w:rPr>
              <w:t>) and local government, and include their participation in coordination fora?</w:t>
            </w:r>
          </w:p>
          <w:p w14:paraId="4ECA9251" w14:textId="77777777" w:rsidR="00CD175C" w:rsidRPr="00BD1C03" w:rsidRDefault="00CD175C" w:rsidP="00CD175C">
            <w:pPr>
              <w:pStyle w:val="ListParagraph"/>
              <w:numPr>
                <w:ilvl w:val="0"/>
                <w:numId w:val="23"/>
              </w:numPr>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cs="Arial"/>
              </w:rPr>
            </w:pPr>
            <w:r w:rsidRPr="00BD1C03">
              <w:rPr>
                <w:rFonts w:cs="Arial"/>
              </w:rPr>
              <w:t xml:space="preserve">Was Australia’s approach coordinated (with both UN, coalition, and </w:t>
            </w:r>
            <w:proofErr w:type="spellStart"/>
            <w:r w:rsidRPr="00BD1C03">
              <w:rPr>
                <w:rFonts w:cs="Arial"/>
              </w:rPr>
              <w:t>GoI</w:t>
            </w:r>
            <w:proofErr w:type="spellEnd"/>
            <w:r w:rsidRPr="00BD1C03">
              <w:rPr>
                <w:rFonts w:cs="Arial"/>
              </w:rPr>
              <w:t xml:space="preserve">-led responses) and complementary? </w:t>
            </w:r>
          </w:p>
          <w:p w14:paraId="4C5C1906" w14:textId="77777777" w:rsidR="00CD175C" w:rsidRPr="00BD1C03" w:rsidRDefault="00CD175C" w:rsidP="00CD175C">
            <w:pPr>
              <w:pStyle w:val="ListParagraph"/>
              <w:numPr>
                <w:ilvl w:val="0"/>
                <w:numId w:val="23"/>
              </w:numPr>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cs="Arial"/>
              </w:rPr>
            </w:pPr>
            <w:r w:rsidRPr="00BD1C03">
              <w:rPr>
                <w:rFonts w:cs="Arial"/>
              </w:rPr>
              <w:t xml:space="preserve">To what extent did Australia engage with and influence the international humanitarian system both in Iraq and globally, both through programming and diplomacy? </w:t>
            </w:r>
          </w:p>
          <w:p w14:paraId="0438CEBB" w14:textId="77777777" w:rsidR="00CD175C" w:rsidRPr="00BD1C03" w:rsidRDefault="00CD175C" w:rsidP="00CD175C">
            <w:pPr>
              <w:pStyle w:val="ListParagraph"/>
              <w:numPr>
                <w:ilvl w:val="0"/>
                <w:numId w:val="23"/>
              </w:numPr>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cs="Arial"/>
              </w:rPr>
            </w:pPr>
            <w:r w:rsidRPr="00BD1C03">
              <w:rPr>
                <w:rFonts w:cs="Arial"/>
              </w:rPr>
              <w:t xml:space="preserve">Are appropriate exit and transition strategies in place, and how can they be strengthened? </w:t>
            </w:r>
          </w:p>
          <w:p w14:paraId="125F7D5B" w14:textId="77777777" w:rsidR="00CD175C" w:rsidRPr="00BD1C03" w:rsidRDefault="00CD175C" w:rsidP="00CD175C">
            <w:pPr>
              <w:pStyle w:val="ListParagraph"/>
              <w:numPr>
                <w:ilvl w:val="0"/>
                <w:numId w:val="23"/>
              </w:numPr>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cs="Arial"/>
              </w:rPr>
            </w:pPr>
            <w:r w:rsidRPr="00BD1C03">
              <w:rPr>
                <w:rFonts w:cs="Arial"/>
              </w:rPr>
              <w:t xml:space="preserve">What future funding options are most needed to address gaps? </w:t>
            </w:r>
          </w:p>
        </w:tc>
      </w:tr>
      <w:tr w:rsidR="00CD175C" w:rsidRPr="00BD1C03" w14:paraId="6AB17446" w14:textId="77777777" w:rsidTr="00912630">
        <w:tc>
          <w:tcPr>
            <w:cnfStyle w:val="001000000000" w:firstRow="0" w:lastRow="0" w:firstColumn="1" w:lastColumn="0" w:oddVBand="0" w:evenVBand="0" w:oddHBand="0" w:evenHBand="0" w:firstRowFirstColumn="0" w:firstRowLastColumn="0" w:lastRowFirstColumn="0" w:lastRowLastColumn="0"/>
            <w:tcW w:w="2150" w:type="dxa"/>
          </w:tcPr>
          <w:p w14:paraId="0BC9FBAB" w14:textId="77777777" w:rsidR="00CD175C" w:rsidRPr="0038210E" w:rsidRDefault="00CD175C" w:rsidP="00C86EF8">
            <w:pPr>
              <w:rPr>
                <w:bCs w:val="0"/>
                <w:color w:val="76923C" w:themeColor="accent3" w:themeShade="BF"/>
                <w:sz w:val="24"/>
              </w:rPr>
            </w:pPr>
            <w:r w:rsidRPr="0038210E">
              <w:rPr>
                <w:bCs w:val="0"/>
                <w:color w:val="4F6228" w:themeColor="accent3" w:themeShade="80"/>
                <w:sz w:val="24"/>
              </w:rPr>
              <w:t>Accountability</w:t>
            </w:r>
          </w:p>
        </w:tc>
        <w:tc>
          <w:tcPr>
            <w:tcW w:w="6760" w:type="dxa"/>
          </w:tcPr>
          <w:p w14:paraId="5EC88FC8" w14:textId="77777777" w:rsidR="00CD175C" w:rsidRPr="001E55CB" w:rsidRDefault="00CD175C" w:rsidP="00FA5030">
            <w:pPr>
              <w:spacing w:after="0"/>
              <w:ind w:left="118" w:hanging="118"/>
              <w:cnfStyle w:val="000000000000" w:firstRow="0" w:lastRow="0" w:firstColumn="0" w:lastColumn="0" w:oddVBand="0" w:evenVBand="0" w:oddHBand="0" w:evenHBand="0" w:firstRowFirstColumn="0" w:firstRowLastColumn="0" w:lastRowFirstColumn="0" w:lastRowLastColumn="0"/>
              <w:rPr>
                <w:bCs/>
                <w:color w:val="4F6228" w:themeColor="accent3" w:themeShade="80"/>
              </w:rPr>
            </w:pPr>
            <w:r w:rsidRPr="001E55CB">
              <w:rPr>
                <w:bCs/>
                <w:color w:val="4F6228" w:themeColor="accent3" w:themeShade="80"/>
              </w:rPr>
              <w:t>5. How transparent and accountable is the package?</w:t>
            </w:r>
          </w:p>
          <w:p w14:paraId="4F40E27E" w14:textId="77777777" w:rsidR="00CD175C" w:rsidRPr="001E55CB" w:rsidRDefault="00CD175C" w:rsidP="00CD175C">
            <w:pPr>
              <w:pStyle w:val="ListParagraph"/>
              <w:numPr>
                <w:ilvl w:val="0"/>
                <w:numId w:val="24"/>
              </w:numPr>
              <w:spacing w:before="120" w:after="120"/>
              <w:ind w:left="357" w:hanging="357"/>
              <w:contextualSpacing w:val="0"/>
              <w:jc w:val="both"/>
              <w:cnfStyle w:val="000000000000" w:firstRow="0" w:lastRow="0" w:firstColumn="0" w:lastColumn="0" w:oddVBand="0" w:evenVBand="0" w:oddHBand="0" w:evenHBand="0" w:firstRowFirstColumn="0" w:firstRowLastColumn="0" w:lastRowFirstColumn="0" w:lastRowLastColumn="0"/>
              <w:rPr>
                <w:rFonts w:cs="Arial"/>
                <w:bCs/>
              </w:rPr>
            </w:pPr>
            <w:r w:rsidRPr="001E55CB">
              <w:rPr>
                <w:rFonts w:cs="Arial"/>
                <w:bCs/>
              </w:rPr>
              <w:t xml:space="preserve">To what extent are implementing partners sufficiently accountable to, and engaged with, affected communities? </w:t>
            </w:r>
          </w:p>
          <w:p w14:paraId="073DD8C3" w14:textId="77777777" w:rsidR="00CD175C" w:rsidRPr="001E55CB" w:rsidRDefault="00CD175C" w:rsidP="00CD175C">
            <w:pPr>
              <w:pStyle w:val="ListParagraph"/>
              <w:numPr>
                <w:ilvl w:val="0"/>
                <w:numId w:val="24"/>
              </w:numPr>
              <w:spacing w:after="120"/>
              <w:ind w:left="357" w:hanging="357"/>
              <w:contextualSpacing w:val="0"/>
              <w:jc w:val="both"/>
              <w:cnfStyle w:val="000000000000" w:firstRow="0" w:lastRow="0" w:firstColumn="0" w:lastColumn="0" w:oddVBand="0" w:evenVBand="0" w:oddHBand="0" w:evenHBand="0" w:firstRowFirstColumn="0" w:firstRowLastColumn="0" w:lastRowFirstColumn="0" w:lastRowLastColumn="0"/>
              <w:rPr>
                <w:rFonts w:cs="Arial"/>
                <w:bCs/>
              </w:rPr>
            </w:pPr>
            <w:r w:rsidRPr="001E55CB">
              <w:rPr>
                <w:rFonts w:cs="Arial"/>
                <w:bCs/>
              </w:rPr>
              <w:t xml:space="preserve">What evidence exists of the package having been influenced by effective communication, participation and feedback from affected people and communities? </w:t>
            </w:r>
          </w:p>
        </w:tc>
      </w:tr>
      <w:tr w:rsidR="00CD175C" w:rsidRPr="00BD1C03" w14:paraId="4B00850E" w14:textId="77777777" w:rsidTr="00912630">
        <w:tc>
          <w:tcPr>
            <w:cnfStyle w:val="001000000000" w:firstRow="0" w:lastRow="0" w:firstColumn="1" w:lastColumn="0" w:oddVBand="0" w:evenVBand="0" w:oddHBand="0" w:evenHBand="0" w:firstRowFirstColumn="0" w:firstRowLastColumn="0" w:lastRowFirstColumn="0" w:lastRowLastColumn="0"/>
            <w:tcW w:w="2150" w:type="dxa"/>
          </w:tcPr>
          <w:p w14:paraId="34C68D8D" w14:textId="77777777" w:rsidR="00CD175C" w:rsidRPr="0038210E" w:rsidRDefault="00CD175C" w:rsidP="00C86EF8">
            <w:pPr>
              <w:pStyle w:val="Numbers"/>
              <w:numPr>
                <w:ilvl w:val="0"/>
                <w:numId w:val="0"/>
              </w:numPr>
              <w:rPr>
                <w:rFonts w:asciiTheme="minorHAnsi" w:hAnsiTheme="minorHAnsi"/>
                <w:bCs w:val="0"/>
                <w:lang w:val="en-GB"/>
              </w:rPr>
            </w:pPr>
          </w:p>
        </w:tc>
        <w:tc>
          <w:tcPr>
            <w:tcW w:w="6760" w:type="dxa"/>
          </w:tcPr>
          <w:p w14:paraId="4031382F" w14:textId="36EF8C43" w:rsidR="00CD175C" w:rsidRPr="001E55CB" w:rsidRDefault="00CD175C" w:rsidP="00FA5030">
            <w:pPr>
              <w:spacing w:after="0"/>
              <w:ind w:left="118" w:hanging="118"/>
              <w:cnfStyle w:val="000000000000" w:firstRow="0" w:lastRow="0" w:firstColumn="0" w:lastColumn="0" w:oddVBand="0" w:evenVBand="0" w:oddHBand="0" w:evenHBand="0" w:firstRowFirstColumn="0" w:firstRowLastColumn="0" w:lastRowFirstColumn="0" w:lastRowLastColumn="0"/>
              <w:rPr>
                <w:bCs/>
                <w:color w:val="4F6228" w:themeColor="accent3" w:themeShade="80"/>
                <w:u w:val="single"/>
              </w:rPr>
            </w:pPr>
            <w:r w:rsidRPr="001E55CB">
              <w:rPr>
                <w:bCs/>
                <w:color w:val="4F6228" w:themeColor="accent3" w:themeShade="80"/>
                <w:u w:val="single"/>
              </w:rPr>
              <w:t xml:space="preserve">Recommendations </w:t>
            </w:r>
          </w:p>
          <w:p w14:paraId="3B45345F" w14:textId="24F89547" w:rsidR="00CD175C" w:rsidRPr="001E55CB" w:rsidRDefault="00CD175C" w:rsidP="00CD175C">
            <w:pPr>
              <w:pStyle w:val="ListParagraph"/>
              <w:numPr>
                <w:ilvl w:val="0"/>
                <w:numId w:val="25"/>
              </w:numPr>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cs="Arial"/>
                <w:bCs/>
              </w:rPr>
            </w:pPr>
            <w:r w:rsidRPr="001E55CB">
              <w:rPr>
                <w:rFonts w:cs="Arial"/>
                <w:bCs/>
              </w:rPr>
              <w:t>Changes to the scope of work or partners ensuring any changes recommended are feasible within a 1-2 year ex</w:t>
            </w:r>
            <w:r w:rsidR="00FA5030" w:rsidRPr="001E55CB">
              <w:rPr>
                <w:rFonts w:cs="Arial"/>
                <w:bCs/>
              </w:rPr>
              <w:t>tension of the existing program.</w:t>
            </w:r>
          </w:p>
          <w:p w14:paraId="68F6FD6C" w14:textId="5374C421" w:rsidR="00CD175C" w:rsidRPr="001E55CB" w:rsidRDefault="00CD175C" w:rsidP="00CD175C">
            <w:pPr>
              <w:pStyle w:val="ListParagraph"/>
              <w:numPr>
                <w:ilvl w:val="0"/>
                <w:numId w:val="25"/>
              </w:numPr>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cs="Arial"/>
                <w:bCs/>
              </w:rPr>
            </w:pPr>
            <w:r w:rsidRPr="001E55CB">
              <w:rPr>
                <w:rFonts w:cs="Arial"/>
                <w:bCs/>
              </w:rPr>
              <w:t>Comment on the comparative advantage of Australia as a donor, and in particular, the comparative advantage of Australia’s humanitarian and stabilisation programming. To what extent and how does the Humanitarian and Stabilisation package advancing Austral</w:t>
            </w:r>
            <w:r w:rsidR="000A67A5" w:rsidRPr="001E55CB">
              <w:rPr>
                <w:rFonts w:cs="Arial"/>
                <w:bCs/>
              </w:rPr>
              <w:t>ia’s national interest in Iraq?</w:t>
            </w:r>
          </w:p>
          <w:p w14:paraId="6664FB10" w14:textId="77777777" w:rsidR="00CD175C" w:rsidRPr="001E55CB" w:rsidRDefault="00CD175C" w:rsidP="00CD175C">
            <w:pPr>
              <w:pStyle w:val="ListParagraph"/>
              <w:numPr>
                <w:ilvl w:val="0"/>
                <w:numId w:val="25"/>
              </w:numPr>
              <w:spacing w:before="120" w:after="120"/>
              <w:contextualSpacing w:val="0"/>
              <w:jc w:val="both"/>
              <w:cnfStyle w:val="000000000000" w:firstRow="0" w:lastRow="0" w:firstColumn="0" w:lastColumn="0" w:oddVBand="0" w:evenVBand="0" w:oddHBand="0" w:evenHBand="0" w:firstRowFirstColumn="0" w:firstRowLastColumn="0" w:lastRowFirstColumn="0" w:lastRowLastColumn="0"/>
              <w:rPr>
                <w:rFonts w:cs="Arial"/>
                <w:bCs/>
              </w:rPr>
            </w:pPr>
            <w:r w:rsidRPr="001E55CB">
              <w:rPr>
                <w:rFonts w:cs="Arial"/>
                <w:bCs/>
              </w:rPr>
              <w:t>Identify opportunities in the forward program to take forward the Women, Peace and Security agenda (UNSC 1325+).</w:t>
            </w:r>
          </w:p>
        </w:tc>
      </w:tr>
    </w:tbl>
    <w:p w14:paraId="486E00AC" w14:textId="77777777" w:rsidR="00802944" w:rsidRPr="00BD1C03" w:rsidRDefault="00802944">
      <w:pPr>
        <w:spacing w:after="0"/>
      </w:pPr>
    </w:p>
    <w:p w14:paraId="0F34CA02" w14:textId="231229DF" w:rsidR="00802944" w:rsidRPr="00BD1C03" w:rsidRDefault="00E50AD2" w:rsidP="00B13F20">
      <w:pPr>
        <w:pStyle w:val="Heading2"/>
      </w:pPr>
      <w:r>
        <w:t>Evaluation m</w:t>
      </w:r>
      <w:r w:rsidR="00802944" w:rsidRPr="00BD1C03">
        <w:t>ethodology</w:t>
      </w:r>
    </w:p>
    <w:p w14:paraId="77366A38" w14:textId="7366C6DB" w:rsidR="00802944" w:rsidRPr="00BD1C03" w:rsidRDefault="00802944" w:rsidP="00B13F20">
      <w:pPr>
        <w:pStyle w:val="Heading3"/>
      </w:pPr>
      <w:r w:rsidRPr="00BD1C03">
        <w:t>Team composition</w:t>
      </w:r>
    </w:p>
    <w:p w14:paraId="7D95DFB9" w14:textId="77777777" w:rsidR="00802944" w:rsidRPr="00BD1C03" w:rsidRDefault="00802944" w:rsidP="00802944">
      <w:r w:rsidRPr="00BD1C03">
        <w:t>The evaluation team is comprised of Amra Lee and Scott Rankin.</w:t>
      </w:r>
    </w:p>
    <w:p w14:paraId="79B4C64C" w14:textId="77777777" w:rsidR="00802944" w:rsidRPr="00BD1C03" w:rsidRDefault="00802944" w:rsidP="00802944">
      <w:pPr>
        <w:pStyle w:val="bullets0"/>
      </w:pPr>
      <w:r w:rsidRPr="00BD1C03">
        <w:t>Amra Lee (Humanitarian Protection Specialist) is an experienced protection practitioner and researcher who brings over 14 years’ experience working with a diverse range of protection actors and humanitarian contexts. This includes extensive engagement in protracted crises in the Middle East region from 2008 to present. While recruited as a Protection Specialist, Amra also brings specialist research and evaluation expertise in protection and participatory data collection methods.</w:t>
      </w:r>
    </w:p>
    <w:p w14:paraId="272848D2" w14:textId="77777777" w:rsidR="00802944" w:rsidRPr="00BD1C03" w:rsidRDefault="00802944" w:rsidP="00802944">
      <w:pPr>
        <w:pStyle w:val="bullets0"/>
      </w:pPr>
      <w:r w:rsidRPr="00BD1C03">
        <w:t xml:space="preserve">Scott Rankin (Humanitarian Evaluation Specialist) is an experienced evaluator who has worked in humanitarian and development evaluation across Asia, the Middle East, Africa and Latin America for the past 17 years. In recent years, Scott has led review of both DFAT’s Australia Middle East NGO Cooperation Agreement in the Occupied Palestinian Territories and Australian Humanitarian Partnership Rohingya Response programming, as well as evaluations in Iraq and Afghanistan. </w:t>
      </w:r>
    </w:p>
    <w:p w14:paraId="4F7E79D4" w14:textId="77777777" w:rsidR="00802944" w:rsidRPr="00BD1C03" w:rsidRDefault="00802944" w:rsidP="00802944">
      <w:r w:rsidRPr="00BD1C03">
        <w:t>Responsibility for data analysis, formulation of findings and recommendations, and the overall quality of all outputs lie with the evaluation team.</w:t>
      </w:r>
    </w:p>
    <w:p w14:paraId="4214962D" w14:textId="086AFFE1" w:rsidR="00802944" w:rsidRPr="00BD1C03" w:rsidRDefault="00802944" w:rsidP="00B13F20">
      <w:pPr>
        <w:pStyle w:val="Heading2"/>
      </w:pPr>
      <w:r w:rsidRPr="00BD1C03">
        <w:t>Methodology</w:t>
      </w:r>
    </w:p>
    <w:p w14:paraId="2AD22639" w14:textId="77777777" w:rsidR="00802944" w:rsidRPr="00BD1C03" w:rsidRDefault="00802944" w:rsidP="00802944">
      <w:r w:rsidRPr="00BD1C03">
        <w:t xml:space="preserve">The methodology for the evaluation is based upon ensuring a blend of qualitative and secondary quantitative evidence from which findings and conclusions can be reached with regards to the overall performance of DFAT’s Iraq Package. </w:t>
      </w:r>
    </w:p>
    <w:p w14:paraId="5B11256F" w14:textId="679FD19A" w:rsidR="00802944" w:rsidRPr="00BD1C03" w:rsidRDefault="00802944" w:rsidP="00802944">
      <w:r w:rsidRPr="00BD1C03">
        <w:t xml:space="preserve">An analytical framework is </w:t>
      </w:r>
      <w:r w:rsidR="000C03CE">
        <w:t>detailed below</w:t>
      </w:r>
      <w:r w:rsidRPr="00BD1C03">
        <w:t xml:space="preserve">, detailing the methods to be used to answer the specific evaluation questions and sub-questions detailed above, intended data sources, performance measures and the type of analysis required. </w:t>
      </w:r>
    </w:p>
    <w:p w14:paraId="3BD5ED2A" w14:textId="77777777" w:rsidR="00802944" w:rsidRPr="00BD1C03" w:rsidRDefault="00802944" w:rsidP="00802944">
      <w:r w:rsidRPr="00BD1C03">
        <w:t>Qualitative data will be sought through key informant interviews with a cross section of key stakeholders – internal (DFAT), Investment Partners, the Government of Iraq (</w:t>
      </w:r>
      <w:proofErr w:type="spellStart"/>
      <w:r w:rsidRPr="00BD1C03">
        <w:t>GoI</w:t>
      </w:r>
      <w:proofErr w:type="spellEnd"/>
      <w:r w:rsidRPr="00BD1C03">
        <w:t>), like-minded donors (US, UK, Germany) and local organisations. Being desk based, there will be no opportunity for consultations with affected populations. However, interviewing of Investment Partners will place focus on understanding their internal processes and operational accountability to affected populations measures. Interviews will also be undertaken with the protection cluster and AAP working group for triangulation purposes.</w:t>
      </w:r>
    </w:p>
    <w:p w14:paraId="18F835EF" w14:textId="02911970" w:rsidR="00802944" w:rsidRPr="00BD1C03" w:rsidRDefault="00802944" w:rsidP="00B13F20">
      <w:pPr>
        <w:pStyle w:val="bullets0"/>
        <w:numPr>
          <w:ilvl w:val="0"/>
          <w:numId w:val="0"/>
        </w:numPr>
        <w:ind w:left="357" w:hanging="357"/>
        <w:contextualSpacing w:val="0"/>
      </w:pPr>
      <w:r w:rsidRPr="00BD1C03">
        <w:t>Areas requiring detailed investigation can be summar</w:t>
      </w:r>
      <w:r w:rsidR="00B43345">
        <w:t>is</w:t>
      </w:r>
      <w:r w:rsidRPr="00BD1C03">
        <w:t>ed as:</w:t>
      </w:r>
    </w:p>
    <w:p w14:paraId="0539C4DB" w14:textId="77777777" w:rsidR="00802944" w:rsidRPr="00BD1C03" w:rsidRDefault="00802944" w:rsidP="00802944">
      <w:pPr>
        <w:pStyle w:val="bullets0"/>
      </w:pPr>
      <w:r w:rsidRPr="00BD1C03">
        <w:t xml:space="preserve">The relevance of the Iraq package to the bigger picture needs of the current context of Iraq, and the degree that investments align with coordination mechanisms; </w:t>
      </w:r>
    </w:p>
    <w:p w14:paraId="1441AD6C" w14:textId="77777777" w:rsidR="00802944" w:rsidRPr="00BD1C03" w:rsidRDefault="00802944" w:rsidP="00802944">
      <w:pPr>
        <w:pStyle w:val="bullets0"/>
      </w:pPr>
      <w:r w:rsidRPr="00BD1C03">
        <w:t>The degree that the approach has been responsive to changing circumstances;</w:t>
      </w:r>
    </w:p>
    <w:p w14:paraId="36A6D3FD" w14:textId="77777777" w:rsidR="00802944" w:rsidRPr="00BD1C03" w:rsidRDefault="00802944" w:rsidP="00802944">
      <w:pPr>
        <w:pStyle w:val="bullets0"/>
      </w:pPr>
      <w:r w:rsidRPr="00BD1C03">
        <w:t xml:space="preserve">The degree that protection issues, including age, gender and disability considerations, have been adequately addressed by Investment Partners; </w:t>
      </w:r>
    </w:p>
    <w:p w14:paraId="391F5CE3" w14:textId="77777777" w:rsidR="00802944" w:rsidRPr="00BD1C03" w:rsidRDefault="00802944" w:rsidP="00802944">
      <w:pPr>
        <w:pStyle w:val="bullets0"/>
      </w:pPr>
      <w:r w:rsidRPr="00BD1C03">
        <w:t>Whether the overall package has achieved an appropriate balance in terms of humanitarian, stabilisation and social cohesion programming;</w:t>
      </w:r>
    </w:p>
    <w:p w14:paraId="033B515A" w14:textId="77777777" w:rsidR="00802944" w:rsidRPr="00BD1C03" w:rsidRDefault="00802944" w:rsidP="00802944">
      <w:pPr>
        <w:pStyle w:val="bullets0"/>
      </w:pPr>
      <w:r w:rsidRPr="00BD1C03">
        <w:t>Whether package monitoring and evaluation systems are structured in such a way that they adequately capture key lessons learned, progress program understanding and help guide forward planning.</w:t>
      </w:r>
    </w:p>
    <w:p w14:paraId="15AC97DB" w14:textId="77777777" w:rsidR="00802944" w:rsidRPr="00BD1C03" w:rsidRDefault="00802944" w:rsidP="00802944">
      <w:r w:rsidRPr="00BD1C03">
        <w:t>The approach proposed for the evaluation builds off the foundation of a broad-based review of available documentation provided to the evaluation team by DFAT and HAG. This documentation covers important qualitative and quantitative information, including annual HAQC ratings, of relevance to the evaluation.</w:t>
      </w:r>
    </w:p>
    <w:p w14:paraId="194A5BD8" w14:textId="77777777" w:rsidR="00802944" w:rsidRPr="00BD1C03" w:rsidRDefault="00802944" w:rsidP="00802944">
      <w:r w:rsidRPr="00BD1C03">
        <w:t xml:space="preserve">Collectively, the evaluation team will work through a logical sequence of document review, evaluation planning, and interviewing of key informants. </w:t>
      </w:r>
    </w:p>
    <w:p w14:paraId="54B22930" w14:textId="77777777" w:rsidR="00802944" w:rsidRPr="00BD1C03" w:rsidRDefault="00802944" w:rsidP="00802944">
      <w:r w:rsidRPr="00BD1C03">
        <w:t>Given the nature of the Iraq crisis and the Australian response to it, the evaluation needs to balance following dimensions:</w:t>
      </w:r>
    </w:p>
    <w:p w14:paraId="51E2E75C" w14:textId="08007B83" w:rsidR="00802944" w:rsidRPr="00BD1C03" w:rsidRDefault="00802944" w:rsidP="00802944">
      <w:pPr>
        <w:pStyle w:val="bullets0"/>
      </w:pPr>
      <w:r w:rsidRPr="00BD1C03">
        <w:t>Impact of the context (e</w:t>
      </w:r>
      <w:r w:rsidR="003B5FE9">
        <w:t>.</w:t>
      </w:r>
      <w:r w:rsidRPr="00BD1C03">
        <w:t>g</w:t>
      </w:r>
      <w:r w:rsidR="003B5FE9">
        <w:t>.</w:t>
      </w:r>
      <w:r w:rsidRPr="00BD1C03">
        <w:t xml:space="preserve"> political and security developments) and humanitarian access on the achievement of package goals including returns;</w:t>
      </w:r>
    </w:p>
    <w:p w14:paraId="08D294DC" w14:textId="4CC3F3E8" w:rsidR="00802944" w:rsidRPr="00BD1C03" w:rsidRDefault="00802944" w:rsidP="00802944">
      <w:pPr>
        <w:pStyle w:val="bullets0"/>
      </w:pPr>
      <w:r w:rsidRPr="00BD1C03">
        <w:t>Appropriately managing different levels of depth and attribution in terms of accountability and reporting coming from the investment partners (e</w:t>
      </w:r>
      <w:r w:rsidR="003B5FE9">
        <w:t>.</w:t>
      </w:r>
      <w:r w:rsidRPr="00BD1C03">
        <w:t>g</w:t>
      </w:r>
      <w:r w:rsidR="003B5FE9">
        <w:t>.</w:t>
      </w:r>
      <w:r w:rsidRPr="00BD1C03">
        <w:t xml:space="preserve"> NGOs, UN, ICRC);</w:t>
      </w:r>
    </w:p>
    <w:p w14:paraId="11A566A2" w14:textId="70816647" w:rsidR="00802944" w:rsidRPr="00BD1C03" w:rsidRDefault="00802944" w:rsidP="00802944">
      <w:pPr>
        <w:pStyle w:val="bullets0"/>
      </w:pPr>
      <w:r w:rsidRPr="00BD1C03">
        <w:t>Reach meaningful conclusions in relation to the protection and accountability needs of affected populations given the evaluation team’s lack of access to the field and beneficiaries</w:t>
      </w:r>
      <w:r w:rsidR="00C0632A">
        <w:t>.</w:t>
      </w:r>
    </w:p>
    <w:p w14:paraId="115F1CDC" w14:textId="77777777" w:rsidR="00802944" w:rsidRPr="00BD1C03" w:rsidRDefault="00802944" w:rsidP="00802944">
      <w:r w:rsidRPr="00BD1C03">
        <w:t xml:space="preserve">An initial feedback session will occur on 31 March to detail initial findings of the evaluation team. </w:t>
      </w:r>
    </w:p>
    <w:p w14:paraId="08E2ECC2" w14:textId="6482A2D6" w:rsidR="00802944" w:rsidRPr="00BD1C03" w:rsidRDefault="00802944" w:rsidP="00B13F20">
      <w:pPr>
        <w:pStyle w:val="Heading2"/>
      </w:pPr>
      <w:r w:rsidRPr="00BD1C03">
        <w:t>Evaluation tools</w:t>
      </w:r>
    </w:p>
    <w:p w14:paraId="04A170DF" w14:textId="21CBF054" w:rsidR="00802944" w:rsidRPr="00BD1C03" w:rsidRDefault="00802944" w:rsidP="00802944">
      <w:r w:rsidRPr="00BD1C03">
        <w:t xml:space="preserve">Given the review is desk based, a literature review and key informant interviews (KII) will </w:t>
      </w:r>
      <w:r w:rsidR="000030EF">
        <w:t>be the primary techniques util</w:t>
      </w:r>
      <w:r w:rsidR="00B43345">
        <w:t>is</w:t>
      </w:r>
      <w:r w:rsidRPr="00BD1C03">
        <w:t>ed by the evaluation team. An interview guide has been drafted (</w:t>
      </w:r>
      <w:r w:rsidR="000C03CE">
        <w:t>see below</w:t>
      </w:r>
      <w:r w:rsidRPr="00BD1C03">
        <w:t xml:space="preserve">) based on the Analytical Framework to guide each key informant interview and ensure alignment with the agreed evaluation questions. Questions will be tailored for the specific key KII: </w:t>
      </w:r>
    </w:p>
    <w:p w14:paraId="4073DCCD" w14:textId="77777777" w:rsidR="00802944" w:rsidRPr="00BD1C03" w:rsidRDefault="00802944" w:rsidP="00802944">
      <w:pPr>
        <w:pStyle w:val="bullets0"/>
      </w:pPr>
      <w:r w:rsidRPr="00BD1C03">
        <w:t>Internally focused interviewees (DFAT);</w:t>
      </w:r>
    </w:p>
    <w:p w14:paraId="37EA6A62" w14:textId="77777777" w:rsidR="00802944" w:rsidRPr="00BD1C03" w:rsidRDefault="00802944" w:rsidP="00802944">
      <w:pPr>
        <w:pStyle w:val="bullets0"/>
      </w:pPr>
      <w:r w:rsidRPr="00BD1C03">
        <w:t>Investment partners;</w:t>
      </w:r>
    </w:p>
    <w:p w14:paraId="36FFF723" w14:textId="60B0B847" w:rsidR="00802944" w:rsidRPr="00BD1C03" w:rsidRDefault="00802944" w:rsidP="00802944">
      <w:pPr>
        <w:pStyle w:val="bullets0"/>
      </w:pPr>
      <w:r w:rsidRPr="00BD1C03">
        <w:t xml:space="preserve">Externally focused interviewees (Donors, </w:t>
      </w:r>
      <w:proofErr w:type="spellStart"/>
      <w:r w:rsidRPr="00BD1C03">
        <w:t>GoI</w:t>
      </w:r>
      <w:proofErr w:type="spellEnd"/>
      <w:r w:rsidRPr="00BD1C03">
        <w:t>, and</w:t>
      </w:r>
      <w:r w:rsidR="00832421">
        <w:t xml:space="preserve"> local partners/ civil society).</w:t>
      </w:r>
    </w:p>
    <w:p w14:paraId="14B8C2C6" w14:textId="77777777" w:rsidR="00802944" w:rsidRPr="00BD1C03" w:rsidRDefault="00802944" w:rsidP="00802944">
      <w:r w:rsidRPr="00BD1C03">
        <w:t>Questions related to the protection, gender and disability inclusion dimensions of the Iraq Package will be asked of all interviewees with more specific probes for those with dedicated programs and expertise.</w:t>
      </w:r>
    </w:p>
    <w:p w14:paraId="0F14DD3B" w14:textId="77777777" w:rsidR="00802944" w:rsidRPr="00BD1C03" w:rsidRDefault="00802944" w:rsidP="00802944">
      <w:r w:rsidRPr="00BD1C03">
        <w:t>KIIs will be undertaken in a semi-structured manner that is responsive to the context and expertise of the informant and encouraging of additional information that may be relevant.</w:t>
      </w:r>
    </w:p>
    <w:p w14:paraId="2E77D5DC" w14:textId="703F4783" w:rsidR="00802944" w:rsidRPr="00BD1C03" w:rsidRDefault="00802944" w:rsidP="00B13F20">
      <w:pPr>
        <w:pStyle w:val="Heading2"/>
      </w:pPr>
      <w:r w:rsidRPr="00BD1C03">
        <w:t>Data management</w:t>
      </w:r>
    </w:p>
    <w:p w14:paraId="46541FF4" w14:textId="77777777" w:rsidR="00802944" w:rsidRPr="00BD1C03" w:rsidRDefault="00802944" w:rsidP="00802944">
      <w:r w:rsidRPr="00BD1C03">
        <w:t xml:space="preserve">It is expected that key informant interviewing will primarily bring forth qualitative data. It is not feasible or possible for the evaluation to gather primary quantitative data. Instead, the evaluation will draw on quantitative data from secondary sources, including that compiled by HAG as part of the M&amp;E support to the package. </w:t>
      </w:r>
    </w:p>
    <w:p w14:paraId="245AB4F9" w14:textId="77777777" w:rsidR="00802944" w:rsidRPr="00BD1C03" w:rsidRDefault="00802944" w:rsidP="00802944">
      <w:r w:rsidRPr="00BD1C03">
        <w:t xml:space="preserve">Interviews will be initially recorded through note taking, with key points captured within an evidence matrix against different evaluation questions. The evidence matrix will indicate the data and data sources which support the narrative result for each evaluation question and sub-question. This matrix will be used to assemble findings and guide report writing. </w:t>
      </w:r>
    </w:p>
    <w:p w14:paraId="46DD8C6C" w14:textId="781A8B67" w:rsidR="00802944" w:rsidRPr="00BD1C03" w:rsidRDefault="00802944" w:rsidP="00B13F20">
      <w:pPr>
        <w:pStyle w:val="Heading2"/>
      </w:pPr>
      <w:r w:rsidRPr="00BD1C03">
        <w:t>Sampling strategy</w:t>
      </w:r>
    </w:p>
    <w:p w14:paraId="3C60EE84" w14:textId="77777777" w:rsidR="00802944" w:rsidRPr="00BD1C03" w:rsidRDefault="00802944" w:rsidP="00802944">
      <w:r w:rsidRPr="00BD1C03">
        <w:t xml:space="preserve">The evaluation will use a purposive sampling approach, though the degree to which this can be thorough is restricted by the limited time available for the evaluation. </w:t>
      </w:r>
    </w:p>
    <w:p w14:paraId="6DAB0B47" w14:textId="1EB04102" w:rsidR="00802944" w:rsidRPr="00BD1C03" w:rsidRDefault="00802944" w:rsidP="00802944">
      <w:r w:rsidRPr="00BD1C03">
        <w:t xml:space="preserve">An indicative list of key informant interviewees can be found </w:t>
      </w:r>
      <w:r w:rsidR="000C03CE">
        <w:t xml:space="preserve">below and it </w:t>
      </w:r>
      <w:r w:rsidRPr="00BD1C03">
        <w:t>includes:</w:t>
      </w:r>
    </w:p>
    <w:p w14:paraId="55DC8E04" w14:textId="77777777" w:rsidR="00802944" w:rsidRPr="00BD1C03" w:rsidRDefault="00802944" w:rsidP="00802944">
      <w:pPr>
        <w:pStyle w:val="bullets0"/>
      </w:pPr>
      <w:r w:rsidRPr="00BD1C03">
        <w:t>NGO consortium lead and members (Save the Children, NRC, Humanity &amp; Inclusion, Care)</w:t>
      </w:r>
    </w:p>
    <w:p w14:paraId="09410699" w14:textId="77777777" w:rsidR="00802944" w:rsidRPr="00BD1C03" w:rsidRDefault="00802944" w:rsidP="00802944">
      <w:pPr>
        <w:pStyle w:val="bullets0"/>
      </w:pPr>
      <w:r w:rsidRPr="00BD1C03">
        <w:t>UN agencies (UNDP, UNFPA, IOM, UNMAS, UNICEF)</w:t>
      </w:r>
    </w:p>
    <w:p w14:paraId="1EA6D893" w14:textId="77777777" w:rsidR="00802944" w:rsidRPr="00BD1C03" w:rsidRDefault="00802944" w:rsidP="00802944">
      <w:pPr>
        <w:pStyle w:val="bullets0"/>
      </w:pPr>
      <w:r w:rsidRPr="00BD1C03">
        <w:t>ICRC</w:t>
      </w:r>
    </w:p>
    <w:p w14:paraId="01CF53B3" w14:textId="77777777" w:rsidR="00802944" w:rsidRPr="00BD1C03" w:rsidRDefault="00802944" w:rsidP="00802944">
      <w:pPr>
        <w:pStyle w:val="bullets0"/>
      </w:pPr>
      <w:r w:rsidRPr="00BD1C03">
        <w:t>Relevant DFAT staff in Canberra and at post</w:t>
      </w:r>
    </w:p>
    <w:p w14:paraId="09CABAC5" w14:textId="77777777" w:rsidR="00802944" w:rsidRPr="00BD1C03" w:rsidRDefault="00802944" w:rsidP="00802944">
      <w:pPr>
        <w:pStyle w:val="bullets0"/>
      </w:pPr>
      <w:r w:rsidRPr="00BD1C03">
        <w:t>Whole of government partners (ADF)</w:t>
      </w:r>
    </w:p>
    <w:p w14:paraId="416BC8A6" w14:textId="77777777" w:rsidR="00802944" w:rsidRPr="00BD1C03" w:rsidRDefault="00802944" w:rsidP="00802944">
      <w:pPr>
        <w:pStyle w:val="bullets0"/>
      </w:pPr>
      <w:r w:rsidRPr="00BD1C03">
        <w:t>Third party informants (coordinating bodies, working groups, WPS civil society representatives)</w:t>
      </w:r>
    </w:p>
    <w:p w14:paraId="5EFD51CC" w14:textId="77777777" w:rsidR="00802944" w:rsidRPr="00BD1C03" w:rsidRDefault="00802944" w:rsidP="00802944">
      <w:pPr>
        <w:pStyle w:val="bullets0"/>
      </w:pPr>
      <w:r w:rsidRPr="00BD1C03">
        <w:t>Like-minded donors (UK, US, Germany)</w:t>
      </w:r>
    </w:p>
    <w:p w14:paraId="5C8E9572" w14:textId="2DEBA1FB" w:rsidR="006317EC" w:rsidRPr="00BD1C03" w:rsidRDefault="006317EC" w:rsidP="00B13F20">
      <w:pPr>
        <w:pStyle w:val="Heading2"/>
      </w:pPr>
      <w:r w:rsidRPr="00BD1C03">
        <w:t>Risk and limitations</w:t>
      </w:r>
    </w:p>
    <w:p w14:paraId="0230761B" w14:textId="20C0E765" w:rsidR="006317EC" w:rsidRPr="00BD1C03" w:rsidRDefault="006317EC" w:rsidP="00832421">
      <w:r w:rsidRPr="00BD1C03">
        <w:t>The primary risks and limitations associated with this Evaluation relate to the limited time avai</w:t>
      </w:r>
      <w:r w:rsidR="00832421">
        <w:t>lable and lack of field access.</w:t>
      </w:r>
    </w:p>
    <w:tbl>
      <w:tblPr>
        <w:tblStyle w:val="GridTable1Light-Accent31"/>
        <w:tblW w:w="9302" w:type="dxa"/>
        <w:tblLook w:val="04A0" w:firstRow="1" w:lastRow="0" w:firstColumn="1" w:lastColumn="0" w:noHBand="0" w:noVBand="1"/>
      </w:tblPr>
      <w:tblGrid>
        <w:gridCol w:w="2818"/>
        <w:gridCol w:w="3309"/>
        <w:gridCol w:w="3175"/>
      </w:tblGrid>
      <w:tr w:rsidR="006317EC" w:rsidRPr="00BD1C03" w14:paraId="2002DA21" w14:textId="77777777" w:rsidTr="0059614C">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818" w:type="dxa"/>
            <w:tcBorders>
              <w:bottom w:val="single" w:sz="4" w:space="0" w:color="4F6228" w:themeColor="accent3" w:themeShade="80"/>
            </w:tcBorders>
          </w:tcPr>
          <w:p w14:paraId="0CDC6020" w14:textId="77777777" w:rsidR="006317EC" w:rsidRPr="0038210E" w:rsidRDefault="006317EC" w:rsidP="00672968">
            <w:pPr>
              <w:rPr>
                <w:bCs w:val="0"/>
                <w:sz w:val="24"/>
              </w:rPr>
            </w:pPr>
            <w:r w:rsidRPr="0038210E">
              <w:rPr>
                <w:bCs w:val="0"/>
                <w:sz w:val="24"/>
              </w:rPr>
              <w:t>Risk or Limitation</w:t>
            </w:r>
          </w:p>
        </w:tc>
        <w:tc>
          <w:tcPr>
            <w:tcW w:w="3309" w:type="dxa"/>
            <w:tcBorders>
              <w:bottom w:val="single" w:sz="4" w:space="0" w:color="4F6228" w:themeColor="accent3" w:themeShade="80"/>
            </w:tcBorders>
          </w:tcPr>
          <w:p w14:paraId="7D6064CB" w14:textId="77777777" w:rsidR="006317EC" w:rsidRPr="0038210E" w:rsidRDefault="006317EC" w:rsidP="00672968">
            <w:pPr>
              <w:cnfStyle w:val="100000000000" w:firstRow="1" w:lastRow="0" w:firstColumn="0" w:lastColumn="0" w:oddVBand="0" w:evenVBand="0" w:oddHBand="0" w:evenHBand="0" w:firstRowFirstColumn="0" w:firstRowLastColumn="0" w:lastRowFirstColumn="0" w:lastRowLastColumn="0"/>
              <w:rPr>
                <w:bCs w:val="0"/>
                <w:sz w:val="24"/>
              </w:rPr>
            </w:pPr>
            <w:r w:rsidRPr="0038210E">
              <w:rPr>
                <w:bCs w:val="0"/>
                <w:sz w:val="24"/>
              </w:rPr>
              <w:t>Potential impact on the review</w:t>
            </w:r>
          </w:p>
        </w:tc>
        <w:tc>
          <w:tcPr>
            <w:tcW w:w="3175" w:type="dxa"/>
            <w:tcBorders>
              <w:bottom w:val="single" w:sz="4" w:space="0" w:color="4F6228" w:themeColor="accent3" w:themeShade="80"/>
            </w:tcBorders>
          </w:tcPr>
          <w:p w14:paraId="7607B049" w14:textId="77777777" w:rsidR="006317EC" w:rsidRPr="0038210E" w:rsidRDefault="006317EC" w:rsidP="00672968">
            <w:pPr>
              <w:cnfStyle w:val="100000000000" w:firstRow="1" w:lastRow="0" w:firstColumn="0" w:lastColumn="0" w:oddVBand="0" w:evenVBand="0" w:oddHBand="0" w:evenHBand="0" w:firstRowFirstColumn="0" w:firstRowLastColumn="0" w:lastRowFirstColumn="0" w:lastRowLastColumn="0"/>
              <w:rPr>
                <w:bCs w:val="0"/>
              </w:rPr>
            </w:pPr>
            <w:r w:rsidRPr="0038210E">
              <w:rPr>
                <w:bCs w:val="0"/>
                <w:sz w:val="24"/>
              </w:rPr>
              <w:t>How it will be managed</w:t>
            </w:r>
          </w:p>
        </w:tc>
      </w:tr>
      <w:tr w:rsidR="006317EC" w:rsidRPr="00BD1C03" w14:paraId="72BA7C89" w14:textId="77777777" w:rsidTr="001E55CB">
        <w:trPr>
          <w:trHeight w:val="20"/>
        </w:trPr>
        <w:tc>
          <w:tcPr>
            <w:cnfStyle w:val="001000000000" w:firstRow="0" w:lastRow="0" w:firstColumn="1" w:lastColumn="0" w:oddVBand="0" w:evenVBand="0" w:oddHBand="0" w:evenHBand="0" w:firstRowFirstColumn="0" w:firstRowLastColumn="0" w:lastRowFirstColumn="0" w:lastRowLastColumn="0"/>
            <w:tcW w:w="2818" w:type="dxa"/>
          </w:tcPr>
          <w:p w14:paraId="2876F656" w14:textId="77777777" w:rsidR="006317EC" w:rsidRPr="00BD1C03" w:rsidRDefault="006317EC" w:rsidP="000B357D">
            <w:r w:rsidRPr="00BD1C03">
              <w:t>Limited time available to the evaluation</w:t>
            </w:r>
          </w:p>
        </w:tc>
        <w:tc>
          <w:tcPr>
            <w:tcW w:w="3309" w:type="dxa"/>
          </w:tcPr>
          <w:p w14:paraId="76D50C9E" w14:textId="77777777" w:rsidR="006317EC" w:rsidRPr="00BD1C03" w:rsidRDefault="006317EC" w:rsidP="00672968">
            <w:pPr>
              <w:cnfStyle w:val="000000000000" w:firstRow="0" w:lastRow="0" w:firstColumn="0" w:lastColumn="0" w:oddVBand="0" w:evenVBand="0" w:oddHBand="0" w:evenHBand="0" w:firstRowFirstColumn="0" w:firstRowLastColumn="0" w:lastRowFirstColumn="0" w:lastRowLastColumn="0"/>
            </w:pPr>
            <w:r w:rsidRPr="00BD1C03">
              <w:t>Depth of investigation of the performance of individual Australian activities</w:t>
            </w:r>
          </w:p>
        </w:tc>
        <w:tc>
          <w:tcPr>
            <w:tcW w:w="3175" w:type="dxa"/>
          </w:tcPr>
          <w:p w14:paraId="6651FF42" w14:textId="63E9A61B" w:rsidR="006317EC" w:rsidRPr="00BD1C03" w:rsidRDefault="006317EC" w:rsidP="00672968">
            <w:pPr>
              <w:cnfStyle w:val="000000000000" w:firstRow="0" w:lastRow="0" w:firstColumn="0" w:lastColumn="0" w:oddVBand="0" w:evenVBand="0" w:oddHBand="0" w:evenHBand="0" w:firstRowFirstColumn="0" w:firstRowLastColumn="0" w:lastRowFirstColumn="0" w:lastRowLastColumn="0"/>
            </w:pPr>
            <w:r w:rsidRPr="00BD1C03">
              <w:t>Work to triangulate findings through strategic identification of third parties able to comment with authority</w:t>
            </w:r>
          </w:p>
        </w:tc>
      </w:tr>
      <w:tr w:rsidR="006317EC" w:rsidRPr="00BD1C03" w14:paraId="768B96B9" w14:textId="77777777" w:rsidTr="001E55CB">
        <w:trPr>
          <w:trHeight w:val="20"/>
        </w:trPr>
        <w:tc>
          <w:tcPr>
            <w:cnfStyle w:val="001000000000" w:firstRow="0" w:lastRow="0" w:firstColumn="1" w:lastColumn="0" w:oddVBand="0" w:evenVBand="0" w:oddHBand="0" w:evenHBand="0" w:firstRowFirstColumn="0" w:firstRowLastColumn="0" w:lastRowFirstColumn="0" w:lastRowLastColumn="0"/>
            <w:tcW w:w="2818" w:type="dxa"/>
          </w:tcPr>
          <w:p w14:paraId="774893BE" w14:textId="77777777" w:rsidR="006317EC" w:rsidRPr="00BD1C03" w:rsidRDefault="006317EC" w:rsidP="000B357D">
            <w:r w:rsidRPr="00BD1C03">
              <w:t>Assessing program contribution at beneficiary level is complex given the number of actors involved</w:t>
            </w:r>
          </w:p>
        </w:tc>
        <w:tc>
          <w:tcPr>
            <w:tcW w:w="3309" w:type="dxa"/>
          </w:tcPr>
          <w:p w14:paraId="3658E985" w14:textId="77777777" w:rsidR="006317EC" w:rsidRPr="00BD1C03" w:rsidRDefault="006317EC" w:rsidP="00672968">
            <w:pPr>
              <w:cnfStyle w:val="000000000000" w:firstRow="0" w:lastRow="0" w:firstColumn="0" w:lastColumn="0" w:oddVBand="0" w:evenVBand="0" w:oddHBand="0" w:evenHBand="0" w:firstRowFirstColumn="0" w:firstRowLastColumn="0" w:lastRowFirstColumn="0" w:lastRowLastColumn="0"/>
            </w:pPr>
            <w:r w:rsidRPr="00BD1C03">
              <w:t>Confidence levels in attributing results could be limited</w:t>
            </w:r>
          </w:p>
        </w:tc>
        <w:tc>
          <w:tcPr>
            <w:tcW w:w="3175" w:type="dxa"/>
          </w:tcPr>
          <w:p w14:paraId="0C0352C9" w14:textId="77777777" w:rsidR="006317EC" w:rsidRPr="00BD1C03" w:rsidRDefault="006317EC" w:rsidP="00672968">
            <w:pPr>
              <w:cnfStyle w:val="000000000000" w:firstRow="0" w:lastRow="0" w:firstColumn="0" w:lastColumn="0" w:oddVBand="0" w:evenVBand="0" w:oddHBand="0" w:evenHBand="0" w:firstRowFirstColumn="0" w:firstRowLastColumn="0" w:lastRowFirstColumn="0" w:lastRowLastColumn="0"/>
            </w:pPr>
            <w:r w:rsidRPr="00BD1C03">
              <w:t>Efforts will be made to map different actors in target areas in order to understand issues of attribution</w:t>
            </w:r>
          </w:p>
        </w:tc>
      </w:tr>
      <w:tr w:rsidR="006317EC" w:rsidRPr="00BD1C03" w14:paraId="3B8BCDDC" w14:textId="77777777" w:rsidTr="001E55CB">
        <w:trPr>
          <w:trHeight w:val="20"/>
        </w:trPr>
        <w:tc>
          <w:tcPr>
            <w:cnfStyle w:val="001000000000" w:firstRow="0" w:lastRow="0" w:firstColumn="1" w:lastColumn="0" w:oddVBand="0" w:evenVBand="0" w:oddHBand="0" w:evenHBand="0" w:firstRowFirstColumn="0" w:firstRowLastColumn="0" w:lastRowFirstColumn="0" w:lastRowLastColumn="0"/>
            <w:tcW w:w="2818" w:type="dxa"/>
          </w:tcPr>
          <w:p w14:paraId="64222FC4" w14:textId="77777777" w:rsidR="006317EC" w:rsidRPr="00BD1C03" w:rsidRDefault="006317EC" w:rsidP="000B357D">
            <w:r w:rsidRPr="00BD1C03">
              <w:t>Lack of field access</w:t>
            </w:r>
          </w:p>
        </w:tc>
        <w:tc>
          <w:tcPr>
            <w:tcW w:w="3309" w:type="dxa"/>
          </w:tcPr>
          <w:p w14:paraId="0E8F5616" w14:textId="77777777" w:rsidR="006317EC" w:rsidRPr="00BD1C03" w:rsidRDefault="006317EC" w:rsidP="00672968">
            <w:pPr>
              <w:cnfStyle w:val="000000000000" w:firstRow="0" w:lastRow="0" w:firstColumn="0" w:lastColumn="0" w:oddVBand="0" w:evenVBand="0" w:oddHBand="0" w:evenHBand="0" w:firstRowFirstColumn="0" w:firstRowLastColumn="0" w:lastRowFirstColumn="0" w:lastRowLastColumn="0"/>
            </w:pPr>
            <w:r w:rsidRPr="00BD1C03">
              <w:t>Prevents observation and interaction with beneficiaries</w:t>
            </w:r>
          </w:p>
        </w:tc>
        <w:tc>
          <w:tcPr>
            <w:tcW w:w="3175" w:type="dxa"/>
          </w:tcPr>
          <w:p w14:paraId="2BE64257" w14:textId="77777777" w:rsidR="006317EC" w:rsidRPr="00BD1C03" w:rsidRDefault="006317EC" w:rsidP="00672968">
            <w:pPr>
              <w:cnfStyle w:val="000000000000" w:firstRow="0" w:lastRow="0" w:firstColumn="0" w:lastColumn="0" w:oddVBand="0" w:evenVBand="0" w:oddHBand="0" w:evenHBand="0" w:firstRowFirstColumn="0" w:firstRowLastColumn="0" w:lastRowFirstColumn="0" w:lastRowLastColumn="0"/>
            </w:pPr>
            <w:r w:rsidRPr="00BD1C03">
              <w:t>It remains a limitation with respect to AAP and protection</w:t>
            </w:r>
          </w:p>
        </w:tc>
      </w:tr>
      <w:tr w:rsidR="006317EC" w:rsidRPr="00BD1C03" w14:paraId="3830D9E3" w14:textId="77777777" w:rsidTr="001E55CB">
        <w:trPr>
          <w:trHeight w:val="20"/>
        </w:trPr>
        <w:tc>
          <w:tcPr>
            <w:cnfStyle w:val="001000000000" w:firstRow="0" w:lastRow="0" w:firstColumn="1" w:lastColumn="0" w:oddVBand="0" w:evenVBand="0" w:oddHBand="0" w:evenHBand="0" w:firstRowFirstColumn="0" w:firstRowLastColumn="0" w:lastRowFirstColumn="0" w:lastRowLastColumn="0"/>
            <w:tcW w:w="2818" w:type="dxa"/>
          </w:tcPr>
          <w:p w14:paraId="7D654AFB" w14:textId="77777777" w:rsidR="006317EC" w:rsidRPr="00BD1C03" w:rsidRDefault="006317EC" w:rsidP="000B357D">
            <w:r w:rsidRPr="00BD1C03">
              <w:t>Difficult to reach definitive conclusions regarding value for money</w:t>
            </w:r>
          </w:p>
        </w:tc>
        <w:tc>
          <w:tcPr>
            <w:tcW w:w="3309" w:type="dxa"/>
          </w:tcPr>
          <w:p w14:paraId="31FA8C20" w14:textId="77777777" w:rsidR="006317EC" w:rsidRPr="00BD1C03" w:rsidRDefault="006317EC" w:rsidP="00672968">
            <w:pPr>
              <w:cnfStyle w:val="000000000000" w:firstRow="0" w:lastRow="0" w:firstColumn="0" w:lastColumn="0" w:oddVBand="0" w:evenVBand="0" w:oddHBand="0" w:evenHBand="0" w:firstRowFirstColumn="0" w:firstRowLastColumn="0" w:lastRowFirstColumn="0" w:lastRowLastColumn="0"/>
            </w:pPr>
            <w:r w:rsidRPr="00BD1C03">
              <w:t>VFM conclusions lack rigour and validity</w:t>
            </w:r>
          </w:p>
        </w:tc>
        <w:tc>
          <w:tcPr>
            <w:tcW w:w="3175" w:type="dxa"/>
          </w:tcPr>
          <w:p w14:paraId="73DE74B9" w14:textId="5F5C61DD" w:rsidR="006317EC" w:rsidRPr="00BD1C03" w:rsidRDefault="006317EC" w:rsidP="00672968">
            <w:pPr>
              <w:cnfStyle w:val="000000000000" w:firstRow="0" w:lastRow="0" w:firstColumn="0" w:lastColumn="0" w:oddVBand="0" w:evenVBand="0" w:oddHBand="0" w:evenHBand="0" w:firstRowFirstColumn="0" w:firstRowLastColumn="0" w:lastRowFirstColumn="0" w:lastRowLastColumn="0"/>
            </w:pPr>
            <w:r w:rsidRPr="00BD1C03">
              <w:t>Undertake higher</w:t>
            </w:r>
            <w:r w:rsidR="000030EF">
              <w:t xml:space="preserve"> level analysis and contextual</w:t>
            </w:r>
            <w:r w:rsidR="00B43345">
              <w:t>is</w:t>
            </w:r>
            <w:r w:rsidRPr="00BD1C03">
              <w:t>e findings in terms of weaknesses of approach</w:t>
            </w:r>
          </w:p>
        </w:tc>
      </w:tr>
      <w:tr w:rsidR="006317EC" w:rsidRPr="00BD1C03" w14:paraId="2B66C614" w14:textId="77777777" w:rsidTr="001E55CB">
        <w:trPr>
          <w:trHeight w:val="20"/>
        </w:trPr>
        <w:tc>
          <w:tcPr>
            <w:cnfStyle w:val="001000000000" w:firstRow="0" w:lastRow="0" w:firstColumn="1" w:lastColumn="0" w:oddVBand="0" w:evenVBand="0" w:oddHBand="0" w:evenHBand="0" w:firstRowFirstColumn="0" w:firstRowLastColumn="0" w:lastRowFirstColumn="0" w:lastRowLastColumn="0"/>
            <w:tcW w:w="2818" w:type="dxa"/>
          </w:tcPr>
          <w:p w14:paraId="4523BCE5" w14:textId="77777777" w:rsidR="006317EC" w:rsidRPr="00BD1C03" w:rsidRDefault="006317EC" w:rsidP="000B357D">
            <w:r w:rsidRPr="00BD1C03">
              <w:t>Combination of humanitarian and stabilisation objectives</w:t>
            </w:r>
          </w:p>
        </w:tc>
        <w:tc>
          <w:tcPr>
            <w:tcW w:w="3309" w:type="dxa"/>
          </w:tcPr>
          <w:p w14:paraId="07127875" w14:textId="15963A78" w:rsidR="006317EC" w:rsidRPr="00BD1C03" w:rsidRDefault="006317EC" w:rsidP="00672968">
            <w:pPr>
              <w:cnfStyle w:val="000000000000" w:firstRow="0" w:lastRow="0" w:firstColumn="0" w:lastColumn="0" w:oddVBand="0" w:evenVBand="0" w:oddHBand="0" w:evenHBand="0" w:firstRowFirstColumn="0" w:firstRowLastColumn="0" w:lastRowFirstColumn="0" w:lastRowLastColumn="0"/>
            </w:pPr>
            <w:r w:rsidRPr="00BD1C03">
              <w:t>National interest considerations limited to stabilisation activities</w:t>
            </w:r>
          </w:p>
        </w:tc>
        <w:tc>
          <w:tcPr>
            <w:tcW w:w="3175" w:type="dxa"/>
          </w:tcPr>
          <w:p w14:paraId="6AA3DD1E" w14:textId="77777777" w:rsidR="006317EC" w:rsidRPr="00BD1C03" w:rsidRDefault="006317EC" w:rsidP="00672968">
            <w:pPr>
              <w:cnfStyle w:val="000000000000" w:firstRow="0" w:lastRow="0" w:firstColumn="0" w:lastColumn="0" w:oddVBand="0" w:evenVBand="0" w:oddHBand="0" w:evenHBand="0" w:firstRowFirstColumn="0" w:firstRowLastColumn="0" w:lastRowFirstColumn="0" w:lastRowLastColumn="0"/>
            </w:pPr>
            <w:r w:rsidRPr="00BD1C03">
              <w:t>Aim to delineate humanitarian and stabilisation objectives and results</w:t>
            </w:r>
          </w:p>
        </w:tc>
      </w:tr>
      <w:tr w:rsidR="006317EC" w:rsidRPr="00BD1C03" w14:paraId="37096B0A" w14:textId="77777777" w:rsidTr="001E55CB">
        <w:trPr>
          <w:trHeight w:val="20"/>
        </w:trPr>
        <w:tc>
          <w:tcPr>
            <w:cnfStyle w:val="001000000000" w:firstRow="0" w:lastRow="0" w:firstColumn="1" w:lastColumn="0" w:oddVBand="0" w:evenVBand="0" w:oddHBand="0" w:evenHBand="0" w:firstRowFirstColumn="0" w:firstRowLastColumn="0" w:lastRowFirstColumn="0" w:lastRowLastColumn="0"/>
            <w:tcW w:w="2818" w:type="dxa"/>
          </w:tcPr>
          <w:p w14:paraId="20C9C29C" w14:textId="77777777" w:rsidR="006317EC" w:rsidRPr="00BD1C03" w:rsidRDefault="006317EC" w:rsidP="000B357D">
            <w:r w:rsidRPr="00BD1C03">
              <w:t xml:space="preserve">Language issues will restrict team members capacity to interview </w:t>
            </w:r>
            <w:proofErr w:type="spellStart"/>
            <w:r w:rsidRPr="00BD1C03">
              <w:t>GoI</w:t>
            </w:r>
            <w:proofErr w:type="spellEnd"/>
            <w:r w:rsidRPr="00BD1C03">
              <w:t xml:space="preserve"> and local partners</w:t>
            </w:r>
          </w:p>
        </w:tc>
        <w:tc>
          <w:tcPr>
            <w:tcW w:w="3309" w:type="dxa"/>
          </w:tcPr>
          <w:p w14:paraId="773BB03D" w14:textId="7FF3C25C" w:rsidR="006317EC" w:rsidRPr="00BD1C03" w:rsidRDefault="006317EC" w:rsidP="00672968">
            <w:pPr>
              <w:cnfStyle w:val="000000000000" w:firstRow="0" w:lastRow="0" w:firstColumn="0" w:lastColumn="0" w:oddVBand="0" w:evenVBand="0" w:oddHBand="0" w:evenHBand="0" w:firstRowFirstColumn="0" w:firstRowLastColumn="0" w:lastRowFirstColumn="0" w:lastRowLastColumn="0"/>
            </w:pPr>
            <w:r w:rsidRPr="00BD1C03">
              <w:t xml:space="preserve">Input from </w:t>
            </w:r>
            <w:r w:rsidR="00C34AE5" w:rsidRPr="00BD1C03">
              <w:t>non-English</w:t>
            </w:r>
            <w:r w:rsidRPr="00BD1C03">
              <w:t xml:space="preserve"> speaking ke</w:t>
            </w:r>
            <w:r w:rsidR="00C34AE5">
              <w:t>y informants will be restricted</w:t>
            </w:r>
          </w:p>
        </w:tc>
        <w:tc>
          <w:tcPr>
            <w:tcW w:w="3175" w:type="dxa"/>
          </w:tcPr>
          <w:p w14:paraId="47E4FEA2" w14:textId="427A1E9D" w:rsidR="006317EC" w:rsidRPr="00BD1C03" w:rsidRDefault="006317EC" w:rsidP="00672968">
            <w:pPr>
              <w:cnfStyle w:val="000000000000" w:firstRow="0" w:lastRow="0" w:firstColumn="0" w:lastColumn="0" w:oddVBand="0" w:evenVBand="0" w:oddHBand="0" w:evenHBand="0" w:firstRowFirstColumn="0" w:firstRowLastColumn="0" w:lastRowFirstColumn="0" w:lastRowLastColumn="0"/>
            </w:pPr>
            <w:r w:rsidRPr="00BD1C03">
              <w:t>Util</w:t>
            </w:r>
            <w:r w:rsidR="00B43345">
              <w:t>is</w:t>
            </w:r>
            <w:r w:rsidRPr="00BD1C03">
              <w:t>e a trusted Arabic speaker to conduct interviews with a small number of Iraqi key informants</w:t>
            </w:r>
          </w:p>
        </w:tc>
      </w:tr>
    </w:tbl>
    <w:p w14:paraId="0C2E8961" w14:textId="4B22E354" w:rsidR="000B357D" w:rsidRPr="00BD1C03" w:rsidRDefault="000B357D">
      <w:pPr>
        <w:spacing w:after="0"/>
      </w:pPr>
    </w:p>
    <w:p w14:paraId="65EACAC3" w14:textId="4304DC74" w:rsidR="000B357D" w:rsidRPr="00BD1C03" w:rsidRDefault="00E50AD2" w:rsidP="00B13F20">
      <w:pPr>
        <w:pStyle w:val="Heading2"/>
      </w:pPr>
      <w:r>
        <w:t>Making evaluative j</w:t>
      </w:r>
      <w:r w:rsidR="000B357D" w:rsidRPr="00BD1C03">
        <w:t>udgements</w:t>
      </w:r>
    </w:p>
    <w:p w14:paraId="7B718E73" w14:textId="050ED523" w:rsidR="000B357D" w:rsidRPr="00BD1C03" w:rsidRDefault="000B357D" w:rsidP="000B357D">
      <w:r w:rsidRPr="00BD1C03">
        <w:t>Judgements made by the evaluation team will be directly supported by evidence that will be collated within the evidence matrix. The evaluation team will present judgments that are defensible based on the data and evidence collected and in line with the Analytical Framework.</w:t>
      </w:r>
    </w:p>
    <w:p w14:paraId="4E72DC65" w14:textId="014EF94C" w:rsidR="000B357D" w:rsidRPr="00BD1C03" w:rsidRDefault="00E50AD2" w:rsidP="00B13F20">
      <w:pPr>
        <w:pStyle w:val="Heading2"/>
      </w:pPr>
      <w:r>
        <w:t>Ethical i</w:t>
      </w:r>
      <w:r w:rsidR="000B357D" w:rsidRPr="00BD1C03">
        <w:t>ssues</w:t>
      </w:r>
    </w:p>
    <w:p w14:paraId="277DEA08" w14:textId="77777777" w:rsidR="000B357D" w:rsidRPr="00BD1C03" w:rsidRDefault="000B357D" w:rsidP="000B357D">
      <w:pPr>
        <w:sectPr w:rsidR="000B357D" w:rsidRPr="00BD1C03" w:rsidSect="00946077">
          <w:endnotePr>
            <w:numFmt w:val="decimal"/>
          </w:endnotePr>
          <w:type w:val="continuous"/>
          <w:pgSz w:w="11899" w:h="16838"/>
          <w:pgMar w:top="993" w:right="1418" w:bottom="993" w:left="1418" w:header="709" w:footer="709" w:gutter="0"/>
          <w:cols w:space="708"/>
          <w:titlePg/>
          <w:docGrid w:linePitch="360"/>
        </w:sectPr>
      </w:pPr>
      <w:r w:rsidRPr="00BD1C03">
        <w:t>Interviewee data used in the analysis will be de-identified both in the analysis and reporting phase. Findings and conclusions related to protection and AAP will be qualified with respect to the evaluation team’s lack of direct access to the field and beneficiaries.</w:t>
      </w:r>
    </w:p>
    <w:p w14:paraId="163A67BA" w14:textId="14963101" w:rsidR="00B2315B" w:rsidRPr="00BD1C03" w:rsidRDefault="00E50AD2" w:rsidP="00B13F20">
      <w:pPr>
        <w:pStyle w:val="Heading2"/>
        <w:rPr>
          <w:sz w:val="22"/>
        </w:rPr>
      </w:pPr>
      <w:bookmarkStart w:id="17" w:name="_Toc516417138"/>
      <w:r>
        <w:t>Analytical f</w:t>
      </w:r>
      <w:r w:rsidR="009B3F96" w:rsidRPr="00BD1C03">
        <w:t xml:space="preserve">ramework </w:t>
      </w:r>
      <w:bookmarkEnd w:id="17"/>
    </w:p>
    <w:tbl>
      <w:tblPr>
        <w:tblStyle w:val="GridTable1Light-Accent31"/>
        <w:tblW w:w="5473" w:type="pct"/>
        <w:tblLayout w:type="fixed"/>
        <w:tblLook w:val="04A0" w:firstRow="1" w:lastRow="0" w:firstColumn="1" w:lastColumn="0" w:noHBand="0" w:noVBand="1"/>
        <w:tblCaption w:val="Table 1"/>
      </w:tblPr>
      <w:tblGrid>
        <w:gridCol w:w="356"/>
        <w:gridCol w:w="2100"/>
        <w:gridCol w:w="1100"/>
        <w:gridCol w:w="1103"/>
        <w:gridCol w:w="1657"/>
        <w:gridCol w:w="2758"/>
      </w:tblGrid>
      <w:tr w:rsidR="00F15774" w:rsidRPr="00BD1C03" w14:paraId="2634BFCC" w14:textId="77777777" w:rsidTr="0038210E">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96" w:type="pct"/>
          </w:tcPr>
          <w:p w14:paraId="3D049D22" w14:textId="77777777" w:rsidR="00B2315B" w:rsidRPr="00BD1C03" w:rsidRDefault="00B2315B" w:rsidP="007D4E88">
            <w:pPr>
              <w:spacing w:afterLines="40" w:after="96"/>
              <w:rPr>
                <w:sz w:val="24"/>
              </w:rPr>
            </w:pPr>
          </w:p>
        </w:tc>
        <w:tc>
          <w:tcPr>
            <w:tcW w:w="1157" w:type="pct"/>
          </w:tcPr>
          <w:p w14:paraId="750CE562" w14:textId="77777777" w:rsidR="00B2315B" w:rsidRPr="00BD1C03" w:rsidRDefault="00B2315B" w:rsidP="007D4E88">
            <w:pPr>
              <w:spacing w:afterLines="40" w:after="96"/>
              <w:cnfStyle w:val="100000000000" w:firstRow="1" w:lastRow="0" w:firstColumn="0" w:lastColumn="0" w:oddVBand="0" w:evenVBand="0" w:oddHBand="0" w:evenHBand="0" w:firstRowFirstColumn="0" w:firstRowLastColumn="0" w:lastRowFirstColumn="0" w:lastRowLastColumn="0"/>
              <w:rPr>
                <w:sz w:val="24"/>
              </w:rPr>
            </w:pPr>
            <w:r w:rsidRPr="00BD1C03">
              <w:rPr>
                <w:sz w:val="24"/>
              </w:rPr>
              <w:t>Evaluation Questions and sub-questions</w:t>
            </w:r>
          </w:p>
        </w:tc>
        <w:tc>
          <w:tcPr>
            <w:tcW w:w="606" w:type="pct"/>
          </w:tcPr>
          <w:p w14:paraId="0AC8DE1C" w14:textId="75D396B7" w:rsidR="00B2315B" w:rsidRPr="00BD1C03" w:rsidRDefault="00B2315B" w:rsidP="007D4E88">
            <w:pPr>
              <w:spacing w:afterLines="40" w:after="96"/>
              <w:cnfStyle w:val="100000000000" w:firstRow="1" w:lastRow="0" w:firstColumn="0" w:lastColumn="0" w:oddVBand="0" w:evenVBand="0" w:oddHBand="0" w:evenHBand="0" w:firstRowFirstColumn="0" w:firstRowLastColumn="0" w:lastRowFirstColumn="0" w:lastRowLastColumn="0"/>
              <w:rPr>
                <w:sz w:val="24"/>
              </w:rPr>
            </w:pPr>
            <w:r w:rsidRPr="00BD1C03">
              <w:rPr>
                <w:sz w:val="24"/>
              </w:rPr>
              <w:t>Doc review</w:t>
            </w:r>
          </w:p>
        </w:tc>
        <w:tc>
          <w:tcPr>
            <w:tcW w:w="608" w:type="pct"/>
          </w:tcPr>
          <w:p w14:paraId="56FD953D" w14:textId="77777777" w:rsidR="00B2315B" w:rsidRPr="00BD1C03" w:rsidRDefault="00B2315B" w:rsidP="007D4E88">
            <w:pPr>
              <w:spacing w:afterLines="40" w:after="96"/>
              <w:cnfStyle w:val="100000000000" w:firstRow="1" w:lastRow="0" w:firstColumn="0" w:lastColumn="0" w:oddVBand="0" w:evenVBand="0" w:oddHBand="0" w:evenHBand="0" w:firstRowFirstColumn="0" w:firstRowLastColumn="0" w:lastRowFirstColumn="0" w:lastRowLastColumn="0"/>
              <w:rPr>
                <w:sz w:val="24"/>
              </w:rPr>
            </w:pPr>
            <w:r w:rsidRPr="00BD1C03">
              <w:rPr>
                <w:sz w:val="24"/>
              </w:rPr>
              <w:t>KII</w:t>
            </w:r>
          </w:p>
        </w:tc>
        <w:tc>
          <w:tcPr>
            <w:tcW w:w="913" w:type="pct"/>
          </w:tcPr>
          <w:p w14:paraId="5953206C" w14:textId="77777777" w:rsidR="00B2315B" w:rsidRPr="00BD1C03" w:rsidRDefault="00B2315B" w:rsidP="007D4E88">
            <w:pPr>
              <w:spacing w:afterLines="40" w:after="96"/>
              <w:cnfStyle w:val="100000000000" w:firstRow="1" w:lastRow="0" w:firstColumn="0" w:lastColumn="0" w:oddVBand="0" w:evenVBand="0" w:oddHBand="0" w:evenHBand="0" w:firstRowFirstColumn="0" w:firstRowLastColumn="0" w:lastRowFirstColumn="0" w:lastRowLastColumn="0"/>
              <w:rPr>
                <w:sz w:val="24"/>
              </w:rPr>
            </w:pPr>
            <w:r w:rsidRPr="00BD1C03">
              <w:rPr>
                <w:sz w:val="24"/>
              </w:rPr>
              <w:t>Specific Methods</w:t>
            </w:r>
          </w:p>
        </w:tc>
        <w:tc>
          <w:tcPr>
            <w:tcW w:w="1520" w:type="pct"/>
          </w:tcPr>
          <w:p w14:paraId="650FB236" w14:textId="77777777" w:rsidR="00B2315B" w:rsidRPr="00BD1C03" w:rsidRDefault="00B2315B" w:rsidP="007D4E88">
            <w:pPr>
              <w:spacing w:afterLines="40" w:after="96"/>
              <w:cnfStyle w:val="100000000000" w:firstRow="1" w:lastRow="0" w:firstColumn="0" w:lastColumn="0" w:oddVBand="0" w:evenVBand="0" w:oddHBand="0" w:evenHBand="0" w:firstRowFirstColumn="0" w:firstRowLastColumn="0" w:lastRowFirstColumn="0" w:lastRowLastColumn="0"/>
              <w:rPr>
                <w:sz w:val="24"/>
              </w:rPr>
            </w:pPr>
            <w:r w:rsidRPr="00BD1C03">
              <w:rPr>
                <w:sz w:val="24"/>
              </w:rPr>
              <w:t>Analysis Required</w:t>
            </w:r>
          </w:p>
        </w:tc>
      </w:tr>
      <w:tr w:rsidR="00B2315B" w:rsidRPr="00BD1C03" w14:paraId="5C9999B5" w14:textId="77777777" w:rsidTr="0038210E">
        <w:tc>
          <w:tcPr>
            <w:cnfStyle w:val="001000000000" w:firstRow="0" w:lastRow="0" w:firstColumn="1" w:lastColumn="0" w:oddVBand="0" w:evenVBand="0" w:oddHBand="0" w:evenHBand="0" w:firstRowFirstColumn="0" w:firstRowLastColumn="0" w:lastRowFirstColumn="0" w:lastRowLastColumn="0"/>
            <w:tcW w:w="5000" w:type="pct"/>
            <w:gridSpan w:val="6"/>
          </w:tcPr>
          <w:p w14:paraId="50AECA74" w14:textId="77777777" w:rsidR="00B2315B" w:rsidRPr="0038210E" w:rsidRDefault="00B2315B" w:rsidP="007D4E88">
            <w:pPr>
              <w:spacing w:afterLines="40" w:after="96"/>
              <w:rPr>
                <w:bCs w:val="0"/>
                <w:color w:val="76923C" w:themeColor="accent3" w:themeShade="BF"/>
              </w:rPr>
            </w:pPr>
            <w:r w:rsidRPr="0038210E">
              <w:rPr>
                <w:bCs w:val="0"/>
                <w:color w:val="4F6228" w:themeColor="accent3" w:themeShade="80"/>
              </w:rPr>
              <w:t>EQ 1 Is the package appropriate and relevant?</w:t>
            </w:r>
          </w:p>
        </w:tc>
      </w:tr>
      <w:tr w:rsidR="00F15774" w:rsidRPr="00BD1C03" w14:paraId="6CA13BC0" w14:textId="77777777" w:rsidTr="0038210E">
        <w:tc>
          <w:tcPr>
            <w:cnfStyle w:val="001000000000" w:firstRow="0" w:lastRow="0" w:firstColumn="1" w:lastColumn="0" w:oddVBand="0" w:evenVBand="0" w:oddHBand="0" w:evenHBand="0" w:firstRowFirstColumn="0" w:firstRowLastColumn="0" w:lastRowFirstColumn="0" w:lastRowLastColumn="0"/>
            <w:tcW w:w="196" w:type="pct"/>
          </w:tcPr>
          <w:p w14:paraId="0BAA9F3B" w14:textId="77777777" w:rsidR="00B2315B" w:rsidRPr="0038210E" w:rsidRDefault="00B2315B" w:rsidP="007D4E88">
            <w:pPr>
              <w:spacing w:afterLines="40" w:after="96"/>
              <w:rPr>
                <w:bCs w:val="0"/>
                <w:color w:val="4F6228" w:themeColor="accent3" w:themeShade="80"/>
              </w:rPr>
            </w:pPr>
            <w:r w:rsidRPr="0038210E">
              <w:rPr>
                <w:bCs w:val="0"/>
                <w:color w:val="4F6228" w:themeColor="accent3" w:themeShade="80"/>
              </w:rPr>
              <w:t>a</w:t>
            </w:r>
          </w:p>
        </w:tc>
        <w:tc>
          <w:tcPr>
            <w:tcW w:w="1157" w:type="pct"/>
          </w:tcPr>
          <w:p w14:paraId="2BAB522F" w14:textId="5149CF06"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highlight w:val="yellow"/>
              </w:rPr>
            </w:pPr>
            <w:r w:rsidRPr="00BD1C03">
              <w:t>Is there a clear link between end of program outcomes and needs and priorities of affected population?</w:t>
            </w:r>
          </w:p>
          <w:p w14:paraId="667C8DF1"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highlight w:val="yellow"/>
              </w:rPr>
            </w:pPr>
          </w:p>
        </w:tc>
        <w:tc>
          <w:tcPr>
            <w:tcW w:w="606" w:type="pct"/>
          </w:tcPr>
          <w:p w14:paraId="535E5195"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38210E">
              <w:rPr>
                <w:b/>
                <w:bCs/>
                <w:color w:val="4F6228" w:themeColor="accent3" w:themeShade="80"/>
              </w:rPr>
              <w:sym w:font="Wingdings 2" w:char="F050"/>
            </w:r>
          </w:p>
        </w:tc>
        <w:tc>
          <w:tcPr>
            <w:tcW w:w="608" w:type="pct"/>
          </w:tcPr>
          <w:p w14:paraId="646CA4B5"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38210E">
              <w:rPr>
                <w:b/>
                <w:bCs/>
                <w:color w:val="4F6228" w:themeColor="accent3" w:themeShade="80"/>
              </w:rPr>
              <w:sym w:font="Wingdings 2" w:char="F050"/>
            </w:r>
          </w:p>
        </w:tc>
        <w:tc>
          <w:tcPr>
            <w:tcW w:w="913" w:type="pct"/>
          </w:tcPr>
          <w:p w14:paraId="36F79CF4"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Document review</w:t>
            </w:r>
          </w:p>
          <w:p w14:paraId="544D1761"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Qualitative data analysis</w:t>
            </w:r>
          </w:p>
          <w:p w14:paraId="2C86BCCE"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Key informant interviewing (KII) with Investment partners</w:t>
            </w:r>
          </w:p>
          <w:p w14:paraId="4805F923"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KII with OCHA, UNDP,  local partners and civil society</w:t>
            </w:r>
          </w:p>
        </w:tc>
        <w:tc>
          <w:tcPr>
            <w:tcW w:w="1520" w:type="pct"/>
          </w:tcPr>
          <w:p w14:paraId="28338670"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Document and assess different approaches being employed and progress being achieved, including gap analysis</w:t>
            </w:r>
          </w:p>
          <w:p w14:paraId="5BB93E8B"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p>
        </w:tc>
      </w:tr>
      <w:tr w:rsidR="00F15774" w:rsidRPr="00BD1C03" w14:paraId="09979621" w14:textId="77777777" w:rsidTr="0038210E">
        <w:tc>
          <w:tcPr>
            <w:cnfStyle w:val="001000000000" w:firstRow="0" w:lastRow="0" w:firstColumn="1" w:lastColumn="0" w:oddVBand="0" w:evenVBand="0" w:oddHBand="0" w:evenHBand="0" w:firstRowFirstColumn="0" w:firstRowLastColumn="0" w:lastRowFirstColumn="0" w:lastRowLastColumn="0"/>
            <w:tcW w:w="196" w:type="pct"/>
          </w:tcPr>
          <w:p w14:paraId="007E2C1D" w14:textId="77777777" w:rsidR="00B2315B" w:rsidRPr="0038210E" w:rsidRDefault="00B2315B" w:rsidP="007D4E88">
            <w:pPr>
              <w:spacing w:afterLines="40" w:after="96"/>
              <w:rPr>
                <w:bCs w:val="0"/>
                <w:color w:val="4F6228" w:themeColor="accent3" w:themeShade="80"/>
              </w:rPr>
            </w:pPr>
            <w:r w:rsidRPr="0038210E">
              <w:rPr>
                <w:bCs w:val="0"/>
                <w:color w:val="4F6228" w:themeColor="accent3" w:themeShade="80"/>
              </w:rPr>
              <w:t>b</w:t>
            </w:r>
          </w:p>
        </w:tc>
        <w:tc>
          <w:tcPr>
            <w:tcW w:w="1157" w:type="pct"/>
          </w:tcPr>
          <w:p w14:paraId="036F15A7"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highlight w:val="yellow"/>
              </w:rPr>
            </w:pPr>
            <w:r w:rsidRPr="00BD1C03">
              <w:t>Did communities receive the assistance they most needed, when they most needed it, in a way that was most useful and accessible for them?</w:t>
            </w:r>
          </w:p>
        </w:tc>
        <w:tc>
          <w:tcPr>
            <w:tcW w:w="606" w:type="pct"/>
          </w:tcPr>
          <w:p w14:paraId="579E5539"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38210E">
              <w:rPr>
                <w:b/>
                <w:bCs/>
                <w:color w:val="4F6228" w:themeColor="accent3" w:themeShade="80"/>
              </w:rPr>
              <w:sym w:font="Wingdings 2" w:char="F050"/>
            </w:r>
          </w:p>
        </w:tc>
        <w:tc>
          <w:tcPr>
            <w:tcW w:w="608" w:type="pct"/>
          </w:tcPr>
          <w:p w14:paraId="703861D3"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38210E">
              <w:rPr>
                <w:b/>
                <w:bCs/>
                <w:color w:val="4F6228" w:themeColor="accent3" w:themeShade="80"/>
              </w:rPr>
              <w:sym w:font="Wingdings 2" w:char="F050"/>
            </w:r>
          </w:p>
        </w:tc>
        <w:tc>
          <w:tcPr>
            <w:tcW w:w="913" w:type="pct"/>
          </w:tcPr>
          <w:p w14:paraId="3E0DCEBE"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Document review</w:t>
            </w:r>
          </w:p>
          <w:p w14:paraId="32C128DD"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Qualitative data analysis</w:t>
            </w:r>
          </w:p>
          <w:p w14:paraId="374977F5"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KII with DFAT and Investment partners</w:t>
            </w:r>
          </w:p>
        </w:tc>
        <w:tc>
          <w:tcPr>
            <w:tcW w:w="1520" w:type="pct"/>
          </w:tcPr>
          <w:p w14:paraId="188BCB65"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Compare Australian approaches against needs assessments, sector standards and cluster/WG analysis</w:t>
            </w:r>
          </w:p>
          <w:p w14:paraId="4606AFEB"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p>
        </w:tc>
      </w:tr>
      <w:tr w:rsidR="00B2315B" w:rsidRPr="00BD1C03" w14:paraId="68B495D3" w14:textId="77777777" w:rsidTr="0038210E">
        <w:tc>
          <w:tcPr>
            <w:cnfStyle w:val="001000000000" w:firstRow="0" w:lastRow="0" w:firstColumn="1" w:lastColumn="0" w:oddVBand="0" w:evenVBand="0" w:oddHBand="0" w:evenHBand="0" w:firstRowFirstColumn="0" w:firstRowLastColumn="0" w:lastRowFirstColumn="0" w:lastRowLastColumn="0"/>
            <w:tcW w:w="5000" w:type="pct"/>
            <w:gridSpan w:val="6"/>
          </w:tcPr>
          <w:p w14:paraId="1767159B" w14:textId="77777777" w:rsidR="00B2315B" w:rsidRPr="0038210E" w:rsidRDefault="00B2315B" w:rsidP="007D4E88">
            <w:pPr>
              <w:spacing w:afterLines="40" w:after="96"/>
              <w:rPr>
                <w:color w:val="4F6228" w:themeColor="accent3" w:themeShade="80"/>
              </w:rPr>
            </w:pPr>
            <w:r w:rsidRPr="0038210E">
              <w:rPr>
                <w:color w:val="4F6228" w:themeColor="accent3" w:themeShade="80"/>
              </w:rPr>
              <w:t>EQ 2 Is the package effective?</w:t>
            </w:r>
          </w:p>
        </w:tc>
      </w:tr>
      <w:tr w:rsidR="00F15774" w:rsidRPr="00BD1C03" w14:paraId="6736BA02" w14:textId="77777777" w:rsidTr="0038210E">
        <w:tc>
          <w:tcPr>
            <w:cnfStyle w:val="001000000000" w:firstRow="0" w:lastRow="0" w:firstColumn="1" w:lastColumn="0" w:oddVBand="0" w:evenVBand="0" w:oddHBand="0" w:evenHBand="0" w:firstRowFirstColumn="0" w:firstRowLastColumn="0" w:lastRowFirstColumn="0" w:lastRowLastColumn="0"/>
            <w:tcW w:w="196" w:type="pct"/>
          </w:tcPr>
          <w:p w14:paraId="72E4BA88" w14:textId="77777777" w:rsidR="00B2315B" w:rsidRPr="0038210E" w:rsidRDefault="00B2315B" w:rsidP="007D4E88">
            <w:pPr>
              <w:spacing w:afterLines="40" w:after="96"/>
              <w:rPr>
                <w:bCs w:val="0"/>
                <w:color w:val="4F6228" w:themeColor="accent3" w:themeShade="80"/>
              </w:rPr>
            </w:pPr>
            <w:r w:rsidRPr="0038210E">
              <w:rPr>
                <w:bCs w:val="0"/>
                <w:color w:val="4F6228" w:themeColor="accent3" w:themeShade="80"/>
              </w:rPr>
              <w:t>a</w:t>
            </w:r>
          </w:p>
        </w:tc>
        <w:tc>
          <w:tcPr>
            <w:tcW w:w="1157" w:type="pct"/>
          </w:tcPr>
          <w:p w14:paraId="4BD4EF6A" w14:textId="1798011C"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Did the investment protect the safety, dignity and rights of affected people?</w:t>
            </w:r>
          </w:p>
          <w:p w14:paraId="42F180A9" w14:textId="3D6F402D"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Did investments make a difference in terms of gender equality and empowering women and girls?</w:t>
            </w:r>
          </w:p>
          <w:p w14:paraId="45E1B45A" w14:textId="6FFDD03E"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Did people with a disability    have equal access to partner programs and were their unique needs met?</w:t>
            </w:r>
          </w:p>
        </w:tc>
        <w:tc>
          <w:tcPr>
            <w:tcW w:w="606" w:type="pct"/>
          </w:tcPr>
          <w:p w14:paraId="7ED0BC2E"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38210E">
              <w:rPr>
                <w:b/>
                <w:bCs/>
                <w:color w:val="4F6228" w:themeColor="accent3" w:themeShade="80"/>
              </w:rPr>
              <w:sym w:font="Wingdings 2" w:char="F050"/>
            </w:r>
          </w:p>
          <w:p w14:paraId="28D02899"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p>
          <w:p w14:paraId="54B24109"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p>
          <w:p w14:paraId="5575CCBC"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p>
          <w:p w14:paraId="233C39AA"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p>
          <w:p w14:paraId="587D01C7"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38210E">
              <w:rPr>
                <w:b/>
                <w:bCs/>
                <w:color w:val="4F6228" w:themeColor="accent3" w:themeShade="80"/>
              </w:rPr>
              <w:sym w:font="Wingdings 2" w:char="F050"/>
            </w:r>
          </w:p>
          <w:p w14:paraId="4EBA1306"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p>
          <w:p w14:paraId="53789DF4"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p>
          <w:p w14:paraId="55506C23"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p>
          <w:p w14:paraId="09515408"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38210E">
              <w:rPr>
                <w:b/>
                <w:bCs/>
                <w:color w:val="4F6228" w:themeColor="accent3" w:themeShade="80"/>
              </w:rPr>
              <w:sym w:font="Wingdings 2" w:char="F050"/>
            </w:r>
          </w:p>
        </w:tc>
        <w:tc>
          <w:tcPr>
            <w:tcW w:w="608" w:type="pct"/>
          </w:tcPr>
          <w:p w14:paraId="10117E2B"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38210E">
              <w:rPr>
                <w:b/>
                <w:bCs/>
                <w:color w:val="4F6228" w:themeColor="accent3" w:themeShade="80"/>
              </w:rPr>
              <w:sym w:font="Wingdings 2" w:char="F050"/>
            </w:r>
          </w:p>
          <w:p w14:paraId="0A21E123"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p>
          <w:p w14:paraId="50C6A0F4"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p>
          <w:p w14:paraId="6F19950B"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38210E">
              <w:rPr>
                <w:b/>
                <w:bCs/>
                <w:color w:val="4F6228" w:themeColor="accent3" w:themeShade="80"/>
              </w:rPr>
              <w:sym w:font="Wingdings 2" w:char="F050"/>
            </w:r>
          </w:p>
          <w:p w14:paraId="4377B01F"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p>
          <w:p w14:paraId="2E491477" w14:textId="716FCE81"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38210E">
              <w:rPr>
                <w:b/>
                <w:bCs/>
                <w:color w:val="4F6228" w:themeColor="accent3" w:themeShade="80"/>
              </w:rPr>
              <w:sym w:font="Wingdings 2" w:char="F050"/>
            </w:r>
          </w:p>
          <w:p w14:paraId="44A2E309"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p>
          <w:p w14:paraId="37ECA6E3"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p>
        </w:tc>
        <w:tc>
          <w:tcPr>
            <w:tcW w:w="913" w:type="pct"/>
          </w:tcPr>
          <w:p w14:paraId="0CCB2B68"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Document review</w:t>
            </w:r>
          </w:p>
          <w:p w14:paraId="694CFF8F"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Qualitative data analysis</w:t>
            </w:r>
          </w:p>
          <w:p w14:paraId="49F4F56E"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KII with DFAT and investment partners</w:t>
            </w:r>
          </w:p>
          <w:p w14:paraId="557846B0" w14:textId="772AC8D1"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KII with third parties (PC, AAP WG, local partners and civil society)</w:t>
            </w:r>
          </w:p>
          <w:p w14:paraId="023CC3F4"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p>
        </w:tc>
        <w:tc>
          <w:tcPr>
            <w:tcW w:w="1520" w:type="pct"/>
          </w:tcPr>
          <w:p w14:paraId="70361E56"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Compare Australian approaches against Australian commitments and country level strategies (HCT, protection cluster, gender, SGBV and disability)</w:t>
            </w:r>
          </w:p>
        </w:tc>
      </w:tr>
      <w:tr w:rsidR="00F15774" w:rsidRPr="00BD1C03" w14:paraId="544F145B" w14:textId="77777777" w:rsidTr="0038210E">
        <w:tc>
          <w:tcPr>
            <w:cnfStyle w:val="001000000000" w:firstRow="0" w:lastRow="0" w:firstColumn="1" w:lastColumn="0" w:oddVBand="0" w:evenVBand="0" w:oddHBand="0" w:evenHBand="0" w:firstRowFirstColumn="0" w:firstRowLastColumn="0" w:lastRowFirstColumn="0" w:lastRowLastColumn="0"/>
            <w:tcW w:w="196" w:type="pct"/>
          </w:tcPr>
          <w:p w14:paraId="398ADDBB" w14:textId="77777777" w:rsidR="00B2315B" w:rsidRPr="0038210E" w:rsidRDefault="00B2315B" w:rsidP="007D4E88">
            <w:pPr>
              <w:spacing w:afterLines="40" w:after="96"/>
              <w:rPr>
                <w:bCs w:val="0"/>
                <w:color w:val="4F6228" w:themeColor="accent3" w:themeShade="80"/>
              </w:rPr>
            </w:pPr>
            <w:r w:rsidRPr="0038210E">
              <w:rPr>
                <w:bCs w:val="0"/>
                <w:color w:val="4F6228" w:themeColor="accent3" w:themeShade="80"/>
              </w:rPr>
              <w:t>b</w:t>
            </w:r>
          </w:p>
        </w:tc>
        <w:tc>
          <w:tcPr>
            <w:tcW w:w="1157" w:type="pct"/>
          </w:tcPr>
          <w:p w14:paraId="1F9EAD7E" w14:textId="1DFBC3C8"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To what extent have the end of program outcomes been achieved, most significant results, and are any unintended outcomes eventuating, either negative or positive?</w:t>
            </w:r>
          </w:p>
        </w:tc>
        <w:tc>
          <w:tcPr>
            <w:tcW w:w="606" w:type="pct"/>
          </w:tcPr>
          <w:p w14:paraId="25728302"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38210E">
              <w:rPr>
                <w:b/>
                <w:bCs/>
                <w:color w:val="4F6228" w:themeColor="accent3" w:themeShade="80"/>
              </w:rPr>
              <w:sym w:font="Wingdings 2" w:char="F050"/>
            </w:r>
          </w:p>
        </w:tc>
        <w:tc>
          <w:tcPr>
            <w:tcW w:w="608" w:type="pct"/>
          </w:tcPr>
          <w:p w14:paraId="35189B19"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38210E">
              <w:rPr>
                <w:b/>
                <w:bCs/>
                <w:color w:val="4F6228" w:themeColor="accent3" w:themeShade="80"/>
              </w:rPr>
              <w:sym w:font="Wingdings 2" w:char="F050"/>
            </w:r>
          </w:p>
        </w:tc>
        <w:tc>
          <w:tcPr>
            <w:tcW w:w="913" w:type="pct"/>
          </w:tcPr>
          <w:p w14:paraId="0C02F0D7"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Document review</w:t>
            </w:r>
          </w:p>
          <w:p w14:paraId="67DE2B04"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Qualitative data analysis</w:t>
            </w:r>
          </w:p>
          <w:p w14:paraId="51251A29" w14:textId="3F66E22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KII with DFAT and investment partners</w:t>
            </w:r>
          </w:p>
          <w:p w14:paraId="17696B57"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p>
        </w:tc>
        <w:tc>
          <w:tcPr>
            <w:tcW w:w="1520" w:type="pct"/>
          </w:tcPr>
          <w:p w14:paraId="4247B748"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Document and assess different approaches being employed and progress being achieved, including gap analysis</w:t>
            </w:r>
          </w:p>
        </w:tc>
      </w:tr>
      <w:tr w:rsidR="00F15774" w:rsidRPr="00BD1C03" w14:paraId="594BE24A" w14:textId="77777777" w:rsidTr="0038210E">
        <w:tc>
          <w:tcPr>
            <w:cnfStyle w:val="001000000000" w:firstRow="0" w:lastRow="0" w:firstColumn="1" w:lastColumn="0" w:oddVBand="0" w:evenVBand="0" w:oddHBand="0" w:evenHBand="0" w:firstRowFirstColumn="0" w:firstRowLastColumn="0" w:lastRowFirstColumn="0" w:lastRowLastColumn="0"/>
            <w:tcW w:w="196" w:type="pct"/>
          </w:tcPr>
          <w:p w14:paraId="78CCC0AB" w14:textId="77777777" w:rsidR="00B2315B" w:rsidRPr="0038210E" w:rsidRDefault="00B2315B" w:rsidP="007D4E88">
            <w:pPr>
              <w:spacing w:afterLines="40" w:after="96"/>
              <w:rPr>
                <w:bCs w:val="0"/>
                <w:color w:val="4F6228" w:themeColor="accent3" w:themeShade="80"/>
              </w:rPr>
            </w:pPr>
            <w:r w:rsidRPr="0038210E">
              <w:rPr>
                <w:bCs w:val="0"/>
                <w:color w:val="4F6228" w:themeColor="accent3" w:themeShade="80"/>
              </w:rPr>
              <w:t>c</w:t>
            </w:r>
          </w:p>
        </w:tc>
        <w:tc>
          <w:tcPr>
            <w:tcW w:w="1157" w:type="pct"/>
          </w:tcPr>
          <w:p w14:paraId="6208699D"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How adequate are DFAT’s M&amp;E practices to inform their management, and to enable them to assess the effectiveness and inclusion of their response? What would improve their M&amp;E practices?</w:t>
            </w:r>
          </w:p>
        </w:tc>
        <w:tc>
          <w:tcPr>
            <w:tcW w:w="606" w:type="pct"/>
          </w:tcPr>
          <w:p w14:paraId="77C891DC"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38210E">
              <w:rPr>
                <w:b/>
                <w:bCs/>
                <w:color w:val="4F6228" w:themeColor="accent3" w:themeShade="80"/>
              </w:rPr>
              <w:sym w:font="Wingdings 2" w:char="F050"/>
            </w:r>
          </w:p>
        </w:tc>
        <w:tc>
          <w:tcPr>
            <w:tcW w:w="608" w:type="pct"/>
          </w:tcPr>
          <w:p w14:paraId="64909F5A"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38210E">
              <w:rPr>
                <w:b/>
                <w:bCs/>
                <w:color w:val="4F6228" w:themeColor="accent3" w:themeShade="80"/>
              </w:rPr>
              <w:sym w:font="Wingdings 2" w:char="F050"/>
            </w:r>
          </w:p>
        </w:tc>
        <w:tc>
          <w:tcPr>
            <w:tcW w:w="913" w:type="pct"/>
          </w:tcPr>
          <w:p w14:paraId="1B3E3868"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Document review</w:t>
            </w:r>
          </w:p>
          <w:p w14:paraId="3D06B929"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Qualitative data analysis</w:t>
            </w:r>
          </w:p>
          <w:p w14:paraId="45FA2965"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KII with DFAT and investment partners</w:t>
            </w:r>
          </w:p>
          <w:p w14:paraId="2912D6D1"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KII with other donors</w:t>
            </w:r>
          </w:p>
        </w:tc>
        <w:tc>
          <w:tcPr>
            <w:tcW w:w="1520" w:type="pct"/>
          </w:tcPr>
          <w:p w14:paraId="52C7E292"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Document and assess different approaches being employed to assess effectiveness and inclusion</w:t>
            </w:r>
          </w:p>
        </w:tc>
      </w:tr>
      <w:tr w:rsidR="00B2315B" w:rsidRPr="00BD1C03" w14:paraId="42A3D8F6" w14:textId="77777777" w:rsidTr="0038210E">
        <w:tc>
          <w:tcPr>
            <w:cnfStyle w:val="001000000000" w:firstRow="0" w:lastRow="0" w:firstColumn="1" w:lastColumn="0" w:oddVBand="0" w:evenVBand="0" w:oddHBand="0" w:evenHBand="0" w:firstRowFirstColumn="0" w:firstRowLastColumn="0" w:lastRowFirstColumn="0" w:lastRowLastColumn="0"/>
            <w:tcW w:w="5000" w:type="pct"/>
            <w:gridSpan w:val="6"/>
          </w:tcPr>
          <w:p w14:paraId="4F351643" w14:textId="77777777" w:rsidR="00B2315B" w:rsidRPr="0038210E" w:rsidRDefault="00B2315B" w:rsidP="007D4E88">
            <w:pPr>
              <w:spacing w:afterLines="40" w:after="96"/>
              <w:rPr>
                <w:color w:val="4F6228" w:themeColor="accent3" w:themeShade="80"/>
              </w:rPr>
            </w:pPr>
            <w:r w:rsidRPr="0038210E">
              <w:rPr>
                <w:color w:val="4F6228" w:themeColor="accent3" w:themeShade="80"/>
              </w:rPr>
              <w:t>EQ 3.  How efficient is the package?</w:t>
            </w:r>
          </w:p>
        </w:tc>
      </w:tr>
      <w:tr w:rsidR="00F15774" w:rsidRPr="00BD1C03" w14:paraId="679A26DD" w14:textId="77777777" w:rsidTr="0038210E">
        <w:tc>
          <w:tcPr>
            <w:cnfStyle w:val="001000000000" w:firstRow="0" w:lastRow="0" w:firstColumn="1" w:lastColumn="0" w:oddVBand="0" w:evenVBand="0" w:oddHBand="0" w:evenHBand="0" w:firstRowFirstColumn="0" w:firstRowLastColumn="0" w:lastRowFirstColumn="0" w:lastRowLastColumn="0"/>
            <w:tcW w:w="196" w:type="pct"/>
          </w:tcPr>
          <w:p w14:paraId="22C7404B" w14:textId="77777777" w:rsidR="00B2315B" w:rsidRPr="0038210E" w:rsidRDefault="00B2315B" w:rsidP="007D4E88">
            <w:pPr>
              <w:spacing w:afterLines="40" w:after="96"/>
              <w:rPr>
                <w:bCs w:val="0"/>
                <w:color w:val="4F6228" w:themeColor="accent3" w:themeShade="80"/>
              </w:rPr>
            </w:pPr>
            <w:r w:rsidRPr="0038210E">
              <w:rPr>
                <w:bCs w:val="0"/>
                <w:color w:val="4F6228" w:themeColor="accent3" w:themeShade="80"/>
              </w:rPr>
              <w:t>a</w:t>
            </w:r>
          </w:p>
        </w:tc>
        <w:tc>
          <w:tcPr>
            <w:tcW w:w="1157" w:type="pct"/>
          </w:tcPr>
          <w:p w14:paraId="2A540D8F" w14:textId="45631240"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To what extent is the project being implemented according to agreed timelines and budgets?</w:t>
            </w:r>
          </w:p>
        </w:tc>
        <w:tc>
          <w:tcPr>
            <w:tcW w:w="606" w:type="pct"/>
          </w:tcPr>
          <w:p w14:paraId="7598FDDD"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38210E">
              <w:rPr>
                <w:b/>
                <w:bCs/>
                <w:color w:val="4F6228" w:themeColor="accent3" w:themeShade="80"/>
              </w:rPr>
              <w:sym w:font="Wingdings 2" w:char="F050"/>
            </w:r>
          </w:p>
        </w:tc>
        <w:tc>
          <w:tcPr>
            <w:tcW w:w="608" w:type="pct"/>
          </w:tcPr>
          <w:p w14:paraId="094FFC1A"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38210E">
              <w:rPr>
                <w:b/>
                <w:bCs/>
                <w:color w:val="4F6228" w:themeColor="accent3" w:themeShade="80"/>
              </w:rPr>
              <w:sym w:font="Wingdings 2" w:char="F050"/>
            </w:r>
          </w:p>
        </w:tc>
        <w:tc>
          <w:tcPr>
            <w:tcW w:w="913" w:type="pct"/>
          </w:tcPr>
          <w:p w14:paraId="5C872BD0"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Document review</w:t>
            </w:r>
          </w:p>
          <w:p w14:paraId="48A8B782"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KII with DFAT and investment partners</w:t>
            </w:r>
          </w:p>
        </w:tc>
        <w:tc>
          <w:tcPr>
            <w:tcW w:w="1520" w:type="pct"/>
          </w:tcPr>
          <w:p w14:paraId="0B94D41E" w14:textId="0FF6D0A5"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Document and assess different approaches being employed against initial agreements</w:t>
            </w:r>
          </w:p>
        </w:tc>
      </w:tr>
      <w:tr w:rsidR="00F15774" w:rsidRPr="00BD1C03" w14:paraId="72FBBFF0" w14:textId="77777777" w:rsidTr="0038210E">
        <w:tc>
          <w:tcPr>
            <w:cnfStyle w:val="001000000000" w:firstRow="0" w:lastRow="0" w:firstColumn="1" w:lastColumn="0" w:oddVBand="0" w:evenVBand="0" w:oddHBand="0" w:evenHBand="0" w:firstRowFirstColumn="0" w:firstRowLastColumn="0" w:lastRowFirstColumn="0" w:lastRowLastColumn="0"/>
            <w:tcW w:w="196" w:type="pct"/>
          </w:tcPr>
          <w:p w14:paraId="1FD1CD52" w14:textId="77777777" w:rsidR="00B2315B" w:rsidRPr="0038210E" w:rsidRDefault="00B2315B" w:rsidP="007D4E88">
            <w:pPr>
              <w:spacing w:afterLines="40" w:after="96"/>
              <w:rPr>
                <w:bCs w:val="0"/>
                <w:color w:val="4F6228" w:themeColor="accent3" w:themeShade="80"/>
              </w:rPr>
            </w:pPr>
            <w:r w:rsidRPr="0038210E">
              <w:rPr>
                <w:bCs w:val="0"/>
                <w:color w:val="4F6228" w:themeColor="accent3" w:themeShade="80"/>
              </w:rPr>
              <w:t>b</w:t>
            </w:r>
          </w:p>
        </w:tc>
        <w:tc>
          <w:tcPr>
            <w:tcW w:w="1157" w:type="pct"/>
          </w:tcPr>
          <w:p w14:paraId="4EBE7EE2" w14:textId="0AAF0F41"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In what ways is the project being implemented to achieve good value for money?</w:t>
            </w:r>
          </w:p>
          <w:p w14:paraId="7D167180"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p>
        </w:tc>
        <w:tc>
          <w:tcPr>
            <w:tcW w:w="606" w:type="pct"/>
          </w:tcPr>
          <w:p w14:paraId="610D2DB0"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38210E">
              <w:rPr>
                <w:b/>
                <w:bCs/>
                <w:color w:val="4F6228" w:themeColor="accent3" w:themeShade="80"/>
              </w:rPr>
              <w:sym w:font="Wingdings 2" w:char="F050"/>
            </w:r>
          </w:p>
        </w:tc>
        <w:tc>
          <w:tcPr>
            <w:tcW w:w="608" w:type="pct"/>
          </w:tcPr>
          <w:p w14:paraId="519EB23F"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38210E">
              <w:rPr>
                <w:b/>
                <w:bCs/>
                <w:color w:val="4F6228" w:themeColor="accent3" w:themeShade="80"/>
              </w:rPr>
              <w:sym w:font="Wingdings 2" w:char="F050"/>
            </w:r>
          </w:p>
        </w:tc>
        <w:tc>
          <w:tcPr>
            <w:tcW w:w="913" w:type="pct"/>
          </w:tcPr>
          <w:p w14:paraId="5028F7A6"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Document review</w:t>
            </w:r>
          </w:p>
          <w:p w14:paraId="4EB17033"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KII with DFAT and investment partners</w:t>
            </w:r>
          </w:p>
          <w:p w14:paraId="082A26A7"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KII with other donors</w:t>
            </w:r>
          </w:p>
        </w:tc>
        <w:tc>
          <w:tcPr>
            <w:tcW w:w="1520" w:type="pct"/>
          </w:tcPr>
          <w:p w14:paraId="54198B24"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Consider perspectives on what constitutes effectiveness and value for money in humanitarian settings</w:t>
            </w:r>
          </w:p>
        </w:tc>
      </w:tr>
      <w:tr w:rsidR="00F15774" w:rsidRPr="00BD1C03" w14:paraId="76798A2F" w14:textId="77777777" w:rsidTr="0038210E">
        <w:tc>
          <w:tcPr>
            <w:cnfStyle w:val="001000000000" w:firstRow="0" w:lastRow="0" w:firstColumn="1" w:lastColumn="0" w:oddVBand="0" w:evenVBand="0" w:oddHBand="0" w:evenHBand="0" w:firstRowFirstColumn="0" w:firstRowLastColumn="0" w:lastRowFirstColumn="0" w:lastRowLastColumn="0"/>
            <w:tcW w:w="196" w:type="pct"/>
          </w:tcPr>
          <w:p w14:paraId="3EFF4E8D" w14:textId="77777777" w:rsidR="00B2315B" w:rsidRPr="0038210E" w:rsidRDefault="00B2315B" w:rsidP="007D4E88">
            <w:pPr>
              <w:spacing w:afterLines="40" w:after="96"/>
              <w:rPr>
                <w:bCs w:val="0"/>
                <w:color w:val="4F6228" w:themeColor="accent3" w:themeShade="80"/>
              </w:rPr>
            </w:pPr>
            <w:r w:rsidRPr="0038210E">
              <w:rPr>
                <w:bCs w:val="0"/>
                <w:color w:val="4F6228" w:themeColor="accent3" w:themeShade="80"/>
              </w:rPr>
              <w:t>c</w:t>
            </w:r>
          </w:p>
        </w:tc>
        <w:tc>
          <w:tcPr>
            <w:tcW w:w="1157" w:type="pct"/>
          </w:tcPr>
          <w:p w14:paraId="63755482"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Are there benefits from the multi-year funding that could not have been achieved with annual funding? How has this supported the project’s aims?</w:t>
            </w:r>
          </w:p>
        </w:tc>
        <w:tc>
          <w:tcPr>
            <w:tcW w:w="606" w:type="pct"/>
          </w:tcPr>
          <w:p w14:paraId="2737DE8A"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38210E">
              <w:rPr>
                <w:b/>
                <w:bCs/>
                <w:color w:val="4F6228" w:themeColor="accent3" w:themeShade="80"/>
              </w:rPr>
              <w:sym w:font="Wingdings 2" w:char="F050"/>
            </w:r>
          </w:p>
        </w:tc>
        <w:tc>
          <w:tcPr>
            <w:tcW w:w="608" w:type="pct"/>
          </w:tcPr>
          <w:p w14:paraId="25610969"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38210E">
              <w:rPr>
                <w:b/>
                <w:bCs/>
                <w:color w:val="4F6228" w:themeColor="accent3" w:themeShade="80"/>
              </w:rPr>
              <w:sym w:font="Wingdings 2" w:char="F050"/>
            </w:r>
          </w:p>
        </w:tc>
        <w:tc>
          <w:tcPr>
            <w:tcW w:w="913" w:type="pct"/>
          </w:tcPr>
          <w:p w14:paraId="16B2BA3E"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Document review</w:t>
            </w:r>
          </w:p>
          <w:p w14:paraId="619F9FBB"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KII with DFAT and Investment partners</w:t>
            </w:r>
          </w:p>
          <w:p w14:paraId="43BFC683"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KII with OCHA, UNDP</w:t>
            </w:r>
          </w:p>
        </w:tc>
        <w:tc>
          <w:tcPr>
            <w:tcW w:w="1520" w:type="pct"/>
          </w:tcPr>
          <w:p w14:paraId="2F2F79EA"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Document perspectives on efficiency gains of multi-year funding versus annual funding</w:t>
            </w:r>
          </w:p>
          <w:p w14:paraId="4B64D62E"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Analysis of periodic reporting</w:t>
            </w:r>
          </w:p>
        </w:tc>
      </w:tr>
      <w:tr w:rsidR="00B2315B" w:rsidRPr="00BD1C03" w14:paraId="206DB8AF" w14:textId="77777777" w:rsidTr="0038210E">
        <w:tc>
          <w:tcPr>
            <w:cnfStyle w:val="001000000000" w:firstRow="0" w:lastRow="0" w:firstColumn="1" w:lastColumn="0" w:oddVBand="0" w:evenVBand="0" w:oddHBand="0" w:evenHBand="0" w:firstRowFirstColumn="0" w:firstRowLastColumn="0" w:lastRowFirstColumn="0" w:lastRowLastColumn="0"/>
            <w:tcW w:w="5000" w:type="pct"/>
            <w:gridSpan w:val="6"/>
          </w:tcPr>
          <w:p w14:paraId="2FB7275C" w14:textId="77777777" w:rsidR="00B2315B" w:rsidRPr="0038210E" w:rsidRDefault="00B2315B" w:rsidP="007D4E88">
            <w:pPr>
              <w:spacing w:afterLines="40" w:after="96"/>
              <w:rPr>
                <w:color w:val="4F6228" w:themeColor="accent3" w:themeShade="80"/>
              </w:rPr>
            </w:pPr>
            <w:r w:rsidRPr="0038210E">
              <w:rPr>
                <w:color w:val="4F6228" w:themeColor="accent3" w:themeShade="80"/>
              </w:rPr>
              <w:t>EQ 4.  How connected and sustainable is the package?</w:t>
            </w:r>
          </w:p>
        </w:tc>
      </w:tr>
      <w:tr w:rsidR="00F15774" w:rsidRPr="00BD1C03" w14:paraId="208106AE" w14:textId="77777777" w:rsidTr="0038210E">
        <w:tc>
          <w:tcPr>
            <w:cnfStyle w:val="001000000000" w:firstRow="0" w:lastRow="0" w:firstColumn="1" w:lastColumn="0" w:oddVBand="0" w:evenVBand="0" w:oddHBand="0" w:evenHBand="0" w:firstRowFirstColumn="0" w:firstRowLastColumn="0" w:lastRowFirstColumn="0" w:lastRowLastColumn="0"/>
            <w:tcW w:w="196" w:type="pct"/>
          </w:tcPr>
          <w:p w14:paraId="2C52D742" w14:textId="77777777" w:rsidR="00B2315B" w:rsidRPr="0038210E" w:rsidRDefault="00B2315B" w:rsidP="007D4E88">
            <w:pPr>
              <w:spacing w:afterLines="40" w:after="96"/>
              <w:rPr>
                <w:bCs w:val="0"/>
                <w:color w:val="4F6228" w:themeColor="accent3" w:themeShade="80"/>
              </w:rPr>
            </w:pPr>
            <w:r w:rsidRPr="0038210E">
              <w:rPr>
                <w:bCs w:val="0"/>
                <w:color w:val="4F6228" w:themeColor="accent3" w:themeShade="80"/>
              </w:rPr>
              <w:t>a</w:t>
            </w:r>
          </w:p>
        </w:tc>
        <w:tc>
          <w:tcPr>
            <w:tcW w:w="1157" w:type="pct"/>
          </w:tcPr>
          <w:p w14:paraId="0118D5F9" w14:textId="78E8E4C3"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Was the investment delivered in a way which supported stabilisation, recovery, resilience and long-term development?</w:t>
            </w:r>
          </w:p>
          <w:p w14:paraId="30D56083"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p>
        </w:tc>
        <w:tc>
          <w:tcPr>
            <w:tcW w:w="606" w:type="pct"/>
          </w:tcPr>
          <w:p w14:paraId="04E45E22"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38210E">
              <w:rPr>
                <w:b/>
                <w:bCs/>
                <w:color w:val="4F6228" w:themeColor="accent3" w:themeShade="80"/>
              </w:rPr>
              <w:sym w:font="Wingdings 2" w:char="F050"/>
            </w:r>
          </w:p>
        </w:tc>
        <w:tc>
          <w:tcPr>
            <w:tcW w:w="608" w:type="pct"/>
          </w:tcPr>
          <w:p w14:paraId="47FBE37A"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38210E">
              <w:rPr>
                <w:b/>
                <w:bCs/>
                <w:color w:val="4F6228" w:themeColor="accent3" w:themeShade="80"/>
              </w:rPr>
              <w:sym w:font="Wingdings 2" w:char="F050"/>
            </w:r>
          </w:p>
        </w:tc>
        <w:tc>
          <w:tcPr>
            <w:tcW w:w="913" w:type="pct"/>
          </w:tcPr>
          <w:p w14:paraId="2552AC75"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Document review</w:t>
            </w:r>
          </w:p>
          <w:p w14:paraId="6FAEBA4D"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Qualitative data analysis</w:t>
            </w:r>
          </w:p>
          <w:p w14:paraId="1D2E05D9"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KII with DFAT and investment partners</w:t>
            </w:r>
          </w:p>
          <w:p w14:paraId="09A322A3"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KII with OCHA, UNDP</w:t>
            </w:r>
          </w:p>
        </w:tc>
        <w:tc>
          <w:tcPr>
            <w:tcW w:w="1520" w:type="pct"/>
          </w:tcPr>
          <w:p w14:paraId="527481A8"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Quantitative and qualitative analysis of periodic reporting</w:t>
            </w:r>
          </w:p>
          <w:p w14:paraId="5A9EFDF2"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Document and assess different approaches being employed and progress being achieved, including gap analysis</w:t>
            </w:r>
          </w:p>
        </w:tc>
      </w:tr>
      <w:tr w:rsidR="00F15774" w:rsidRPr="00BD1C03" w14:paraId="3B992BDA" w14:textId="77777777" w:rsidTr="0038210E">
        <w:tc>
          <w:tcPr>
            <w:cnfStyle w:val="001000000000" w:firstRow="0" w:lastRow="0" w:firstColumn="1" w:lastColumn="0" w:oddVBand="0" w:evenVBand="0" w:oddHBand="0" w:evenHBand="0" w:firstRowFirstColumn="0" w:firstRowLastColumn="0" w:lastRowFirstColumn="0" w:lastRowLastColumn="0"/>
            <w:tcW w:w="196" w:type="pct"/>
          </w:tcPr>
          <w:p w14:paraId="10EA0BEB" w14:textId="77777777" w:rsidR="00B2315B" w:rsidRPr="0038210E" w:rsidRDefault="00B2315B" w:rsidP="007D4E88">
            <w:pPr>
              <w:spacing w:afterLines="40" w:after="96"/>
              <w:rPr>
                <w:bCs w:val="0"/>
                <w:color w:val="4F6228" w:themeColor="accent3" w:themeShade="80"/>
              </w:rPr>
            </w:pPr>
            <w:r w:rsidRPr="0038210E">
              <w:rPr>
                <w:bCs w:val="0"/>
                <w:color w:val="4F6228" w:themeColor="accent3" w:themeShade="80"/>
              </w:rPr>
              <w:t>b</w:t>
            </w:r>
          </w:p>
        </w:tc>
        <w:tc>
          <w:tcPr>
            <w:tcW w:w="1157" w:type="pct"/>
          </w:tcPr>
          <w:p w14:paraId="7DD7ED84"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To what extent did the Government of Iraq (</w:t>
            </w:r>
            <w:proofErr w:type="spellStart"/>
            <w:r w:rsidRPr="00BD1C03">
              <w:t>GoI</w:t>
            </w:r>
            <w:proofErr w:type="spellEnd"/>
            <w:r w:rsidRPr="00BD1C03">
              <w:t>) and key local actors believe they were able to guide and influence the project?</w:t>
            </w:r>
          </w:p>
          <w:p w14:paraId="5FBFD52A"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p>
        </w:tc>
        <w:tc>
          <w:tcPr>
            <w:tcW w:w="606" w:type="pct"/>
          </w:tcPr>
          <w:p w14:paraId="5D61A1F8"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38210E">
              <w:rPr>
                <w:b/>
                <w:bCs/>
                <w:color w:val="4F6228" w:themeColor="accent3" w:themeShade="80"/>
              </w:rPr>
              <w:sym w:font="Wingdings 2" w:char="F050"/>
            </w:r>
          </w:p>
        </w:tc>
        <w:tc>
          <w:tcPr>
            <w:tcW w:w="608" w:type="pct"/>
          </w:tcPr>
          <w:p w14:paraId="058F8EA6"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38210E">
              <w:rPr>
                <w:b/>
                <w:bCs/>
                <w:color w:val="4F6228" w:themeColor="accent3" w:themeShade="80"/>
              </w:rPr>
              <w:sym w:font="Wingdings 2" w:char="F050"/>
            </w:r>
          </w:p>
        </w:tc>
        <w:tc>
          <w:tcPr>
            <w:tcW w:w="913" w:type="pct"/>
          </w:tcPr>
          <w:p w14:paraId="6F602AD4"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Document review</w:t>
            </w:r>
          </w:p>
          <w:p w14:paraId="5757ED84"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Qualitative data analysis</w:t>
            </w:r>
          </w:p>
          <w:p w14:paraId="633FCD5F"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KII with DFAT and investment partners</w:t>
            </w:r>
          </w:p>
          <w:p w14:paraId="21B6AF59"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 xml:space="preserve">KII with </w:t>
            </w:r>
            <w:proofErr w:type="spellStart"/>
            <w:r w:rsidRPr="00BD1C03">
              <w:t>GoI</w:t>
            </w:r>
            <w:proofErr w:type="spellEnd"/>
            <w:r w:rsidRPr="00BD1C03">
              <w:t xml:space="preserve"> officials and local actors</w:t>
            </w:r>
          </w:p>
        </w:tc>
        <w:tc>
          <w:tcPr>
            <w:tcW w:w="1520" w:type="pct"/>
          </w:tcPr>
          <w:p w14:paraId="7871AA24"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 xml:space="preserve">Consider </w:t>
            </w:r>
            <w:proofErr w:type="spellStart"/>
            <w:r w:rsidRPr="00BD1C03">
              <w:t>GoI</w:t>
            </w:r>
            <w:proofErr w:type="spellEnd"/>
            <w:r w:rsidRPr="00BD1C03">
              <w:t xml:space="preserve"> priorities over implementation period to assess different approaches being employed</w:t>
            </w:r>
            <w:r w:rsidRPr="00BD1C03" w:rsidDel="002040A2">
              <w:t xml:space="preserve"> </w:t>
            </w:r>
            <w:r w:rsidRPr="00BD1C03">
              <w:t xml:space="preserve">and </w:t>
            </w:r>
            <w:proofErr w:type="spellStart"/>
            <w:r w:rsidRPr="00BD1C03">
              <w:t>GoI</w:t>
            </w:r>
            <w:proofErr w:type="spellEnd"/>
            <w:r w:rsidRPr="00BD1C03">
              <w:t>/ local actors’ perspectives</w:t>
            </w:r>
          </w:p>
        </w:tc>
      </w:tr>
      <w:tr w:rsidR="00F15774" w:rsidRPr="00BD1C03" w14:paraId="66D94E96" w14:textId="77777777" w:rsidTr="0038210E">
        <w:tc>
          <w:tcPr>
            <w:cnfStyle w:val="001000000000" w:firstRow="0" w:lastRow="0" w:firstColumn="1" w:lastColumn="0" w:oddVBand="0" w:evenVBand="0" w:oddHBand="0" w:evenHBand="0" w:firstRowFirstColumn="0" w:firstRowLastColumn="0" w:lastRowFirstColumn="0" w:lastRowLastColumn="0"/>
            <w:tcW w:w="196" w:type="pct"/>
          </w:tcPr>
          <w:p w14:paraId="7E341EF0" w14:textId="199CF6DE" w:rsidR="00B2315B" w:rsidRPr="0038210E" w:rsidRDefault="00B2315B" w:rsidP="007D4E88">
            <w:pPr>
              <w:spacing w:afterLines="40" w:after="96"/>
              <w:rPr>
                <w:bCs w:val="0"/>
                <w:color w:val="4F6228" w:themeColor="accent3" w:themeShade="80"/>
              </w:rPr>
            </w:pPr>
            <w:r w:rsidRPr="0038210E">
              <w:rPr>
                <w:bCs w:val="0"/>
                <w:color w:val="4F6228" w:themeColor="accent3" w:themeShade="80"/>
              </w:rPr>
              <w:t>c</w:t>
            </w:r>
          </w:p>
        </w:tc>
        <w:tc>
          <w:tcPr>
            <w:tcW w:w="1157" w:type="pct"/>
          </w:tcPr>
          <w:p w14:paraId="3093C7BD"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To what extent did the project strengthen local partners, including civil society (e.g. local women’s organisations, disabled people’s organisations) and local government, and include their participation in coordination fora?</w:t>
            </w:r>
          </w:p>
        </w:tc>
        <w:tc>
          <w:tcPr>
            <w:tcW w:w="606" w:type="pct"/>
          </w:tcPr>
          <w:p w14:paraId="30625C87"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38210E">
              <w:rPr>
                <w:b/>
                <w:bCs/>
                <w:color w:val="4F6228" w:themeColor="accent3" w:themeShade="80"/>
              </w:rPr>
              <w:sym w:font="Wingdings 2" w:char="F050"/>
            </w:r>
          </w:p>
        </w:tc>
        <w:tc>
          <w:tcPr>
            <w:tcW w:w="608" w:type="pct"/>
          </w:tcPr>
          <w:p w14:paraId="488469BB"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38210E">
              <w:rPr>
                <w:b/>
                <w:bCs/>
                <w:color w:val="4F6228" w:themeColor="accent3" w:themeShade="80"/>
              </w:rPr>
              <w:sym w:font="Wingdings 2" w:char="F050"/>
            </w:r>
          </w:p>
        </w:tc>
        <w:tc>
          <w:tcPr>
            <w:tcW w:w="913" w:type="pct"/>
          </w:tcPr>
          <w:p w14:paraId="1AD8F7BD"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Document review</w:t>
            </w:r>
          </w:p>
          <w:p w14:paraId="10A4C81C" w14:textId="35B75706"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Qualitative data analysis</w:t>
            </w:r>
          </w:p>
          <w:p w14:paraId="1C9D815D"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KII with DFAT and investment partners</w:t>
            </w:r>
          </w:p>
          <w:p w14:paraId="6178802F"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 xml:space="preserve">KII with </w:t>
            </w:r>
            <w:proofErr w:type="spellStart"/>
            <w:r w:rsidRPr="00BD1C03">
              <w:t>GoI</w:t>
            </w:r>
            <w:proofErr w:type="spellEnd"/>
            <w:r w:rsidRPr="00BD1C03">
              <w:t xml:space="preserve"> officials and local actors (WPS, DPO)</w:t>
            </w:r>
          </w:p>
        </w:tc>
        <w:tc>
          <w:tcPr>
            <w:tcW w:w="1520" w:type="pct"/>
          </w:tcPr>
          <w:p w14:paraId="66DA7C24"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Document and assess different approaches being employed alongside local partner and civil society perspectives</w:t>
            </w:r>
          </w:p>
        </w:tc>
      </w:tr>
      <w:tr w:rsidR="00F15774" w:rsidRPr="00BD1C03" w14:paraId="43501EAB" w14:textId="77777777" w:rsidTr="0038210E">
        <w:tc>
          <w:tcPr>
            <w:cnfStyle w:val="001000000000" w:firstRow="0" w:lastRow="0" w:firstColumn="1" w:lastColumn="0" w:oddVBand="0" w:evenVBand="0" w:oddHBand="0" w:evenHBand="0" w:firstRowFirstColumn="0" w:firstRowLastColumn="0" w:lastRowFirstColumn="0" w:lastRowLastColumn="0"/>
            <w:tcW w:w="196" w:type="pct"/>
          </w:tcPr>
          <w:p w14:paraId="39A8C4B5" w14:textId="77777777" w:rsidR="00B2315B" w:rsidRPr="0038210E" w:rsidRDefault="00B2315B" w:rsidP="007D4E88">
            <w:pPr>
              <w:spacing w:afterLines="40" w:after="96"/>
              <w:rPr>
                <w:bCs w:val="0"/>
                <w:color w:val="4F6228" w:themeColor="accent3" w:themeShade="80"/>
              </w:rPr>
            </w:pPr>
            <w:r w:rsidRPr="0038210E">
              <w:rPr>
                <w:bCs w:val="0"/>
                <w:color w:val="4F6228" w:themeColor="accent3" w:themeShade="80"/>
              </w:rPr>
              <w:t>d</w:t>
            </w:r>
          </w:p>
        </w:tc>
        <w:tc>
          <w:tcPr>
            <w:tcW w:w="1157" w:type="pct"/>
          </w:tcPr>
          <w:p w14:paraId="1A8F2308" w14:textId="559259BE"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Was Australia’s approach coordinated and complementary?</w:t>
            </w:r>
          </w:p>
        </w:tc>
        <w:tc>
          <w:tcPr>
            <w:tcW w:w="606" w:type="pct"/>
          </w:tcPr>
          <w:p w14:paraId="003FA421"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38210E">
              <w:rPr>
                <w:b/>
                <w:bCs/>
                <w:color w:val="4F6228" w:themeColor="accent3" w:themeShade="80"/>
              </w:rPr>
              <w:sym w:font="Wingdings 2" w:char="F050"/>
            </w:r>
          </w:p>
        </w:tc>
        <w:tc>
          <w:tcPr>
            <w:tcW w:w="608" w:type="pct"/>
          </w:tcPr>
          <w:p w14:paraId="24883EA3"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38210E">
              <w:rPr>
                <w:b/>
                <w:bCs/>
                <w:color w:val="4F6228" w:themeColor="accent3" w:themeShade="80"/>
              </w:rPr>
              <w:sym w:font="Wingdings 2" w:char="F050"/>
            </w:r>
          </w:p>
        </w:tc>
        <w:tc>
          <w:tcPr>
            <w:tcW w:w="913" w:type="pct"/>
          </w:tcPr>
          <w:p w14:paraId="19D7B2FC"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Document review</w:t>
            </w:r>
          </w:p>
          <w:p w14:paraId="02FA1F27" w14:textId="6A89C2AF"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Qualitative data analysis</w:t>
            </w:r>
          </w:p>
          <w:p w14:paraId="5089D816"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KII with DFAT and investment partners</w:t>
            </w:r>
          </w:p>
          <w:p w14:paraId="53339152"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KII with OCHA, UNDP, USAID stabilisation lead</w:t>
            </w:r>
          </w:p>
        </w:tc>
        <w:tc>
          <w:tcPr>
            <w:tcW w:w="1520" w:type="pct"/>
          </w:tcPr>
          <w:p w14:paraId="7C5AD2A6"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Document perspectives of different partners on coherence of overall package</w:t>
            </w:r>
          </w:p>
        </w:tc>
      </w:tr>
      <w:tr w:rsidR="00F15774" w:rsidRPr="00BD1C03" w14:paraId="01BBF546" w14:textId="77777777" w:rsidTr="0038210E">
        <w:tc>
          <w:tcPr>
            <w:cnfStyle w:val="001000000000" w:firstRow="0" w:lastRow="0" w:firstColumn="1" w:lastColumn="0" w:oddVBand="0" w:evenVBand="0" w:oddHBand="0" w:evenHBand="0" w:firstRowFirstColumn="0" w:firstRowLastColumn="0" w:lastRowFirstColumn="0" w:lastRowLastColumn="0"/>
            <w:tcW w:w="196" w:type="pct"/>
          </w:tcPr>
          <w:p w14:paraId="73B56367" w14:textId="41FEACA9" w:rsidR="00B2315B" w:rsidRPr="0038210E" w:rsidRDefault="00B2315B" w:rsidP="007D4E88">
            <w:pPr>
              <w:spacing w:afterLines="40" w:after="96"/>
              <w:rPr>
                <w:bCs w:val="0"/>
                <w:color w:val="4F6228" w:themeColor="accent3" w:themeShade="80"/>
              </w:rPr>
            </w:pPr>
            <w:r w:rsidRPr="0038210E">
              <w:rPr>
                <w:bCs w:val="0"/>
                <w:color w:val="4F6228" w:themeColor="accent3" w:themeShade="80"/>
              </w:rPr>
              <w:t>e</w:t>
            </w:r>
          </w:p>
        </w:tc>
        <w:tc>
          <w:tcPr>
            <w:tcW w:w="1157" w:type="pct"/>
          </w:tcPr>
          <w:p w14:paraId="10B36C18" w14:textId="62329740"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To what extent did Australia engage with and influence the international humanitarian system both in Iraq and globally, both through programming and diplomacy?</w:t>
            </w:r>
          </w:p>
        </w:tc>
        <w:tc>
          <w:tcPr>
            <w:tcW w:w="606" w:type="pct"/>
          </w:tcPr>
          <w:p w14:paraId="4E4689FE"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38210E">
              <w:rPr>
                <w:b/>
                <w:bCs/>
                <w:color w:val="4F6228" w:themeColor="accent3" w:themeShade="80"/>
              </w:rPr>
              <w:sym w:font="Wingdings 2" w:char="F050"/>
            </w:r>
          </w:p>
        </w:tc>
        <w:tc>
          <w:tcPr>
            <w:tcW w:w="608" w:type="pct"/>
          </w:tcPr>
          <w:p w14:paraId="0328B4BC"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38210E">
              <w:rPr>
                <w:b/>
                <w:bCs/>
                <w:color w:val="4F6228" w:themeColor="accent3" w:themeShade="80"/>
              </w:rPr>
              <w:sym w:font="Wingdings 2" w:char="F050"/>
            </w:r>
          </w:p>
        </w:tc>
        <w:tc>
          <w:tcPr>
            <w:tcW w:w="913" w:type="pct"/>
          </w:tcPr>
          <w:p w14:paraId="4BAA5382"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Document review</w:t>
            </w:r>
          </w:p>
          <w:p w14:paraId="60527972"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KII with DFAT and Investment partners</w:t>
            </w:r>
          </w:p>
          <w:p w14:paraId="5709E560"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KII with OCHA, UNDP</w:t>
            </w:r>
          </w:p>
        </w:tc>
        <w:tc>
          <w:tcPr>
            <w:tcW w:w="1520" w:type="pct"/>
          </w:tcPr>
          <w:p w14:paraId="31B18159"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Document perspectives of DFAT and different partners on approaches employed to engage and strengthen the international humanitarian system</w:t>
            </w:r>
          </w:p>
        </w:tc>
      </w:tr>
      <w:tr w:rsidR="00F15774" w:rsidRPr="00BD1C03" w14:paraId="57A586EC" w14:textId="77777777" w:rsidTr="0038210E">
        <w:tc>
          <w:tcPr>
            <w:cnfStyle w:val="001000000000" w:firstRow="0" w:lastRow="0" w:firstColumn="1" w:lastColumn="0" w:oddVBand="0" w:evenVBand="0" w:oddHBand="0" w:evenHBand="0" w:firstRowFirstColumn="0" w:firstRowLastColumn="0" w:lastRowFirstColumn="0" w:lastRowLastColumn="0"/>
            <w:tcW w:w="196" w:type="pct"/>
          </w:tcPr>
          <w:p w14:paraId="22BD2BEA" w14:textId="49E15382" w:rsidR="00B2315B" w:rsidRPr="0038210E" w:rsidRDefault="00B2315B" w:rsidP="007D4E88">
            <w:pPr>
              <w:spacing w:afterLines="40" w:after="96"/>
              <w:rPr>
                <w:bCs w:val="0"/>
                <w:color w:val="4F6228" w:themeColor="accent3" w:themeShade="80"/>
              </w:rPr>
            </w:pPr>
            <w:r w:rsidRPr="0038210E">
              <w:rPr>
                <w:bCs w:val="0"/>
                <w:color w:val="4F6228" w:themeColor="accent3" w:themeShade="80"/>
              </w:rPr>
              <w:t>f</w:t>
            </w:r>
          </w:p>
        </w:tc>
        <w:tc>
          <w:tcPr>
            <w:tcW w:w="1157" w:type="pct"/>
          </w:tcPr>
          <w:p w14:paraId="4E4A6D4D" w14:textId="644D7339"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Are appropriate exit and transition strategies in place, and how can they be strengthened?</w:t>
            </w:r>
          </w:p>
        </w:tc>
        <w:tc>
          <w:tcPr>
            <w:tcW w:w="606" w:type="pct"/>
          </w:tcPr>
          <w:p w14:paraId="185003C8"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38210E">
              <w:rPr>
                <w:b/>
                <w:bCs/>
                <w:color w:val="4F6228" w:themeColor="accent3" w:themeShade="80"/>
              </w:rPr>
              <w:sym w:font="Wingdings 2" w:char="F050"/>
            </w:r>
          </w:p>
        </w:tc>
        <w:tc>
          <w:tcPr>
            <w:tcW w:w="608" w:type="pct"/>
          </w:tcPr>
          <w:p w14:paraId="50ADDD35"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38210E">
              <w:rPr>
                <w:b/>
                <w:bCs/>
                <w:color w:val="4F6228" w:themeColor="accent3" w:themeShade="80"/>
              </w:rPr>
              <w:sym w:font="Wingdings 2" w:char="F050"/>
            </w:r>
          </w:p>
        </w:tc>
        <w:tc>
          <w:tcPr>
            <w:tcW w:w="913" w:type="pct"/>
          </w:tcPr>
          <w:p w14:paraId="390C1405"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Document review</w:t>
            </w:r>
          </w:p>
          <w:p w14:paraId="12C7A1D4" w14:textId="5E59CBB9"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KII with DFAT and investment partners</w:t>
            </w:r>
          </w:p>
        </w:tc>
        <w:tc>
          <w:tcPr>
            <w:tcW w:w="1520" w:type="pct"/>
          </w:tcPr>
          <w:p w14:paraId="0F980FDF" w14:textId="37F75ED5"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Docume</w:t>
            </w:r>
            <w:r w:rsidR="007E009A">
              <w:t>nt perspectives of partners on “exit and transition”</w:t>
            </w:r>
            <w:r w:rsidRPr="00BD1C03">
              <w:t xml:space="preserve"> in the current context, and their current understanding of DFAT plans</w:t>
            </w:r>
          </w:p>
        </w:tc>
      </w:tr>
      <w:tr w:rsidR="00F15774" w:rsidRPr="00BD1C03" w14:paraId="3B67F7AE" w14:textId="77777777" w:rsidTr="0038210E">
        <w:tc>
          <w:tcPr>
            <w:cnfStyle w:val="001000000000" w:firstRow="0" w:lastRow="0" w:firstColumn="1" w:lastColumn="0" w:oddVBand="0" w:evenVBand="0" w:oddHBand="0" w:evenHBand="0" w:firstRowFirstColumn="0" w:firstRowLastColumn="0" w:lastRowFirstColumn="0" w:lastRowLastColumn="0"/>
            <w:tcW w:w="196" w:type="pct"/>
          </w:tcPr>
          <w:p w14:paraId="0435EC52" w14:textId="0A4A391D" w:rsidR="00B2315B" w:rsidRPr="0038210E" w:rsidRDefault="00B2315B" w:rsidP="007D4E88">
            <w:pPr>
              <w:spacing w:afterLines="40" w:after="96"/>
              <w:rPr>
                <w:bCs w:val="0"/>
                <w:color w:val="4F6228" w:themeColor="accent3" w:themeShade="80"/>
              </w:rPr>
            </w:pPr>
            <w:r w:rsidRPr="0038210E">
              <w:rPr>
                <w:bCs w:val="0"/>
                <w:color w:val="4F6228" w:themeColor="accent3" w:themeShade="80"/>
              </w:rPr>
              <w:t>g</w:t>
            </w:r>
          </w:p>
        </w:tc>
        <w:tc>
          <w:tcPr>
            <w:tcW w:w="1157" w:type="pct"/>
          </w:tcPr>
          <w:p w14:paraId="23B7BE70"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What future funding options are most needed to address gaps?</w:t>
            </w:r>
          </w:p>
        </w:tc>
        <w:tc>
          <w:tcPr>
            <w:tcW w:w="606" w:type="pct"/>
          </w:tcPr>
          <w:p w14:paraId="5B118E73"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38210E">
              <w:rPr>
                <w:b/>
                <w:bCs/>
                <w:color w:val="4F6228" w:themeColor="accent3" w:themeShade="80"/>
              </w:rPr>
              <w:sym w:font="Wingdings 2" w:char="F050"/>
            </w:r>
          </w:p>
        </w:tc>
        <w:tc>
          <w:tcPr>
            <w:tcW w:w="608" w:type="pct"/>
          </w:tcPr>
          <w:p w14:paraId="4B92C1B8"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38210E">
              <w:rPr>
                <w:b/>
                <w:bCs/>
                <w:color w:val="4F6228" w:themeColor="accent3" w:themeShade="80"/>
              </w:rPr>
              <w:sym w:font="Wingdings 2" w:char="F050"/>
            </w:r>
          </w:p>
        </w:tc>
        <w:tc>
          <w:tcPr>
            <w:tcW w:w="913" w:type="pct"/>
          </w:tcPr>
          <w:p w14:paraId="581E97EB"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Document review</w:t>
            </w:r>
          </w:p>
          <w:p w14:paraId="28B6F7AD"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KII with DFAT and investment partners</w:t>
            </w:r>
          </w:p>
          <w:p w14:paraId="0E487181"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KII with OCHA, UNDP</w:t>
            </w:r>
          </w:p>
        </w:tc>
        <w:tc>
          <w:tcPr>
            <w:tcW w:w="1520" w:type="pct"/>
          </w:tcPr>
          <w:p w14:paraId="0C372A8C" w14:textId="5C7DB41F"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Document perspectives of partners on current priorities, including the optimal balance/ proportion in terms of humanitarian and stabilisation funding.</w:t>
            </w:r>
          </w:p>
        </w:tc>
      </w:tr>
      <w:tr w:rsidR="00B2315B" w:rsidRPr="00BD1C03" w14:paraId="6BFE47AE" w14:textId="77777777" w:rsidTr="0038210E">
        <w:tc>
          <w:tcPr>
            <w:cnfStyle w:val="001000000000" w:firstRow="0" w:lastRow="0" w:firstColumn="1" w:lastColumn="0" w:oddVBand="0" w:evenVBand="0" w:oddHBand="0" w:evenHBand="0" w:firstRowFirstColumn="0" w:firstRowLastColumn="0" w:lastRowFirstColumn="0" w:lastRowLastColumn="0"/>
            <w:tcW w:w="5000" w:type="pct"/>
            <w:gridSpan w:val="6"/>
          </w:tcPr>
          <w:p w14:paraId="1E95983E" w14:textId="77777777" w:rsidR="00B2315B" w:rsidRPr="0038210E" w:rsidRDefault="00B2315B" w:rsidP="007D4E88">
            <w:pPr>
              <w:spacing w:afterLines="40" w:after="96"/>
              <w:rPr>
                <w:color w:val="4F6228" w:themeColor="accent3" w:themeShade="80"/>
              </w:rPr>
            </w:pPr>
            <w:r w:rsidRPr="0038210E">
              <w:rPr>
                <w:color w:val="4F6228" w:themeColor="accent3" w:themeShade="80"/>
              </w:rPr>
              <w:t>EQ 5.  How transparent and accountable is the package?</w:t>
            </w:r>
          </w:p>
        </w:tc>
      </w:tr>
      <w:tr w:rsidR="00F15774" w:rsidRPr="00BD1C03" w14:paraId="0E0B94C3" w14:textId="77777777" w:rsidTr="0038210E">
        <w:tc>
          <w:tcPr>
            <w:cnfStyle w:val="001000000000" w:firstRow="0" w:lastRow="0" w:firstColumn="1" w:lastColumn="0" w:oddVBand="0" w:evenVBand="0" w:oddHBand="0" w:evenHBand="0" w:firstRowFirstColumn="0" w:firstRowLastColumn="0" w:lastRowFirstColumn="0" w:lastRowLastColumn="0"/>
            <w:tcW w:w="196" w:type="pct"/>
          </w:tcPr>
          <w:p w14:paraId="1510D127" w14:textId="77777777" w:rsidR="00B2315B" w:rsidRPr="0038210E" w:rsidRDefault="00B2315B" w:rsidP="007D4E88">
            <w:pPr>
              <w:spacing w:afterLines="40" w:after="96"/>
              <w:rPr>
                <w:bCs w:val="0"/>
                <w:color w:val="4F6228" w:themeColor="accent3" w:themeShade="80"/>
              </w:rPr>
            </w:pPr>
            <w:r w:rsidRPr="0038210E">
              <w:rPr>
                <w:bCs w:val="0"/>
                <w:color w:val="4F6228" w:themeColor="accent3" w:themeShade="80"/>
              </w:rPr>
              <w:t>a</w:t>
            </w:r>
          </w:p>
        </w:tc>
        <w:tc>
          <w:tcPr>
            <w:tcW w:w="1157" w:type="pct"/>
          </w:tcPr>
          <w:p w14:paraId="41349138" w14:textId="5D73F801"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To what extent are implementing partners sufficiently accountable to, and engaged with, affected communities?</w:t>
            </w:r>
          </w:p>
          <w:p w14:paraId="18B3F932"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p>
        </w:tc>
        <w:tc>
          <w:tcPr>
            <w:tcW w:w="606" w:type="pct"/>
          </w:tcPr>
          <w:p w14:paraId="4B6BC390"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38210E">
              <w:rPr>
                <w:b/>
                <w:bCs/>
                <w:color w:val="4F6228" w:themeColor="accent3" w:themeShade="80"/>
              </w:rPr>
              <w:sym w:font="Wingdings 2" w:char="F050"/>
            </w:r>
          </w:p>
        </w:tc>
        <w:tc>
          <w:tcPr>
            <w:tcW w:w="608" w:type="pct"/>
          </w:tcPr>
          <w:p w14:paraId="003A4156"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38210E">
              <w:rPr>
                <w:b/>
                <w:bCs/>
                <w:color w:val="4F6228" w:themeColor="accent3" w:themeShade="80"/>
              </w:rPr>
              <w:sym w:font="Wingdings 2" w:char="F050"/>
            </w:r>
          </w:p>
        </w:tc>
        <w:tc>
          <w:tcPr>
            <w:tcW w:w="913" w:type="pct"/>
          </w:tcPr>
          <w:p w14:paraId="55E9216F"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Document review</w:t>
            </w:r>
          </w:p>
          <w:p w14:paraId="6BB48B12"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KII with investment partners</w:t>
            </w:r>
          </w:p>
          <w:p w14:paraId="08482169"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KII with third parties (AAP WG, PC, OCHA, UNDP)</w:t>
            </w:r>
          </w:p>
        </w:tc>
        <w:tc>
          <w:tcPr>
            <w:tcW w:w="1520" w:type="pct"/>
          </w:tcPr>
          <w:p w14:paraId="523673F6"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Analysis of approaches to AAP assessed against sector standards and needs analysis</w:t>
            </w:r>
          </w:p>
        </w:tc>
      </w:tr>
      <w:tr w:rsidR="00F15774" w:rsidRPr="00BD1C03" w14:paraId="6A8EE692" w14:textId="77777777" w:rsidTr="0038210E">
        <w:tc>
          <w:tcPr>
            <w:cnfStyle w:val="001000000000" w:firstRow="0" w:lastRow="0" w:firstColumn="1" w:lastColumn="0" w:oddVBand="0" w:evenVBand="0" w:oddHBand="0" w:evenHBand="0" w:firstRowFirstColumn="0" w:firstRowLastColumn="0" w:lastRowFirstColumn="0" w:lastRowLastColumn="0"/>
            <w:tcW w:w="196" w:type="pct"/>
          </w:tcPr>
          <w:p w14:paraId="6D56C1FF" w14:textId="77777777" w:rsidR="00B2315B" w:rsidRPr="0038210E" w:rsidRDefault="00B2315B" w:rsidP="007D4E88">
            <w:pPr>
              <w:spacing w:afterLines="40" w:after="96"/>
              <w:rPr>
                <w:bCs w:val="0"/>
                <w:color w:val="4F6228" w:themeColor="accent3" w:themeShade="80"/>
              </w:rPr>
            </w:pPr>
            <w:r w:rsidRPr="0038210E">
              <w:rPr>
                <w:bCs w:val="0"/>
                <w:color w:val="4F6228" w:themeColor="accent3" w:themeShade="80"/>
              </w:rPr>
              <w:t>b</w:t>
            </w:r>
          </w:p>
        </w:tc>
        <w:tc>
          <w:tcPr>
            <w:tcW w:w="1157" w:type="pct"/>
          </w:tcPr>
          <w:p w14:paraId="345D4694" w14:textId="44FE2A09"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What evidence exists of the package having been influenced by effective communication, participation and feedback from affected people and communities?</w:t>
            </w:r>
          </w:p>
        </w:tc>
        <w:tc>
          <w:tcPr>
            <w:tcW w:w="606" w:type="pct"/>
          </w:tcPr>
          <w:p w14:paraId="796967D1"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38210E">
              <w:rPr>
                <w:b/>
                <w:bCs/>
                <w:color w:val="4F6228" w:themeColor="accent3" w:themeShade="80"/>
              </w:rPr>
              <w:sym w:font="Wingdings 2" w:char="F050"/>
            </w:r>
          </w:p>
        </w:tc>
        <w:tc>
          <w:tcPr>
            <w:tcW w:w="608" w:type="pct"/>
          </w:tcPr>
          <w:p w14:paraId="5BC0A4C6" w14:textId="77777777" w:rsidR="00B2315B" w:rsidRPr="0038210E"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rPr>
                <w:b/>
                <w:bCs/>
                <w:color w:val="4F6228" w:themeColor="accent3" w:themeShade="80"/>
              </w:rPr>
            </w:pPr>
            <w:r w:rsidRPr="0038210E">
              <w:rPr>
                <w:b/>
                <w:bCs/>
                <w:color w:val="4F6228" w:themeColor="accent3" w:themeShade="80"/>
              </w:rPr>
              <w:sym w:font="Wingdings 2" w:char="F050"/>
            </w:r>
          </w:p>
        </w:tc>
        <w:tc>
          <w:tcPr>
            <w:tcW w:w="913" w:type="pct"/>
          </w:tcPr>
          <w:p w14:paraId="087E36D8"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Document review</w:t>
            </w:r>
          </w:p>
          <w:p w14:paraId="6D0ABA0F"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KII with investment partners</w:t>
            </w:r>
          </w:p>
          <w:p w14:paraId="4F90B720"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KII with third parties (AAP WG, PC, OCHA,UNDP)</w:t>
            </w:r>
          </w:p>
        </w:tc>
        <w:tc>
          <w:tcPr>
            <w:tcW w:w="1520" w:type="pct"/>
          </w:tcPr>
          <w:p w14:paraId="7DCE3331" w14:textId="77777777" w:rsidR="00B2315B" w:rsidRPr="00BD1C03" w:rsidRDefault="00B2315B" w:rsidP="007D4E88">
            <w:pPr>
              <w:spacing w:afterLines="40" w:after="96"/>
              <w:cnfStyle w:val="000000000000" w:firstRow="0" w:lastRow="0" w:firstColumn="0" w:lastColumn="0" w:oddVBand="0" w:evenVBand="0" w:oddHBand="0" w:evenHBand="0" w:firstRowFirstColumn="0" w:firstRowLastColumn="0" w:lastRowFirstColumn="0" w:lastRowLastColumn="0"/>
            </w:pPr>
            <w:r w:rsidRPr="00BD1C03">
              <w:t>Analysis of approaches to AAP assessed against sector standards and needs analysis</w:t>
            </w:r>
          </w:p>
        </w:tc>
      </w:tr>
    </w:tbl>
    <w:p w14:paraId="43D13852" w14:textId="2D2B19AA" w:rsidR="006F0150" w:rsidRPr="00BD1C03" w:rsidRDefault="006F0150">
      <w:pPr>
        <w:spacing w:after="0"/>
      </w:pPr>
    </w:p>
    <w:p w14:paraId="1608E805" w14:textId="05AF510F" w:rsidR="009B3F96" w:rsidRPr="00BD1C03" w:rsidRDefault="00E50AD2" w:rsidP="00B13F20">
      <w:pPr>
        <w:pStyle w:val="Heading2"/>
      </w:pPr>
      <w:bookmarkStart w:id="18" w:name="_Toc516417141"/>
      <w:r>
        <w:t>Interview g</w:t>
      </w:r>
      <w:r w:rsidR="009B3F96" w:rsidRPr="00BD1C03">
        <w:t>uide</w:t>
      </w:r>
      <w:bookmarkEnd w:id="18"/>
    </w:p>
    <w:p w14:paraId="6EB9C807" w14:textId="48FB5717" w:rsidR="009B3F96" w:rsidRPr="00BD1C03" w:rsidRDefault="009B3F96" w:rsidP="009B3F96">
      <w:r w:rsidRPr="00BD1C03">
        <w:t xml:space="preserve">Interview questions are informed by the document review and are designed with specific focus on assembly of an evidence base that supports the evaluation team to answer the Evaluation questions. Questions will be adapted according to the profile of the interviewee (DFAT post/Canberra, investment partners, clusters, </w:t>
      </w:r>
      <w:proofErr w:type="spellStart"/>
      <w:r w:rsidRPr="00BD1C03">
        <w:t>GoI</w:t>
      </w:r>
      <w:proofErr w:type="spellEnd"/>
      <w:r w:rsidRPr="00BD1C03">
        <w:t xml:space="preserve"> officials and local partners and civil society. The approach to interviews will be semi-structured and sufficiently open ended for interviewees to include additional information they regard relevant to the evaluation, but which may not fit within the questions detailed below. </w:t>
      </w:r>
    </w:p>
    <w:tbl>
      <w:tblPr>
        <w:tblStyle w:val="GridTable1Light-Accent31"/>
        <w:tblW w:w="9322" w:type="dxa"/>
        <w:tblLook w:val="04A0" w:firstRow="1" w:lastRow="0" w:firstColumn="1" w:lastColumn="0" w:noHBand="0" w:noVBand="1"/>
      </w:tblPr>
      <w:tblGrid>
        <w:gridCol w:w="2166"/>
        <w:gridCol w:w="3026"/>
        <w:gridCol w:w="1449"/>
        <w:gridCol w:w="2681"/>
      </w:tblGrid>
      <w:tr w:rsidR="000828F9" w:rsidRPr="00BD1C03" w14:paraId="067766C3" w14:textId="77777777" w:rsidTr="00204E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6" w:type="dxa"/>
            <w:tcBorders>
              <w:bottom w:val="single" w:sz="4" w:space="0" w:color="4F6228" w:themeColor="accent3" w:themeShade="80"/>
            </w:tcBorders>
          </w:tcPr>
          <w:p w14:paraId="46897468" w14:textId="77777777" w:rsidR="009B3F96" w:rsidRPr="0038210E" w:rsidRDefault="009B3F96" w:rsidP="004233B5">
            <w:pPr>
              <w:spacing w:before="120" w:after="120"/>
              <w:rPr>
                <w:bCs w:val="0"/>
                <w:sz w:val="24"/>
              </w:rPr>
            </w:pPr>
            <w:r w:rsidRPr="0038210E">
              <w:rPr>
                <w:bCs w:val="0"/>
                <w:sz w:val="24"/>
              </w:rPr>
              <w:t>Evaluation Question(s)</w:t>
            </w:r>
          </w:p>
        </w:tc>
        <w:tc>
          <w:tcPr>
            <w:tcW w:w="3026" w:type="dxa"/>
            <w:tcBorders>
              <w:bottom w:val="single" w:sz="4" w:space="0" w:color="4F6228" w:themeColor="accent3" w:themeShade="80"/>
            </w:tcBorders>
          </w:tcPr>
          <w:p w14:paraId="22439FD6" w14:textId="77777777" w:rsidR="009B3F96" w:rsidRPr="0038210E" w:rsidRDefault="009B3F96" w:rsidP="004233B5">
            <w:pPr>
              <w:spacing w:before="120" w:after="120"/>
              <w:cnfStyle w:val="100000000000" w:firstRow="1" w:lastRow="0" w:firstColumn="0" w:lastColumn="0" w:oddVBand="0" w:evenVBand="0" w:oddHBand="0" w:evenHBand="0" w:firstRowFirstColumn="0" w:firstRowLastColumn="0" w:lastRowFirstColumn="0" w:lastRowLastColumn="0"/>
              <w:rPr>
                <w:bCs w:val="0"/>
                <w:sz w:val="24"/>
              </w:rPr>
            </w:pPr>
            <w:r w:rsidRPr="0038210E">
              <w:rPr>
                <w:bCs w:val="0"/>
                <w:sz w:val="24"/>
              </w:rPr>
              <w:t>Probing Questions</w:t>
            </w:r>
          </w:p>
        </w:tc>
        <w:tc>
          <w:tcPr>
            <w:tcW w:w="1449" w:type="dxa"/>
            <w:tcBorders>
              <w:bottom w:val="single" w:sz="4" w:space="0" w:color="4F6228" w:themeColor="accent3" w:themeShade="80"/>
            </w:tcBorders>
          </w:tcPr>
          <w:p w14:paraId="1757975B" w14:textId="77777777" w:rsidR="009B3F96" w:rsidRPr="0038210E" w:rsidRDefault="009B3F96" w:rsidP="004233B5">
            <w:pPr>
              <w:spacing w:before="120" w:after="120"/>
              <w:cnfStyle w:val="100000000000" w:firstRow="1" w:lastRow="0" w:firstColumn="0" w:lastColumn="0" w:oddVBand="0" w:evenVBand="0" w:oddHBand="0" w:evenHBand="0" w:firstRowFirstColumn="0" w:firstRowLastColumn="0" w:lastRowFirstColumn="0" w:lastRowLastColumn="0"/>
              <w:rPr>
                <w:bCs w:val="0"/>
                <w:sz w:val="24"/>
              </w:rPr>
            </w:pPr>
            <w:r w:rsidRPr="0038210E">
              <w:rPr>
                <w:bCs w:val="0"/>
                <w:sz w:val="24"/>
              </w:rPr>
              <w:t>KII target</w:t>
            </w:r>
          </w:p>
        </w:tc>
        <w:tc>
          <w:tcPr>
            <w:tcW w:w="2681" w:type="dxa"/>
            <w:tcBorders>
              <w:bottom w:val="single" w:sz="4" w:space="0" w:color="4F6228" w:themeColor="accent3" w:themeShade="80"/>
            </w:tcBorders>
          </w:tcPr>
          <w:p w14:paraId="165643E5" w14:textId="77777777" w:rsidR="009B3F96" w:rsidRPr="0038210E" w:rsidRDefault="009B3F96" w:rsidP="004233B5">
            <w:pPr>
              <w:spacing w:before="120" w:after="120"/>
              <w:cnfStyle w:val="100000000000" w:firstRow="1" w:lastRow="0" w:firstColumn="0" w:lastColumn="0" w:oddVBand="0" w:evenVBand="0" w:oddHBand="0" w:evenHBand="0" w:firstRowFirstColumn="0" w:firstRowLastColumn="0" w:lastRowFirstColumn="0" w:lastRowLastColumn="0"/>
              <w:rPr>
                <w:bCs w:val="0"/>
                <w:sz w:val="24"/>
              </w:rPr>
            </w:pPr>
            <w:r w:rsidRPr="0038210E">
              <w:rPr>
                <w:bCs w:val="0"/>
                <w:sz w:val="24"/>
              </w:rPr>
              <w:t>Notes</w:t>
            </w:r>
          </w:p>
        </w:tc>
      </w:tr>
      <w:tr w:rsidR="009B3F96" w:rsidRPr="00BD1C03" w14:paraId="0482FCF5" w14:textId="77777777" w:rsidTr="0038210E">
        <w:tc>
          <w:tcPr>
            <w:cnfStyle w:val="001000000000" w:firstRow="0" w:lastRow="0" w:firstColumn="1" w:lastColumn="0" w:oddVBand="0" w:evenVBand="0" w:oddHBand="0" w:evenHBand="0" w:firstRowFirstColumn="0" w:firstRowLastColumn="0" w:lastRowFirstColumn="0" w:lastRowLastColumn="0"/>
            <w:tcW w:w="9322" w:type="dxa"/>
            <w:gridSpan w:val="4"/>
          </w:tcPr>
          <w:p w14:paraId="2DADEDA7" w14:textId="77777777" w:rsidR="009B3F96" w:rsidRPr="0038210E" w:rsidRDefault="009B3F96" w:rsidP="004233B5">
            <w:pPr>
              <w:spacing w:before="120" w:after="120"/>
              <w:rPr>
                <w:bCs w:val="0"/>
                <w:color w:val="76923C" w:themeColor="accent3" w:themeShade="BF"/>
              </w:rPr>
            </w:pPr>
            <w:r w:rsidRPr="0038210E">
              <w:rPr>
                <w:bCs w:val="0"/>
                <w:color w:val="4F6228" w:themeColor="accent3" w:themeShade="80"/>
              </w:rPr>
              <w:t xml:space="preserve">EQ 1 Is the package </w:t>
            </w:r>
            <w:r w:rsidRPr="0038210E">
              <w:rPr>
                <w:bCs w:val="0"/>
                <w:color w:val="4F6228" w:themeColor="accent3" w:themeShade="80"/>
                <w:u w:val="single"/>
              </w:rPr>
              <w:t>appropriate and relevant?</w:t>
            </w:r>
          </w:p>
        </w:tc>
      </w:tr>
      <w:tr w:rsidR="009B3F96" w:rsidRPr="00BD1C03" w14:paraId="63CC1705" w14:textId="77777777" w:rsidTr="0038210E">
        <w:tc>
          <w:tcPr>
            <w:cnfStyle w:val="001000000000" w:firstRow="0" w:lastRow="0" w:firstColumn="1" w:lastColumn="0" w:oddVBand="0" w:evenVBand="0" w:oddHBand="0" w:evenHBand="0" w:firstRowFirstColumn="0" w:firstRowLastColumn="0" w:lastRowFirstColumn="0" w:lastRowLastColumn="0"/>
            <w:tcW w:w="2166" w:type="dxa"/>
          </w:tcPr>
          <w:p w14:paraId="302EFBF3" w14:textId="77777777" w:rsidR="009B3F96" w:rsidRPr="00BD1C03" w:rsidRDefault="009B3F96" w:rsidP="004233B5">
            <w:pPr>
              <w:spacing w:before="120" w:after="120"/>
              <w:rPr>
                <w:i/>
                <w:highlight w:val="yellow"/>
              </w:rPr>
            </w:pPr>
            <w:r w:rsidRPr="0038210E">
              <w:rPr>
                <w:i/>
                <w:color w:val="4F6228" w:themeColor="accent3" w:themeShade="80"/>
              </w:rPr>
              <w:t xml:space="preserve">a. Is there a clear link between end of program outcomes and needs and priorities of affected population? </w:t>
            </w:r>
          </w:p>
        </w:tc>
        <w:tc>
          <w:tcPr>
            <w:tcW w:w="3026" w:type="dxa"/>
          </w:tcPr>
          <w:p w14:paraId="158474EB"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How were affected populations consulted in needs assessments and monitoring processes?</w:t>
            </w:r>
          </w:p>
          <w:p w14:paraId="53CC02CE" w14:textId="65315579"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What measures were taken to ensure consultations were age, gender and disability inclusive/ repre</w:t>
            </w:r>
            <w:r w:rsidR="00D8380E">
              <w:t>sentative?</w:t>
            </w:r>
          </w:p>
        </w:tc>
        <w:tc>
          <w:tcPr>
            <w:tcW w:w="1449" w:type="dxa"/>
          </w:tcPr>
          <w:p w14:paraId="5494700D"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DFAT</w:t>
            </w:r>
          </w:p>
          <w:p w14:paraId="5D9B8D0B"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xml:space="preserve">Investment partners </w:t>
            </w:r>
          </w:p>
        </w:tc>
        <w:tc>
          <w:tcPr>
            <w:tcW w:w="2681" w:type="dxa"/>
          </w:tcPr>
          <w:p w14:paraId="337ED589"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Gender, age and disability inclusion considerations</w:t>
            </w:r>
          </w:p>
          <w:p w14:paraId="23D2A9E2"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p>
        </w:tc>
      </w:tr>
      <w:tr w:rsidR="009B3F96" w:rsidRPr="00BD1C03" w14:paraId="5B924EB3" w14:textId="77777777" w:rsidTr="0038210E">
        <w:trPr>
          <w:trHeight w:val="1543"/>
        </w:trPr>
        <w:tc>
          <w:tcPr>
            <w:cnfStyle w:val="001000000000" w:firstRow="0" w:lastRow="0" w:firstColumn="1" w:lastColumn="0" w:oddVBand="0" w:evenVBand="0" w:oddHBand="0" w:evenHBand="0" w:firstRowFirstColumn="0" w:firstRowLastColumn="0" w:lastRowFirstColumn="0" w:lastRowLastColumn="0"/>
            <w:tcW w:w="2166" w:type="dxa"/>
          </w:tcPr>
          <w:p w14:paraId="279C0571" w14:textId="77777777" w:rsidR="009B3F96" w:rsidRPr="00BD1C03" w:rsidRDefault="009B3F96" w:rsidP="004233B5">
            <w:pPr>
              <w:spacing w:before="120" w:after="120"/>
              <w:rPr>
                <w:i/>
                <w:color w:val="76923C" w:themeColor="accent3" w:themeShade="BF"/>
              </w:rPr>
            </w:pPr>
            <w:r w:rsidRPr="0038210E">
              <w:rPr>
                <w:i/>
                <w:color w:val="4F6228" w:themeColor="accent3" w:themeShade="80"/>
              </w:rPr>
              <w:t>b. Did communities receive the assistance they most needed, when they most needed it, in a way that was most useful and accessible for them?</w:t>
            </w:r>
          </w:p>
        </w:tc>
        <w:tc>
          <w:tcPr>
            <w:tcW w:w="3026" w:type="dxa"/>
          </w:tcPr>
          <w:p w14:paraId="278985BC"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Was programming reflective of identified priority needs?</w:t>
            </w:r>
          </w:p>
          <w:p w14:paraId="61DC5449" w14:textId="63E63F65"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What feedback and comp</w:t>
            </w:r>
            <w:r w:rsidR="00215C83">
              <w:t xml:space="preserve">laints mechanisms are in place </w:t>
            </w:r>
            <w:r w:rsidRPr="00BD1C03">
              <w:t>(agency and inter-agency level)</w:t>
            </w:r>
            <w:r w:rsidR="00215C83">
              <w:t>?</w:t>
            </w:r>
          </w:p>
          <w:p w14:paraId="5C9A704D" w14:textId="0A621ADE"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What feedback and complaints were received and what resolution proc</w:t>
            </w:r>
            <w:r w:rsidR="00215C83">
              <w:t>esses do partners have in place</w:t>
            </w:r>
            <w:r w:rsidRPr="00BD1C03">
              <w:t xml:space="preserve"> (e</w:t>
            </w:r>
            <w:r w:rsidR="003B5FE9">
              <w:t>.</w:t>
            </w:r>
            <w:r w:rsidRPr="00BD1C03">
              <w:t>g</w:t>
            </w:r>
            <w:r w:rsidR="003B5FE9">
              <w:t>.</w:t>
            </w:r>
            <w:r w:rsidRPr="00BD1C03">
              <w:t xml:space="preserve"> SOPs, committee, # of feedback or complaints received </w:t>
            </w:r>
            <w:r w:rsidR="003B5FE9" w:rsidRPr="00BD1C03">
              <w:t>etc.</w:t>
            </w:r>
            <w:r w:rsidRPr="00BD1C03">
              <w:t>)</w:t>
            </w:r>
            <w:r w:rsidR="00215C83">
              <w:t>?</w:t>
            </w:r>
          </w:p>
          <w:p w14:paraId="2BD31683"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What measures were taken to ensure consultations were age, gender and disability inclusive/ representative?</w:t>
            </w:r>
          </w:p>
        </w:tc>
        <w:tc>
          <w:tcPr>
            <w:tcW w:w="1449" w:type="dxa"/>
          </w:tcPr>
          <w:p w14:paraId="5C135F94"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DFAT</w:t>
            </w:r>
          </w:p>
          <w:p w14:paraId="6E468F3F"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Investment partners</w:t>
            </w:r>
          </w:p>
          <w:p w14:paraId="23F265F7"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OCHA, UNDP</w:t>
            </w:r>
          </w:p>
          <w:p w14:paraId="253E74CC"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Local partners and civil society</w:t>
            </w:r>
          </w:p>
        </w:tc>
        <w:tc>
          <w:tcPr>
            <w:tcW w:w="2681" w:type="dxa"/>
          </w:tcPr>
          <w:p w14:paraId="68137532"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Gender, age and disability inclusion considerations</w:t>
            </w:r>
          </w:p>
          <w:p w14:paraId="4D83FD1E"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p>
        </w:tc>
      </w:tr>
      <w:tr w:rsidR="009B3F96" w:rsidRPr="00BD1C03" w14:paraId="78CB425A" w14:textId="77777777" w:rsidTr="0038210E">
        <w:tc>
          <w:tcPr>
            <w:cnfStyle w:val="001000000000" w:firstRow="0" w:lastRow="0" w:firstColumn="1" w:lastColumn="0" w:oddVBand="0" w:evenVBand="0" w:oddHBand="0" w:evenHBand="0" w:firstRowFirstColumn="0" w:firstRowLastColumn="0" w:lastRowFirstColumn="0" w:lastRowLastColumn="0"/>
            <w:tcW w:w="9322" w:type="dxa"/>
            <w:gridSpan w:val="4"/>
          </w:tcPr>
          <w:p w14:paraId="16E20AF6" w14:textId="77777777" w:rsidR="009B3F96" w:rsidRPr="00BD1C03" w:rsidRDefault="009B3F96" w:rsidP="004233B5">
            <w:pPr>
              <w:spacing w:before="120" w:after="120"/>
              <w:rPr>
                <w:color w:val="76923C" w:themeColor="accent3" w:themeShade="BF"/>
              </w:rPr>
            </w:pPr>
            <w:r w:rsidRPr="0038210E">
              <w:rPr>
                <w:color w:val="4F6228" w:themeColor="accent3" w:themeShade="80"/>
              </w:rPr>
              <w:t xml:space="preserve">EQ 2 Is the package </w:t>
            </w:r>
            <w:r w:rsidRPr="0038210E">
              <w:rPr>
                <w:color w:val="4F6228" w:themeColor="accent3" w:themeShade="80"/>
                <w:u w:val="single"/>
              </w:rPr>
              <w:t>effective?</w:t>
            </w:r>
          </w:p>
        </w:tc>
      </w:tr>
      <w:tr w:rsidR="009B3F96" w:rsidRPr="00BD1C03" w14:paraId="2658186F" w14:textId="77777777" w:rsidTr="0038210E">
        <w:tc>
          <w:tcPr>
            <w:cnfStyle w:val="001000000000" w:firstRow="0" w:lastRow="0" w:firstColumn="1" w:lastColumn="0" w:oddVBand="0" w:evenVBand="0" w:oddHBand="0" w:evenHBand="0" w:firstRowFirstColumn="0" w:firstRowLastColumn="0" w:lastRowFirstColumn="0" w:lastRowLastColumn="0"/>
            <w:tcW w:w="2166" w:type="dxa"/>
          </w:tcPr>
          <w:p w14:paraId="28BD5F5F" w14:textId="77777777" w:rsidR="009B3F96" w:rsidRPr="00BD1C03" w:rsidRDefault="009B3F96" w:rsidP="004233B5">
            <w:pPr>
              <w:spacing w:before="120" w:after="120"/>
              <w:rPr>
                <w:i/>
                <w:color w:val="76923C" w:themeColor="accent3" w:themeShade="BF"/>
              </w:rPr>
            </w:pPr>
            <w:r w:rsidRPr="0038210E">
              <w:rPr>
                <w:i/>
                <w:color w:val="4F6228" w:themeColor="accent3" w:themeShade="80"/>
              </w:rPr>
              <w:t xml:space="preserve">a. Did the investment protect the safety, dignity and rights of affected people? </w:t>
            </w:r>
          </w:p>
          <w:p w14:paraId="04008FEA" w14:textId="77777777" w:rsidR="009B3F96" w:rsidRPr="00BD1C03" w:rsidRDefault="009B3F96" w:rsidP="004233B5">
            <w:pPr>
              <w:spacing w:before="120" w:after="120"/>
              <w:rPr>
                <w:i/>
                <w:color w:val="76923C" w:themeColor="accent3" w:themeShade="BF"/>
              </w:rPr>
            </w:pPr>
          </w:p>
        </w:tc>
        <w:tc>
          <w:tcPr>
            <w:tcW w:w="3026" w:type="dxa"/>
          </w:tcPr>
          <w:p w14:paraId="249DB3AA"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How were protection cluster and/or agency level strategies used to inform the design and delivery of the investment/program?</w:t>
            </w:r>
          </w:p>
          <w:p w14:paraId="51024850"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How did the investment/ program:</w:t>
            </w:r>
          </w:p>
          <w:p w14:paraId="5F9D10CF"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proofErr w:type="spellStart"/>
            <w:r w:rsidRPr="00BD1C03">
              <w:t>i</w:t>
            </w:r>
            <w:proofErr w:type="spellEnd"/>
            <w:r w:rsidRPr="00BD1C03">
              <w:t>) promote a strategic approach to protection and/or</w:t>
            </w:r>
          </w:p>
          <w:p w14:paraId="279AB6AF"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ii) deliver protection services and/or</w:t>
            </w:r>
          </w:p>
          <w:p w14:paraId="755F171C"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iii) mainstream protection principles</w:t>
            </w:r>
          </w:p>
        </w:tc>
        <w:tc>
          <w:tcPr>
            <w:tcW w:w="1449" w:type="dxa"/>
          </w:tcPr>
          <w:p w14:paraId="5C068E92"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DFAT</w:t>
            </w:r>
          </w:p>
          <w:p w14:paraId="02986B8E"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Investment partners</w:t>
            </w:r>
          </w:p>
          <w:p w14:paraId="2C62EB5F"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PC</w:t>
            </w:r>
          </w:p>
          <w:p w14:paraId="69EC6B9C"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Local partners and civil society</w:t>
            </w:r>
          </w:p>
        </w:tc>
        <w:tc>
          <w:tcPr>
            <w:tcW w:w="2681" w:type="dxa"/>
          </w:tcPr>
          <w:p w14:paraId="66F6D50C" w14:textId="78F16ACE"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Gender, age and disability incl</w:t>
            </w:r>
            <w:r w:rsidR="00D8380E">
              <w:t>usion considerations</w:t>
            </w:r>
          </w:p>
        </w:tc>
      </w:tr>
      <w:tr w:rsidR="009B3F96" w:rsidRPr="00BD1C03" w14:paraId="62ABC8FF" w14:textId="77777777" w:rsidTr="0038210E">
        <w:tc>
          <w:tcPr>
            <w:cnfStyle w:val="001000000000" w:firstRow="0" w:lastRow="0" w:firstColumn="1" w:lastColumn="0" w:oddVBand="0" w:evenVBand="0" w:oddHBand="0" w:evenHBand="0" w:firstRowFirstColumn="0" w:firstRowLastColumn="0" w:lastRowFirstColumn="0" w:lastRowLastColumn="0"/>
            <w:tcW w:w="2166" w:type="dxa"/>
          </w:tcPr>
          <w:p w14:paraId="1CAE2375" w14:textId="1AD79D54" w:rsidR="009B3F96" w:rsidRPr="00BD1C03" w:rsidRDefault="007D4E88" w:rsidP="004233B5">
            <w:pPr>
              <w:spacing w:before="120" w:after="120"/>
              <w:rPr>
                <w:i/>
                <w:color w:val="76923C" w:themeColor="accent3" w:themeShade="BF"/>
              </w:rPr>
            </w:pPr>
            <w:r w:rsidRPr="0038210E">
              <w:rPr>
                <w:i/>
                <w:color w:val="4F6228" w:themeColor="accent3" w:themeShade="80"/>
              </w:rPr>
              <w:t>b.</w:t>
            </w:r>
            <w:r w:rsidR="009B3F96" w:rsidRPr="0038210E">
              <w:rPr>
                <w:i/>
                <w:color w:val="4F6228" w:themeColor="accent3" w:themeShade="80"/>
              </w:rPr>
              <w:t xml:space="preserve"> Did investments make a difference in terms of gender equality and empowering women and girls? </w:t>
            </w:r>
          </w:p>
        </w:tc>
        <w:tc>
          <w:tcPr>
            <w:tcW w:w="3026" w:type="dxa"/>
          </w:tcPr>
          <w:p w14:paraId="5F92FDC5"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What strategies did different partners have in place to progress GEWE? How did these make a difference?</w:t>
            </w:r>
          </w:p>
          <w:p w14:paraId="251E463C"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Dedicated programs results or mainstreamed?</w:t>
            </w:r>
          </w:p>
        </w:tc>
        <w:tc>
          <w:tcPr>
            <w:tcW w:w="1449" w:type="dxa"/>
          </w:tcPr>
          <w:p w14:paraId="15793335"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xml:space="preserve">DFAT </w:t>
            </w:r>
          </w:p>
          <w:p w14:paraId="65AE2FB3"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Investment partners</w:t>
            </w:r>
          </w:p>
          <w:p w14:paraId="6668CFC0" w14:textId="7F9505BE"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Local civil society e</w:t>
            </w:r>
            <w:r w:rsidR="003B5FE9">
              <w:t>.</w:t>
            </w:r>
            <w:r w:rsidRPr="00BD1C03">
              <w:t>g</w:t>
            </w:r>
            <w:r w:rsidR="003B5FE9">
              <w:t>.</w:t>
            </w:r>
            <w:r w:rsidRPr="00BD1C03">
              <w:t xml:space="preserve"> WPS</w:t>
            </w:r>
          </w:p>
        </w:tc>
        <w:tc>
          <w:tcPr>
            <w:tcW w:w="2681" w:type="dxa"/>
          </w:tcPr>
          <w:p w14:paraId="5DF6DDE7"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Potential use of short case studies</w:t>
            </w:r>
          </w:p>
        </w:tc>
      </w:tr>
      <w:tr w:rsidR="009B3F96" w:rsidRPr="00BD1C03" w14:paraId="0FA3D5E6" w14:textId="77777777" w:rsidTr="0038210E">
        <w:tc>
          <w:tcPr>
            <w:cnfStyle w:val="001000000000" w:firstRow="0" w:lastRow="0" w:firstColumn="1" w:lastColumn="0" w:oddVBand="0" w:evenVBand="0" w:oddHBand="0" w:evenHBand="0" w:firstRowFirstColumn="0" w:firstRowLastColumn="0" w:lastRowFirstColumn="0" w:lastRowLastColumn="0"/>
            <w:tcW w:w="2166" w:type="dxa"/>
          </w:tcPr>
          <w:p w14:paraId="734AD5EB" w14:textId="37E25E57" w:rsidR="009B3F96" w:rsidRPr="0038210E" w:rsidRDefault="007D4E88" w:rsidP="004233B5">
            <w:pPr>
              <w:spacing w:before="120" w:after="120"/>
              <w:rPr>
                <w:i/>
                <w:color w:val="4F6228" w:themeColor="accent3" w:themeShade="80"/>
              </w:rPr>
            </w:pPr>
            <w:r w:rsidRPr="0038210E">
              <w:rPr>
                <w:i/>
                <w:color w:val="4F6228" w:themeColor="accent3" w:themeShade="80"/>
              </w:rPr>
              <w:t>c.</w:t>
            </w:r>
            <w:r w:rsidR="009B3F96" w:rsidRPr="0038210E">
              <w:rPr>
                <w:i/>
                <w:color w:val="4F6228" w:themeColor="accent3" w:themeShade="80"/>
              </w:rPr>
              <w:t xml:space="preserve"> Did people with a disability have equal access to partner programs and were their unique needs met? </w:t>
            </w:r>
          </w:p>
        </w:tc>
        <w:tc>
          <w:tcPr>
            <w:tcW w:w="3026" w:type="dxa"/>
          </w:tcPr>
          <w:p w14:paraId="18FD9F2B" w14:textId="707602F1"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How did the investment ensure PWD had equi</w:t>
            </w:r>
            <w:r w:rsidR="009E7A78">
              <w:t xml:space="preserve">table access to their programs </w:t>
            </w:r>
            <w:r w:rsidRPr="00BD1C03">
              <w:t>(indicate whether dedicated or inclusive programs, access to dedicated expertise)</w:t>
            </w:r>
            <w:r w:rsidR="009E7A78">
              <w:t>?</w:t>
            </w:r>
          </w:p>
          <w:p w14:paraId="54D005C4"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How were AAP measures (consultation, feedback and complaints mechanisms) adapted to ensure inclusive access and feedback for PWD?</w:t>
            </w:r>
          </w:p>
          <w:p w14:paraId="4B7A258A"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xml:space="preserve">- What are the main challenges faced in terms of disability programming in Iraq today? </w:t>
            </w:r>
          </w:p>
        </w:tc>
        <w:tc>
          <w:tcPr>
            <w:tcW w:w="1449" w:type="dxa"/>
          </w:tcPr>
          <w:p w14:paraId="27FF0A35"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xml:space="preserve">DFAT </w:t>
            </w:r>
          </w:p>
          <w:p w14:paraId="7E375C61"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Investment partners</w:t>
            </w:r>
          </w:p>
          <w:p w14:paraId="2CE0003B"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PC, AAP WG</w:t>
            </w:r>
          </w:p>
          <w:p w14:paraId="2875AF2D" w14:textId="65CB42D2"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Local civil society e</w:t>
            </w:r>
            <w:r w:rsidR="003B5FE9">
              <w:t>.</w:t>
            </w:r>
            <w:r w:rsidRPr="00BD1C03">
              <w:t>g</w:t>
            </w:r>
            <w:r w:rsidR="003B5FE9">
              <w:t>.</w:t>
            </w:r>
            <w:r w:rsidRPr="00BD1C03">
              <w:t xml:space="preserve"> DPO</w:t>
            </w:r>
          </w:p>
        </w:tc>
        <w:tc>
          <w:tcPr>
            <w:tcW w:w="2681" w:type="dxa"/>
          </w:tcPr>
          <w:p w14:paraId="45CE1FB9"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Consider different types of disability to ensure disaggregation in feedback</w:t>
            </w:r>
          </w:p>
        </w:tc>
      </w:tr>
      <w:tr w:rsidR="009B3F96" w:rsidRPr="00BD1C03" w14:paraId="24E5A484" w14:textId="77777777" w:rsidTr="0038210E">
        <w:tc>
          <w:tcPr>
            <w:cnfStyle w:val="001000000000" w:firstRow="0" w:lastRow="0" w:firstColumn="1" w:lastColumn="0" w:oddVBand="0" w:evenVBand="0" w:oddHBand="0" w:evenHBand="0" w:firstRowFirstColumn="0" w:firstRowLastColumn="0" w:lastRowFirstColumn="0" w:lastRowLastColumn="0"/>
            <w:tcW w:w="9322" w:type="dxa"/>
            <w:gridSpan w:val="4"/>
          </w:tcPr>
          <w:p w14:paraId="1B519C4B" w14:textId="77777777" w:rsidR="009B3F96" w:rsidRPr="00BD1C03" w:rsidRDefault="009B3F96" w:rsidP="004233B5">
            <w:pPr>
              <w:spacing w:before="120" w:after="120"/>
              <w:rPr>
                <w:color w:val="76923C" w:themeColor="accent3" w:themeShade="BF"/>
              </w:rPr>
            </w:pPr>
            <w:r w:rsidRPr="0038210E">
              <w:rPr>
                <w:color w:val="4F6228" w:themeColor="accent3" w:themeShade="80"/>
              </w:rPr>
              <w:t xml:space="preserve">EQ 3.  How </w:t>
            </w:r>
            <w:r w:rsidRPr="0038210E">
              <w:rPr>
                <w:color w:val="4F6228" w:themeColor="accent3" w:themeShade="80"/>
                <w:u w:val="single"/>
              </w:rPr>
              <w:t xml:space="preserve">efficient </w:t>
            </w:r>
            <w:r w:rsidRPr="0038210E">
              <w:rPr>
                <w:color w:val="4F6228" w:themeColor="accent3" w:themeShade="80"/>
              </w:rPr>
              <w:t>is the package?</w:t>
            </w:r>
          </w:p>
        </w:tc>
      </w:tr>
      <w:tr w:rsidR="009B3F96" w:rsidRPr="00BD1C03" w14:paraId="27BCC7BF" w14:textId="77777777" w:rsidTr="0038210E">
        <w:tc>
          <w:tcPr>
            <w:cnfStyle w:val="001000000000" w:firstRow="0" w:lastRow="0" w:firstColumn="1" w:lastColumn="0" w:oddVBand="0" w:evenVBand="0" w:oddHBand="0" w:evenHBand="0" w:firstRowFirstColumn="0" w:firstRowLastColumn="0" w:lastRowFirstColumn="0" w:lastRowLastColumn="0"/>
            <w:tcW w:w="2166" w:type="dxa"/>
          </w:tcPr>
          <w:p w14:paraId="18E5296F" w14:textId="77777777" w:rsidR="009B3F96" w:rsidRPr="0038210E" w:rsidRDefault="009B3F96" w:rsidP="004233B5">
            <w:pPr>
              <w:spacing w:before="120" w:after="120"/>
              <w:rPr>
                <w:i/>
                <w:color w:val="4F6228" w:themeColor="accent3" w:themeShade="80"/>
              </w:rPr>
            </w:pPr>
            <w:r w:rsidRPr="0038210E">
              <w:rPr>
                <w:i/>
                <w:color w:val="4F6228" w:themeColor="accent3" w:themeShade="80"/>
              </w:rPr>
              <w:t xml:space="preserve">a. To what extent is the project being implemented according to agreed timelines and budgets? </w:t>
            </w:r>
          </w:p>
          <w:p w14:paraId="2A7333C2" w14:textId="77777777" w:rsidR="009B3F96" w:rsidRPr="00BD1C03" w:rsidRDefault="009B3F96" w:rsidP="004233B5">
            <w:pPr>
              <w:spacing w:before="120" w:after="120"/>
              <w:rPr>
                <w:i/>
                <w:color w:val="76923C" w:themeColor="accent3" w:themeShade="BF"/>
              </w:rPr>
            </w:pPr>
          </w:p>
        </w:tc>
        <w:tc>
          <w:tcPr>
            <w:tcW w:w="3026" w:type="dxa"/>
          </w:tcPr>
          <w:p w14:paraId="2095684E"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Are partners delivering programs in a timely and effective manner?</w:t>
            </w:r>
          </w:p>
          <w:p w14:paraId="1ECF2F1C"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xml:space="preserve">- What types of challenges do partners face in terms of budget and timeline pressures? </w:t>
            </w:r>
          </w:p>
        </w:tc>
        <w:tc>
          <w:tcPr>
            <w:tcW w:w="1449" w:type="dxa"/>
          </w:tcPr>
          <w:p w14:paraId="0D4F168C"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DFAT</w:t>
            </w:r>
          </w:p>
          <w:p w14:paraId="2E20B660"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Investment partners</w:t>
            </w:r>
          </w:p>
        </w:tc>
        <w:tc>
          <w:tcPr>
            <w:tcW w:w="2681" w:type="dxa"/>
          </w:tcPr>
          <w:p w14:paraId="38015F96"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Can DFAT investments be adequately understood and disaggregated from broader reporting in terms of understanding progress against timelines and budgets?</w:t>
            </w:r>
          </w:p>
        </w:tc>
      </w:tr>
      <w:tr w:rsidR="009B3F96" w:rsidRPr="00BD1C03" w14:paraId="232C7972" w14:textId="77777777" w:rsidTr="0038210E">
        <w:tc>
          <w:tcPr>
            <w:cnfStyle w:val="001000000000" w:firstRow="0" w:lastRow="0" w:firstColumn="1" w:lastColumn="0" w:oddVBand="0" w:evenVBand="0" w:oddHBand="0" w:evenHBand="0" w:firstRowFirstColumn="0" w:firstRowLastColumn="0" w:lastRowFirstColumn="0" w:lastRowLastColumn="0"/>
            <w:tcW w:w="2166" w:type="dxa"/>
          </w:tcPr>
          <w:p w14:paraId="1047C474" w14:textId="77777777" w:rsidR="009B3F96" w:rsidRPr="0038210E" w:rsidRDefault="009B3F96" w:rsidP="004233B5">
            <w:pPr>
              <w:spacing w:before="120" w:after="120"/>
              <w:rPr>
                <w:i/>
                <w:color w:val="4F6228" w:themeColor="accent3" w:themeShade="80"/>
              </w:rPr>
            </w:pPr>
            <w:r w:rsidRPr="0038210E">
              <w:rPr>
                <w:i/>
                <w:color w:val="4F6228" w:themeColor="accent3" w:themeShade="80"/>
              </w:rPr>
              <w:t xml:space="preserve">b. Is the project being implemented to achieve good value for money? </w:t>
            </w:r>
          </w:p>
          <w:p w14:paraId="2C48565B" w14:textId="77777777" w:rsidR="009B3F96" w:rsidRPr="00BD1C03" w:rsidRDefault="009B3F96" w:rsidP="004233B5">
            <w:pPr>
              <w:spacing w:before="120" w:after="120"/>
              <w:rPr>
                <w:i/>
                <w:color w:val="76923C" w:themeColor="accent3" w:themeShade="BF"/>
              </w:rPr>
            </w:pPr>
          </w:p>
        </w:tc>
        <w:tc>
          <w:tcPr>
            <w:tcW w:w="3026" w:type="dxa"/>
          </w:tcPr>
          <w:p w14:paraId="6E25AE15"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How do partners define value for money in the context of Iraq?</w:t>
            </w:r>
          </w:p>
          <w:p w14:paraId="73015E3A" w14:textId="41F0AC98" w:rsidR="009B3F96" w:rsidRPr="00BD1C03" w:rsidRDefault="009B3F96" w:rsidP="007D4E88">
            <w:pPr>
              <w:spacing w:before="120" w:after="120"/>
              <w:cnfStyle w:val="000000000000" w:firstRow="0" w:lastRow="0" w:firstColumn="0" w:lastColumn="0" w:oddVBand="0" w:evenVBand="0" w:oddHBand="0" w:evenHBand="0" w:firstRowFirstColumn="0" w:firstRowLastColumn="0" w:lastRowFirstColumn="0" w:lastRowLastColumn="0"/>
            </w:pPr>
            <w:r w:rsidRPr="00BD1C03">
              <w:t>- Are partners able to provide meaningful reporting in terms of accounting for and reporting on DFAT investments?</w:t>
            </w:r>
          </w:p>
        </w:tc>
        <w:tc>
          <w:tcPr>
            <w:tcW w:w="1449" w:type="dxa"/>
          </w:tcPr>
          <w:p w14:paraId="1688DF4B"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DFAT</w:t>
            </w:r>
          </w:p>
          <w:p w14:paraId="1BEAFC6B"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Investment partners</w:t>
            </w:r>
          </w:p>
        </w:tc>
        <w:tc>
          <w:tcPr>
            <w:tcW w:w="2681" w:type="dxa"/>
          </w:tcPr>
          <w:p w14:paraId="20E242E1"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xml:space="preserve">Explore both qualitative and quantitative dimensions of </w:t>
            </w:r>
            <w:proofErr w:type="spellStart"/>
            <w:r w:rsidRPr="00BD1C03">
              <w:t>VfM</w:t>
            </w:r>
            <w:proofErr w:type="spellEnd"/>
          </w:p>
        </w:tc>
      </w:tr>
      <w:tr w:rsidR="009B3F96" w:rsidRPr="00BD1C03" w14:paraId="55DC7455" w14:textId="77777777" w:rsidTr="0038210E">
        <w:tc>
          <w:tcPr>
            <w:cnfStyle w:val="001000000000" w:firstRow="0" w:lastRow="0" w:firstColumn="1" w:lastColumn="0" w:oddVBand="0" w:evenVBand="0" w:oddHBand="0" w:evenHBand="0" w:firstRowFirstColumn="0" w:firstRowLastColumn="0" w:lastRowFirstColumn="0" w:lastRowLastColumn="0"/>
            <w:tcW w:w="2166" w:type="dxa"/>
          </w:tcPr>
          <w:p w14:paraId="7C3BDDBB" w14:textId="77777777" w:rsidR="009B3F96" w:rsidRPr="00BD1C03" w:rsidRDefault="009B3F96" w:rsidP="004233B5">
            <w:pPr>
              <w:spacing w:before="120" w:after="120"/>
              <w:rPr>
                <w:i/>
                <w:color w:val="76923C" w:themeColor="accent3" w:themeShade="BF"/>
              </w:rPr>
            </w:pPr>
            <w:r w:rsidRPr="0038210E">
              <w:rPr>
                <w:i/>
                <w:color w:val="4F6228" w:themeColor="accent3" w:themeShade="80"/>
              </w:rPr>
              <w:t>c. Are there benefits from the multi-year funding that could not have been achieved with annual funding? How has this supported the project’s aims?</w:t>
            </w:r>
          </w:p>
        </w:tc>
        <w:tc>
          <w:tcPr>
            <w:tcW w:w="3026" w:type="dxa"/>
          </w:tcPr>
          <w:p w14:paraId="1FB64E8A"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What are partner perspectives on the pros and cons of multi-year funding compared to annual funding?</w:t>
            </w:r>
          </w:p>
          <w:p w14:paraId="2FEFC47F"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Has DFAT been responsive to shifting priorities of partners over the course of the investment?</w:t>
            </w:r>
          </w:p>
        </w:tc>
        <w:tc>
          <w:tcPr>
            <w:tcW w:w="1449" w:type="dxa"/>
          </w:tcPr>
          <w:p w14:paraId="1C52171A"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xml:space="preserve">DFAT </w:t>
            </w:r>
          </w:p>
          <w:p w14:paraId="144D078E"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Investment partners</w:t>
            </w:r>
          </w:p>
          <w:p w14:paraId="6A279485"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OCHA, UNDP. Other donors</w:t>
            </w:r>
          </w:p>
        </w:tc>
        <w:tc>
          <w:tcPr>
            <w:tcW w:w="2681" w:type="dxa"/>
          </w:tcPr>
          <w:p w14:paraId="0B79AC87"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Aim to drill down into the context of multi-year funding to understand how it specifically affects programming of different partners</w:t>
            </w:r>
          </w:p>
        </w:tc>
      </w:tr>
      <w:tr w:rsidR="009B3F96" w:rsidRPr="00BD1C03" w14:paraId="7ACB8FF9" w14:textId="77777777" w:rsidTr="0038210E">
        <w:tc>
          <w:tcPr>
            <w:cnfStyle w:val="001000000000" w:firstRow="0" w:lastRow="0" w:firstColumn="1" w:lastColumn="0" w:oddVBand="0" w:evenVBand="0" w:oddHBand="0" w:evenHBand="0" w:firstRowFirstColumn="0" w:firstRowLastColumn="0" w:lastRowFirstColumn="0" w:lastRowLastColumn="0"/>
            <w:tcW w:w="9322" w:type="dxa"/>
            <w:gridSpan w:val="4"/>
          </w:tcPr>
          <w:p w14:paraId="0567D10D" w14:textId="77777777" w:rsidR="009B3F96" w:rsidRPr="00BD1C03" w:rsidRDefault="009B3F96" w:rsidP="004233B5">
            <w:pPr>
              <w:spacing w:before="120" w:after="120"/>
              <w:rPr>
                <w:color w:val="76923C" w:themeColor="accent3" w:themeShade="BF"/>
              </w:rPr>
            </w:pPr>
            <w:r w:rsidRPr="0038210E">
              <w:rPr>
                <w:color w:val="4F6228" w:themeColor="accent3" w:themeShade="80"/>
              </w:rPr>
              <w:t xml:space="preserve">EQ 4.  How </w:t>
            </w:r>
            <w:r w:rsidRPr="0038210E">
              <w:rPr>
                <w:color w:val="4F6228" w:themeColor="accent3" w:themeShade="80"/>
                <w:u w:val="single"/>
              </w:rPr>
              <w:t>connected and sustainable</w:t>
            </w:r>
            <w:r w:rsidRPr="0038210E">
              <w:rPr>
                <w:color w:val="4F6228" w:themeColor="accent3" w:themeShade="80"/>
              </w:rPr>
              <w:t xml:space="preserve"> is the package?</w:t>
            </w:r>
          </w:p>
        </w:tc>
      </w:tr>
      <w:tr w:rsidR="009B3F96" w:rsidRPr="00BD1C03" w14:paraId="1381DFF5" w14:textId="77777777" w:rsidTr="0038210E">
        <w:tc>
          <w:tcPr>
            <w:cnfStyle w:val="001000000000" w:firstRow="0" w:lastRow="0" w:firstColumn="1" w:lastColumn="0" w:oddVBand="0" w:evenVBand="0" w:oddHBand="0" w:evenHBand="0" w:firstRowFirstColumn="0" w:firstRowLastColumn="0" w:lastRowFirstColumn="0" w:lastRowLastColumn="0"/>
            <w:tcW w:w="2166" w:type="dxa"/>
          </w:tcPr>
          <w:p w14:paraId="6E5F42C2" w14:textId="77777777" w:rsidR="009B3F96" w:rsidRPr="00BD1C03" w:rsidRDefault="009B3F96" w:rsidP="004233B5">
            <w:pPr>
              <w:spacing w:before="120" w:after="120"/>
              <w:rPr>
                <w:i/>
                <w:color w:val="76923C" w:themeColor="accent3" w:themeShade="BF"/>
              </w:rPr>
            </w:pPr>
            <w:r w:rsidRPr="0038210E">
              <w:rPr>
                <w:i/>
                <w:color w:val="4F6228" w:themeColor="accent3" w:themeShade="80"/>
              </w:rPr>
              <w:t xml:space="preserve">a. Was the investment delivered in a way which supported stabilisation, recovery, resilience and long-term development? </w:t>
            </w:r>
          </w:p>
        </w:tc>
        <w:tc>
          <w:tcPr>
            <w:tcW w:w="3026" w:type="dxa"/>
          </w:tcPr>
          <w:p w14:paraId="5790FDB1"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Is there coherence in the overall package of investments, and does it collectively support progression towards stabilisation and longer term development?</w:t>
            </w:r>
          </w:p>
          <w:p w14:paraId="70615AD2"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What are they key barriers to stabilisation programming, and how can DFAT best support these being addressed?</w:t>
            </w:r>
          </w:p>
        </w:tc>
        <w:tc>
          <w:tcPr>
            <w:tcW w:w="1449" w:type="dxa"/>
          </w:tcPr>
          <w:p w14:paraId="61E61D3A"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DFAT</w:t>
            </w:r>
          </w:p>
          <w:p w14:paraId="53FC2C7C"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xml:space="preserve">Investment partners </w:t>
            </w:r>
          </w:p>
        </w:tc>
        <w:tc>
          <w:tcPr>
            <w:tcW w:w="2681" w:type="dxa"/>
          </w:tcPr>
          <w:p w14:paraId="0C4378E7"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Tailor question to the specific context of each partners work on the humanitarian to recovery continuum</w:t>
            </w:r>
          </w:p>
        </w:tc>
      </w:tr>
      <w:tr w:rsidR="009B3F96" w:rsidRPr="00BD1C03" w14:paraId="1D16D16D" w14:textId="77777777" w:rsidTr="0038210E">
        <w:tc>
          <w:tcPr>
            <w:cnfStyle w:val="001000000000" w:firstRow="0" w:lastRow="0" w:firstColumn="1" w:lastColumn="0" w:oddVBand="0" w:evenVBand="0" w:oddHBand="0" w:evenHBand="0" w:firstRowFirstColumn="0" w:firstRowLastColumn="0" w:lastRowFirstColumn="0" w:lastRowLastColumn="0"/>
            <w:tcW w:w="2166" w:type="dxa"/>
          </w:tcPr>
          <w:p w14:paraId="787969A8" w14:textId="77777777" w:rsidR="009B3F96" w:rsidRPr="0038210E" w:rsidRDefault="009B3F96" w:rsidP="004233B5">
            <w:pPr>
              <w:spacing w:before="120" w:after="120"/>
              <w:rPr>
                <w:i/>
                <w:color w:val="4F6228" w:themeColor="accent3" w:themeShade="80"/>
              </w:rPr>
            </w:pPr>
            <w:r w:rsidRPr="0038210E">
              <w:rPr>
                <w:i/>
                <w:color w:val="4F6228" w:themeColor="accent3" w:themeShade="80"/>
              </w:rPr>
              <w:t>b. To what extent did the Government of Iraq (</w:t>
            </w:r>
            <w:proofErr w:type="spellStart"/>
            <w:r w:rsidRPr="0038210E">
              <w:rPr>
                <w:i/>
                <w:color w:val="4F6228" w:themeColor="accent3" w:themeShade="80"/>
              </w:rPr>
              <w:t>GoI</w:t>
            </w:r>
            <w:proofErr w:type="spellEnd"/>
            <w:r w:rsidRPr="0038210E">
              <w:rPr>
                <w:i/>
                <w:color w:val="4F6228" w:themeColor="accent3" w:themeShade="80"/>
              </w:rPr>
              <w:t>) and key local actors believe they were able to guide and influence the project?</w:t>
            </w:r>
          </w:p>
        </w:tc>
        <w:tc>
          <w:tcPr>
            <w:tcW w:w="3026" w:type="dxa"/>
          </w:tcPr>
          <w:p w14:paraId="64D73FF3"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xml:space="preserve">- What strategies do different partners have in place to consult, inform and engage the </w:t>
            </w:r>
            <w:proofErr w:type="spellStart"/>
            <w:r w:rsidRPr="00BD1C03">
              <w:t>GoI</w:t>
            </w:r>
            <w:proofErr w:type="spellEnd"/>
            <w:r w:rsidRPr="00BD1C03">
              <w:t xml:space="preserve"> in relation to programming?</w:t>
            </w:r>
          </w:p>
          <w:p w14:paraId="679EAF30" w14:textId="548308A9"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xml:space="preserve">- Do </w:t>
            </w:r>
            <w:proofErr w:type="spellStart"/>
            <w:r w:rsidRPr="00BD1C03">
              <w:t>GoI</w:t>
            </w:r>
            <w:proofErr w:type="spellEnd"/>
            <w:r w:rsidRPr="00BD1C03">
              <w:t xml:space="preserve"> representatives believe they have sufficient voice in terms of guidi</w:t>
            </w:r>
            <w:r w:rsidR="007D4E88">
              <w:t>ng and developing ownership of h</w:t>
            </w:r>
            <w:r w:rsidRPr="00BD1C03">
              <w:t>u</w:t>
            </w:r>
            <w:r w:rsidR="007D4E88">
              <w:t>manitarian focused programming and s</w:t>
            </w:r>
            <w:r w:rsidRPr="00BD1C03">
              <w:t>tabilisation and recovery focused programming</w:t>
            </w:r>
            <w:r w:rsidR="007D4E88">
              <w:t>?</w:t>
            </w:r>
          </w:p>
        </w:tc>
        <w:tc>
          <w:tcPr>
            <w:tcW w:w="1449" w:type="dxa"/>
          </w:tcPr>
          <w:p w14:paraId="4DB39FD9"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DFAT</w:t>
            </w:r>
          </w:p>
          <w:p w14:paraId="7F0838BF"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Investment partners</w:t>
            </w:r>
          </w:p>
          <w:p w14:paraId="7975ED52"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proofErr w:type="spellStart"/>
            <w:r w:rsidRPr="00BD1C03">
              <w:t>GoI</w:t>
            </w:r>
            <w:proofErr w:type="spellEnd"/>
            <w:r w:rsidRPr="00BD1C03">
              <w:t xml:space="preserve"> officials</w:t>
            </w:r>
          </w:p>
          <w:p w14:paraId="3C1E5F65"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Local partners/ civil society</w:t>
            </w:r>
          </w:p>
        </w:tc>
        <w:tc>
          <w:tcPr>
            <w:tcW w:w="2681" w:type="dxa"/>
          </w:tcPr>
          <w:p w14:paraId="743E823A"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While every effort will be made to meaningfully respond to this question, it is expected that the sample of interviewees will be limited, and therefore the results more anecdotal in nature</w:t>
            </w:r>
          </w:p>
        </w:tc>
      </w:tr>
      <w:tr w:rsidR="009B3F96" w:rsidRPr="00BD1C03" w14:paraId="163B750C" w14:textId="77777777" w:rsidTr="0038210E">
        <w:tc>
          <w:tcPr>
            <w:cnfStyle w:val="001000000000" w:firstRow="0" w:lastRow="0" w:firstColumn="1" w:lastColumn="0" w:oddVBand="0" w:evenVBand="0" w:oddHBand="0" w:evenHBand="0" w:firstRowFirstColumn="0" w:firstRowLastColumn="0" w:lastRowFirstColumn="0" w:lastRowLastColumn="0"/>
            <w:tcW w:w="2166" w:type="dxa"/>
          </w:tcPr>
          <w:p w14:paraId="0F6CFADF" w14:textId="77777777" w:rsidR="009B3F96" w:rsidRPr="0038210E" w:rsidRDefault="009B3F96" w:rsidP="004233B5">
            <w:pPr>
              <w:spacing w:before="120" w:after="120"/>
              <w:rPr>
                <w:i/>
                <w:color w:val="4F6228" w:themeColor="accent3" w:themeShade="80"/>
              </w:rPr>
            </w:pPr>
            <w:r w:rsidRPr="0038210E">
              <w:rPr>
                <w:i/>
                <w:color w:val="4F6228" w:themeColor="accent3" w:themeShade="80"/>
              </w:rPr>
              <w:t>c. To what extent did the project strengthen local partners, including civil society (e.g. local women’s organisations, disabled people’s organisations) and local government, and include their participation in coordination fora?</w:t>
            </w:r>
          </w:p>
        </w:tc>
        <w:tc>
          <w:tcPr>
            <w:tcW w:w="3026" w:type="dxa"/>
          </w:tcPr>
          <w:p w14:paraId="62E1004C"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How did DFAT and partners ensure investments/programs engage and strengthen local partners, civil society (WPS, DPO) and government, and their participation in coordination fora?</w:t>
            </w:r>
          </w:p>
        </w:tc>
        <w:tc>
          <w:tcPr>
            <w:tcW w:w="1449" w:type="dxa"/>
          </w:tcPr>
          <w:p w14:paraId="6CD541CB"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xml:space="preserve">DFAT </w:t>
            </w:r>
          </w:p>
          <w:p w14:paraId="4C49EEF3"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Investment partners</w:t>
            </w:r>
          </w:p>
          <w:p w14:paraId="4B60B0D3"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proofErr w:type="spellStart"/>
            <w:r w:rsidRPr="00BD1C03">
              <w:t>GoI</w:t>
            </w:r>
            <w:proofErr w:type="spellEnd"/>
            <w:r w:rsidRPr="00BD1C03">
              <w:t xml:space="preserve"> Officials, OCHA, UNDP</w:t>
            </w:r>
          </w:p>
          <w:p w14:paraId="576C729B" w14:textId="0DDB6F19"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Local civil society e</w:t>
            </w:r>
            <w:r w:rsidR="003B5FE9">
              <w:t>.</w:t>
            </w:r>
            <w:r w:rsidRPr="00BD1C03">
              <w:t>g</w:t>
            </w:r>
            <w:r w:rsidR="003B5FE9">
              <w:t>.</w:t>
            </w:r>
            <w:r w:rsidRPr="00BD1C03">
              <w:t xml:space="preserve"> WPS, DPOs</w:t>
            </w:r>
          </w:p>
        </w:tc>
        <w:tc>
          <w:tcPr>
            <w:tcW w:w="2681" w:type="dxa"/>
          </w:tcPr>
          <w:p w14:paraId="767589FC"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Language limitations will potentially restrict this cohort of interviews</w:t>
            </w:r>
          </w:p>
        </w:tc>
      </w:tr>
      <w:tr w:rsidR="009B3F96" w:rsidRPr="00BD1C03" w14:paraId="474AF098" w14:textId="77777777" w:rsidTr="0038210E">
        <w:tc>
          <w:tcPr>
            <w:cnfStyle w:val="001000000000" w:firstRow="0" w:lastRow="0" w:firstColumn="1" w:lastColumn="0" w:oddVBand="0" w:evenVBand="0" w:oddHBand="0" w:evenHBand="0" w:firstRowFirstColumn="0" w:firstRowLastColumn="0" w:lastRowFirstColumn="0" w:lastRowLastColumn="0"/>
            <w:tcW w:w="2166" w:type="dxa"/>
          </w:tcPr>
          <w:p w14:paraId="02060170" w14:textId="77777777" w:rsidR="009B3F96" w:rsidRPr="0038210E" w:rsidRDefault="009B3F96" w:rsidP="004233B5">
            <w:pPr>
              <w:spacing w:before="120" w:after="120"/>
              <w:rPr>
                <w:i/>
                <w:color w:val="4F6228" w:themeColor="accent3" w:themeShade="80"/>
              </w:rPr>
            </w:pPr>
            <w:r w:rsidRPr="0038210E">
              <w:rPr>
                <w:i/>
                <w:color w:val="4F6228" w:themeColor="accent3" w:themeShade="80"/>
              </w:rPr>
              <w:t>d. Was Australia’s approach coordinated and complementary?</w:t>
            </w:r>
          </w:p>
        </w:tc>
        <w:tc>
          <w:tcPr>
            <w:tcW w:w="3026" w:type="dxa"/>
          </w:tcPr>
          <w:p w14:paraId="3B71E261"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How did DFAT and partners ensure investments/programs were coordinated and complimentary?</w:t>
            </w:r>
          </w:p>
          <w:p w14:paraId="1B068207"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How frequently did different partners engage with relevant coordination mechanisms?</w:t>
            </w:r>
          </w:p>
          <w:p w14:paraId="63B70867"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Is there coherence and logic to the overall suite of Australian funded investments in terms of both addressing humanitarian needs and supporting progress towards stabilisation and recovery?</w:t>
            </w:r>
          </w:p>
        </w:tc>
        <w:tc>
          <w:tcPr>
            <w:tcW w:w="1449" w:type="dxa"/>
          </w:tcPr>
          <w:p w14:paraId="7FCA4AA7"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DFAT</w:t>
            </w:r>
          </w:p>
          <w:p w14:paraId="0E9EF6CF"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Investment partners</w:t>
            </w:r>
          </w:p>
          <w:p w14:paraId="036F2CB5"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Clusters</w:t>
            </w:r>
          </w:p>
          <w:p w14:paraId="5B12D67F"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OCHA, UNDP, other donors</w:t>
            </w:r>
          </w:p>
        </w:tc>
        <w:tc>
          <w:tcPr>
            <w:tcW w:w="2681" w:type="dxa"/>
          </w:tcPr>
          <w:p w14:paraId="7CBBAF8F"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xml:space="preserve">It is anticipated that some KIIs will be better placed to respond to this than others </w:t>
            </w:r>
          </w:p>
        </w:tc>
      </w:tr>
      <w:tr w:rsidR="009B3F96" w:rsidRPr="00BD1C03" w14:paraId="5B54533F" w14:textId="77777777" w:rsidTr="0038210E">
        <w:tc>
          <w:tcPr>
            <w:cnfStyle w:val="001000000000" w:firstRow="0" w:lastRow="0" w:firstColumn="1" w:lastColumn="0" w:oddVBand="0" w:evenVBand="0" w:oddHBand="0" w:evenHBand="0" w:firstRowFirstColumn="0" w:firstRowLastColumn="0" w:lastRowFirstColumn="0" w:lastRowLastColumn="0"/>
            <w:tcW w:w="2166" w:type="dxa"/>
          </w:tcPr>
          <w:p w14:paraId="20FCC393" w14:textId="77777777" w:rsidR="009B3F96" w:rsidRPr="0038210E" w:rsidRDefault="009B3F96" w:rsidP="004233B5">
            <w:pPr>
              <w:spacing w:before="120" w:after="120"/>
              <w:rPr>
                <w:i/>
                <w:color w:val="4F6228" w:themeColor="accent3" w:themeShade="80"/>
              </w:rPr>
            </w:pPr>
            <w:r w:rsidRPr="0038210E">
              <w:rPr>
                <w:i/>
                <w:color w:val="4F6228" w:themeColor="accent3" w:themeShade="80"/>
              </w:rPr>
              <w:t>e. To what extent did Australia engage with and influence the international humanitarian system and stabilisation actors both in Iraq and globally, both through programming and diplomacy?</w:t>
            </w:r>
          </w:p>
        </w:tc>
        <w:tc>
          <w:tcPr>
            <w:tcW w:w="3026" w:type="dxa"/>
          </w:tcPr>
          <w:p w14:paraId="1BE79567"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How did DFAT engage with the humanitarian system and stabilisation actors in Iraq and globally in terms of programs and diplomacy?</w:t>
            </w:r>
          </w:p>
          <w:p w14:paraId="1E5B5056" w14:textId="549C2C3B"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xml:space="preserve"> - How does DFAT measure its su</w:t>
            </w:r>
            <w:r w:rsidR="007D4E88">
              <w:t>ccess in this area (DFAT only)?</w:t>
            </w:r>
          </w:p>
          <w:p w14:paraId="3025A465"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What concrete results have you observed?</w:t>
            </w:r>
          </w:p>
        </w:tc>
        <w:tc>
          <w:tcPr>
            <w:tcW w:w="1449" w:type="dxa"/>
          </w:tcPr>
          <w:p w14:paraId="2F209687"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DFAT</w:t>
            </w:r>
          </w:p>
          <w:p w14:paraId="103B78BC"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Investment partners</w:t>
            </w:r>
          </w:p>
          <w:p w14:paraId="549386E8"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OCHA, UNDP, other donors</w:t>
            </w:r>
          </w:p>
        </w:tc>
        <w:tc>
          <w:tcPr>
            <w:tcW w:w="2681" w:type="dxa"/>
          </w:tcPr>
          <w:p w14:paraId="3AAB5E7A"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Triangulate DFAT responses against those of key humanitarian system actors</w:t>
            </w:r>
          </w:p>
        </w:tc>
      </w:tr>
      <w:tr w:rsidR="009B3F96" w:rsidRPr="00BD1C03" w14:paraId="62FB7B1B" w14:textId="77777777" w:rsidTr="0038210E">
        <w:tc>
          <w:tcPr>
            <w:cnfStyle w:val="001000000000" w:firstRow="0" w:lastRow="0" w:firstColumn="1" w:lastColumn="0" w:oddVBand="0" w:evenVBand="0" w:oddHBand="0" w:evenHBand="0" w:firstRowFirstColumn="0" w:firstRowLastColumn="0" w:lastRowFirstColumn="0" w:lastRowLastColumn="0"/>
            <w:tcW w:w="2166" w:type="dxa"/>
          </w:tcPr>
          <w:p w14:paraId="4D0A8B6D" w14:textId="77777777" w:rsidR="009B3F96" w:rsidRPr="0038210E" w:rsidRDefault="009B3F96" w:rsidP="004233B5">
            <w:pPr>
              <w:spacing w:before="120" w:after="120"/>
              <w:rPr>
                <w:i/>
                <w:color w:val="4F6228" w:themeColor="accent3" w:themeShade="80"/>
              </w:rPr>
            </w:pPr>
            <w:r w:rsidRPr="0038210E">
              <w:rPr>
                <w:i/>
                <w:color w:val="4F6228" w:themeColor="accent3" w:themeShade="80"/>
              </w:rPr>
              <w:t>f. Are appropriate exit and transition strategies in place, and how can they be strengthened?</w:t>
            </w:r>
          </w:p>
        </w:tc>
        <w:tc>
          <w:tcPr>
            <w:tcW w:w="3026" w:type="dxa"/>
          </w:tcPr>
          <w:p w14:paraId="2893B1E3" w14:textId="0D7B016A"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xml:space="preserve">- </w:t>
            </w:r>
            <w:r w:rsidR="007E009A">
              <w:t>How do different partners view “exit and transition”</w:t>
            </w:r>
            <w:r w:rsidRPr="00BD1C03">
              <w:t xml:space="preserve"> in the current context?</w:t>
            </w:r>
          </w:p>
          <w:p w14:paraId="451C0A69"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What is the current resource mobilisation scenario of different partners, and what are the implication of that scenario in terms of a responsible and sustainable transition and exit?</w:t>
            </w:r>
          </w:p>
        </w:tc>
        <w:tc>
          <w:tcPr>
            <w:tcW w:w="1449" w:type="dxa"/>
          </w:tcPr>
          <w:p w14:paraId="5FC839C8"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p>
        </w:tc>
        <w:tc>
          <w:tcPr>
            <w:tcW w:w="2681" w:type="dxa"/>
          </w:tcPr>
          <w:p w14:paraId="1F5D8D1E"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While every effort will be made to meaningfully respond to this question, it is anticipated that most partners will view discussion of exit strategies as premature</w:t>
            </w:r>
          </w:p>
        </w:tc>
      </w:tr>
      <w:tr w:rsidR="009B3F96" w:rsidRPr="00BD1C03" w14:paraId="5D84250E" w14:textId="77777777" w:rsidTr="0038210E">
        <w:tc>
          <w:tcPr>
            <w:cnfStyle w:val="001000000000" w:firstRow="0" w:lastRow="0" w:firstColumn="1" w:lastColumn="0" w:oddVBand="0" w:evenVBand="0" w:oddHBand="0" w:evenHBand="0" w:firstRowFirstColumn="0" w:firstRowLastColumn="0" w:lastRowFirstColumn="0" w:lastRowLastColumn="0"/>
            <w:tcW w:w="2166" w:type="dxa"/>
          </w:tcPr>
          <w:p w14:paraId="64AEB863" w14:textId="77777777" w:rsidR="009B3F96" w:rsidRPr="0038210E" w:rsidRDefault="009B3F96" w:rsidP="004233B5">
            <w:pPr>
              <w:spacing w:before="120" w:after="120"/>
              <w:rPr>
                <w:i/>
                <w:color w:val="4F6228" w:themeColor="accent3" w:themeShade="80"/>
              </w:rPr>
            </w:pPr>
            <w:r w:rsidRPr="0038210E">
              <w:rPr>
                <w:i/>
                <w:color w:val="4F6228" w:themeColor="accent3" w:themeShade="80"/>
              </w:rPr>
              <w:t>g. What future funding options are most needed to address gaps?</w:t>
            </w:r>
          </w:p>
        </w:tc>
        <w:tc>
          <w:tcPr>
            <w:tcW w:w="3026" w:type="dxa"/>
          </w:tcPr>
          <w:p w14:paraId="1DE4984A"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What are the most acute funding gaps faced by different partners?</w:t>
            </w:r>
          </w:p>
          <w:p w14:paraId="65B31F0E"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What are the implications of these gaps in terms of progressing humanitarian and/or stabilisation?</w:t>
            </w:r>
          </w:p>
        </w:tc>
        <w:tc>
          <w:tcPr>
            <w:tcW w:w="1449" w:type="dxa"/>
          </w:tcPr>
          <w:p w14:paraId="23BB4390"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p>
        </w:tc>
        <w:tc>
          <w:tcPr>
            <w:tcW w:w="2681" w:type="dxa"/>
          </w:tcPr>
          <w:p w14:paraId="621BBF3B"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p>
        </w:tc>
      </w:tr>
      <w:tr w:rsidR="009B3F96" w:rsidRPr="00BD1C03" w14:paraId="4156CD58" w14:textId="77777777" w:rsidTr="0038210E">
        <w:tc>
          <w:tcPr>
            <w:cnfStyle w:val="001000000000" w:firstRow="0" w:lastRow="0" w:firstColumn="1" w:lastColumn="0" w:oddVBand="0" w:evenVBand="0" w:oddHBand="0" w:evenHBand="0" w:firstRowFirstColumn="0" w:firstRowLastColumn="0" w:lastRowFirstColumn="0" w:lastRowLastColumn="0"/>
            <w:tcW w:w="9322" w:type="dxa"/>
            <w:gridSpan w:val="4"/>
          </w:tcPr>
          <w:p w14:paraId="318E7622" w14:textId="77777777" w:rsidR="009B3F96" w:rsidRPr="0038210E" w:rsidRDefault="009B3F96" w:rsidP="004233B5">
            <w:pPr>
              <w:spacing w:before="120" w:after="120"/>
              <w:rPr>
                <w:color w:val="4F6228" w:themeColor="accent3" w:themeShade="80"/>
              </w:rPr>
            </w:pPr>
            <w:r w:rsidRPr="0038210E">
              <w:rPr>
                <w:color w:val="4F6228" w:themeColor="accent3" w:themeShade="80"/>
              </w:rPr>
              <w:t xml:space="preserve">EQ 5.  How </w:t>
            </w:r>
            <w:r w:rsidRPr="0038210E">
              <w:rPr>
                <w:color w:val="4F6228" w:themeColor="accent3" w:themeShade="80"/>
                <w:u w:val="single"/>
              </w:rPr>
              <w:t>transparent and accountable</w:t>
            </w:r>
            <w:r w:rsidRPr="0038210E">
              <w:rPr>
                <w:color w:val="4F6228" w:themeColor="accent3" w:themeShade="80"/>
              </w:rPr>
              <w:t xml:space="preserve"> is the package?</w:t>
            </w:r>
          </w:p>
        </w:tc>
      </w:tr>
      <w:tr w:rsidR="009B3F96" w:rsidRPr="00BD1C03" w14:paraId="4D7AB559" w14:textId="77777777" w:rsidTr="0038210E">
        <w:tc>
          <w:tcPr>
            <w:cnfStyle w:val="001000000000" w:firstRow="0" w:lastRow="0" w:firstColumn="1" w:lastColumn="0" w:oddVBand="0" w:evenVBand="0" w:oddHBand="0" w:evenHBand="0" w:firstRowFirstColumn="0" w:firstRowLastColumn="0" w:lastRowFirstColumn="0" w:lastRowLastColumn="0"/>
            <w:tcW w:w="2166" w:type="dxa"/>
          </w:tcPr>
          <w:p w14:paraId="3A107E63" w14:textId="77777777" w:rsidR="009B3F96" w:rsidRPr="0038210E" w:rsidRDefault="009B3F96" w:rsidP="004233B5">
            <w:pPr>
              <w:spacing w:before="120" w:after="120"/>
              <w:rPr>
                <w:i/>
                <w:color w:val="4F6228" w:themeColor="accent3" w:themeShade="80"/>
              </w:rPr>
            </w:pPr>
            <w:r w:rsidRPr="0038210E">
              <w:rPr>
                <w:i/>
                <w:color w:val="4F6228" w:themeColor="accent3" w:themeShade="80"/>
              </w:rPr>
              <w:t xml:space="preserve">a. To what extent are implementing partners sufficiently accountable to, and engaged with, affected communities? </w:t>
            </w:r>
          </w:p>
        </w:tc>
        <w:tc>
          <w:tcPr>
            <w:tcW w:w="3026" w:type="dxa"/>
          </w:tcPr>
          <w:p w14:paraId="25CD7881"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How were affected populations consulted in needs assessments and monitoring processes?</w:t>
            </w:r>
          </w:p>
          <w:p w14:paraId="5694ACDA" w14:textId="709EEFAC"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What feedback and complaints mechanisms are in place? (agency and inter-agency level, multiple methods, gender, age and disability inclusive)</w:t>
            </w:r>
            <w:r w:rsidR="007D4E88">
              <w:t>?</w:t>
            </w:r>
          </w:p>
          <w:p w14:paraId="20B805AF"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Are AAP approaches and findings adequately reported to DFAT?</w:t>
            </w:r>
          </w:p>
        </w:tc>
        <w:tc>
          <w:tcPr>
            <w:tcW w:w="1449" w:type="dxa"/>
          </w:tcPr>
          <w:p w14:paraId="4EBEBFEC"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p>
        </w:tc>
        <w:tc>
          <w:tcPr>
            <w:tcW w:w="2681" w:type="dxa"/>
          </w:tcPr>
          <w:p w14:paraId="06D5A72A"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Similar to EQ1 a.</w:t>
            </w:r>
          </w:p>
        </w:tc>
      </w:tr>
      <w:tr w:rsidR="009B3F96" w:rsidRPr="00BD1C03" w14:paraId="7BE1B0C7" w14:textId="77777777" w:rsidTr="0038210E">
        <w:tc>
          <w:tcPr>
            <w:cnfStyle w:val="001000000000" w:firstRow="0" w:lastRow="0" w:firstColumn="1" w:lastColumn="0" w:oddVBand="0" w:evenVBand="0" w:oddHBand="0" w:evenHBand="0" w:firstRowFirstColumn="0" w:firstRowLastColumn="0" w:lastRowFirstColumn="0" w:lastRowLastColumn="0"/>
            <w:tcW w:w="2166" w:type="dxa"/>
          </w:tcPr>
          <w:p w14:paraId="778BEEEC" w14:textId="77777777" w:rsidR="009B3F96" w:rsidRPr="0038210E" w:rsidRDefault="009B3F96" w:rsidP="004233B5">
            <w:pPr>
              <w:spacing w:before="120" w:after="120"/>
              <w:rPr>
                <w:i/>
                <w:color w:val="4F6228" w:themeColor="accent3" w:themeShade="80"/>
              </w:rPr>
            </w:pPr>
            <w:r w:rsidRPr="0038210E">
              <w:rPr>
                <w:i/>
                <w:color w:val="4F6228" w:themeColor="accent3" w:themeShade="80"/>
              </w:rPr>
              <w:t>b. What evidence exists of the package having been influenced by effective communication, participation and feedback from affected people and communities?</w:t>
            </w:r>
          </w:p>
        </w:tc>
        <w:tc>
          <w:tcPr>
            <w:tcW w:w="3026" w:type="dxa"/>
          </w:tcPr>
          <w:p w14:paraId="4E59BA89" w14:textId="5D8F8E93"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What measures were taken to facilitate age, gender and disability inclusi</w:t>
            </w:r>
            <w:r w:rsidR="007D4E88">
              <w:t xml:space="preserve">ve/ representative assessments </w:t>
            </w:r>
            <w:r w:rsidRPr="00BD1C03">
              <w:t>(e</w:t>
            </w:r>
            <w:r w:rsidR="003B5FE9">
              <w:t>.</w:t>
            </w:r>
            <w:r w:rsidRPr="00BD1C03">
              <w:t>g. participatory assessments)</w:t>
            </w:r>
            <w:r w:rsidR="007D4E88">
              <w:t>?</w:t>
            </w:r>
          </w:p>
          <w:p w14:paraId="6355FBB3" w14:textId="0C394773"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How do they receive feedback and complaints, what is the resolution process and how does this inform programming? (e</w:t>
            </w:r>
            <w:r w:rsidR="003B5FE9">
              <w:t>.</w:t>
            </w:r>
            <w:r w:rsidRPr="00BD1C03">
              <w:t>g</w:t>
            </w:r>
            <w:r w:rsidR="003B5FE9">
              <w:t>.</w:t>
            </w:r>
            <w:r w:rsidRPr="00BD1C03">
              <w:t xml:space="preserve"> SOPs, committee, multiple methods for information dissemination and receiving feedback, adjusted programming documents)</w:t>
            </w:r>
            <w:r w:rsidR="007D4E88">
              <w:t>?</w:t>
            </w:r>
          </w:p>
          <w:p w14:paraId="74A5EB60"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Are AAP approaches and findings adequately reported to DFAT?</w:t>
            </w:r>
          </w:p>
        </w:tc>
        <w:tc>
          <w:tcPr>
            <w:tcW w:w="1449" w:type="dxa"/>
          </w:tcPr>
          <w:p w14:paraId="1C43AA8D"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p>
        </w:tc>
        <w:tc>
          <w:tcPr>
            <w:tcW w:w="2681" w:type="dxa"/>
          </w:tcPr>
          <w:p w14:paraId="6AF2B39E"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Similar to EQ1 b.</w:t>
            </w:r>
          </w:p>
        </w:tc>
      </w:tr>
      <w:tr w:rsidR="009B3F96" w:rsidRPr="00BD1C03" w14:paraId="053FF371" w14:textId="77777777" w:rsidTr="0038210E">
        <w:tc>
          <w:tcPr>
            <w:cnfStyle w:val="001000000000" w:firstRow="0" w:lastRow="0" w:firstColumn="1" w:lastColumn="0" w:oddVBand="0" w:evenVBand="0" w:oddHBand="0" w:evenHBand="0" w:firstRowFirstColumn="0" w:firstRowLastColumn="0" w:lastRowFirstColumn="0" w:lastRowLastColumn="0"/>
            <w:tcW w:w="9322" w:type="dxa"/>
            <w:gridSpan w:val="4"/>
          </w:tcPr>
          <w:p w14:paraId="1C47B037" w14:textId="77777777" w:rsidR="009B3F96" w:rsidRPr="0038210E" w:rsidRDefault="009B3F96" w:rsidP="004233B5">
            <w:pPr>
              <w:spacing w:before="120" w:after="120"/>
              <w:rPr>
                <w:color w:val="4F6228" w:themeColor="accent3" w:themeShade="80"/>
              </w:rPr>
            </w:pPr>
            <w:r w:rsidRPr="0038210E">
              <w:rPr>
                <w:color w:val="4F6228" w:themeColor="accent3" w:themeShade="80"/>
              </w:rPr>
              <w:t>6. Recommendations</w:t>
            </w:r>
          </w:p>
        </w:tc>
      </w:tr>
      <w:tr w:rsidR="009B3F96" w:rsidRPr="00BD1C03" w14:paraId="7730FFF3" w14:textId="77777777" w:rsidTr="0038210E">
        <w:tc>
          <w:tcPr>
            <w:cnfStyle w:val="001000000000" w:firstRow="0" w:lastRow="0" w:firstColumn="1" w:lastColumn="0" w:oddVBand="0" w:evenVBand="0" w:oddHBand="0" w:evenHBand="0" w:firstRowFirstColumn="0" w:firstRowLastColumn="0" w:lastRowFirstColumn="0" w:lastRowLastColumn="0"/>
            <w:tcW w:w="2166" w:type="dxa"/>
          </w:tcPr>
          <w:p w14:paraId="016AF824" w14:textId="77777777" w:rsidR="009B3F96" w:rsidRPr="0038210E" w:rsidRDefault="009B3F96" w:rsidP="004233B5">
            <w:pPr>
              <w:spacing w:before="120" w:after="120"/>
              <w:rPr>
                <w:i/>
                <w:color w:val="4F6228" w:themeColor="accent3" w:themeShade="80"/>
              </w:rPr>
            </w:pPr>
            <w:r w:rsidRPr="0038210E">
              <w:rPr>
                <w:i/>
                <w:color w:val="4F6228" w:themeColor="accent3" w:themeShade="80"/>
              </w:rPr>
              <w:t>a. Changes to the scope of work or partners ensuring any changes recommended are feasible within a 1-2 year extension of the existing program;</w:t>
            </w:r>
          </w:p>
        </w:tc>
        <w:tc>
          <w:tcPr>
            <w:tcW w:w="3026" w:type="dxa"/>
          </w:tcPr>
          <w:p w14:paraId="7FBE387E"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What priorities would different partners like to express to DFAT in terms of initiatives that would be feasible if there was to be a 1-2 year extension of the existing program?</w:t>
            </w:r>
          </w:p>
        </w:tc>
        <w:tc>
          <w:tcPr>
            <w:tcW w:w="1449" w:type="dxa"/>
          </w:tcPr>
          <w:p w14:paraId="3F8A3B8D"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DFAT</w:t>
            </w:r>
          </w:p>
        </w:tc>
        <w:tc>
          <w:tcPr>
            <w:tcW w:w="2681" w:type="dxa"/>
          </w:tcPr>
          <w:p w14:paraId="351B6651"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p>
        </w:tc>
      </w:tr>
      <w:tr w:rsidR="009B3F96" w:rsidRPr="00BD1C03" w14:paraId="0C60C24A" w14:textId="77777777" w:rsidTr="0038210E">
        <w:tc>
          <w:tcPr>
            <w:cnfStyle w:val="001000000000" w:firstRow="0" w:lastRow="0" w:firstColumn="1" w:lastColumn="0" w:oddVBand="0" w:evenVBand="0" w:oddHBand="0" w:evenHBand="0" w:firstRowFirstColumn="0" w:firstRowLastColumn="0" w:lastRowFirstColumn="0" w:lastRowLastColumn="0"/>
            <w:tcW w:w="2166" w:type="dxa"/>
          </w:tcPr>
          <w:p w14:paraId="2DD7F4E8" w14:textId="748A93E7" w:rsidR="009B3F96" w:rsidRPr="0038210E" w:rsidRDefault="003B5FE9" w:rsidP="004233B5">
            <w:pPr>
              <w:spacing w:before="120" w:after="120"/>
              <w:rPr>
                <w:i/>
                <w:color w:val="4F6228" w:themeColor="accent3" w:themeShade="80"/>
              </w:rPr>
            </w:pPr>
            <w:r w:rsidRPr="0038210E">
              <w:rPr>
                <w:i/>
                <w:color w:val="4F6228" w:themeColor="accent3" w:themeShade="80"/>
              </w:rPr>
              <w:t>b. Comment</w:t>
            </w:r>
            <w:r w:rsidR="009B3F96" w:rsidRPr="0038210E">
              <w:rPr>
                <w:i/>
                <w:color w:val="4F6228" w:themeColor="accent3" w:themeShade="80"/>
              </w:rPr>
              <w:t xml:space="preserve"> on the comparative advantage of Australia as a donor, and in particular, the comparative advantage of Australia’s humanitarian and stabilisation programming. To what extent and how does the Humanitarian and Stabilisation package advancing Australia’s national interest in Iraq?</w:t>
            </w:r>
          </w:p>
        </w:tc>
        <w:tc>
          <w:tcPr>
            <w:tcW w:w="3026" w:type="dxa"/>
          </w:tcPr>
          <w:p w14:paraId="50DB23D9"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What are the strengths and weaknesses of Australian funding compared to funding received from other donors?</w:t>
            </w:r>
          </w:p>
          <w:p w14:paraId="01FB252F"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What changes would they like to see in terms of how DFAT manages its investments?</w:t>
            </w:r>
          </w:p>
          <w:p w14:paraId="1ACE3E63"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How does the humanitarian and stabilisation package advance Australian interests?</w:t>
            </w:r>
          </w:p>
          <w:p w14:paraId="753C2C4A" w14:textId="46A01439"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How does the humanitarian and stabilisation package achievements match the priorities set out in the Foreign Policy White Paper</w:t>
            </w:r>
            <w:r w:rsidR="007D4E88">
              <w:t>?</w:t>
            </w:r>
          </w:p>
        </w:tc>
        <w:tc>
          <w:tcPr>
            <w:tcW w:w="1449" w:type="dxa"/>
          </w:tcPr>
          <w:p w14:paraId="207BF8F0"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DFAT</w:t>
            </w:r>
          </w:p>
          <w:p w14:paraId="4F09D1F3"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Investment partners</w:t>
            </w:r>
          </w:p>
          <w:p w14:paraId="46C82B0C"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Embassy staff</w:t>
            </w:r>
          </w:p>
        </w:tc>
        <w:tc>
          <w:tcPr>
            <w:tcW w:w="2681" w:type="dxa"/>
          </w:tcPr>
          <w:p w14:paraId="0828480D"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p>
        </w:tc>
      </w:tr>
      <w:tr w:rsidR="009B3F96" w:rsidRPr="00BD1C03" w14:paraId="18D18FBB" w14:textId="77777777" w:rsidTr="0038210E">
        <w:tc>
          <w:tcPr>
            <w:cnfStyle w:val="001000000000" w:firstRow="0" w:lastRow="0" w:firstColumn="1" w:lastColumn="0" w:oddVBand="0" w:evenVBand="0" w:oddHBand="0" w:evenHBand="0" w:firstRowFirstColumn="0" w:firstRowLastColumn="0" w:lastRowFirstColumn="0" w:lastRowLastColumn="0"/>
            <w:tcW w:w="2166" w:type="dxa"/>
          </w:tcPr>
          <w:p w14:paraId="770A40C2" w14:textId="77777777" w:rsidR="009B3F96" w:rsidRPr="0038210E" w:rsidRDefault="009B3F96" w:rsidP="004233B5">
            <w:pPr>
              <w:spacing w:before="120" w:after="120"/>
              <w:rPr>
                <w:i/>
                <w:color w:val="4F6228" w:themeColor="accent3" w:themeShade="80"/>
              </w:rPr>
            </w:pPr>
            <w:r w:rsidRPr="0038210E">
              <w:rPr>
                <w:i/>
                <w:color w:val="4F6228" w:themeColor="accent3" w:themeShade="80"/>
              </w:rPr>
              <w:t>c.   Identify opportunities in the forward program to take forward the Women, Peace and Security agenda (UNSC 1325+).</w:t>
            </w:r>
          </w:p>
        </w:tc>
        <w:tc>
          <w:tcPr>
            <w:tcW w:w="3026" w:type="dxa"/>
          </w:tcPr>
          <w:p w14:paraId="5F63554D"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How is Australia and/ or other donors supporting WPS implementation in Iraq?</w:t>
            </w:r>
          </w:p>
          <w:p w14:paraId="00CC4A83"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 What are the most significant gaps and opportunities moving forward?</w:t>
            </w:r>
          </w:p>
        </w:tc>
        <w:tc>
          <w:tcPr>
            <w:tcW w:w="1449" w:type="dxa"/>
          </w:tcPr>
          <w:p w14:paraId="38532768"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DFAT</w:t>
            </w:r>
          </w:p>
          <w:p w14:paraId="691B93E0"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Donors</w:t>
            </w:r>
          </w:p>
          <w:p w14:paraId="6204EE89"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r w:rsidRPr="00BD1C03">
              <w:t>Local civil society (WPS)</w:t>
            </w:r>
          </w:p>
        </w:tc>
        <w:tc>
          <w:tcPr>
            <w:tcW w:w="2681" w:type="dxa"/>
          </w:tcPr>
          <w:p w14:paraId="723FE8C4" w14:textId="77777777" w:rsidR="009B3F96" w:rsidRPr="00BD1C03" w:rsidRDefault="009B3F96" w:rsidP="004233B5">
            <w:pPr>
              <w:spacing w:before="120" w:after="120"/>
              <w:cnfStyle w:val="000000000000" w:firstRow="0" w:lastRow="0" w:firstColumn="0" w:lastColumn="0" w:oddVBand="0" w:evenVBand="0" w:oddHBand="0" w:evenHBand="0" w:firstRowFirstColumn="0" w:firstRowLastColumn="0" w:lastRowFirstColumn="0" w:lastRowLastColumn="0"/>
            </w:pPr>
          </w:p>
        </w:tc>
      </w:tr>
    </w:tbl>
    <w:p w14:paraId="69845EDB" w14:textId="1F95A308" w:rsidR="009B3F96" w:rsidRPr="00BD1C03" w:rsidRDefault="009B3F96">
      <w:pPr>
        <w:spacing w:after="0"/>
      </w:pPr>
      <w:r w:rsidRPr="00BD1C03">
        <w:br w:type="page"/>
      </w:r>
    </w:p>
    <w:p w14:paraId="120204DA" w14:textId="6894F590" w:rsidR="002159EB" w:rsidRPr="00BD1C03" w:rsidRDefault="002159EB" w:rsidP="0083629E">
      <w:pPr>
        <w:pStyle w:val="Heading1"/>
        <w:spacing w:after="240"/>
      </w:pPr>
      <w:bookmarkStart w:id="19" w:name="_Toc48318506"/>
      <w:r w:rsidRPr="00BD1C03">
        <w:t>Annex III – IAS</w:t>
      </w:r>
      <w:r w:rsidR="00E50AD2">
        <w:t>C Centrality of Protection and Three Levels of A</w:t>
      </w:r>
      <w:r w:rsidRPr="00BD1C03">
        <w:t>ction</w:t>
      </w:r>
      <w:bookmarkEnd w:id="19"/>
    </w:p>
    <w:tbl>
      <w:tblPr>
        <w:tblStyle w:val="GridTable1Light-Accent31"/>
        <w:tblW w:w="0" w:type="auto"/>
        <w:tblLook w:val="04A0" w:firstRow="1" w:lastRow="0" w:firstColumn="1" w:lastColumn="0" w:noHBand="0" w:noVBand="1"/>
      </w:tblPr>
      <w:tblGrid>
        <w:gridCol w:w="2057"/>
        <w:gridCol w:w="1948"/>
        <w:gridCol w:w="1852"/>
        <w:gridCol w:w="2433"/>
      </w:tblGrid>
      <w:tr w:rsidR="002159EB" w:rsidRPr="00BD1C03" w14:paraId="3738396F" w14:textId="77777777" w:rsidTr="00204E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bottom w:val="single" w:sz="4" w:space="0" w:color="4F6228" w:themeColor="accent3" w:themeShade="80"/>
            </w:tcBorders>
            <w:hideMark/>
          </w:tcPr>
          <w:p w14:paraId="7A62F334" w14:textId="77777777" w:rsidR="002159EB" w:rsidRPr="0038210E" w:rsidRDefault="002159EB" w:rsidP="00860EAA">
            <w:pPr>
              <w:spacing w:before="120" w:after="120"/>
              <w:rPr>
                <w:bCs w:val="0"/>
                <w:sz w:val="24"/>
              </w:rPr>
            </w:pPr>
            <w:r w:rsidRPr="0038210E">
              <w:rPr>
                <w:bCs w:val="0"/>
                <w:sz w:val="24"/>
              </w:rPr>
              <w:t>Level of action</w:t>
            </w:r>
          </w:p>
        </w:tc>
        <w:tc>
          <w:tcPr>
            <w:tcW w:w="2126" w:type="dxa"/>
            <w:tcBorders>
              <w:bottom w:val="single" w:sz="4" w:space="0" w:color="4F6228" w:themeColor="accent3" w:themeShade="80"/>
            </w:tcBorders>
            <w:hideMark/>
          </w:tcPr>
          <w:p w14:paraId="411903DB" w14:textId="77777777" w:rsidR="002159EB" w:rsidRPr="0038210E" w:rsidRDefault="002159EB" w:rsidP="00860EAA">
            <w:pPr>
              <w:spacing w:before="120" w:after="120"/>
              <w:cnfStyle w:val="100000000000" w:firstRow="1" w:lastRow="0" w:firstColumn="0" w:lastColumn="0" w:oddVBand="0" w:evenVBand="0" w:oddHBand="0" w:evenHBand="0" w:firstRowFirstColumn="0" w:firstRowLastColumn="0" w:lastRowFirstColumn="0" w:lastRowLastColumn="0"/>
              <w:rPr>
                <w:bCs w:val="0"/>
                <w:sz w:val="24"/>
              </w:rPr>
            </w:pPr>
            <w:r w:rsidRPr="0038210E">
              <w:rPr>
                <w:bCs w:val="0"/>
                <w:sz w:val="24"/>
              </w:rPr>
              <w:t>Package level</w:t>
            </w:r>
          </w:p>
        </w:tc>
        <w:tc>
          <w:tcPr>
            <w:tcW w:w="1984" w:type="dxa"/>
            <w:tcBorders>
              <w:bottom w:val="single" w:sz="4" w:space="0" w:color="4F6228" w:themeColor="accent3" w:themeShade="80"/>
            </w:tcBorders>
            <w:hideMark/>
          </w:tcPr>
          <w:p w14:paraId="77B5CD09" w14:textId="77777777" w:rsidR="002159EB" w:rsidRPr="0038210E" w:rsidRDefault="002159EB" w:rsidP="00860EAA">
            <w:pPr>
              <w:spacing w:before="120" w:after="120"/>
              <w:cnfStyle w:val="100000000000" w:firstRow="1" w:lastRow="0" w:firstColumn="0" w:lastColumn="0" w:oddVBand="0" w:evenVBand="0" w:oddHBand="0" w:evenHBand="0" w:firstRowFirstColumn="0" w:firstRowLastColumn="0" w:lastRowFirstColumn="0" w:lastRowLastColumn="0"/>
              <w:rPr>
                <w:bCs w:val="0"/>
                <w:sz w:val="24"/>
              </w:rPr>
            </w:pPr>
            <w:r w:rsidRPr="0038210E">
              <w:rPr>
                <w:bCs w:val="0"/>
                <w:sz w:val="24"/>
              </w:rPr>
              <w:t>Response level</w:t>
            </w:r>
          </w:p>
        </w:tc>
        <w:tc>
          <w:tcPr>
            <w:tcW w:w="2655" w:type="dxa"/>
            <w:tcBorders>
              <w:bottom w:val="single" w:sz="4" w:space="0" w:color="4F6228" w:themeColor="accent3" w:themeShade="80"/>
            </w:tcBorders>
            <w:hideMark/>
          </w:tcPr>
          <w:p w14:paraId="1487C25D" w14:textId="77777777" w:rsidR="002159EB" w:rsidRPr="0038210E" w:rsidRDefault="002159EB" w:rsidP="00860EAA">
            <w:pPr>
              <w:spacing w:before="120" w:after="120"/>
              <w:cnfStyle w:val="100000000000" w:firstRow="1" w:lastRow="0" w:firstColumn="0" w:lastColumn="0" w:oddVBand="0" w:evenVBand="0" w:oddHBand="0" w:evenHBand="0" w:firstRowFirstColumn="0" w:firstRowLastColumn="0" w:lastRowFirstColumn="0" w:lastRowLastColumn="0"/>
              <w:rPr>
                <w:bCs w:val="0"/>
                <w:sz w:val="24"/>
              </w:rPr>
            </w:pPr>
            <w:r w:rsidRPr="0038210E">
              <w:rPr>
                <w:bCs w:val="0"/>
                <w:sz w:val="24"/>
              </w:rPr>
              <w:t>Gap/ Recommendation</w:t>
            </w:r>
          </w:p>
        </w:tc>
      </w:tr>
      <w:tr w:rsidR="002159EB" w:rsidRPr="00BD1C03" w14:paraId="05A47DD5" w14:textId="77777777" w:rsidTr="001E55CB">
        <w:tc>
          <w:tcPr>
            <w:cnfStyle w:val="001000000000" w:firstRow="0" w:lastRow="0" w:firstColumn="1" w:lastColumn="0" w:oddVBand="0" w:evenVBand="0" w:oddHBand="0" w:evenHBand="0" w:firstRowFirstColumn="0" w:firstRowLastColumn="0" w:lastRowFirstColumn="0" w:lastRowLastColumn="0"/>
            <w:tcW w:w="2235" w:type="dxa"/>
            <w:hideMark/>
          </w:tcPr>
          <w:p w14:paraId="03003464" w14:textId="77777777" w:rsidR="002159EB" w:rsidRPr="0038210E" w:rsidRDefault="002159EB" w:rsidP="00860EAA">
            <w:pPr>
              <w:spacing w:before="120" w:after="120"/>
              <w:rPr>
                <w:bCs w:val="0"/>
              </w:rPr>
            </w:pPr>
            <w:proofErr w:type="spellStart"/>
            <w:r w:rsidRPr="0038210E">
              <w:rPr>
                <w:bCs w:val="0"/>
                <w:color w:val="4F6228" w:themeColor="accent3" w:themeShade="80"/>
              </w:rPr>
              <w:t>i</w:t>
            </w:r>
            <w:proofErr w:type="spellEnd"/>
            <w:r w:rsidRPr="0038210E">
              <w:rPr>
                <w:bCs w:val="0"/>
                <w:color w:val="4F6228" w:themeColor="accent3" w:themeShade="80"/>
              </w:rPr>
              <w:t>) Strategic approach to the crisis context</w:t>
            </w:r>
          </w:p>
        </w:tc>
        <w:tc>
          <w:tcPr>
            <w:tcW w:w="2126" w:type="dxa"/>
            <w:hideMark/>
          </w:tcPr>
          <w:p w14:paraId="39E6845F" w14:textId="77777777"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Informed by protection risk analysis, conflict analysis</w:t>
            </w:r>
          </w:p>
          <w:p w14:paraId="5B70F226" w14:textId="46AA6FE1"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 xml:space="preserve">Leverage access to </w:t>
            </w:r>
            <w:proofErr w:type="spellStart"/>
            <w:r w:rsidRPr="00BD1C03">
              <w:t>GoI</w:t>
            </w:r>
            <w:proofErr w:type="spellEnd"/>
            <w:r w:rsidRPr="00BD1C03">
              <w:t xml:space="preserve"> for strategic advocacy e</w:t>
            </w:r>
            <w:r w:rsidR="003B5FE9">
              <w:t>.</w:t>
            </w:r>
            <w:r w:rsidRPr="00BD1C03">
              <w:t>g. anti domestic violence law, humanitarian access, rights based returns</w:t>
            </w:r>
          </w:p>
        </w:tc>
        <w:tc>
          <w:tcPr>
            <w:tcW w:w="1984" w:type="dxa"/>
            <w:hideMark/>
          </w:tcPr>
          <w:p w14:paraId="17069125" w14:textId="77777777"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HC, HCT protection strategy, comprehensive protection risk analysis, and empowered protection cluster</w:t>
            </w:r>
          </w:p>
        </w:tc>
        <w:tc>
          <w:tcPr>
            <w:tcW w:w="2655" w:type="dxa"/>
            <w:hideMark/>
          </w:tcPr>
          <w:p w14:paraId="71FAFD26" w14:textId="77777777"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Strategic principled approach moving forward –</w:t>
            </w:r>
            <w:r w:rsidRPr="001E55CB">
              <w:rPr>
                <w:color w:val="4F6228" w:themeColor="accent3" w:themeShade="80"/>
              </w:rPr>
              <w:t xml:space="preserve"> </w:t>
            </w:r>
            <w:r w:rsidRPr="001E55CB">
              <w:rPr>
                <w:b/>
                <w:color w:val="4F6228" w:themeColor="accent3" w:themeShade="80"/>
              </w:rPr>
              <w:t>durable rights-based returns (safe, voluntary, dignified)</w:t>
            </w:r>
          </w:p>
          <w:p w14:paraId="44CE8A4C" w14:textId="17C9E6C7" w:rsidR="002159EB" w:rsidRPr="00BD1C03" w:rsidRDefault="000030EF" w:rsidP="00860EAA">
            <w:pPr>
              <w:spacing w:before="120" w:after="120"/>
              <w:cnfStyle w:val="000000000000" w:firstRow="0" w:lastRow="0" w:firstColumn="0" w:lastColumn="0" w:oddVBand="0" w:evenVBand="0" w:oddHBand="0" w:evenHBand="0" w:firstRowFirstColumn="0" w:firstRowLastColumn="0" w:lastRowFirstColumn="0" w:lastRowLastColumn="0"/>
            </w:pPr>
            <w:r>
              <w:t>Recogn</w:t>
            </w:r>
            <w:r w:rsidR="00B43345">
              <w:t>is</w:t>
            </w:r>
            <w:r w:rsidR="002159EB" w:rsidRPr="00BD1C03">
              <w:t>e endemic discrimination and hardened caseload barriers to returns</w:t>
            </w:r>
          </w:p>
          <w:p w14:paraId="429C6A3D" w14:textId="6C2CF7DF"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Gender and conflict analysis</w:t>
            </w:r>
          </w:p>
        </w:tc>
      </w:tr>
      <w:tr w:rsidR="002159EB" w:rsidRPr="00BD1C03" w14:paraId="3110E0B8" w14:textId="77777777" w:rsidTr="001E55CB">
        <w:tc>
          <w:tcPr>
            <w:cnfStyle w:val="001000000000" w:firstRow="0" w:lastRow="0" w:firstColumn="1" w:lastColumn="0" w:oddVBand="0" w:evenVBand="0" w:oddHBand="0" w:evenHBand="0" w:firstRowFirstColumn="0" w:firstRowLastColumn="0" w:lastRowFirstColumn="0" w:lastRowLastColumn="0"/>
            <w:tcW w:w="2235" w:type="dxa"/>
            <w:hideMark/>
          </w:tcPr>
          <w:p w14:paraId="127BF56D" w14:textId="77777777" w:rsidR="002159EB" w:rsidRPr="0038210E" w:rsidRDefault="002159EB" w:rsidP="00860EAA">
            <w:pPr>
              <w:spacing w:before="120" w:after="120"/>
              <w:rPr>
                <w:bCs w:val="0"/>
                <w:color w:val="4F6228" w:themeColor="accent3" w:themeShade="80"/>
              </w:rPr>
            </w:pPr>
            <w:r w:rsidRPr="0038210E">
              <w:rPr>
                <w:bCs w:val="0"/>
                <w:color w:val="4F6228" w:themeColor="accent3" w:themeShade="80"/>
              </w:rPr>
              <w:t> </w:t>
            </w:r>
          </w:p>
        </w:tc>
        <w:tc>
          <w:tcPr>
            <w:tcW w:w="2126" w:type="dxa"/>
            <w:hideMark/>
          </w:tcPr>
          <w:p w14:paraId="38830E0C" w14:textId="77777777" w:rsidR="002159EB" w:rsidRPr="001E55CB" w:rsidRDefault="002159EB" w:rsidP="00860EAA">
            <w:pPr>
              <w:spacing w:before="120" w:after="120"/>
              <w:cnfStyle w:val="000000000000" w:firstRow="0" w:lastRow="0" w:firstColumn="0" w:lastColumn="0" w:oddVBand="0" w:evenVBand="0" w:oddHBand="0" w:evenHBand="0" w:firstRowFirstColumn="0" w:firstRowLastColumn="0" w:lastRowFirstColumn="0" w:lastRowLastColumn="0"/>
              <w:rPr>
                <w:b/>
                <w:color w:val="4F6228" w:themeColor="accent3" w:themeShade="80"/>
                <w:sz w:val="24"/>
              </w:rPr>
            </w:pPr>
            <w:r w:rsidRPr="001E55CB">
              <w:rPr>
                <w:b/>
                <w:color w:val="4F6228" w:themeColor="accent3" w:themeShade="80"/>
                <w:sz w:val="24"/>
              </w:rPr>
              <w:t>Technical area</w:t>
            </w:r>
          </w:p>
        </w:tc>
        <w:tc>
          <w:tcPr>
            <w:tcW w:w="1984" w:type="dxa"/>
            <w:hideMark/>
          </w:tcPr>
          <w:p w14:paraId="16BEA5B9" w14:textId="77777777" w:rsidR="002159EB" w:rsidRPr="001E55CB" w:rsidRDefault="002159EB" w:rsidP="00860EAA">
            <w:pPr>
              <w:spacing w:before="120" w:after="120"/>
              <w:cnfStyle w:val="000000000000" w:firstRow="0" w:lastRow="0" w:firstColumn="0" w:lastColumn="0" w:oddVBand="0" w:evenVBand="0" w:oddHBand="0" w:evenHBand="0" w:firstRowFirstColumn="0" w:firstRowLastColumn="0" w:lastRowFirstColumn="0" w:lastRowLastColumn="0"/>
              <w:rPr>
                <w:b/>
                <w:color w:val="4F6228" w:themeColor="accent3" w:themeShade="80"/>
                <w:sz w:val="24"/>
              </w:rPr>
            </w:pPr>
            <w:r w:rsidRPr="001E55CB">
              <w:rPr>
                <w:b/>
                <w:color w:val="4F6228" w:themeColor="accent3" w:themeShade="80"/>
                <w:sz w:val="24"/>
              </w:rPr>
              <w:t>Package partner</w:t>
            </w:r>
          </w:p>
        </w:tc>
        <w:tc>
          <w:tcPr>
            <w:tcW w:w="2655" w:type="dxa"/>
            <w:hideMark/>
          </w:tcPr>
          <w:p w14:paraId="2AE86900" w14:textId="77777777" w:rsidR="002159EB" w:rsidRPr="001E55CB" w:rsidRDefault="002159EB" w:rsidP="00860EAA">
            <w:pPr>
              <w:spacing w:before="120" w:after="120"/>
              <w:cnfStyle w:val="000000000000" w:firstRow="0" w:lastRow="0" w:firstColumn="0" w:lastColumn="0" w:oddVBand="0" w:evenVBand="0" w:oddHBand="0" w:evenHBand="0" w:firstRowFirstColumn="0" w:firstRowLastColumn="0" w:lastRowFirstColumn="0" w:lastRowLastColumn="0"/>
              <w:rPr>
                <w:color w:val="4F6228" w:themeColor="accent3" w:themeShade="80"/>
              </w:rPr>
            </w:pPr>
            <w:r w:rsidRPr="001E55CB">
              <w:rPr>
                <w:color w:val="4F6228" w:themeColor="accent3" w:themeShade="80"/>
              </w:rPr>
              <w:t> </w:t>
            </w:r>
          </w:p>
        </w:tc>
      </w:tr>
      <w:tr w:rsidR="002159EB" w:rsidRPr="00BD1C03" w14:paraId="69D8E1AE" w14:textId="77777777" w:rsidTr="001E55CB">
        <w:tc>
          <w:tcPr>
            <w:cnfStyle w:val="001000000000" w:firstRow="0" w:lastRow="0" w:firstColumn="1" w:lastColumn="0" w:oddVBand="0" w:evenVBand="0" w:oddHBand="0" w:evenHBand="0" w:firstRowFirstColumn="0" w:firstRowLastColumn="0" w:lastRowFirstColumn="0" w:lastRowLastColumn="0"/>
            <w:tcW w:w="2235" w:type="dxa"/>
            <w:vMerge w:val="restart"/>
            <w:hideMark/>
          </w:tcPr>
          <w:p w14:paraId="6F89C3C4" w14:textId="77777777" w:rsidR="002159EB" w:rsidRPr="0038210E" w:rsidRDefault="002159EB" w:rsidP="00860EAA">
            <w:pPr>
              <w:spacing w:before="120" w:after="120"/>
              <w:rPr>
                <w:bCs w:val="0"/>
                <w:color w:val="4F6228" w:themeColor="accent3" w:themeShade="80"/>
              </w:rPr>
            </w:pPr>
            <w:r w:rsidRPr="0038210E">
              <w:rPr>
                <w:bCs w:val="0"/>
                <w:color w:val="4F6228" w:themeColor="accent3" w:themeShade="80"/>
              </w:rPr>
              <w:t>ii) Dedicated programs</w:t>
            </w:r>
          </w:p>
          <w:p w14:paraId="132816A4" w14:textId="77777777" w:rsidR="002159EB" w:rsidRPr="0038210E" w:rsidRDefault="002159EB" w:rsidP="00860EAA">
            <w:pPr>
              <w:spacing w:before="120" w:after="120"/>
              <w:rPr>
                <w:bCs w:val="0"/>
              </w:rPr>
            </w:pPr>
            <w:r w:rsidRPr="0038210E">
              <w:rPr>
                <w:bCs w:val="0"/>
              </w:rPr>
              <w:t> </w:t>
            </w:r>
          </w:p>
          <w:p w14:paraId="03F93C5E" w14:textId="77777777" w:rsidR="002159EB" w:rsidRPr="0038210E" w:rsidRDefault="002159EB" w:rsidP="00860EAA">
            <w:pPr>
              <w:spacing w:before="120" w:after="120"/>
              <w:rPr>
                <w:bCs w:val="0"/>
              </w:rPr>
            </w:pPr>
            <w:r w:rsidRPr="0038210E">
              <w:rPr>
                <w:bCs w:val="0"/>
              </w:rPr>
              <w:t> </w:t>
            </w:r>
          </w:p>
          <w:p w14:paraId="0B8D8AC3" w14:textId="77777777" w:rsidR="002159EB" w:rsidRPr="0038210E" w:rsidRDefault="002159EB" w:rsidP="00860EAA">
            <w:pPr>
              <w:spacing w:before="120" w:after="120"/>
              <w:rPr>
                <w:bCs w:val="0"/>
              </w:rPr>
            </w:pPr>
            <w:r w:rsidRPr="0038210E">
              <w:rPr>
                <w:bCs w:val="0"/>
              </w:rPr>
              <w:t> </w:t>
            </w:r>
          </w:p>
        </w:tc>
        <w:tc>
          <w:tcPr>
            <w:tcW w:w="2126" w:type="dxa"/>
            <w:hideMark/>
          </w:tcPr>
          <w:p w14:paraId="50111F8C" w14:textId="77777777"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GEWE – GBV prevention and response including SRH</w:t>
            </w:r>
          </w:p>
        </w:tc>
        <w:tc>
          <w:tcPr>
            <w:tcW w:w="1984" w:type="dxa"/>
            <w:hideMark/>
          </w:tcPr>
          <w:p w14:paraId="3BF42D5A" w14:textId="77777777"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UNFPA</w:t>
            </w:r>
          </w:p>
          <w:p w14:paraId="217CBA54" w14:textId="77777777"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Care (consortium)</w:t>
            </w:r>
          </w:p>
        </w:tc>
        <w:tc>
          <w:tcPr>
            <w:tcW w:w="2655" w:type="dxa"/>
            <w:hideMark/>
          </w:tcPr>
          <w:p w14:paraId="5A2514B2" w14:textId="5A12A9BF"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Speci</w:t>
            </w:r>
            <w:r w:rsidR="0083629E">
              <w:t>alised service gaps, prevention</w:t>
            </w:r>
          </w:p>
          <w:p w14:paraId="5B97CE79" w14:textId="77777777"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Review of UN Women Peace and humanitarian fund to address WPS participation gap</w:t>
            </w:r>
          </w:p>
        </w:tc>
      </w:tr>
      <w:tr w:rsidR="002159EB" w:rsidRPr="00BD1C03" w14:paraId="6E7F6707" w14:textId="77777777" w:rsidTr="001E55CB">
        <w:tc>
          <w:tcPr>
            <w:cnfStyle w:val="001000000000" w:firstRow="0" w:lastRow="0" w:firstColumn="1" w:lastColumn="0" w:oddVBand="0" w:evenVBand="0" w:oddHBand="0" w:evenHBand="0" w:firstRowFirstColumn="0" w:firstRowLastColumn="0" w:lastRowFirstColumn="0" w:lastRowLastColumn="0"/>
            <w:tcW w:w="2235" w:type="dxa"/>
            <w:vMerge/>
            <w:hideMark/>
          </w:tcPr>
          <w:p w14:paraId="4056B55D" w14:textId="77777777" w:rsidR="002159EB" w:rsidRPr="0038210E" w:rsidRDefault="002159EB" w:rsidP="00860EAA">
            <w:pPr>
              <w:spacing w:before="120" w:after="120"/>
              <w:rPr>
                <w:bCs w:val="0"/>
              </w:rPr>
            </w:pPr>
          </w:p>
        </w:tc>
        <w:tc>
          <w:tcPr>
            <w:tcW w:w="2126" w:type="dxa"/>
            <w:hideMark/>
          </w:tcPr>
          <w:p w14:paraId="597892DD" w14:textId="77777777"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Mine clearance and MRE</w:t>
            </w:r>
          </w:p>
        </w:tc>
        <w:tc>
          <w:tcPr>
            <w:tcW w:w="1984" w:type="dxa"/>
            <w:hideMark/>
          </w:tcPr>
          <w:p w14:paraId="01A71F93" w14:textId="77777777"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UNMAS</w:t>
            </w:r>
          </w:p>
        </w:tc>
        <w:tc>
          <w:tcPr>
            <w:tcW w:w="2655" w:type="dxa"/>
            <w:hideMark/>
          </w:tcPr>
          <w:p w14:paraId="0373047A" w14:textId="77777777"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 </w:t>
            </w:r>
          </w:p>
        </w:tc>
      </w:tr>
      <w:tr w:rsidR="002159EB" w:rsidRPr="00BD1C03" w14:paraId="46B6EFC2" w14:textId="77777777" w:rsidTr="001E55CB">
        <w:tc>
          <w:tcPr>
            <w:cnfStyle w:val="001000000000" w:firstRow="0" w:lastRow="0" w:firstColumn="1" w:lastColumn="0" w:oddVBand="0" w:evenVBand="0" w:oddHBand="0" w:evenHBand="0" w:firstRowFirstColumn="0" w:firstRowLastColumn="0" w:lastRowFirstColumn="0" w:lastRowLastColumn="0"/>
            <w:tcW w:w="2235" w:type="dxa"/>
            <w:vMerge/>
            <w:hideMark/>
          </w:tcPr>
          <w:p w14:paraId="28A07169" w14:textId="77777777" w:rsidR="002159EB" w:rsidRPr="0038210E" w:rsidRDefault="002159EB" w:rsidP="00860EAA">
            <w:pPr>
              <w:spacing w:before="120" w:after="120"/>
              <w:rPr>
                <w:bCs w:val="0"/>
              </w:rPr>
            </w:pPr>
          </w:p>
        </w:tc>
        <w:tc>
          <w:tcPr>
            <w:tcW w:w="2126" w:type="dxa"/>
            <w:hideMark/>
          </w:tcPr>
          <w:p w14:paraId="2E2B9918" w14:textId="77777777"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Legal assistance/ civil documentation</w:t>
            </w:r>
          </w:p>
        </w:tc>
        <w:tc>
          <w:tcPr>
            <w:tcW w:w="1984" w:type="dxa"/>
            <w:hideMark/>
          </w:tcPr>
          <w:p w14:paraId="599D004A" w14:textId="77777777"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NRC (consortium)</w:t>
            </w:r>
          </w:p>
        </w:tc>
        <w:tc>
          <w:tcPr>
            <w:tcW w:w="2655" w:type="dxa"/>
            <w:hideMark/>
          </w:tcPr>
          <w:p w14:paraId="7720F72A" w14:textId="77777777"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High scale of needs</w:t>
            </w:r>
          </w:p>
        </w:tc>
      </w:tr>
      <w:tr w:rsidR="002159EB" w:rsidRPr="00BD1C03" w14:paraId="43433B60" w14:textId="77777777" w:rsidTr="001E55CB">
        <w:tc>
          <w:tcPr>
            <w:cnfStyle w:val="001000000000" w:firstRow="0" w:lastRow="0" w:firstColumn="1" w:lastColumn="0" w:oddVBand="0" w:evenVBand="0" w:oddHBand="0" w:evenHBand="0" w:firstRowFirstColumn="0" w:firstRowLastColumn="0" w:lastRowFirstColumn="0" w:lastRowLastColumn="0"/>
            <w:tcW w:w="2235" w:type="dxa"/>
            <w:vMerge/>
            <w:hideMark/>
          </w:tcPr>
          <w:p w14:paraId="7318B5B9" w14:textId="77777777" w:rsidR="002159EB" w:rsidRPr="0038210E" w:rsidRDefault="002159EB" w:rsidP="00860EAA">
            <w:pPr>
              <w:spacing w:before="120" w:after="120"/>
              <w:rPr>
                <w:bCs w:val="0"/>
              </w:rPr>
            </w:pPr>
          </w:p>
        </w:tc>
        <w:tc>
          <w:tcPr>
            <w:tcW w:w="2126" w:type="dxa"/>
            <w:hideMark/>
          </w:tcPr>
          <w:p w14:paraId="160068A7" w14:textId="77777777"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Child protection </w:t>
            </w:r>
          </w:p>
        </w:tc>
        <w:tc>
          <w:tcPr>
            <w:tcW w:w="1984" w:type="dxa"/>
            <w:hideMark/>
          </w:tcPr>
          <w:p w14:paraId="28BB9E9E" w14:textId="77777777"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 </w:t>
            </w:r>
          </w:p>
        </w:tc>
        <w:tc>
          <w:tcPr>
            <w:tcW w:w="2655" w:type="dxa"/>
            <w:hideMark/>
          </w:tcPr>
          <w:p w14:paraId="40C0E5F8" w14:textId="77777777"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Gap in terms of package, appears well-funded at response level, though critical service coverage  gaps</w:t>
            </w:r>
          </w:p>
        </w:tc>
      </w:tr>
      <w:tr w:rsidR="002159EB" w:rsidRPr="00BD1C03" w14:paraId="7945B3F5" w14:textId="77777777" w:rsidTr="001E55CB">
        <w:tc>
          <w:tcPr>
            <w:cnfStyle w:val="001000000000" w:firstRow="0" w:lastRow="0" w:firstColumn="1" w:lastColumn="0" w:oddVBand="0" w:evenVBand="0" w:oddHBand="0" w:evenHBand="0" w:firstRowFirstColumn="0" w:firstRowLastColumn="0" w:lastRowFirstColumn="0" w:lastRowLastColumn="0"/>
            <w:tcW w:w="2235" w:type="dxa"/>
            <w:vMerge/>
          </w:tcPr>
          <w:p w14:paraId="0549BB61" w14:textId="77777777" w:rsidR="002159EB" w:rsidRPr="0038210E" w:rsidRDefault="002159EB" w:rsidP="00860EAA">
            <w:pPr>
              <w:spacing w:before="120" w:after="120"/>
              <w:rPr>
                <w:bCs w:val="0"/>
              </w:rPr>
            </w:pPr>
          </w:p>
        </w:tc>
        <w:tc>
          <w:tcPr>
            <w:tcW w:w="2126" w:type="dxa"/>
          </w:tcPr>
          <w:p w14:paraId="78A6221F" w14:textId="77777777"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Disability</w:t>
            </w:r>
          </w:p>
        </w:tc>
        <w:tc>
          <w:tcPr>
            <w:tcW w:w="1984" w:type="dxa"/>
          </w:tcPr>
          <w:p w14:paraId="1877EDB5" w14:textId="77777777"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HI, ICRC</w:t>
            </w:r>
          </w:p>
        </w:tc>
        <w:tc>
          <w:tcPr>
            <w:tcW w:w="2655" w:type="dxa"/>
          </w:tcPr>
          <w:p w14:paraId="4BE708B4" w14:textId="1FE1FBEA" w:rsidR="002159EB" w:rsidRPr="00BD1C03" w:rsidRDefault="000030EF" w:rsidP="00860EAA">
            <w:pPr>
              <w:spacing w:before="120" w:after="120"/>
              <w:cnfStyle w:val="000000000000" w:firstRow="0" w:lastRow="0" w:firstColumn="0" w:lastColumn="0" w:oddVBand="0" w:evenVBand="0" w:oddHBand="0" w:evenHBand="0" w:firstRowFirstColumn="0" w:firstRowLastColumn="0" w:lastRowFirstColumn="0" w:lastRowLastColumn="0"/>
            </w:pPr>
            <w:r>
              <w:t>Special</w:t>
            </w:r>
            <w:r w:rsidR="00B43345">
              <w:t>is</w:t>
            </w:r>
            <w:r w:rsidR="002159EB" w:rsidRPr="00BD1C03">
              <w:t>ed service gaps</w:t>
            </w:r>
          </w:p>
        </w:tc>
      </w:tr>
      <w:tr w:rsidR="002159EB" w:rsidRPr="00BD1C03" w14:paraId="78264093" w14:textId="77777777" w:rsidTr="001E55CB">
        <w:trPr>
          <w:trHeight w:val="84"/>
        </w:trPr>
        <w:tc>
          <w:tcPr>
            <w:cnfStyle w:val="001000000000" w:firstRow="0" w:lastRow="0" w:firstColumn="1" w:lastColumn="0" w:oddVBand="0" w:evenVBand="0" w:oddHBand="0" w:evenHBand="0" w:firstRowFirstColumn="0" w:firstRowLastColumn="0" w:lastRowFirstColumn="0" w:lastRowLastColumn="0"/>
            <w:tcW w:w="2235" w:type="dxa"/>
            <w:vMerge w:val="restart"/>
            <w:hideMark/>
          </w:tcPr>
          <w:p w14:paraId="0215C4A7" w14:textId="77777777" w:rsidR="002159EB" w:rsidRPr="0038210E" w:rsidRDefault="002159EB" w:rsidP="00860EAA">
            <w:pPr>
              <w:spacing w:before="120" w:after="120"/>
              <w:rPr>
                <w:bCs w:val="0"/>
                <w:color w:val="4F6228" w:themeColor="accent3" w:themeShade="80"/>
              </w:rPr>
            </w:pPr>
            <w:r w:rsidRPr="0038210E">
              <w:rPr>
                <w:bCs w:val="0"/>
                <w:color w:val="4F6228" w:themeColor="accent3" w:themeShade="80"/>
              </w:rPr>
              <w:t>iii) Mainstreaming/ inclusion</w:t>
            </w:r>
          </w:p>
          <w:p w14:paraId="1825FDE2" w14:textId="77777777" w:rsidR="002159EB" w:rsidRPr="0038210E" w:rsidRDefault="002159EB" w:rsidP="00860EAA">
            <w:pPr>
              <w:spacing w:before="120" w:after="120"/>
              <w:rPr>
                <w:bCs w:val="0"/>
              </w:rPr>
            </w:pPr>
            <w:r w:rsidRPr="0038210E">
              <w:rPr>
                <w:bCs w:val="0"/>
              </w:rPr>
              <w:t> </w:t>
            </w:r>
          </w:p>
        </w:tc>
        <w:tc>
          <w:tcPr>
            <w:tcW w:w="2126" w:type="dxa"/>
            <w:hideMark/>
          </w:tcPr>
          <w:p w14:paraId="048977F6" w14:textId="77777777"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Disability inclusion</w:t>
            </w:r>
          </w:p>
        </w:tc>
        <w:tc>
          <w:tcPr>
            <w:tcW w:w="1984" w:type="dxa"/>
            <w:hideMark/>
          </w:tcPr>
          <w:p w14:paraId="28CBCCF8" w14:textId="77777777"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HI (consortium lead)</w:t>
            </w:r>
          </w:p>
          <w:p w14:paraId="2D830D34" w14:textId="77777777"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IOM</w:t>
            </w:r>
          </w:p>
        </w:tc>
        <w:tc>
          <w:tcPr>
            <w:tcW w:w="2655" w:type="dxa"/>
            <w:hideMark/>
          </w:tcPr>
          <w:p w14:paraId="179E45D5" w14:textId="77777777"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Disaggregated data</w:t>
            </w:r>
          </w:p>
          <w:p w14:paraId="2DE9A9DD" w14:textId="77777777"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UNDP, UNICEF, UNFPA</w:t>
            </w:r>
          </w:p>
        </w:tc>
      </w:tr>
      <w:tr w:rsidR="002159EB" w:rsidRPr="00BD1C03" w14:paraId="598C6BE4" w14:textId="77777777" w:rsidTr="001E55CB">
        <w:tc>
          <w:tcPr>
            <w:cnfStyle w:val="001000000000" w:firstRow="0" w:lastRow="0" w:firstColumn="1" w:lastColumn="0" w:oddVBand="0" w:evenVBand="0" w:oddHBand="0" w:evenHBand="0" w:firstRowFirstColumn="0" w:firstRowLastColumn="0" w:lastRowFirstColumn="0" w:lastRowLastColumn="0"/>
            <w:tcW w:w="2235" w:type="dxa"/>
            <w:vMerge/>
            <w:hideMark/>
          </w:tcPr>
          <w:p w14:paraId="6E883791" w14:textId="77777777" w:rsidR="002159EB" w:rsidRPr="00BD1C03" w:rsidRDefault="002159EB" w:rsidP="00860EAA">
            <w:pPr>
              <w:spacing w:before="120" w:after="120"/>
            </w:pPr>
          </w:p>
        </w:tc>
        <w:tc>
          <w:tcPr>
            <w:tcW w:w="2126" w:type="dxa"/>
            <w:hideMark/>
          </w:tcPr>
          <w:p w14:paraId="7AC8B2BA" w14:textId="77777777"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GEWE</w:t>
            </w:r>
          </w:p>
        </w:tc>
        <w:tc>
          <w:tcPr>
            <w:tcW w:w="1984" w:type="dxa"/>
            <w:hideMark/>
          </w:tcPr>
          <w:p w14:paraId="007D8FEC" w14:textId="77777777"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Care (consortium)</w:t>
            </w:r>
          </w:p>
          <w:p w14:paraId="6C06F812" w14:textId="77777777"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UNMAS</w:t>
            </w:r>
          </w:p>
        </w:tc>
        <w:tc>
          <w:tcPr>
            <w:tcW w:w="2655" w:type="dxa"/>
            <w:hideMark/>
          </w:tcPr>
          <w:p w14:paraId="6267B23D" w14:textId="77777777"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Meaningful measures to secure engagement of women</w:t>
            </w:r>
          </w:p>
          <w:p w14:paraId="3F2DC286" w14:textId="77777777"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UNDP, UNICEF</w:t>
            </w:r>
          </w:p>
        </w:tc>
      </w:tr>
      <w:tr w:rsidR="002159EB" w:rsidRPr="00BD1C03" w14:paraId="4706FAB4" w14:textId="77777777" w:rsidTr="001E55CB">
        <w:tc>
          <w:tcPr>
            <w:cnfStyle w:val="001000000000" w:firstRow="0" w:lastRow="0" w:firstColumn="1" w:lastColumn="0" w:oddVBand="0" w:evenVBand="0" w:oddHBand="0" w:evenHBand="0" w:firstRowFirstColumn="0" w:firstRowLastColumn="0" w:lastRowFirstColumn="0" w:lastRowLastColumn="0"/>
            <w:tcW w:w="2235" w:type="dxa"/>
            <w:vMerge/>
          </w:tcPr>
          <w:p w14:paraId="7B13E22A" w14:textId="77777777" w:rsidR="002159EB" w:rsidRPr="00BD1C03" w:rsidRDefault="002159EB" w:rsidP="00860EAA">
            <w:pPr>
              <w:spacing w:before="120" w:after="120"/>
            </w:pPr>
          </w:p>
        </w:tc>
        <w:tc>
          <w:tcPr>
            <w:tcW w:w="2126" w:type="dxa"/>
          </w:tcPr>
          <w:p w14:paraId="44D86B61" w14:textId="77777777"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Child protection</w:t>
            </w:r>
          </w:p>
        </w:tc>
        <w:tc>
          <w:tcPr>
            <w:tcW w:w="1984" w:type="dxa"/>
          </w:tcPr>
          <w:p w14:paraId="3D9C4779" w14:textId="77777777"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NRC, STC</w:t>
            </w:r>
          </w:p>
        </w:tc>
        <w:tc>
          <w:tcPr>
            <w:tcW w:w="2655" w:type="dxa"/>
          </w:tcPr>
          <w:p w14:paraId="2F6EC1A1" w14:textId="77777777"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Conflation of compliance policy with programming</w:t>
            </w:r>
          </w:p>
        </w:tc>
      </w:tr>
      <w:tr w:rsidR="002159EB" w:rsidRPr="00BD1C03" w14:paraId="39E477C1" w14:textId="77777777" w:rsidTr="001E55CB">
        <w:tc>
          <w:tcPr>
            <w:cnfStyle w:val="001000000000" w:firstRow="0" w:lastRow="0" w:firstColumn="1" w:lastColumn="0" w:oddVBand="0" w:evenVBand="0" w:oddHBand="0" w:evenHBand="0" w:firstRowFirstColumn="0" w:firstRowLastColumn="0" w:lastRowFirstColumn="0" w:lastRowLastColumn="0"/>
            <w:tcW w:w="2235" w:type="dxa"/>
            <w:vMerge/>
          </w:tcPr>
          <w:p w14:paraId="71CCB496" w14:textId="77777777" w:rsidR="002159EB" w:rsidRPr="00BD1C03" w:rsidRDefault="002159EB" w:rsidP="00860EAA">
            <w:pPr>
              <w:spacing w:before="120" w:after="120"/>
            </w:pPr>
          </w:p>
        </w:tc>
        <w:tc>
          <w:tcPr>
            <w:tcW w:w="2126" w:type="dxa"/>
          </w:tcPr>
          <w:p w14:paraId="5538DF98" w14:textId="77777777"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AAP and PSEA</w:t>
            </w:r>
          </w:p>
        </w:tc>
        <w:tc>
          <w:tcPr>
            <w:tcW w:w="1984" w:type="dxa"/>
          </w:tcPr>
          <w:p w14:paraId="01E6A2DD" w14:textId="77777777"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IOM</w:t>
            </w:r>
          </w:p>
          <w:p w14:paraId="0802A732" w14:textId="77777777"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BPF consortium</w:t>
            </w:r>
          </w:p>
          <w:p w14:paraId="68D4D167" w14:textId="77777777"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UNFPA (PSEA)</w:t>
            </w:r>
          </w:p>
        </w:tc>
        <w:tc>
          <w:tcPr>
            <w:tcW w:w="2655" w:type="dxa"/>
          </w:tcPr>
          <w:p w14:paraId="47723BA4" w14:textId="77777777"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Inclusive community engagement</w:t>
            </w:r>
          </w:p>
          <w:p w14:paraId="0466EE54" w14:textId="77777777"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UNDP, UNICEF</w:t>
            </w:r>
          </w:p>
          <w:p w14:paraId="7BD1C7A1" w14:textId="77777777" w:rsidR="002159EB" w:rsidRPr="00BD1C03" w:rsidRDefault="002159EB" w:rsidP="00860EAA">
            <w:pPr>
              <w:spacing w:before="120" w:after="120"/>
              <w:cnfStyle w:val="000000000000" w:firstRow="0" w:lastRow="0" w:firstColumn="0" w:lastColumn="0" w:oddVBand="0" w:evenVBand="0" w:oddHBand="0" w:evenHBand="0" w:firstRowFirstColumn="0" w:firstRowLastColumn="0" w:lastRowFirstColumn="0" w:lastRowLastColumn="0"/>
            </w:pPr>
            <w:r w:rsidRPr="00BD1C03">
              <w:t xml:space="preserve">Consider role of </w:t>
            </w:r>
            <w:proofErr w:type="spellStart"/>
            <w:r w:rsidRPr="00BD1C03">
              <w:t>Groundtruth</w:t>
            </w:r>
            <w:proofErr w:type="spellEnd"/>
            <w:r w:rsidRPr="00BD1C03">
              <w:t xml:space="preserve"> Solutions and third party monitoring</w:t>
            </w:r>
          </w:p>
        </w:tc>
      </w:tr>
    </w:tbl>
    <w:p w14:paraId="46BC7DB9" w14:textId="77777777" w:rsidR="002159EB" w:rsidRPr="00BD1C03" w:rsidRDefault="002159EB" w:rsidP="002159EB"/>
    <w:p w14:paraId="401D669C" w14:textId="1D3F6FDD" w:rsidR="00860EAA" w:rsidRPr="00BD1C03" w:rsidRDefault="000B357D">
      <w:pPr>
        <w:spacing w:after="0"/>
      </w:pPr>
      <w:r w:rsidRPr="00BD1C03">
        <w:br w:type="page"/>
      </w:r>
    </w:p>
    <w:p w14:paraId="1B6F3EDC" w14:textId="70FCC71F" w:rsidR="00860EAA" w:rsidRPr="00BD1C03" w:rsidRDefault="00860EAA" w:rsidP="00CC437F">
      <w:pPr>
        <w:pStyle w:val="Heading1"/>
      </w:pPr>
      <w:bookmarkStart w:id="20" w:name="_Toc48318507"/>
      <w:r w:rsidRPr="00BD1C03">
        <w:t xml:space="preserve">Annex IV </w:t>
      </w:r>
      <w:r w:rsidR="008F5196">
        <w:t xml:space="preserve">– </w:t>
      </w:r>
      <w:r w:rsidR="00E50AD2">
        <w:t>Literature R</w:t>
      </w:r>
      <w:r w:rsidRPr="00BD1C03">
        <w:t>eviewed</w:t>
      </w:r>
      <w:bookmarkEnd w:id="20"/>
    </w:p>
    <w:p w14:paraId="15CB2D34" w14:textId="77777777" w:rsidR="00860EAA" w:rsidRPr="00BD1C03" w:rsidRDefault="00860EAA" w:rsidP="0083629E">
      <w:pPr>
        <w:spacing w:after="0"/>
      </w:pPr>
    </w:p>
    <w:p w14:paraId="2F897A15" w14:textId="404807D0" w:rsidR="00860EAA" w:rsidRPr="00BD1C03" w:rsidRDefault="00860EAA" w:rsidP="003A57AD">
      <w:pPr>
        <w:pStyle w:val="Heading2"/>
        <w:numPr>
          <w:ilvl w:val="0"/>
          <w:numId w:val="0"/>
        </w:numPr>
        <w:ind w:left="360" w:hanging="360"/>
      </w:pPr>
      <w:r w:rsidRPr="00BD1C03">
        <w:t>Package partners</w:t>
      </w:r>
    </w:p>
    <w:p w14:paraId="481D573D" w14:textId="77777777" w:rsidR="00860EAA" w:rsidRPr="00BD1C03" w:rsidRDefault="00860EAA" w:rsidP="00860EAA">
      <w:pPr>
        <w:spacing w:after="0"/>
      </w:pPr>
      <w:r w:rsidRPr="00BD1C03">
        <w:t>BPF Proposal for AHP Activities, Building Peaceful Futures, Narrative and Annexes 1-7, 2018</w:t>
      </w:r>
    </w:p>
    <w:p w14:paraId="28A8904F" w14:textId="77777777" w:rsidR="00860EAA" w:rsidRPr="00BD1C03" w:rsidRDefault="00860EAA" w:rsidP="00860EAA">
      <w:pPr>
        <w:spacing w:after="0"/>
      </w:pPr>
      <w:r w:rsidRPr="00BD1C03">
        <w:t>BPF Mid-term Evaluation (January 2020)</w:t>
      </w:r>
    </w:p>
    <w:p w14:paraId="65B4F5AC" w14:textId="77777777" w:rsidR="00860EAA" w:rsidRPr="00BD1C03" w:rsidRDefault="00860EAA" w:rsidP="00860EAA">
      <w:pPr>
        <w:spacing w:after="0"/>
      </w:pPr>
      <w:r w:rsidRPr="00BD1C03">
        <w:t>BPF Annual Review 2019</w:t>
      </w:r>
    </w:p>
    <w:p w14:paraId="6A41B28E" w14:textId="77777777" w:rsidR="00860EAA" w:rsidRPr="00BD1C03" w:rsidRDefault="00860EAA" w:rsidP="00860EAA">
      <w:pPr>
        <w:spacing w:after="0"/>
      </w:pPr>
      <w:r w:rsidRPr="00BD1C03">
        <w:t xml:space="preserve">Conflict Analysis Sinjar and </w:t>
      </w:r>
      <w:proofErr w:type="spellStart"/>
      <w:r w:rsidRPr="00BD1C03">
        <w:t>Hawija</w:t>
      </w:r>
      <w:proofErr w:type="spellEnd"/>
    </w:p>
    <w:p w14:paraId="756BE114" w14:textId="77777777" w:rsidR="00860EAA" w:rsidRPr="00BD1C03" w:rsidRDefault="00860EAA" w:rsidP="00860EAA">
      <w:pPr>
        <w:spacing w:after="0"/>
      </w:pPr>
    </w:p>
    <w:p w14:paraId="46A6A0E5" w14:textId="77777777" w:rsidR="00860EAA" w:rsidRPr="00BD1C03" w:rsidRDefault="00860EAA" w:rsidP="00860EAA">
      <w:pPr>
        <w:spacing w:after="0"/>
      </w:pPr>
      <w:r w:rsidRPr="00BD1C03">
        <w:t>IHO, Annual Report(s) Iraq, 2018, 2019</w:t>
      </w:r>
    </w:p>
    <w:p w14:paraId="017748F0" w14:textId="77777777" w:rsidR="00860EAA" w:rsidRPr="00BD1C03" w:rsidRDefault="00860EAA" w:rsidP="00860EAA">
      <w:pPr>
        <w:spacing w:after="0"/>
      </w:pPr>
      <w:r w:rsidRPr="00BD1C03">
        <w:t>IHO, Appeals Overview</w:t>
      </w:r>
    </w:p>
    <w:p w14:paraId="5835C733" w14:textId="77777777" w:rsidR="00860EAA" w:rsidRPr="00BD1C03" w:rsidRDefault="00860EAA" w:rsidP="00860EAA">
      <w:pPr>
        <w:spacing w:after="0"/>
      </w:pPr>
      <w:r w:rsidRPr="00BD1C03">
        <w:t>IHO, Covid-19 Appeal (Global), 2020</w:t>
      </w:r>
    </w:p>
    <w:p w14:paraId="2227C938" w14:textId="77777777" w:rsidR="00860EAA" w:rsidRPr="00BD1C03" w:rsidRDefault="00860EAA" w:rsidP="00860EAA">
      <w:pPr>
        <w:spacing w:after="0"/>
      </w:pPr>
    </w:p>
    <w:p w14:paraId="6B5F388A" w14:textId="1EC81F06" w:rsidR="00860EAA" w:rsidRPr="00BD1C03" w:rsidRDefault="00860EAA" w:rsidP="00860EAA">
      <w:pPr>
        <w:spacing w:after="0"/>
      </w:pPr>
      <w:r w:rsidRPr="00BD1C03">
        <w:t>IOM, DFAT Agreement and Annexes including IOM Iraq 2018</w:t>
      </w:r>
      <w:r w:rsidR="00A75F5E">
        <w:t xml:space="preserve"> – </w:t>
      </w:r>
      <w:r w:rsidRPr="00BD1C03">
        <w:t>2020 Strategic Priorities and Plan</w:t>
      </w:r>
    </w:p>
    <w:p w14:paraId="3F09061C" w14:textId="77777777" w:rsidR="00860EAA" w:rsidRPr="00BD1C03" w:rsidRDefault="00860EAA" w:rsidP="00860EAA">
      <w:pPr>
        <w:spacing w:after="0"/>
      </w:pPr>
      <w:r w:rsidRPr="00BD1C03">
        <w:t>IOM, ‘IOM Launches Countrywide Strategy for Disability Inclusion’, 3 December 2019</w:t>
      </w:r>
    </w:p>
    <w:p w14:paraId="583C434D" w14:textId="77777777" w:rsidR="00860EAA" w:rsidRPr="00BD1C03" w:rsidRDefault="00860EAA" w:rsidP="00860EAA">
      <w:pPr>
        <w:spacing w:after="0"/>
      </w:pPr>
      <w:proofErr w:type="spellStart"/>
      <w:r w:rsidRPr="00BD1C03">
        <w:t>Raber</w:t>
      </w:r>
      <w:proofErr w:type="spellEnd"/>
      <w:r w:rsidRPr="00BD1C03">
        <w:t xml:space="preserve"> Aziz, IOM Iraq, ‘New hope for Peace: Women Spearhead Co-existence Efforts in </w:t>
      </w:r>
      <w:proofErr w:type="spellStart"/>
      <w:r w:rsidRPr="00BD1C03">
        <w:t>Diyala</w:t>
      </w:r>
      <w:proofErr w:type="spellEnd"/>
      <w:r w:rsidRPr="00BD1C03">
        <w:t>, Iraq’ June 2019</w:t>
      </w:r>
    </w:p>
    <w:p w14:paraId="1AEEC6BA" w14:textId="77777777" w:rsidR="00860EAA" w:rsidRPr="00BD1C03" w:rsidRDefault="00860EAA" w:rsidP="00860EAA">
      <w:pPr>
        <w:spacing w:after="0"/>
      </w:pPr>
      <w:r w:rsidRPr="00BD1C03">
        <w:t>IOM’s Community Stabilisation Programming in Iraq 2018 Overview</w:t>
      </w:r>
    </w:p>
    <w:p w14:paraId="554A9AAC" w14:textId="77777777" w:rsidR="00860EAA" w:rsidRPr="001E55CB" w:rsidRDefault="001A1EF8" w:rsidP="00860EAA">
      <w:pPr>
        <w:spacing w:after="0"/>
        <w:rPr>
          <w:color w:val="4F6228" w:themeColor="accent3" w:themeShade="80"/>
        </w:rPr>
      </w:pPr>
      <w:hyperlink r:id="rId22" w:history="1">
        <w:r w:rsidR="00860EAA" w:rsidRPr="001E55CB">
          <w:rPr>
            <w:rStyle w:val="Hyperlink"/>
            <w:color w:val="4F6228" w:themeColor="accent3" w:themeShade="80"/>
          </w:rPr>
          <w:t>IOM Displacement tracking matrix</w:t>
        </w:r>
      </w:hyperlink>
      <w:r w:rsidR="00860EAA" w:rsidRPr="001E55CB">
        <w:rPr>
          <w:color w:val="4F6228" w:themeColor="accent3" w:themeShade="80"/>
        </w:rPr>
        <w:t xml:space="preserve"> </w:t>
      </w:r>
    </w:p>
    <w:p w14:paraId="2A1C8ECE" w14:textId="77777777" w:rsidR="00860EAA" w:rsidRPr="00BD1C03" w:rsidRDefault="00860EAA" w:rsidP="00860EAA">
      <w:pPr>
        <w:spacing w:after="0"/>
      </w:pPr>
    </w:p>
    <w:p w14:paraId="249F31E8" w14:textId="77777777" w:rsidR="00860EAA" w:rsidRPr="00BD1C03" w:rsidRDefault="00860EAA" w:rsidP="00860EAA">
      <w:pPr>
        <w:spacing w:after="0"/>
      </w:pPr>
      <w:r w:rsidRPr="00BD1C03">
        <w:t>UNDP, DFAT Contract and UNDP FFS Revision, 2018</w:t>
      </w:r>
    </w:p>
    <w:p w14:paraId="0A4A462F" w14:textId="77777777" w:rsidR="00860EAA" w:rsidRPr="00BD1C03" w:rsidRDefault="00860EAA" w:rsidP="00860EAA">
      <w:pPr>
        <w:spacing w:after="0"/>
      </w:pPr>
      <w:r w:rsidRPr="00BD1C03">
        <w:t>UNDP Annual Report 2018</w:t>
      </w:r>
    </w:p>
    <w:p w14:paraId="5E7335B1" w14:textId="77777777" w:rsidR="00860EAA" w:rsidRPr="00BD1C03" w:rsidRDefault="00860EAA" w:rsidP="00860EAA">
      <w:pPr>
        <w:spacing w:after="0"/>
      </w:pPr>
      <w:r w:rsidRPr="00BD1C03">
        <w:t>UNDP, Independent Country Programme Evaluation Iraq, Independent Evaluation Office, October 2019</w:t>
      </w:r>
    </w:p>
    <w:p w14:paraId="04DF9F1F" w14:textId="77777777" w:rsidR="00860EAA" w:rsidRPr="00BD1C03" w:rsidRDefault="00860EAA" w:rsidP="00860EAA">
      <w:pPr>
        <w:spacing w:after="0"/>
      </w:pPr>
      <w:r w:rsidRPr="00BD1C03">
        <w:t>UNDP Progress Update Australia March 2020</w:t>
      </w:r>
    </w:p>
    <w:p w14:paraId="11E8173F" w14:textId="77777777" w:rsidR="00860EAA" w:rsidRPr="00BD1C03" w:rsidRDefault="00860EAA" w:rsidP="00860EAA">
      <w:pPr>
        <w:spacing w:after="0"/>
      </w:pPr>
    </w:p>
    <w:p w14:paraId="0FD07B18" w14:textId="77777777" w:rsidR="00860EAA" w:rsidRPr="00BD1C03" w:rsidRDefault="00860EAA" w:rsidP="00860EAA">
      <w:pPr>
        <w:spacing w:after="0"/>
      </w:pPr>
      <w:r w:rsidRPr="00BD1C03">
        <w:t>UNFPA, DFAT Contract and Country Program Action Plan, March 2018</w:t>
      </w:r>
    </w:p>
    <w:p w14:paraId="4C0F0BD4" w14:textId="77777777" w:rsidR="00860EAA" w:rsidRPr="00BD1C03" w:rsidRDefault="00860EAA" w:rsidP="00860EAA">
      <w:pPr>
        <w:spacing w:after="0"/>
      </w:pPr>
      <w:r w:rsidRPr="00BD1C03">
        <w:t>UNFPA Report to DFAT February 2020</w:t>
      </w:r>
    </w:p>
    <w:p w14:paraId="7845A21F" w14:textId="77777777" w:rsidR="00860EAA" w:rsidRPr="00BD1C03" w:rsidRDefault="00860EAA" w:rsidP="00860EAA">
      <w:pPr>
        <w:spacing w:after="0"/>
      </w:pPr>
      <w:r w:rsidRPr="00BD1C03">
        <w:t>UNFPA DFAT Annual Report (Updated) March 2020</w:t>
      </w:r>
    </w:p>
    <w:p w14:paraId="226984DC" w14:textId="77777777" w:rsidR="00860EAA" w:rsidRPr="00BD1C03" w:rsidRDefault="00860EAA" w:rsidP="00860EAA">
      <w:pPr>
        <w:spacing w:after="0"/>
      </w:pPr>
    </w:p>
    <w:p w14:paraId="451AC0AA" w14:textId="77777777" w:rsidR="00860EAA" w:rsidRPr="00BD1C03" w:rsidRDefault="00860EAA" w:rsidP="00860EAA">
      <w:pPr>
        <w:spacing w:after="0"/>
      </w:pPr>
      <w:r w:rsidRPr="00BD1C03">
        <w:t>UNICEF, DFAT Agreement and Annex</w:t>
      </w:r>
    </w:p>
    <w:p w14:paraId="2E5E244F" w14:textId="77777777" w:rsidR="00860EAA" w:rsidRPr="00BD1C03" w:rsidRDefault="00860EAA" w:rsidP="00860EAA">
      <w:pPr>
        <w:spacing w:after="0"/>
      </w:pPr>
      <w:r w:rsidRPr="00BD1C03">
        <w:t xml:space="preserve">UNICEF Iraq </w:t>
      </w:r>
      <w:proofErr w:type="spellStart"/>
      <w:r w:rsidRPr="00BD1C03">
        <w:t>Logframe</w:t>
      </w:r>
      <w:proofErr w:type="spellEnd"/>
      <w:r w:rsidRPr="00BD1C03">
        <w:t xml:space="preserve"> 2019</w:t>
      </w:r>
    </w:p>
    <w:p w14:paraId="6CA3A969" w14:textId="77777777" w:rsidR="00860EAA" w:rsidRPr="00BD1C03" w:rsidRDefault="00860EAA" w:rsidP="00860EAA">
      <w:pPr>
        <w:spacing w:after="0"/>
      </w:pPr>
      <w:r w:rsidRPr="00BD1C03">
        <w:t>UNICEF Iraq Progress Report January 2020</w:t>
      </w:r>
    </w:p>
    <w:p w14:paraId="5DA7229E" w14:textId="77777777" w:rsidR="00860EAA" w:rsidRPr="00BD1C03" w:rsidRDefault="00860EAA" w:rsidP="00860EAA">
      <w:pPr>
        <w:spacing w:after="0"/>
      </w:pPr>
    </w:p>
    <w:p w14:paraId="6FE802CD" w14:textId="77777777" w:rsidR="00860EAA" w:rsidRPr="00BD1C03" w:rsidRDefault="00860EAA" w:rsidP="00860EAA">
      <w:pPr>
        <w:spacing w:after="0"/>
      </w:pPr>
      <w:r w:rsidRPr="00BD1C03">
        <w:t>UNMAS, DFAT Contract and Proposal, 2018</w:t>
      </w:r>
    </w:p>
    <w:p w14:paraId="32C078E5" w14:textId="77777777" w:rsidR="00860EAA" w:rsidRPr="00BD1C03" w:rsidRDefault="00860EAA" w:rsidP="00860EAA">
      <w:pPr>
        <w:spacing w:after="0"/>
      </w:pPr>
      <w:r w:rsidRPr="00BD1C03">
        <w:t>UNMAS Iraq Monthly Newsletters</w:t>
      </w:r>
    </w:p>
    <w:p w14:paraId="1CEABDF0" w14:textId="77777777" w:rsidR="00860EAA" w:rsidRPr="00BD1C03" w:rsidRDefault="00860EAA" w:rsidP="00860EAA">
      <w:pPr>
        <w:spacing w:after="0"/>
      </w:pPr>
      <w:r w:rsidRPr="00BD1C03">
        <w:t>UNMAS, Government of Australia Contribution to Explosive Hazard Management: Enabling Humanitarian and Stabilisation Efforts in Liberated Areas, Iraq – Interim Substantive Report 1 April 2019 – 30 September 2019</w:t>
      </w:r>
    </w:p>
    <w:p w14:paraId="7485645F" w14:textId="77777777" w:rsidR="00860EAA" w:rsidRPr="00BD1C03" w:rsidRDefault="00860EAA" w:rsidP="00860EAA">
      <w:pPr>
        <w:spacing w:after="0"/>
      </w:pPr>
      <w:r w:rsidRPr="00BD1C03">
        <w:t>UNMAS Iraq Risk Education and Gender mainstreaming initiative 28 April 2020</w:t>
      </w:r>
    </w:p>
    <w:p w14:paraId="3C687597" w14:textId="77777777" w:rsidR="00860EAA" w:rsidRPr="00BD1C03" w:rsidRDefault="00860EAA" w:rsidP="00860EAA">
      <w:pPr>
        <w:spacing w:after="0"/>
      </w:pPr>
    </w:p>
    <w:p w14:paraId="0E73FD0C" w14:textId="77777777" w:rsidR="00860EAA" w:rsidRPr="00BD1C03" w:rsidRDefault="00860EAA" w:rsidP="00942F20">
      <w:pPr>
        <w:pStyle w:val="Heading3"/>
      </w:pPr>
      <w:r w:rsidRPr="00BD1C03">
        <w:t xml:space="preserve">DFAT </w:t>
      </w:r>
    </w:p>
    <w:p w14:paraId="547907AA" w14:textId="77777777" w:rsidR="00860EAA" w:rsidRPr="00BD1C03" w:rsidRDefault="00860EAA" w:rsidP="00860EAA">
      <w:pPr>
        <w:spacing w:after="0"/>
      </w:pPr>
      <w:r w:rsidRPr="00BD1C03">
        <w:t>Iraq Humanitarian and Stabilisation Package: Investment Design Summary (December 2017)</w:t>
      </w:r>
    </w:p>
    <w:p w14:paraId="4227D9BA" w14:textId="77777777" w:rsidR="00860EAA" w:rsidRPr="00BD1C03" w:rsidRDefault="00860EAA" w:rsidP="00860EAA">
      <w:pPr>
        <w:spacing w:after="0"/>
      </w:pPr>
      <w:r w:rsidRPr="00BD1C03">
        <w:t>Iraq Humanitarian and Stabilisation Package: Monitoring and Evaluation Framework (September 2019)</w:t>
      </w:r>
    </w:p>
    <w:p w14:paraId="0DD88DAA" w14:textId="77777777" w:rsidR="00860EAA" w:rsidRPr="00BD1C03" w:rsidRDefault="00860EAA" w:rsidP="00860EAA">
      <w:pPr>
        <w:spacing w:after="0"/>
      </w:pPr>
      <w:r w:rsidRPr="00BD1C03">
        <w:t>Iraq Humanitarian and Stabilisation Package Partner Risk Register</w:t>
      </w:r>
    </w:p>
    <w:p w14:paraId="47BF651C" w14:textId="77777777" w:rsidR="00860EAA" w:rsidRPr="00BD1C03" w:rsidRDefault="00860EAA" w:rsidP="00860EAA">
      <w:pPr>
        <w:spacing w:after="0"/>
      </w:pPr>
      <w:r w:rsidRPr="00BD1C03">
        <w:t>Iraq Humanitarian and Stabilisation Package Six-Monthly Reports (February 2020, September 2019, February 2019, September 2018)</w:t>
      </w:r>
    </w:p>
    <w:p w14:paraId="1496BF69" w14:textId="77777777" w:rsidR="00860EAA" w:rsidRPr="00BD1C03" w:rsidRDefault="00860EAA" w:rsidP="00860EAA">
      <w:pPr>
        <w:spacing w:after="0"/>
      </w:pPr>
      <w:r w:rsidRPr="00BD1C03">
        <w:t>Detailed M&amp;E Framework (February 2020, September 2019, February 2019, September 2018)</w:t>
      </w:r>
    </w:p>
    <w:p w14:paraId="7639E99F" w14:textId="77777777" w:rsidR="00860EAA" w:rsidRPr="00BD1C03" w:rsidRDefault="00860EAA" w:rsidP="00860EAA">
      <w:pPr>
        <w:spacing w:after="0"/>
      </w:pPr>
      <w:r w:rsidRPr="00BD1C03">
        <w:t>Partner Performance Agreements 2018-19 (UNMAS, UNFPA, ICRC, UNDP, UNICEF) and Rating Matrix</w:t>
      </w:r>
    </w:p>
    <w:p w14:paraId="26C467BB" w14:textId="77777777" w:rsidR="00860EAA" w:rsidRPr="00BD1C03" w:rsidRDefault="00860EAA" w:rsidP="00860EAA">
      <w:pPr>
        <w:spacing w:after="0"/>
      </w:pPr>
      <w:r w:rsidRPr="00BD1C03">
        <w:t>Iraq Humanitarian and Stabilisation Package – first year completed 20 August 2018</w:t>
      </w:r>
    </w:p>
    <w:p w14:paraId="57CC4B39" w14:textId="3A351CA8" w:rsidR="00860EAA" w:rsidRPr="00BD1C03" w:rsidRDefault="00860EAA" w:rsidP="00860EAA">
      <w:pPr>
        <w:spacing w:after="0"/>
      </w:pPr>
      <w:r w:rsidRPr="00BD1C03">
        <w:t xml:space="preserve">Iraq Humanitarian and </w:t>
      </w:r>
      <w:r w:rsidR="003B5FE9" w:rsidRPr="00BD1C03">
        <w:t>Stabilisation</w:t>
      </w:r>
      <w:r w:rsidRPr="00BD1C03">
        <w:t xml:space="preserve"> Package update 7 December 2018</w:t>
      </w:r>
    </w:p>
    <w:p w14:paraId="536E9ED3" w14:textId="77777777" w:rsidR="00860EAA" w:rsidRPr="00BD1C03" w:rsidRDefault="00860EAA" w:rsidP="00860EAA">
      <w:pPr>
        <w:spacing w:after="0"/>
      </w:pPr>
      <w:r w:rsidRPr="00BD1C03">
        <w:t>Iraq Humanitarian and Stabilisation Package – Monitoring Mission 27 February 2019</w:t>
      </w:r>
    </w:p>
    <w:p w14:paraId="55CFEBAE" w14:textId="77777777" w:rsidR="00860EAA" w:rsidRPr="00BD1C03" w:rsidRDefault="00860EAA" w:rsidP="00860EAA">
      <w:pPr>
        <w:spacing w:after="0"/>
      </w:pPr>
      <w:r w:rsidRPr="00BD1C03">
        <w:t>Minute Iraq Package Steering Committee Recommendations 10 December 2018</w:t>
      </w:r>
    </w:p>
    <w:p w14:paraId="249142B0" w14:textId="77777777" w:rsidR="00860EAA" w:rsidRPr="00BD1C03" w:rsidRDefault="00860EAA" w:rsidP="00860EAA">
      <w:pPr>
        <w:spacing w:after="0"/>
      </w:pPr>
      <w:r w:rsidRPr="00BD1C03">
        <w:t>Humanitarian Response Aid Quality Check for Iraq Humanitarian and Stabilisation Package 2018-19</w:t>
      </w:r>
    </w:p>
    <w:p w14:paraId="73B8108F" w14:textId="77777777" w:rsidR="00860EAA" w:rsidRPr="00BD1C03" w:rsidRDefault="00860EAA" w:rsidP="00860EAA">
      <w:pPr>
        <w:spacing w:after="0"/>
      </w:pPr>
      <w:r w:rsidRPr="00BD1C03">
        <w:t>Iraq Humanitarian and Resilience Package – Field Monitoring Visit Plan Sunday 3 – Thursday 7 February 2019</w:t>
      </w:r>
    </w:p>
    <w:p w14:paraId="776027BF" w14:textId="77777777" w:rsidR="00860EAA" w:rsidRPr="00BD1C03" w:rsidRDefault="00860EAA" w:rsidP="00860EAA">
      <w:pPr>
        <w:spacing w:after="0"/>
      </w:pPr>
      <w:r w:rsidRPr="00BD1C03">
        <w:t>Iraq Humanitarian and Stabilisation Package Results Dashboard 2019</w:t>
      </w:r>
    </w:p>
    <w:p w14:paraId="3EE1B682" w14:textId="77777777" w:rsidR="00860EAA" w:rsidRPr="00BD1C03" w:rsidRDefault="00860EAA" w:rsidP="00860EAA">
      <w:pPr>
        <w:spacing w:after="0"/>
      </w:pPr>
      <w:r w:rsidRPr="00BD1C03">
        <w:t>Evaluation of Protection in Australia’s Disaster Responses in the Pacific 2018</w:t>
      </w:r>
    </w:p>
    <w:p w14:paraId="74237742" w14:textId="77777777" w:rsidR="00860EAA" w:rsidRPr="00BD1C03" w:rsidRDefault="00860EAA" w:rsidP="00860EAA">
      <w:pPr>
        <w:spacing w:after="0"/>
      </w:pPr>
      <w:r w:rsidRPr="00BD1C03">
        <w:t>DFAT Humanitarian Strategy 2016</w:t>
      </w:r>
    </w:p>
    <w:p w14:paraId="0FA31D9C" w14:textId="77777777" w:rsidR="00860EAA" w:rsidRPr="00BD1C03" w:rsidRDefault="00860EAA" w:rsidP="00860EAA">
      <w:pPr>
        <w:spacing w:after="0"/>
      </w:pPr>
      <w:r w:rsidRPr="00BD1C03">
        <w:t>DFAT Protection Framework 2013</w:t>
      </w:r>
    </w:p>
    <w:p w14:paraId="7FB39C3F" w14:textId="77777777" w:rsidR="00860EAA" w:rsidRPr="001E55CB" w:rsidRDefault="001A1EF8" w:rsidP="00860EAA">
      <w:pPr>
        <w:spacing w:after="0"/>
        <w:rPr>
          <w:color w:val="4F6228" w:themeColor="accent3" w:themeShade="80"/>
        </w:rPr>
      </w:pPr>
      <w:hyperlink r:id="rId23" w:history="1">
        <w:r w:rsidR="00860EAA" w:rsidRPr="001E55CB">
          <w:rPr>
            <w:rStyle w:val="Hyperlink"/>
            <w:color w:val="4F6228" w:themeColor="accent3" w:themeShade="80"/>
          </w:rPr>
          <w:t>Evaluation of Protection in Australia’s Disaster Responses in the Pacific 2019</w:t>
        </w:r>
      </w:hyperlink>
    </w:p>
    <w:p w14:paraId="287E0E08" w14:textId="77777777" w:rsidR="00860EAA" w:rsidRPr="00BD1C03" w:rsidRDefault="00860EAA" w:rsidP="00860EAA">
      <w:pPr>
        <w:spacing w:after="0"/>
      </w:pPr>
    </w:p>
    <w:p w14:paraId="06ED072D" w14:textId="77777777" w:rsidR="00860EAA" w:rsidRPr="00BD1C03" w:rsidRDefault="00860EAA" w:rsidP="003A57AD">
      <w:pPr>
        <w:pStyle w:val="Heading2"/>
        <w:numPr>
          <w:ilvl w:val="0"/>
          <w:numId w:val="0"/>
        </w:numPr>
        <w:ind w:left="360" w:hanging="360"/>
      </w:pPr>
      <w:r w:rsidRPr="00BD1C03">
        <w:t>Additional literature</w:t>
      </w:r>
    </w:p>
    <w:p w14:paraId="7AF4A012" w14:textId="77777777" w:rsidR="00860EAA" w:rsidRPr="00BD1C03" w:rsidRDefault="00860EAA" w:rsidP="00860EAA">
      <w:pPr>
        <w:spacing w:after="0"/>
      </w:pPr>
      <w:r w:rsidRPr="00BD1C03">
        <w:t>Iraq Humanitarian Response Plan 2020</w:t>
      </w:r>
    </w:p>
    <w:p w14:paraId="15ADD6B7" w14:textId="77777777" w:rsidR="00860EAA" w:rsidRPr="00BD1C03" w:rsidRDefault="00860EAA" w:rsidP="00860EAA">
      <w:pPr>
        <w:spacing w:after="0"/>
      </w:pPr>
      <w:r w:rsidRPr="00BD1C03">
        <w:t>Iraq Humanitarian Country Team Protection Strategy 2019-21</w:t>
      </w:r>
    </w:p>
    <w:p w14:paraId="4912EDD7" w14:textId="77777777" w:rsidR="00860EAA" w:rsidRPr="00BD1C03" w:rsidRDefault="00860EAA" w:rsidP="00860EAA">
      <w:pPr>
        <w:spacing w:after="0"/>
      </w:pPr>
      <w:r w:rsidRPr="00BD1C03">
        <w:t>IASC Statement on the Centrality of Protection 2013</w:t>
      </w:r>
    </w:p>
    <w:p w14:paraId="763B3641" w14:textId="77777777" w:rsidR="00860EAA" w:rsidRPr="00BD1C03" w:rsidRDefault="00860EAA" w:rsidP="00860EAA">
      <w:pPr>
        <w:spacing w:after="0"/>
      </w:pPr>
      <w:r w:rsidRPr="00BD1C03">
        <w:t>Whole of System Review of Protection in Humanitarian Action 2015</w:t>
      </w:r>
    </w:p>
    <w:p w14:paraId="589D640E" w14:textId="77777777" w:rsidR="00860EAA" w:rsidRPr="00BD1C03" w:rsidRDefault="00860EAA" w:rsidP="00860EAA">
      <w:pPr>
        <w:spacing w:after="0"/>
      </w:pPr>
      <w:r w:rsidRPr="00BD1C03">
        <w:t>IASC Protection Policy 2016</w:t>
      </w:r>
    </w:p>
    <w:p w14:paraId="29146473" w14:textId="77777777" w:rsidR="00860EAA" w:rsidRPr="00BD1C03" w:rsidRDefault="00860EAA" w:rsidP="00860EAA">
      <w:pPr>
        <w:spacing w:after="0"/>
      </w:pPr>
      <w:r w:rsidRPr="00BD1C03">
        <w:t>WHS Grand Bargain</w:t>
      </w:r>
    </w:p>
    <w:p w14:paraId="0E5E50D2" w14:textId="77777777" w:rsidR="00860EAA" w:rsidRPr="00BD1C03" w:rsidRDefault="00860EAA" w:rsidP="00860EAA">
      <w:pPr>
        <w:spacing w:after="0"/>
      </w:pPr>
      <w:r w:rsidRPr="00BD1C03">
        <w:t>Good Humanitarian Donorship Principles</w:t>
      </w:r>
    </w:p>
    <w:p w14:paraId="534F2EE0" w14:textId="77777777" w:rsidR="00860EAA" w:rsidRPr="00BD1C03" w:rsidRDefault="00860EAA" w:rsidP="00860EAA">
      <w:pPr>
        <w:spacing w:after="0"/>
      </w:pPr>
    </w:p>
    <w:p w14:paraId="1FC6361F" w14:textId="77777777" w:rsidR="00860EAA" w:rsidRPr="00BD1C03" w:rsidRDefault="001A1EF8" w:rsidP="00860EAA">
      <w:pPr>
        <w:spacing w:after="0"/>
      </w:pPr>
      <w:hyperlink r:id="rId24" w:history="1">
        <w:r w:rsidR="00860EAA" w:rsidRPr="0038210E">
          <w:rPr>
            <w:rStyle w:val="Hyperlink"/>
            <w:color w:val="4F6228" w:themeColor="accent3" w:themeShade="80"/>
          </w:rPr>
          <w:t>Advancing Women, Peace and Security in the Middle East</w:t>
        </w:r>
      </w:hyperlink>
      <w:r w:rsidR="00860EAA" w:rsidRPr="00BD1C03">
        <w:t xml:space="preserve">, May 2019, Amra Lee for </w:t>
      </w:r>
      <w:proofErr w:type="spellStart"/>
      <w:r w:rsidR="00860EAA" w:rsidRPr="00BD1C03">
        <w:t>RedR</w:t>
      </w:r>
      <w:proofErr w:type="spellEnd"/>
      <w:r w:rsidR="00860EAA" w:rsidRPr="00BD1C03">
        <w:t xml:space="preserve"> Australia.</w:t>
      </w:r>
    </w:p>
    <w:p w14:paraId="12170893" w14:textId="77777777" w:rsidR="00860EAA" w:rsidRPr="00BD1C03" w:rsidRDefault="001A1EF8" w:rsidP="00860EAA">
      <w:pPr>
        <w:spacing w:after="0"/>
      </w:pPr>
      <w:hyperlink r:id="rId25" w:history="1">
        <w:r w:rsidR="00860EAA" w:rsidRPr="0038210E">
          <w:rPr>
            <w:rStyle w:val="Hyperlink"/>
            <w:color w:val="4F6228" w:themeColor="accent3" w:themeShade="80"/>
          </w:rPr>
          <w:t>OECD-DAC Recommendation on the Humanitarian-Development-Peace Nexus</w:t>
        </w:r>
      </w:hyperlink>
      <w:r w:rsidR="00860EAA" w:rsidRPr="00BD1C03">
        <w:t xml:space="preserve"> 22 February 2019</w:t>
      </w:r>
    </w:p>
    <w:p w14:paraId="18B0A38E" w14:textId="77777777" w:rsidR="00860EAA" w:rsidRPr="00BD1C03" w:rsidRDefault="001A1EF8" w:rsidP="00860EAA">
      <w:pPr>
        <w:spacing w:after="0"/>
      </w:pPr>
      <w:hyperlink r:id="rId26" w:history="1">
        <w:r w:rsidR="00860EAA" w:rsidRPr="0038210E">
          <w:rPr>
            <w:rStyle w:val="Hyperlink"/>
            <w:color w:val="4F6228" w:themeColor="accent3" w:themeShade="80"/>
          </w:rPr>
          <w:t>The UK Government’s Approach to Stabilisation: A guide for policy-makers and practitioners</w:t>
        </w:r>
      </w:hyperlink>
      <w:r w:rsidR="00860EAA" w:rsidRPr="0038210E">
        <w:rPr>
          <w:color w:val="4F6228" w:themeColor="accent3" w:themeShade="80"/>
        </w:rPr>
        <w:t xml:space="preserve"> </w:t>
      </w:r>
      <w:r w:rsidR="00860EAA" w:rsidRPr="00BD1C03">
        <w:t>(March 2019). Stabilisation Unit: UK Government.</w:t>
      </w:r>
    </w:p>
    <w:p w14:paraId="4B7F423F" w14:textId="77777777" w:rsidR="00860EAA" w:rsidRPr="00BD1C03" w:rsidRDefault="001A1EF8" w:rsidP="00860EAA">
      <w:pPr>
        <w:spacing w:after="0"/>
      </w:pPr>
      <w:hyperlink r:id="rId27" w:history="1">
        <w:r w:rsidR="00860EAA" w:rsidRPr="001E55CB">
          <w:rPr>
            <w:rStyle w:val="Hyperlink"/>
            <w:color w:val="4F6228" w:themeColor="accent3" w:themeShade="80"/>
          </w:rPr>
          <w:t>Rebuilding the Iraqi State: Stabilisation, Governance and Reconciliation</w:t>
        </w:r>
      </w:hyperlink>
      <w:r w:rsidR="00860EAA" w:rsidRPr="00BD1C03">
        <w:rPr>
          <w:color w:val="76923C" w:themeColor="accent3" w:themeShade="BF"/>
        </w:rPr>
        <w:t xml:space="preserve"> </w:t>
      </w:r>
      <w:r w:rsidR="00860EAA" w:rsidRPr="00BD1C03">
        <w:t>(2018). Directorate-General for External Policies Policy Department: European Parliament.</w:t>
      </w:r>
    </w:p>
    <w:p w14:paraId="6C1D458C" w14:textId="77777777" w:rsidR="00860EAA" w:rsidRPr="00BD1C03" w:rsidRDefault="001A1EF8" w:rsidP="00860EAA">
      <w:pPr>
        <w:spacing w:after="0"/>
      </w:pPr>
      <w:hyperlink r:id="rId28" w:history="1">
        <w:r w:rsidR="00860EAA" w:rsidRPr="001E55CB">
          <w:rPr>
            <w:rStyle w:val="Hyperlink"/>
            <w:color w:val="4F6228" w:themeColor="accent3" w:themeShade="80"/>
          </w:rPr>
          <w:t>Literature Review on the Stabilisation-Development Nexus</w:t>
        </w:r>
      </w:hyperlink>
      <w:r w:rsidR="00860EAA" w:rsidRPr="00BD1C03">
        <w:t xml:space="preserve">, 31 May 2019, Tana </w:t>
      </w:r>
      <w:proofErr w:type="spellStart"/>
      <w:r w:rsidR="00860EAA" w:rsidRPr="00BD1C03">
        <w:t>Copenhagan</w:t>
      </w:r>
      <w:proofErr w:type="spellEnd"/>
      <w:r w:rsidR="00860EAA" w:rsidRPr="00BD1C03">
        <w:t xml:space="preserve"> for Global Affairs Canada.</w:t>
      </w:r>
    </w:p>
    <w:p w14:paraId="272A3A39" w14:textId="77777777" w:rsidR="000B357D" w:rsidRPr="00BD1C03" w:rsidRDefault="000B357D">
      <w:pPr>
        <w:spacing w:after="0"/>
      </w:pPr>
    </w:p>
    <w:p w14:paraId="3A889C8D" w14:textId="77777777" w:rsidR="00CD175C" w:rsidRPr="00BD1C03" w:rsidRDefault="00CD175C" w:rsidP="00CD175C"/>
    <w:p w14:paraId="36A85210" w14:textId="77777777" w:rsidR="00F72EA1" w:rsidRPr="00BD1C03" w:rsidRDefault="00F72EA1" w:rsidP="00F72EA1"/>
    <w:p w14:paraId="24234C3E" w14:textId="77777777" w:rsidR="00F72EA1" w:rsidRPr="00BD1C03" w:rsidRDefault="00F72EA1" w:rsidP="007C1259">
      <w:pPr>
        <w:pStyle w:val="IntroAnnex"/>
      </w:pPr>
    </w:p>
    <w:p w14:paraId="00530EFC" w14:textId="2F324976" w:rsidR="00E5062D" w:rsidRPr="00BD1C03" w:rsidRDefault="00E5062D">
      <w:pPr>
        <w:spacing w:after="0"/>
      </w:pPr>
      <w:r w:rsidRPr="00BD1C03">
        <w:br w:type="page"/>
      </w:r>
    </w:p>
    <w:p w14:paraId="6A5A0853" w14:textId="127CB535" w:rsidR="003D0A27" w:rsidRDefault="00E50AD2" w:rsidP="00CC437F">
      <w:pPr>
        <w:pStyle w:val="Heading1"/>
      </w:pPr>
      <w:bookmarkStart w:id="21" w:name="_Toc48318508"/>
      <w:r>
        <w:t>Annex V – Iraq Package Program L</w:t>
      </w:r>
      <w:r w:rsidR="00E5062D" w:rsidRPr="00BD1C03">
        <w:t>ogic</w:t>
      </w:r>
      <w:bookmarkEnd w:id="21"/>
      <w:r w:rsidR="00E5062D" w:rsidRPr="00BD1C03">
        <w:t xml:space="preserve"> </w:t>
      </w:r>
    </w:p>
    <w:p w14:paraId="3F40210F" w14:textId="5A27120C" w:rsidR="00E5062D" w:rsidRPr="00FB6004" w:rsidRDefault="00E5062D" w:rsidP="003D0A27">
      <w:pPr>
        <w:rPr>
          <w:i/>
          <w:sz w:val="28"/>
        </w:rPr>
      </w:pPr>
      <w:r w:rsidRPr="00FB6004">
        <w:rPr>
          <w:i/>
          <w:sz w:val="28"/>
        </w:rPr>
        <w:t>(</w:t>
      </w:r>
      <w:r w:rsidR="006D4E4E">
        <w:rPr>
          <w:i/>
          <w:sz w:val="28"/>
        </w:rPr>
        <w:t>adapted</w:t>
      </w:r>
      <w:r w:rsidRPr="00FB6004">
        <w:rPr>
          <w:i/>
          <w:sz w:val="28"/>
        </w:rPr>
        <w:t xml:space="preserve"> from Investment Design Summary May 2020) </w:t>
      </w:r>
    </w:p>
    <w:p w14:paraId="006D0269" w14:textId="77777777" w:rsidR="00E5062D" w:rsidRPr="00BD1C03" w:rsidRDefault="00E5062D" w:rsidP="00E5062D">
      <w:pPr>
        <w:pStyle w:val="IntroAnnex"/>
      </w:pPr>
    </w:p>
    <w:tbl>
      <w:tblPr>
        <w:tblStyle w:val="GridTable1Light-Accent31"/>
        <w:tblW w:w="8405" w:type="dxa"/>
        <w:tblLayout w:type="fixed"/>
        <w:tblLook w:val="04A0" w:firstRow="1" w:lastRow="0" w:firstColumn="1" w:lastColumn="0" w:noHBand="0" w:noVBand="1"/>
      </w:tblPr>
      <w:tblGrid>
        <w:gridCol w:w="733"/>
        <w:gridCol w:w="972"/>
        <w:gridCol w:w="274"/>
        <w:gridCol w:w="710"/>
        <w:gridCol w:w="904"/>
        <w:gridCol w:w="242"/>
        <w:gridCol w:w="743"/>
        <w:gridCol w:w="425"/>
        <w:gridCol w:w="429"/>
        <w:gridCol w:w="370"/>
        <w:gridCol w:w="319"/>
        <w:gridCol w:w="239"/>
        <w:gridCol w:w="881"/>
        <w:gridCol w:w="1164"/>
      </w:tblGrid>
      <w:tr w:rsidR="00D000B3" w14:paraId="7D2E2546" w14:textId="2283F633" w:rsidTr="00F6140A">
        <w:trPr>
          <w:cnfStyle w:val="100000000000" w:firstRow="1" w:lastRow="0" w:firstColumn="0" w:lastColumn="0" w:oddVBand="0" w:evenVBand="0" w:oddHBand="0"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733" w:type="dxa"/>
            <w:tcBorders>
              <w:bottom w:val="single" w:sz="4" w:space="0" w:color="4F6228" w:themeColor="accent3" w:themeShade="80"/>
            </w:tcBorders>
          </w:tcPr>
          <w:p w14:paraId="4394412D" w14:textId="77777777" w:rsidR="006D4E4E" w:rsidRPr="00D000B3" w:rsidRDefault="006D4E4E" w:rsidP="00B47FE4">
            <w:pPr>
              <w:spacing w:after="0"/>
              <w:jc w:val="center"/>
              <w:rPr>
                <w:sz w:val="16"/>
                <w:szCs w:val="16"/>
              </w:rPr>
            </w:pPr>
          </w:p>
        </w:tc>
        <w:tc>
          <w:tcPr>
            <w:tcW w:w="5069" w:type="dxa"/>
            <w:gridSpan w:val="9"/>
            <w:tcBorders>
              <w:bottom w:val="single" w:sz="4" w:space="0" w:color="4F6228" w:themeColor="accent3" w:themeShade="80"/>
            </w:tcBorders>
          </w:tcPr>
          <w:p w14:paraId="6FB01BAB" w14:textId="1333A463" w:rsidR="006D4E4E" w:rsidRPr="00D000B3" w:rsidRDefault="00424D82" w:rsidP="00B47FE4">
            <w:pPr>
              <w:spacing w:after="0"/>
              <w:jc w:val="center"/>
              <w:cnfStyle w:val="100000000000" w:firstRow="1" w:lastRow="0" w:firstColumn="0" w:lastColumn="0" w:oddVBand="0" w:evenVBand="0" w:oddHBand="0" w:evenHBand="0" w:firstRowFirstColumn="0" w:firstRowLastColumn="0" w:lastRowFirstColumn="0" w:lastRowLastColumn="0"/>
              <w:rPr>
                <w:sz w:val="16"/>
                <w:szCs w:val="16"/>
              </w:rPr>
            </w:pPr>
            <w:r w:rsidRPr="00D000B3">
              <w:rPr>
                <w:sz w:val="16"/>
                <w:szCs w:val="16"/>
              </w:rPr>
              <w:t>Humanitarian Assistance</w:t>
            </w:r>
          </w:p>
        </w:tc>
        <w:tc>
          <w:tcPr>
            <w:tcW w:w="2602" w:type="dxa"/>
            <w:gridSpan w:val="4"/>
            <w:tcBorders>
              <w:bottom w:val="single" w:sz="4" w:space="0" w:color="auto"/>
            </w:tcBorders>
          </w:tcPr>
          <w:p w14:paraId="3B88C7D6" w14:textId="424783AD" w:rsidR="006D4E4E" w:rsidRPr="00B47FE4" w:rsidRDefault="00424D82" w:rsidP="00B47FE4">
            <w:pPr>
              <w:spacing w:after="0"/>
              <w:jc w:val="center"/>
              <w:cnfStyle w:val="100000000000" w:firstRow="1" w:lastRow="0" w:firstColumn="0" w:lastColumn="0" w:oddVBand="0" w:evenVBand="0" w:oddHBand="0" w:evenHBand="0" w:firstRowFirstColumn="0" w:firstRowLastColumn="0" w:lastRowFirstColumn="0" w:lastRowLastColumn="0"/>
              <w:rPr>
                <w:sz w:val="16"/>
                <w:szCs w:val="16"/>
              </w:rPr>
            </w:pPr>
            <w:r w:rsidRPr="00B47FE4">
              <w:rPr>
                <w:sz w:val="16"/>
                <w:szCs w:val="16"/>
              </w:rPr>
              <w:t>Stabilisation and Social Cohesion</w:t>
            </w:r>
          </w:p>
        </w:tc>
      </w:tr>
      <w:tr w:rsidR="00D000B3" w14:paraId="25486306" w14:textId="6DCF21E0" w:rsidTr="00F6140A">
        <w:trPr>
          <w:trHeight w:val="1235"/>
        </w:trPr>
        <w:tc>
          <w:tcPr>
            <w:cnfStyle w:val="001000000000" w:firstRow="0" w:lastRow="0" w:firstColumn="1" w:lastColumn="0" w:oddVBand="0" w:evenVBand="0" w:oddHBand="0" w:evenHBand="0" w:firstRowFirstColumn="0" w:firstRowLastColumn="0" w:lastRowFirstColumn="0" w:lastRowLastColumn="0"/>
            <w:tcW w:w="733" w:type="dxa"/>
            <w:textDirection w:val="btLr"/>
          </w:tcPr>
          <w:p w14:paraId="335D44AC" w14:textId="6731830B" w:rsidR="006D4E4E" w:rsidRPr="00B056C5" w:rsidRDefault="00424D82" w:rsidP="00B47FE4">
            <w:pPr>
              <w:spacing w:after="0"/>
              <w:ind w:left="113" w:right="113"/>
              <w:jc w:val="center"/>
              <w:rPr>
                <w:color w:val="4F6228" w:themeColor="accent3" w:themeShade="80"/>
                <w:sz w:val="16"/>
                <w:szCs w:val="16"/>
              </w:rPr>
            </w:pPr>
            <w:r w:rsidRPr="00B056C5">
              <w:rPr>
                <w:color w:val="4F6228" w:themeColor="accent3" w:themeShade="80"/>
                <w:sz w:val="16"/>
                <w:szCs w:val="16"/>
              </w:rPr>
              <w:t>Objective</w:t>
            </w:r>
          </w:p>
        </w:tc>
        <w:tc>
          <w:tcPr>
            <w:tcW w:w="7672" w:type="dxa"/>
            <w:gridSpan w:val="13"/>
            <w:tcBorders>
              <w:top w:val="single" w:sz="4" w:space="0" w:color="auto"/>
            </w:tcBorders>
          </w:tcPr>
          <w:p w14:paraId="3E538656" w14:textId="64447730" w:rsidR="006D4E4E" w:rsidRPr="00D000B3" w:rsidRDefault="00424D82" w:rsidP="00B47FE4">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D000B3">
              <w:rPr>
                <w:sz w:val="16"/>
                <w:szCs w:val="16"/>
              </w:rPr>
              <w:t>To support international efforts to meet the humanitarian needs of the most vulnerable conflict-affected populations in Iraq and assist communities to become more resilient and stable</w:t>
            </w:r>
          </w:p>
        </w:tc>
      </w:tr>
      <w:tr w:rsidR="00D000B3" w14:paraId="788096E9" w14:textId="4CAA9814" w:rsidTr="00B056C5">
        <w:trPr>
          <w:trHeight w:val="1235"/>
        </w:trPr>
        <w:tc>
          <w:tcPr>
            <w:cnfStyle w:val="001000000000" w:firstRow="0" w:lastRow="0" w:firstColumn="1" w:lastColumn="0" w:oddVBand="0" w:evenVBand="0" w:oddHBand="0" w:evenHBand="0" w:firstRowFirstColumn="0" w:firstRowLastColumn="0" w:lastRowFirstColumn="0" w:lastRowLastColumn="0"/>
            <w:tcW w:w="733" w:type="dxa"/>
            <w:textDirection w:val="btLr"/>
          </w:tcPr>
          <w:p w14:paraId="7021E013" w14:textId="5E0F75C1" w:rsidR="006D4E4E" w:rsidRPr="00B056C5" w:rsidRDefault="00424D82" w:rsidP="00B47FE4">
            <w:pPr>
              <w:spacing w:after="0"/>
              <w:ind w:left="113" w:right="113"/>
              <w:jc w:val="center"/>
              <w:rPr>
                <w:color w:val="4F6228" w:themeColor="accent3" w:themeShade="80"/>
                <w:sz w:val="16"/>
                <w:szCs w:val="16"/>
              </w:rPr>
            </w:pPr>
            <w:r w:rsidRPr="00B056C5">
              <w:rPr>
                <w:color w:val="4F6228" w:themeColor="accent3" w:themeShade="80"/>
                <w:sz w:val="16"/>
                <w:szCs w:val="16"/>
              </w:rPr>
              <w:t>Purpose</w:t>
            </w:r>
          </w:p>
        </w:tc>
        <w:tc>
          <w:tcPr>
            <w:tcW w:w="7672" w:type="dxa"/>
            <w:gridSpan w:val="13"/>
          </w:tcPr>
          <w:p w14:paraId="47990724" w14:textId="022DF63F" w:rsidR="006D4E4E" w:rsidRPr="00D000B3" w:rsidRDefault="00424D82" w:rsidP="00B47FE4">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D000B3">
              <w:rPr>
                <w:sz w:val="16"/>
                <w:szCs w:val="16"/>
              </w:rPr>
              <w:t xml:space="preserve">Australia’s aid will provide predictable funding to support international efforts, in line with Australia’s national interest, to meet the humanitarian needs of conflict-affected and displaced Iraqis, contribute to the stabilisation of liberated </w:t>
            </w:r>
            <w:proofErr w:type="gramStart"/>
            <w:r w:rsidRPr="00D000B3">
              <w:rPr>
                <w:sz w:val="16"/>
                <w:szCs w:val="16"/>
              </w:rPr>
              <w:t>areas</w:t>
            </w:r>
            <w:proofErr w:type="gramEnd"/>
            <w:r w:rsidRPr="00D000B3">
              <w:rPr>
                <w:sz w:val="16"/>
                <w:szCs w:val="16"/>
              </w:rPr>
              <w:t xml:space="preserve"> and promote social cohesion</w:t>
            </w:r>
          </w:p>
        </w:tc>
      </w:tr>
      <w:tr w:rsidR="00D000B3" w14:paraId="681FB870" w14:textId="7822FE28" w:rsidTr="00B056C5">
        <w:trPr>
          <w:trHeight w:val="1235"/>
        </w:trPr>
        <w:tc>
          <w:tcPr>
            <w:cnfStyle w:val="001000000000" w:firstRow="0" w:lastRow="0" w:firstColumn="1" w:lastColumn="0" w:oddVBand="0" w:evenVBand="0" w:oddHBand="0" w:evenHBand="0" w:firstRowFirstColumn="0" w:firstRowLastColumn="0" w:lastRowFirstColumn="0" w:lastRowLastColumn="0"/>
            <w:tcW w:w="733" w:type="dxa"/>
            <w:textDirection w:val="btLr"/>
          </w:tcPr>
          <w:p w14:paraId="29CB5CCB" w14:textId="21D81AFB" w:rsidR="006D4E4E" w:rsidRPr="00B056C5" w:rsidRDefault="00424D82" w:rsidP="00B47FE4">
            <w:pPr>
              <w:spacing w:after="0"/>
              <w:ind w:left="113" w:right="113"/>
              <w:jc w:val="center"/>
              <w:rPr>
                <w:color w:val="4F6228" w:themeColor="accent3" w:themeShade="80"/>
                <w:sz w:val="16"/>
                <w:szCs w:val="16"/>
              </w:rPr>
            </w:pPr>
            <w:r w:rsidRPr="00B056C5">
              <w:rPr>
                <w:color w:val="4F6228" w:themeColor="accent3" w:themeShade="80"/>
                <w:sz w:val="16"/>
                <w:szCs w:val="16"/>
              </w:rPr>
              <w:t>End of Program Outcome</w:t>
            </w:r>
          </w:p>
        </w:tc>
        <w:tc>
          <w:tcPr>
            <w:tcW w:w="5069" w:type="dxa"/>
            <w:gridSpan w:val="9"/>
          </w:tcPr>
          <w:p w14:paraId="0970C5B2" w14:textId="34F66825" w:rsidR="006D4E4E" w:rsidRPr="00D000B3" w:rsidRDefault="00424D82" w:rsidP="00B47FE4">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D000B3">
              <w:rPr>
                <w:sz w:val="16"/>
                <w:szCs w:val="16"/>
              </w:rPr>
              <w:t>Vulnerable people in Iraq affected by the crisis receive inclusive humanitarian assistance and have greater access to protection services</w:t>
            </w:r>
          </w:p>
        </w:tc>
        <w:tc>
          <w:tcPr>
            <w:tcW w:w="2602" w:type="dxa"/>
            <w:gridSpan w:val="4"/>
          </w:tcPr>
          <w:p w14:paraId="717D3EA9" w14:textId="160C365E" w:rsidR="006D4E4E" w:rsidRPr="00D000B3" w:rsidRDefault="00424D82" w:rsidP="00B47FE4">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D000B3">
              <w:rPr>
                <w:sz w:val="16"/>
                <w:szCs w:val="16"/>
              </w:rPr>
              <w:t>Institutions, infrastructure, and social conditions improved for conflict affected populations to recover and build resilience in a safe and stable environment</w:t>
            </w:r>
          </w:p>
        </w:tc>
      </w:tr>
      <w:tr w:rsidR="0038210E" w14:paraId="7A4CD881" w14:textId="33B0C693" w:rsidTr="00B056C5">
        <w:trPr>
          <w:trHeight w:val="1235"/>
        </w:trPr>
        <w:tc>
          <w:tcPr>
            <w:cnfStyle w:val="001000000000" w:firstRow="0" w:lastRow="0" w:firstColumn="1" w:lastColumn="0" w:oddVBand="0" w:evenVBand="0" w:oddHBand="0" w:evenHBand="0" w:firstRowFirstColumn="0" w:firstRowLastColumn="0" w:lastRowFirstColumn="0" w:lastRowLastColumn="0"/>
            <w:tcW w:w="733" w:type="dxa"/>
            <w:textDirection w:val="btLr"/>
          </w:tcPr>
          <w:p w14:paraId="31E0E7D8" w14:textId="754827A5" w:rsidR="006D4E4E" w:rsidRPr="00B056C5" w:rsidRDefault="00424D82" w:rsidP="00B47FE4">
            <w:pPr>
              <w:spacing w:after="0"/>
              <w:ind w:left="113" w:right="113"/>
              <w:jc w:val="center"/>
              <w:rPr>
                <w:color w:val="4F6228" w:themeColor="accent3" w:themeShade="80"/>
                <w:sz w:val="16"/>
                <w:szCs w:val="16"/>
              </w:rPr>
            </w:pPr>
            <w:r w:rsidRPr="00B056C5">
              <w:rPr>
                <w:color w:val="4F6228" w:themeColor="accent3" w:themeShade="80"/>
                <w:sz w:val="16"/>
                <w:szCs w:val="16"/>
              </w:rPr>
              <w:t>Output</w:t>
            </w:r>
          </w:p>
        </w:tc>
        <w:tc>
          <w:tcPr>
            <w:tcW w:w="1246" w:type="dxa"/>
            <w:gridSpan w:val="2"/>
          </w:tcPr>
          <w:p w14:paraId="23F39700" w14:textId="053CD5C4" w:rsidR="006D4E4E" w:rsidRPr="00D000B3" w:rsidRDefault="00424D82" w:rsidP="00B47FE4">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D000B3">
              <w:rPr>
                <w:sz w:val="16"/>
                <w:szCs w:val="16"/>
              </w:rPr>
              <w:t>Increased humanitarian assistance provided to affected populations in Iraq</w:t>
            </w:r>
          </w:p>
        </w:tc>
        <w:tc>
          <w:tcPr>
            <w:tcW w:w="1856" w:type="dxa"/>
            <w:gridSpan w:val="3"/>
          </w:tcPr>
          <w:p w14:paraId="52F4AD92" w14:textId="085BE18F" w:rsidR="006D4E4E" w:rsidRPr="00D000B3" w:rsidRDefault="00424D82" w:rsidP="00B47FE4">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D000B3">
              <w:rPr>
                <w:sz w:val="16"/>
                <w:szCs w:val="16"/>
              </w:rPr>
              <w:t>Improved access and strengthened protection and disability services provided to conflict-affected populations. Including women and girls.</w:t>
            </w:r>
          </w:p>
        </w:tc>
        <w:tc>
          <w:tcPr>
            <w:tcW w:w="1168" w:type="dxa"/>
            <w:gridSpan w:val="2"/>
          </w:tcPr>
          <w:p w14:paraId="78342549" w14:textId="5E38B70E" w:rsidR="006D4E4E" w:rsidRPr="00D000B3" w:rsidRDefault="00424D82" w:rsidP="00B47FE4">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D000B3">
              <w:rPr>
                <w:sz w:val="16"/>
                <w:szCs w:val="16"/>
              </w:rPr>
              <w:t xml:space="preserve">Explosive hazards mapped and </w:t>
            </w:r>
            <w:proofErr w:type="gramStart"/>
            <w:r w:rsidRPr="00D000B3">
              <w:rPr>
                <w:sz w:val="16"/>
                <w:szCs w:val="16"/>
              </w:rPr>
              <w:t>cleared</w:t>
            </w:r>
            <w:proofErr w:type="gramEnd"/>
            <w:r w:rsidRPr="00D000B3">
              <w:rPr>
                <w:sz w:val="16"/>
                <w:szCs w:val="16"/>
              </w:rPr>
              <w:t xml:space="preserve"> and mine risk reduction activities conducted</w:t>
            </w:r>
          </w:p>
        </w:tc>
        <w:tc>
          <w:tcPr>
            <w:tcW w:w="2238" w:type="dxa"/>
            <w:gridSpan w:val="5"/>
          </w:tcPr>
          <w:p w14:paraId="03875823" w14:textId="2544B11B" w:rsidR="006D4E4E" w:rsidRPr="00D000B3" w:rsidRDefault="00424D82" w:rsidP="00B47FE4">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D000B3">
              <w:rPr>
                <w:sz w:val="16"/>
                <w:szCs w:val="16"/>
              </w:rPr>
              <w:t>Regular inclusive dialogue between community networks, government and international actors leads to improved consultation to address needs and improve mutual understanding</w:t>
            </w:r>
          </w:p>
        </w:tc>
        <w:tc>
          <w:tcPr>
            <w:tcW w:w="1164" w:type="dxa"/>
          </w:tcPr>
          <w:p w14:paraId="1FBED58A" w14:textId="15A60AC0" w:rsidR="006D4E4E" w:rsidRPr="00D000B3" w:rsidRDefault="00424D82" w:rsidP="00B47FE4">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D000B3">
              <w:rPr>
                <w:sz w:val="16"/>
                <w:szCs w:val="16"/>
              </w:rPr>
              <w:t xml:space="preserve">Government functions, critical infrastructure </w:t>
            </w:r>
            <w:r w:rsidR="00D000B3" w:rsidRPr="00D000B3">
              <w:rPr>
                <w:sz w:val="16"/>
                <w:szCs w:val="16"/>
              </w:rPr>
              <w:t>and essential services are restored</w:t>
            </w:r>
          </w:p>
        </w:tc>
      </w:tr>
      <w:tr w:rsidR="00B056C5" w14:paraId="6C7F9184" w14:textId="53F408EB" w:rsidTr="00B056C5">
        <w:trPr>
          <w:trHeight w:val="1235"/>
        </w:trPr>
        <w:tc>
          <w:tcPr>
            <w:cnfStyle w:val="001000000000" w:firstRow="0" w:lastRow="0" w:firstColumn="1" w:lastColumn="0" w:oddVBand="0" w:evenVBand="0" w:oddHBand="0" w:evenHBand="0" w:firstRowFirstColumn="0" w:firstRowLastColumn="0" w:lastRowFirstColumn="0" w:lastRowLastColumn="0"/>
            <w:tcW w:w="733" w:type="dxa"/>
            <w:vMerge w:val="restart"/>
            <w:textDirection w:val="btLr"/>
          </w:tcPr>
          <w:p w14:paraId="0BAB2EAC" w14:textId="06FFA209" w:rsidR="00B47FE4" w:rsidRPr="00B056C5" w:rsidRDefault="00B47FE4" w:rsidP="00B47FE4">
            <w:pPr>
              <w:spacing w:after="0"/>
              <w:ind w:left="113" w:right="113"/>
              <w:jc w:val="center"/>
              <w:rPr>
                <w:color w:val="4F6228" w:themeColor="accent3" w:themeShade="80"/>
                <w:sz w:val="16"/>
                <w:szCs w:val="16"/>
              </w:rPr>
            </w:pPr>
            <w:r w:rsidRPr="00B056C5">
              <w:rPr>
                <w:color w:val="4F6228" w:themeColor="accent3" w:themeShade="80"/>
                <w:sz w:val="16"/>
                <w:szCs w:val="16"/>
              </w:rPr>
              <w:t>Indicative Activity</w:t>
            </w:r>
          </w:p>
        </w:tc>
        <w:tc>
          <w:tcPr>
            <w:tcW w:w="972" w:type="dxa"/>
          </w:tcPr>
          <w:p w14:paraId="0064BD5D" w14:textId="77777777" w:rsidR="00B47FE4" w:rsidRPr="00036D8F" w:rsidRDefault="00B47FE4" w:rsidP="00B47FE4">
            <w:pPr>
              <w:spacing w:after="0"/>
              <w:jc w:val="center"/>
              <w:cnfStyle w:val="000000000000" w:firstRow="0" w:lastRow="0" w:firstColumn="0" w:lastColumn="0" w:oddVBand="0" w:evenVBand="0" w:oddHBand="0" w:evenHBand="0" w:firstRowFirstColumn="0" w:firstRowLastColumn="0" w:lastRowFirstColumn="0" w:lastRowLastColumn="0"/>
              <w:rPr>
                <w:sz w:val="12"/>
                <w:szCs w:val="12"/>
              </w:rPr>
            </w:pPr>
            <w:r w:rsidRPr="00036D8F">
              <w:rPr>
                <w:sz w:val="12"/>
                <w:szCs w:val="12"/>
              </w:rPr>
              <w:t xml:space="preserve">Humanitarian organisations deliver food, NGI, WASH, and cash. And provides rehabilitation, PSS, primary </w:t>
            </w:r>
            <w:proofErr w:type="gramStart"/>
            <w:r w:rsidRPr="00036D8F">
              <w:rPr>
                <w:sz w:val="12"/>
                <w:szCs w:val="12"/>
              </w:rPr>
              <w:t>healthcare</w:t>
            </w:r>
            <w:proofErr w:type="gramEnd"/>
            <w:r w:rsidRPr="00036D8F">
              <w:rPr>
                <w:sz w:val="12"/>
                <w:szCs w:val="12"/>
              </w:rPr>
              <w:t xml:space="preserve"> and livelihood assistance</w:t>
            </w:r>
          </w:p>
        </w:tc>
        <w:tc>
          <w:tcPr>
            <w:tcW w:w="984" w:type="dxa"/>
            <w:gridSpan w:val="2"/>
          </w:tcPr>
          <w:p w14:paraId="165CBF74" w14:textId="25DBE81F" w:rsidR="00B47FE4" w:rsidRPr="00036D8F" w:rsidRDefault="00B47FE4" w:rsidP="00B47FE4">
            <w:pPr>
              <w:spacing w:after="0"/>
              <w:jc w:val="center"/>
              <w:cnfStyle w:val="000000000000" w:firstRow="0" w:lastRow="0" w:firstColumn="0" w:lastColumn="0" w:oddVBand="0" w:evenVBand="0" w:oddHBand="0" w:evenHBand="0" w:firstRowFirstColumn="0" w:firstRowLastColumn="0" w:lastRowFirstColumn="0" w:lastRowLastColumn="0"/>
              <w:rPr>
                <w:sz w:val="12"/>
                <w:szCs w:val="12"/>
              </w:rPr>
            </w:pPr>
            <w:r w:rsidRPr="00036D8F">
              <w:rPr>
                <w:sz w:val="12"/>
                <w:szCs w:val="12"/>
              </w:rPr>
              <w:t>Humanitarian organisations provide protection services, promote respect for IHL and monitor detention facilities</w:t>
            </w:r>
          </w:p>
        </w:tc>
        <w:tc>
          <w:tcPr>
            <w:tcW w:w="904" w:type="dxa"/>
          </w:tcPr>
          <w:p w14:paraId="3248C460" w14:textId="13F0C25A" w:rsidR="00B47FE4" w:rsidRPr="00036D8F" w:rsidRDefault="00B47FE4" w:rsidP="00B47FE4">
            <w:pPr>
              <w:spacing w:after="0"/>
              <w:jc w:val="center"/>
              <w:cnfStyle w:val="000000000000" w:firstRow="0" w:lastRow="0" w:firstColumn="0" w:lastColumn="0" w:oddVBand="0" w:evenVBand="0" w:oddHBand="0" w:evenHBand="0" w:firstRowFirstColumn="0" w:firstRowLastColumn="0" w:lastRowFirstColumn="0" w:lastRowLastColumn="0"/>
              <w:rPr>
                <w:sz w:val="12"/>
                <w:szCs w:val="12"/>
              </w:rPr>
            </w:pPr>
            <w:r w:rsidRPr="00036D8F">
              <w:rPr>
                <w:sz w:val="12"/>
                <w:szCs w:val="12"/>
              </w:rPr>
              <w:t>UNFPA provide sexual and reproductive health services and assistance to survivors of SGBV, including PSS, and social service programmes to youths.</w:t>
            </w:r>
          </w:p>
        </w:tc>
        <w:tc>
          <w:tcPr>
            <w:tcW w:w="985" w:type="dxa"/>
            <w:gridSpan w:val="2"/>
          </w:tcPr>
          <w:p w14:paraId="05B940A6" w14:textId="0BF85F1C" w:rsidR="00B47FE4" w:rsidRPr="00036D8F" w:rsidRDefault="00B47FE4" w:rsidP="00B47FE4">
            <w:pPr>
              <w:spacing w:after="0"/>
              <w:jc w:val="center"/>
              <w:cnfStyle w:val="000000000000" w:firstRow="0" w:lastRow="0" w:firstColumn="0" w:lastColumn="0" w:oddVBand="0" w:evenVBand="0" w:oddHBand="0" w:evenHBand="0" w:firstRowFirstColumn="0" w:firstRowLastColumn="0" w:lastRowFirstColumn="0" w:lastRowLastColumn="0"/>
              <w:rPr>
                <w:sz w:val="12"/>
                <w:szCs w:val="12"/>
              </w:rPr>
            </w:pPr>
            <w:r w:rsidRPr="00036D8F">
              <w:rPr>
                <w:sz w:val="12"/>
                <w:szCs w:val="12"/>
              </w:rPr>
              <w:t>NGOs provide targeted assistance to persons with disabilities and support protection mainstreaming</w:t>
            </w:r>
          </w:p>
        </w:tc>
        <w:tc>
          <w:tcPr>
            <w:tcW w:w="854" w:type="dxa"/>
            <w:gridSpan w:val="2"/>
          </w:tcPr>
          <w:p w14:paraId="2EF1C792" w14:textId="04C519B5" w:rsidR="00B47FE4" w:rsidRPr="00036D8F" w:rsidRDefault="00B47FE4" w:rsidP="00B47FE4">
            <w:pPr>
              <w:spacing w:after="0"/>
              <w:jc w:val="center"/>
              <w:cnfStyle w:val="000000000000" w:firstRow="0" w:lastRow="0" w:firstColumn="0" w:lastColumn="0" w:oddVBand="0" w:evenVBand="0" w:oddHBand="0" w:evenHBand="0" w:firstRowFirstColumn="0" w:firstRowLastColumn="0" w:lastRowFirstColumn="0" w:lastRowLastColumn="0"/>
              <w:rPr>
                <w:sz w:val="12"/>
                <w:szCs w:val="12"/>
              </w:rPr>
            </w:pPr>
            <w:r w:rsidRPr="00036D8F">
              <w:rPr>
                <w:sz w:val="12"/>
                <w:szCs w:val="12"/>
              </w:rPr>
              <w:t>UNMAS surveys and demines affected areas, and conducts mine education and awareness activities</w:t>
            </w:r>
          </w:p>
        </w:tc>
        <w:tc>
          <w:tcPr>
            <w:tcW w:w="928" w:type="dxa"/>
            <w:gridSpan w:val="3"/>
          </w:tcPr>
          <w:p w14:paraId="398A5175" w14:textId="77777777" w:rsidR="00B47FE4" w:rsidRPr="00036D8F" w:rsidRDefault="00B47FE4" w:rsidP="00B47FE4">
            <w:pPr>
              <w:spacing w:after="0"/>
              <w:jc w:val="center"/>
              <w:cnfStyle w:val="000000000000" w:firstRow="0" w:lastRow="0" w:firstColumn="0" w:lastColumn="0" w:oddVBand="0" w:evenVBand="0" w:oddHBand="0" w:evenHBand="0" w:firstRowFirstColumn="0" w:firstRowLastColumn="0" w:lastRowFirstColumn="0" w:lastRowLastColumn="0"/>
              <w:rPr>
                <w:sz w:val="12"/>
                <w:szCs w:val="12"/>
              </w:rPr>
            </w:pPr>
            <w:r w:rsidRPr="00036D8F">
              <w:rPr>
                <w:sz w:val="12"/>
                <w:szCs w:val="12"/>
              </w:rPr>
              <w:t>NGOs facilitate and support community led networks around priority needs, promoting tolerance and inclusion</w:t>
            </w:r>
          </w:p>
        </w:tc>
        <w:tc>
          <w:tcPr>
            <w:tcW w:w="879" w:type="dxa"/>
          </w:tcPr>
          <w:p w14:paraId="566DBAB1" w14:textId="112AFF21" w:rsidR="00B47FE4" w:rsidRPr="00036D8F" w:rsidRDefault="00B47FE4" w:rsidP="00B47FE4">
            <w:pPr>
              <w:spacing w:after="0"/>
              <w:jc w:val="center"/>
              <w:cnfStyle w:val="000000000000" w:firstRow="0" w:lastRow="0" w:firstColumn="0" w:lastColumn="0" w:oddVBand="0" w:evenVBand="0" w:oddHBand="0" w:evenHBand="0" w:firstRowFirstColumn="0" w:firstRowLastColumn="0" w:lastRowFirstColumn="0" w:lastRowLastColumn="0"/>
              <w:rPr>
                <w:sz w:val="12"/>
                <w:szCs w:val="12"/>
              </w:rPr>
            </w:pPr>
            <w:r w:rsidRPr="00036D8F">
              <w:rPr>
                <w:sz w:val="12"/>
                <w:szCs w:val="12"/>
              </w:rPr>
              <w:t>Dialogue and public awareness programmes support community reconciliation</w:t>
            </w:r>
          </w:p>
        </w:tc>
        <w:tc>
          <w:tcPr>
            <w:tcW w:w="1164" w:type="dxa"/>
          </w:tcPr>
          <w:p w14:paraId="5406FD2E" w14:textId="584AE50B" w:rsidR="00B47FE4" w:rsidRPr="00036D8F" w:rsidRDefault="00B47FE4" w:rsidP="00B47FE4">
            <w:pPr>
              <w:spacing w:after="0"/>
              <w:jc w:val="center"/>
              <w:cnfStyle w:val="000000000000" w:firstRow="0" w:lastRow="0" w:firstColumn="0" w:lastColumn="0" w:oddVBand="0" w:evenVBand="0" w:oddHBand="0" w:evenHBand="0" w:firstRowFirstColumn="0" w:firstRowLastColumn="0" w:lastRowFirstColumn="0" w:lastRowLastColumn="0"/>
              <w:rPr>
                <w:sz w:val="12"/>
                <w:szCs w:val="12"/>
              </w:rPr>
            </w:pPr>
            <w:r w:rsidRPr="00036D8F">
              <w:rPr>
                <w:sz w:val="12"/>
                <w:szCs w:val="12"/>
              </w:rPr>
              <w:t>UNDP FFS assists the Government of Iraq to rehabilitate infrastructure and services (i.e. schools, water networks, health centres and administrative buildings). Open transport routes and employs workers to remove rubble.</w:t>
            </w:r>
          </w:p>
        </w:tc>
      </w:tr>
      <w:tr w:rsidR="00B47FE4" w14:paraId="3B2D51E6" w14:textId="77777777" w:rsidTr="00B056C5">
        <w:trPr>
          <w:trHeight w:val="432"/>
        </w:trPr>
        <w:tc>
          <w:tcPr>
            <w:cnfStyle w:val="001000000000" w:firstRow="0" w:lastRow="0" w:firstColumn="1" w:lastColumn="0" w:oddVBand="0" w:evenVBand="0" w:oddHBand="0" w:evenHBand="0" w:firstRowFirstColumn="0" w:firstRowLastColumn="0" w:lastRowFirstColumn="0" w:lastRowLastColumn="0"/>
            <w:tcW w:w="733" w:type="dxa"/>
            <w:vMerge/>
          </w:tcPr>
          <w:p w14:paraId="018E646A" w14:textId="77777777" w:rsidR="00B47FE4" w:rsidRPr="00B056C5" w:rsidRDefault="00B47FE4" w:rsidP="00B47FE4">
            <w:pPr>
              <w:spacing w:after="0"/>
              <w:jc w:val="center"/>
              <w:rPr>
                <w:color w:val="4F6228" w:themeColor="accent3" w:themeShade="80"/>
                <w:sz w:val="16"/>
                <w:szCs w:val="16"/>
              </w:rPr>
            </w:pPr>
          </w:p>
        </w:tc>
        <w:tc>
          <w:tcPr>
            <w:tcW w:w="7672" w:type="dxa"/>
            <w:gridSpan w:val="13"/>
          </w:tcPr>
          <w:p w14:paraId="13D706D2" w14:textId="10085D28" w:rsidR="00B47FE4" w:rsidRPr="00D000B3" w:rsidRDefault="00B47FE4" w:rsidP="00B47FE4">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Gender, </w:t>
            </w:r>
            <w:proofErr w:type="gramStart"/>
            <w:r>
              <w:rPr>
                <w:sz w:val="16"/>
                <w:szCs w:val="16"/>
              </w:rPr>
              <w:t>protection</w:t>
            </w:r>
            <w:proofErr w:type="gramEnd"/>
            <w:r>
              <w:rPr>
                <w:sz w:val="16"/>
                <w:szCs w:val="16"/>
              </w:rPr>
              <w:t xml:space="preserve"> and disability considerations are mainstreamed by all partners. This will be a requirement in contracts or performance expectations</w:t>
            </w:r>
          </w:p>
        </w:tc>
      </w:tr>
      <w:tr w:rsidR="00B47FE4" w14:paraId="7B6CEA26" w14:textId="30A915C3" w:rsidTr="00B056C5">
        <w:trPr>
          <w:trHeight w:val="1235"/>
        </w:trPr>
        <w:tc>
          <w:tcPr>
            <w:cnfStyle w:val="001000000000" w:firstRow="0" w:lastRow="0" w:firstColumn="1" w:lastColumn="0" w:oddVBand="0" w:evenVBand="0" w:oddHBand="0" w:evenHBand="0" w:firstRowFirstColumn="0" w:firstRowLastColumn="0" w:lastRowFirstColumn="0" w:lastRowLastColumn="0"/>
            <w:tcW w:w="733" w:type="dxa"/>
            <w:textDirection w:val="btLr"/>
          </w:tcPr>
          <w:p w14:paraId="4EB08734" w14:textId="483F6AAF" w:rsidR="00B47FE4" w:rsidRPr="00B056C5" w:rsidRDefault="00B47FE4" w:rsidP="00B47FE4">
            <w:pPr>
              <w:spacing w:after="0"/>
              <w:ind w:left="113" w:right="113"/>
              <w:jc w:val="center"/>
              <w:rPr>
                <w:color w:val="4F6228" w:themeColor="accent3" w:themeShade="80"/>
                <w:sz w:val="16"/>
                <w:szCs w:val="16"/>
              </w:rPr>
            </w:pPr>
            <w:r w:rsidRPr="00B056C5">
              <w:rPr>
                <w:color w:val="4F6228" w:themeColor="accent3" w:themeShade="80"/>
                <w:sz w:val="16"/>
                <w:szCs w:val="16"/>
              </w:rPr>
              <w:t>Assumptions</w:t>
            </w:r>
          </w:p>
        </w:tc>
        <w:tc>
          <w:tcPr>
            <w:tcW w:w="4270" w:type="dxa"/>
            <w:gridSpan w:val="7"/>
          </w:tcPr>
          <w:p w14:paraId="34F03FBB" w14:textId="00FF8BA8" w:rsidR="00B47FE4" w:rsidRPr="00D000B3" w:rsidRDefault="00B47FE4" w:rsidP="00B47FE4">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Humanitarian access is maintained</w:t>
            </w:r>
          </w:p>
        </w:tc>
        <w:tc>
          <w:tcPr>
            <w:tcW w:w="1118" w:type="dxa"/>
            <w:gridSpan w:val="3"/>
          </w:tcPr>
          <w:p w14:paraId="044B8920" w14:textId="77777777" w:rsidR="00B47FE4" w:rsidRPr="00B47FE4" w:rsidRDefault="00B47FE4" w:rsidP="00B47FE4">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B47FE4">
              <w:rPr>
                <w:sz w:val="16"/>
                <w:szCs w:val="16"/>
              </w:rPr>
              <w:t>Communities continue to engage with NGOs and UN agencies</w:t>
            </w:r>
          </w:p>
        </w:tc>
        <w:tc>
          <w:tcPr>
            <w:tcW w:w="1119" w:type="dxa"/>
            <w:gridSpan w:val="2"/>
          </w:tcPr>
          <w:p w14:paraId="416D8537" w14:textId="05A0C8FF" w:rsidR="00B47FE4" w:rsidRPr="00B47FE4" w:rsidRDefault="00B47FE4" w:rsidP="00B47FE4">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B47FE4">
              <w:rPr>
                <w:sz w:val="16"/>
                <w:szCs w:val="16"/>
              </w:rPr>
              <w:t>Project has popular buy in from groups and communities</w:t>
            </w:r>
          </w:p>
        </w:tc>
        <w:tc>
          <w:tcPr>
            <w:tcW w:w="1164" w:type="dxa"/>
          </w:tcPr>
          <w:p w14:paraId="61B4A2AB" w14:textId="5CD70F29" w:rsidR="00B47FE4" w:rsidRPr="00B47FE4" w:rsidRDefault="00B47FE4" w:rsidP="00B47FE4">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sidRPr="00B47FE4">
              <w:rPr>
                <w:sz w:val="16"/>
                <w:szCs w:val="16"/>
              </w:rPr>
              <w:t>FFS remains operational</w:t>
            </w:r>
          </w:p>
        </w:tc>
      </w:tr>
      <w:tr w:rsidR="00D000B3" w14:paraId="58FC3912" w14:textId="77777777" w:rsidTr="00B056C5">
        <w:trPr>
          <w:trHeight w:val="1235"/>
        </w:trPr>
        <w:tc>
          <w:tcPr>
            <w:cnfStyle w:val="001000000000" w:firstRow="0" w:lastRow="0" w:firstColumn="1" w:lastColumn="0" w:oddVBand="0" w:evenVBand="0" w:oddHBand="0" w:evenHBand="0" w:firstRowFirstColumn="0" w:firstRowLastColumn="0" w:lastRowFirstColumn="0" w:lastRowLastColumn="0"/>
            <w:tcW w:w="733" w:type="dxa"/>
            <w:textDirection w:val="btLr"/>
          </w:tcPr>
          <w:p w14:paraId="7A04F6E8" w14:textId="7B1262A5" w:rsidR="00424D82" w:rsidRPr="00B056C5" w:rsidRDefault="00B47FE4" w:rsidP="00B47FE4">
            <w:pPr>
              <w:spacing w:after="0"/>
              <w:ind w:left="113" w:right="113"/>
              <w:jc w:val="center"/>
              <w:rPr>
                <w:color w:val="4F6228" w:themeColor="accent3" w:themeShade="80"/>
                <w:sz w:val="16"/>
                <w:szCs w:val="16"/>
              </w:rPr>
            </w:pPr>
            <w:r w:rsidRPr="00B056C5">
              <w:rPr>
                <w:color w:val="4F6228" w:themeColor="accent3" w:themeShade="80"/>
                <w:sz w:val="16"/>
                <w:szCs w:val="16"/>
              </w:rPr>
              <w:t>Info Source</w:t>
            </w:r>
          </w:p>
        </w:tc>
        <w:tc>
          <w:tcPr>
            <w:tcW w:w="7672" w:type="dxa"/>
            <w:gridSpan w:val="13"/>
          </w:tcPr>
          <w:p w14:paraId="2F833E5D" w14:textId="4DFA353C" w:rsidR="00424D82" w:rsidRPr="00D000B3" w:rsidRDefault="00B47FE4" w:rsidP="00B47FE4">
            <w:pPr>
              <w:spacing w:after="0"/>
              <w:jc w:val="cente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Information will be drawn from UN, International Humanitarian Organisation and NGO reporting. This data will be complimented by monitoring visits, annual reviews, dialogue with the Government of Iraq, engagement with other donors and </w:t>
            </w:r>
            <w:r w:rsidR="00036D8F">
              <w:rPr>
                <w:sz w:val="16"/>
                <w:szCs w:val="16"/>
              </w:rPr>
              <w:t>high-level</w:t>
            </w:r>
            <w:r>
              <w:rPr>
                <w:sz w:val="16"/>
                <w:szCs w:val="16"/>
              </w:rPr>
              <w:t xml:space="preserve"> consultations. Performance expectations and milestones will be agreed with partners.</w:t>
            </w:r>
          </w:p>
        </w:tc>
      </w:tr>
    </w:tbl>
    <w:p w14:paraId="3738ED6A" w14:textId="709BE18E" w:rsidR="00E5062D" w:rsidRPr="00BD1C03" w:rsidRDefault="00E5062D">
      <w:pPr>
        <w:spacing w:after="0"/>
      </w:pPr>
      <w:r w:rsidRPr="00BD1C03">
        <w:br w:type="page"/>
      </w:r>
    </w:p>
    <w:p w14:paraId="54D0C1ED" w14:textId="77777777" w:rsidR="00801D4D" w:rsidRPr="00BD1C03" w:rsidRDefault="00801D4D" w:rsidP="0008435D"/>
    <w:p w14:paraId="10617B72" w14:textId="51F9FC9E" w:rsidR="00574675" w:rsidRPr="00BD1C03" w:rsidRDefault="00574675" w:rsidP="00942F20">
      <w:pPr>
        <w:pStyle w:val="Heading3"/>
      </w:pPr>
    </w:p>
    <w:sectPr w:rsidR="00574675" w:rsidRPr="00BD1C03" w:rsidSect="00B8590E">
      <w:endnotePr>
        <w:numFmt w:val="decimal"/>
      </w:endnote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237DC" w14:textId="77777777" w:rsidR="008206E8" w:rsidRDefault="008206E8" w:rsidP="00FD1886">
      <w:r>
        <w:separator/>
      </w:r>
    </w:p>
  </w:endnote>
  <w:endnote w:type="continuationSeparator" w:id="0">
    <w:p w14:paraId="73C34186" w14:textId="77777777" w:rsidR="008206E8" w:rsidRDefault="008206E8" w:rsidP="00FD1886">
      <w:r>
        <w:continuationSeparator/>
      </w:r>
    </w:p>
  </w:endnote>
  <w:endnote w:id="1">
    <w:p w14:paraId="5F537B4D" w14:textId="5331ECC5" w:rsidR="008206E8" w:rsidRPr="00864081" w:rsidRDefault="008206E8" w:rsidP="003A57AD">
      <w:pPr>
        <w:pStyle w:val="EndnoteText"/>
        <w:adjustRightInd w:val="0"/>
        <w:snapToGrid w:val="0"/>
        <w:spacing w:after="0"/>
        <w:rPr>
          <w:rFonts w:ascii="Calibri Light" w:hAnsi="Calibri Light" w:cs="Calibri Light"/>
          <w:sz w:val="18"/>
          <w:szCs w:val="18"/>
        </w:rPr>
      </w:pPr>
      <w:r w:rsidRPr="00864081">
        <w:rPr>
          <w:rStyle w:val="EndnoteReference"/>
          <w:rFonts w:ascii="Calibri" w:hAnsi="Calibri" w:cs="Calibri"/>
          <w:sz w:val="18"/>
          <w:szCs w:val="18"/>
        </w:rPr>
        <w:endnoteRef/>
      </w:r>
      <w:hyperlink r:id="rId1" w:history="1">
        <w:r w:rsidRPr="00864081">
          <w:rPr>
            <w:rStyle w:val="Hyperlink"/>
            <w:rFonts w:ascii="Calibri Light" w:hAnsi="Calibri Light" w:cs="Calibri Light"/>
            <w:sz w:val="18"/>
            <w:szCs w:val="18"/>
          </w:rPr>
          <w:t>https://www.aph.gov.au/About_Parliament/Parliamentary_Departments/Parliamentary_Library/pubs/BriefingBook45p/IraqAndSyria</w:t>
        </w:r>
      </w:hyperlink>
      <w:r>
        <w:rPr>
          <w:rFonts w:ascii="Calibri Light" w:hAnsi="Calibri Light" w:cs="Calibri Light"/>
          <w:sz w:val="18"/>
          <w:szCs w:val="18"/>
        </w:rPr>
        <w:t>.</w:t>
      </w:r>
    </w:p>
  </w:endnote>
  <w:endnote w:id="2">
    <w:p w14:paraId="20AE1BE1" w14:textId="5A7A7FBE" w:rsidR="008206E8" w:rsidRPr="00864081" w:rsidRDefault="008206E8" w:rsidP="003A57AD">
      <w:pPr>
        <w:pStyle w:val="EndnoteText"/>
        <w:snapToGrid w:val="0"/>
        <w:spacing w:after="0"/>
        <w:rPr>
          <w:rFonts w:ascii="Calibri Light" w:hAnsi="Calibri Light" w:cs="Calibri Light"/>
          <w:sz w:val="18"/>
          <w:szCs w:val="18"/>
        </w:rPr>
      </w:pPr>
      <w:r w:rsidRPr="00864081">
        <w:rPr>
          <w:rStyle w:val="EndnoteReference"/>
          <w:rFonts w:ascii="Calibri Light" w:hAnsi="Calibri Light" w:cs="Calibri Light"/>
          <w:sz w:val="18"/>
          <w:szCs w:val="18"/>
        </w:rPr>
        <w:endnoteRef/>
      </w:r>
      <w:r w:rsidRPr="00864081">
        <w:rPr>
          <w:rFonts w:ascii="Calibri Light" w:hAnsi="Calibri Light" w:cs="Calibri Light"/>
          <w:sz w:val="18"/>
          <w:szCs w:val="18"/>
        </w:rPr>
        <w:t xml:space="preserve"> See </w:t>
      </w:r>
      <w:hyperlink r:id="rId2" w:history="1">
        <w:r w:rsidRPr="00864081">
          <w:rPr>
            <w:rStyle w:val="Hyperlink"/>
            <w:rFonts w:ascii="Calibri Light" w:hAnsi="Calibri Light" w:cs="Calibri Light"/>
            <w:sz w:val="18"/>
            <w:szCs w:val="18"/>
          </w:rPr>
          <w:t>http://dfat.gov.au/about-us/publications/Documents/dfat-humanitarian-strategy.pdf</w:t>
        </w:r>
      </w:hyperlink>
      <w:r>
        <w:rPr>
          <w:rFonts w:ascii="Calibri Light" w:hAnsi="Calibri Light" w:cs="Calibri Light"/>
          <w:sz w:val="18"/>
          <w:szCs w:val="18"/>
        </w:rPr>
        <w:t>.</w:t>
      </w:r>
    </w:p>
  </w:endnote>
  <w:endnote w:id="3">
    <w:p w14:paraId="52705796" w14:textId="60D13DE0" w:rsidR="008206E8" w:rsidRPr="00864081" w:rsidRDefault="008206E8" w:rsidP="003A57AD">
      <w:pPr>
        <w:pStyle w:val="EndnoteText"/>
        <w:spacing w:after="0"/>
        <w:rPr>
          <w:sz w:val="18"/>
          <w:szCs w:val="18"/>
        </w:rPr>
      </w:pPr>
      <w:r w:rsidRPr="00864081">
        <w:rPr>
          <w:rStyle w:val="EndnoteReference"/>
          <w:sz w:val="18"/>
          <w:szCs w:val="18"/>
        </w:rPr>
        <w:endnoteRef/>
      </w:r>
      <w:r w:rsidRPr="00864081">
        <w:rPr>
          <w:sz w:val="18"/>
          <w:szCs w:val="18"/>
        </w:rPr>
        <w:t xml:space="preserve"> </w:t>
      </w:r>
      <w:hyperlink r:id="rId3" w:history="1">
        <w:r w:rsidRPr="00864081">
          <w:rPr>
            <w:rStyle w:val="Hyperlink"/>
            <w:rFonts w:ascii="Calibri Light" w:hAnsi="Calibri Light" w:cs="Calibri Light"/>
            <w:sz w:val="18"/>
            <w:szCs w:val="18"/>
          </w:rPr>
          <w:t>http://reports.weforum.org/global-gender-gap-report-2020/the-global-gender-gap-index-2020/results-and-analysis/</w:t>
        </w:r>
      </w:hyperlink>
      <w:r w:rsidRPr="00864081">
        <w:rPr>
          <w:rFonts w:ascii="Calibri Light" w:hAnsi="Calibri Light" w:cs="Calibri Light"/>
          <w:sz w:val="18"/>
          <w:szCs w:val="18"/>
        </w:rPr>
        <w:t xml:space="preserve"> &amp; </w:t>
      </w:r>
      <w:hyperlink r:id="rId4" w:history="1">
        <w:r w:rsidRPr="0036056B">
          <w:rPr>
            <w:rStyle w:val="Hyperlink"/>
            <w:rFonts w:ascii="Calibri Light" w:hAnsi="Calibri Light" w:cs="Calibri Light"/>
            <w:sz w:val="18"/>
            <w:szCs w:val="18"/>
          </w:rPr>
          <w:t>https://oxfamilibrary.openrepository.com/bitstream/handle/10546/620602/rr-gender-profile-iraq-131218-en.pdf</w:t>
        </w:r>
      </w:hyperlink>
      <w:r>
        <w:rPr>
          <w:rFonts w:ascii="Calibri Light" w:hAnsi="Calibri Light" w:cs="Calibri Light"/>
          <w:sz w:val="18"/>
          <w:szCs w:val="18"/>
        </w:rPr>
        <w:t>.</w:t>
      </w:r>
    </w:p>
  </w:endnote>
  <w:endnote w:id="4">
    <w:p w14:paraId="3ADCEEF5" w14:textId="77777777" w:rsidR="008206E8" w:rsidRPr="00864081" w:rsidRDefault="008206E8" w:rsidP="003A57AD">
      <w:pPr>
        <w:pStyle w:val="EndnoteText"/>
        <w:spacing w:after="0"/>
        <w:rPr>
          <w:rFonts w:ascii="Calibri Light" w:hAnsi="Calibri Light" w:cs="Calibri Light"/>
          <w:sz w:val="18"/>
          <w:szCs w:val="18"/>
        </w:rPr>
      </w:pPr>
      <w:r w:rsidRPr="00864081">
        <w:rPr>
          <w:rStyle w:val="EndnoteReference"/>
          <w:rFonts w:ascii="Calibri Light" w:hAnsi="Calibri Light" w:cs="Calibri Light"/>
          <w:sz w:val="18"/>
          <w:szCs w:val="18"/>
        </w:rPr>
        <w:endnoteRef/>
      </w:r>
      <w:r w:rsidRPr="00864081">
        <w:rPr>
          <w:rFonts w:ascii="Calibri Light" w:hAnsi="Calibri Light" w:cs="Calibri Light"/>
          <w:sz w:val="18"/>
          <w:szCs w:val="18"/>
        </w:rPr>
        <w:t xml:space="preserve"> There are a number of assumptions underpinning these calculations. The overall figure is an aggregate level accumulation of select UNFPA, IHO, STC, UNMAS and UNICEF indicator results. It is possible the same individuals have received more than one type of assistance/ service reducing the overall numbers reached. It is also possible the same individuals have been counted in both the 2018 and 2019 cumulative results.</w:t>
      </w:r>
    </w:p>
  </w:endnote>
  <w:endnote w:id="5">
    <w:p w14:paraId="48C80232" w14:textId="77777777" w:rsidR="008206E8" w:rsidRPr="00864081" w:rsidRDefault="008206E8" w:rsidP="003A57AD">
      <w:pPr>
        <w:pStyle w:val="EndnoteText"/>
        <w:spacing w:after="0"/>
        <w:rPr>
          <w:sz w:val="18"/>
          <w:szCs w:val="18"/>
        </w:rPr>
      </w:pPr>
      <w:r w:rsidRPr="00864081">
        <w:rPr>
          <w:rStyle w:val="EndnoteReference"/>
          <w:sz w:val="18"/>
          <w:szCs w:val="18"/>
        </w:rPr>
        <w:endnoteRef/>
      </w:r>
      <w:r w:rsidRPr="00864081">
        <w:rPr>
          <w:sz w:val="18"/>
          <w:szCs w:val="18"/>
        </w:rPr>
        <w:t xml:space="preserve"> </w:t>
      </w:r>
      <w:r w:rsidRPr="00864081">
        <w:rPr>
          <w:rFonts w:ascii="Calibri Light" w:hAnsi="Calibri Light" w:cs="Calibri Light"/>
          <w:sz w:val="18"/>
          <w:szCs w:val="18"/>
        </w:rPr>
        <w:t>Created by General Assembly Resolution 46/182 in 1991.</w:t>
      </w:r>
    </w:p>
  </w:endnote>
  <w:endnote w:id="6">
    <w:p w14:paraId="3C092629" w14:textId="66015796" w:rsidR="008206E8" w:rsidRPr="00864081" w:rsidRDefault="008206E8" w:rsidP="003A57AD">
      <w:pPr>
        <w:pStyle w:val="EndnoteText"/>
        <w:spacing w:after="0"/>
        <w:rPr>
          <w:rFonts w:ascii="Calibri Light" w:hAnsi="Calibri Light" w:cs="Calibri Light"/>
          <w:sz w:val="18"/>
          <w:szCs w:val="18"/>
        </w:rPr>
      </w:pPr>
      <w:r w:rsidRPr="00864081">
        <w:rPr>
          <w:rStyle w:val="EndnoteReference"/>
          <w:rFonts w:ascii="Calibri Light" w:hAnsi="Calibri Light" w:cs="Calibri Light"/>
          <w:sz w:val="18"/>
          <w:szCs w:val="18"/>
        </w:rPr>
        <w:endnoteRef/>
      </w:r>
      <w:r w:rsidRPr="00864081">
        <w:rPr>
          <w:rFonts w:ascii="Calibri Light" w:hAnsi="Calibri Light" w:cs="Calibri Light"/>
          <w:sz w:val="18"/>
          <w:szCs w:val="18"/>
        </w:rPr>
        <w:t xml:space="preserve"> Foreign Minister Marise Payne Speech to the UN Human R</w:t>
      </w:r>
      <w:r>
        <w:rPr>
          <w:rFonts w:ascii="Calibri Light" w:hAnsi="Calibri Light" w:cs="Calibri Light"/>
          <w:sz w:val="18"/>
          <w:szCs w:val="18"/>
        </w:rPr>
        <w:t xml:space="preserve">ights Council 25 February 2019 </w:t>
      </w:r>
      <w:hyperlink r:id="rId5" w:history="1">
        <w:r w:rsidRPr="00864081">
          <w:rPr>
            <w:rStyle w:val="Hyperlink"/>
            <w:rFonts w:ascii="Calibri Light" w:hAnsi="Calibri Light" w:cs="Calibri Light"/>
            <w:sz w:val="18"/>
            <w:szCs w:val="18"/>
          </w:rPr>
          <w:t>https://www.foreignminister.gov.au/minister/marise-payne/speech/un-human-rights-council</w:t>
        </w:r>
      </w:hyperlink>
      <w:r>
        <w:rPr>
          <w:rFonts w:ascii="Calibri Light" w:hAnsi="Calibri Light" w:cs="Calibri Light"/>
          <w:sz w:val="18"/>
          <w:szCs w:val="18"/>
        </w:rPr>
        <w:t>.</w:t>
      </w:r>
    </w:p>
  </w:endnote>
  <w:endnote w:id="7">
    <w:p w14:paraId="4609BF3F" w14:textId="77777777" w:rsidR="008206E8" w:rsidRDefault="008206E8" w:rsidP="003A57AD">
      <w:pPr>
        <w:pStyle w:val="EndnoteText"/>
        <w:spacing w:after="0"/>
      </w:pPr>
      <w:r w:rsidRPr="00864081">
        <w:rPr>
          <w:rStyle w:val="EndnoteReference"/>
          <w:sz w:val="18"/>
          <w:szCs w:val="18"/>
        </w:rPr>
        <w:endnoteRef/>
      </w:r>
      <w:r w:rsidRPr="00864081">
        <w:rPr>
          <w:sz w:val="18"/>
          <w:szCs w:val="18"/>
        </w:rPr>
        <w:t xml:space="preserve"> </w:t>
      </w:r>
      <w:r w:rsidRPr="00864081">
        <w:rPr>
          <w:rFonts w:ascii="Calibri Light" w:hAnsi="Calibri Light" w:cs="Calibri Light"/>
          <w:sz w:val="18"/>
          <w:szCs w:val="18"/>
        </w:rPr>
        <w:t>This includes the humanitarian-development-peace (HDP) nexus, stabilisation and recovery, social cohesion and reconciliation, WPS, WHS and Grand Bargain commitments, IASC centrality of protection and maintaining respect for humanitarian principles and access.</w:t>
      </w:r>
    </w:p>
  </w:endnote>
  <w:endnote w:id="8">
    <w:p w14:paraId="297307F5" w14:textId="3ED93EB4" w:rsidR="008206E8" w:rsidRPr="00EE2C7C" w:rsidRDefault="008206E8" w:rsidP="003A57AD">
      <w:pPr>
        <w:pStyle w:val="EndnoteText"/>
        <w:snapToGrid w:val="0"/>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See </w:t>
      </w:r>
      <w:hyperlink r:id="rId6" w:history="1">
        <w:r w:rsidRPr="00EE2C7C">
          <w:rPr>
            <w:rStyle w:val="Hyperlink"/>
            <w:rFonts w:ascii="Calibri Light" w:hAnsi="Calibri Light" w:cs="Calibri Light"/>
            <w:sz w:val="18"/>
            <w:szCs w:val="18"/>
          </w:rPr>
          <w:t>http://dfat.gov.au/about-us/publications/Documents/dfat-humanitarian-strategy.pdf</w:t>
        </w:r>
      </w:hyperlink>
      <w:r>
        <w:rPr>
          <w:rFonts w:ascii="Calibri Light" w:hAnsi="Calibri Light" w:cs="Calibri Light"/>
          <w:sz w:val="18"/>
          <w:szCs w:val="18"/>
        </w:rPr>
        <w:t>.</w:t>
      </w:r>
    </w:p>
  </w:endnote>
  <w:endnote w:id="9">
    <w:p w14:paraId="3D051699" w14:textId="63499875"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w:t>
      </w:r>
      <w:hyperlink r:id="rId7" w:history="1">
        <w:r w:rsidRPr="00EE2C7C">
          <w:rPr>
            <w:rStyle w:val="Hyperlink"/>
            <w:rFonts w:ascii="Calibri Light" w:hAnsi="Calibri Light" w:cs="Calibri Light"/>
            <w:sz w:val="18"/>
            <w:szCs w:val="18"/>
          </w:rPr>
          <w:t>https://legalinstruments.oecd.org/public/doc/643/643.en.pdf</w:t>
        </w:r>
      </w:hyperlink>
      <w:r w:rsidRPr="00EE2C7C">
        <w:rPr>
          <w:rFonts w:ascii="Calibri Light" w:hAnsi="Calibri Light" w:cs="Calibri Light"/>
          <w:sz w:val="18"/>
          <w:szCs w:val="18"/>
        </w:rPr>
        <w:t xml:space="preserve"> </w:t>
      </w:r>
      <w:hyperlink r:id="rId8" w:history="1">
        <w:r w:rsidRPr="00EE2C7C">
          <w:rPr>
            <w:rStyle w:val="Hyperlink"/>
            <w:rFonts w:ascii="Calibri Light" w:hAnsi="Calibri Light" w:cs="Calibri Light"/>
            <w:sz w:val="18"/>
            <w:szCs w:val="18"/>
          </w:rPr>
          <w:t>https://www.thenewhumanitarian.org/content/fragility-what-s-minds-policy-makers-aid-workers-and-donors</w:t>
        </w:r>
      </w:hyperlink>
      <w:r>
        <w:rPr>
          <w:rFonts w:ascii="Calibri Light" w:hAnsi="Calibri Light" w:cs="Calibri Light"/>
          <w:sz w:val="18"/>
          <w:szCs w:val="18"/>
        </w:rPr>
        <w:t>.</w:t>
      </w:r>
    </w:p>
  </w:endnote>
  <w:endnote w:id="10">
    <w:p w14:paraId="62E08393" w14:textId="3586C07F" w:rsidR="008206E8" w:rsidRPr="00EE2C7C" w:rsidRDefault="008206E8" w:rsidP="003A57AD">
      <w:pPr>
        <w:pStyle w:val="EndnoteText"/>
        <w:adjustRightInd w:val="0"/>
        <w:snapToGrid w:val="0"/>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hyperlink r:id="rId9" w:history="1">
        <w:r w:rsidRPr="00EE2C7C">
          <w:rPr>
            <w:rStyle w:val="Hyperlink"/>
            <w:rFonts w:ascii="Calibri Light" w:hAnsi="Calibri Light" w:cs="Calibri Light"/>
            <w:sz w:val="18"/>
            <w:szCs w:val="18"/>
          </w:rPr>
          <w:t>https://www.aph.gov.au/About_Parliament/Parliamentary_Departments/Parliamentary_Library/pubs/BriefingBook45p/IraqAndSyria</w:t>
        </w:r>
      </w:hyperlink>
      <w:r>
        <w:rPr>
          <w:rFonts w:ascii="Calibri Light" w:hAnsi="Calibri Light" w:cs="Calibri Light"/>
          <w:sz w:val="18"/>
          <w:szCs w:val="18"/>
        </w:rPr>
        <w:t>.</w:t>
      </w:r>
    </w:p>
  </w:endnote>
  <w:endnote w:id="11">
    <w:p w14:paraId="71F4F972" w14:textId="3BE33295" w:rsidR="008206E8" w:rsidRPr="00061E8E" w:rsidRDefault="008206E8" w:rsidP="003A57AD">
      <w:pPr>
        <w:pStyle w:val="EndnoteText"/>
        <w:adjustRightInd w:val="0"/>
        <w:snapToGrid w:val="0"/>
        <w:spacing w:after="0"/>
        <w:rPr>
          <w:rFonts w:ascii="Calibri" w:hAnsi="Calibri" w:cs="Calibri"/>
          <w:sz w:val="18"/>
          <w:szCs w:val="18"/>
        </w:rPr>
      </w:pPr>
      <w:r w:rsidRPr="00061E8E">
        <w:rPr>
          <w:rStyle w:val="EndnoteReference"/>
          <w:rFonts w:ascii="Calibri" w:hAnsi="Calibri" w:cs="Calibri"/>
          <w:sz w:val="18"/>
          <w:szCs w:val="18"/>
        </w:rPr>
        <w:endnoteRef/>
      </w:r>
      <w:r w:rsidRPr="00061E8E">
        <w:rPr>
          <w:rFonts w:ascii="Calibri" w:hAnsi="Calibri" w:cs="Calibri"/>
          <w:sz w:val="18"/>
          <w:szCs w:val="18"/>
        </w:rPr>
        <w:t xml:space="preserve"> Recent IOM-Yale study identified high levels of mistrust between </w:t>
      </w:r>
      <w:hyperlink r:id="rId10" w:history="1">
        <w:r w:rsidRPr="00061E8E">
          <w:rPr>
            <w:rStyle w:val="Hyperlink"/>
            <w:rFonts w:ascii="Calibri" w:hAnsi="Calibri" w:cs="Calibri"/>
            <w:sz w:val="18"/>
            <w:szCs w:val="18"/>
          </w:rPr>
          <w:t>https://iraq.iom.int/news/evaluating-perceptions-security-and-police-iraq-iom-study</w:t>
        </w:r>
      </w:hyperlink>
      <w:r>
        <w:rPr>
          <w:rFonts w:ascii="Calibri" w:hAnsi="Calibri" w:cs="Calibri"/>
          <w:sz w:val="18"/>
          <w:szCs w:val="18"/>
        </w:rPr>
        <w:t>.</w:t>
      </w:r>
    </w:p>
  </w:endnote>
  <w:endnote w:id="12">
    <w:p w14:paraId="18415BBC" w14:textId="33B2776C" w:rsidR="008206E8" w:rsidRPr="00CA5D82" w:rsidRDefault="008206E8" w:rsidP="003A57AD">
      <w:pPr>
        <w:pStyle w:val="NormalWeb"/>
        <w:adjustRightInd w:val="0"/>
        <w:snapToGrid w:val="0"/>
        <w:spacing w:before="0" w:beforeAutospacing="0" w:after="0" w:afterAutospacing="0"/>
        <w:rPr>
          <w:rFonts w:ascii="Calibri Light" w:hAnsi="Calibri Light" w:cs="Calibri Light"/>
          <w:sz w:val="18"/>
          <w:szCs w:val="18"/>
        </w:rPr>
      </w:pPr>
      <w:r w:rsidRPr="00061E8E">
        <w:rPr>
          <w:rStyle w:val="EndnoteReference"/>
          <w:rFonts w:ascii="Calibri" w:hAnsi="Calibri" w:cs="Calibri"/>
          <w:sz w:val="18"/>
          <w:szCs w:val="18"/>
        </w:rPr>
        <w:endnoteRef/>
      </w:r>
      <w:r w:rsidRPr="00061E8E">
        <w:rPr>
          <w:rFonts w:ascii="Calibri" w:hAnsi="Calibri" w:cs="Calibri"/>
          <w:sz w:val="18"/>
          <w:szCs w:val="18"/>
        </w:rPr>
        <w:t xml:space="preserve"> CIA World Factbook. (2018). Iraq Country Profile. </w:t>
      </w:r>
      <w:hyperlink r:id="rId11" w:history="1">
        <w:r w:rsidRPr="00061E8E">
          <w:rPr>
            <w:rStyle w:val="Hyperlink"/>
            <w:rFonts w:ascii="Calibri" w:hAnsi="Calibri" w:cs="Calibri"/>
            <w:sz w:val="18"/>
            <w:szCs w:val="18"/>
          </w:rPr>
          <w:t>https://www.cia.gov/library/publications/the-world-factbook/geos/iz.html</w:t>
        </w:r>
      </w:hyperlink>
      <w:r w:rsidRPr="00603688">
        <w:rPr>
          <w:rStyle w:val="Hyperlink"/>
          <w:rFonts w:ascii="Calibri" w:hAnsi="Calibri" w:cs="Calibri"/>
          <w:sz w:val="18"/>
          <w:szCs w:val="18"/>
          <w:u w:val="none"/>
        </w:rPr>
        <w:t>.</w:t>
      </w:r>
    </w:p>
  </w:endnote>
  <w:endnote w:id="13">
    <w:p w14:paraId="0DCF313B" w14:textId="02642C61" w:rsidR="008206E8" w:rsidRPr="00EE2C7C" w:rsidRDefault="008206E8" w:rsidP="003A57AD">
      <w:pPr>
        <w:pStyle w:val="EndnoteText"/>
        <w:snapToGrid w:val="0"/>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w:t>
      </w:r>
      <w:hyperlink r:id="rId12" w:history="1">
        <w:r w:rsidRPr="00EE2C7C">
          <w:rPr>
            <w:rStyle w:val="Hyperlink"/>
            <w:rFonts w:ascii="Calibri Light" w:hAnsi="Calibri Light" w:cs="Calibri Light"/>
            <w:sz w:val="18"/>
            <w:szCs w:val="18"/>
          </w:rPr>
          <w:t>https://www.nytimes.com/2019/11/26/world/middleeast/iraq-protests-sweden-Najah-al-Shammari.html</w:t>
        </w:r>
      </w:hyperlink>
      <w:r w:rsidRPr="00EE2C7C">
        <w:rPr>
          <w:rFonts w:ascii="Calibri Light" w:hAnsi="Calibri Light" w:cs="Calibri Light"/>
          <w:sz w:val="18"/>
          <w:szCs w:val="18"/>
        </w:rPr>
        <w:t xml:space="preserve">  and </w:t>
      </w:r>
      <w:hyperlink r:id="rId13" w:history="1">
        <w:r w:rsidRPr="00EE2C7C">
          <w:rPr>
            <w:rStyle w:val="Hyperlink"/>
            <w:rFonts w:ascii="Calibri Light" w:hAnsi="Calibri Light" w:cs="Calibri Light"/>
            <w:sz w:val="18"/>
            <w:szCs w:val="18"/>
          </w:rPr>
          <w:t>https://www.hrw.org/news/2019/12/16/iraq-state-appears-complicit-massacre-protesters</w:t>
        </w:r>
      </w:hyperlink>
      <w:r>
        <w:rPr>
          <w:rFonts w:ascii="Calibri Light" w:hAnsi="Calibri Light" w:cs="Calibri Light"/>
          <w:sz w:val="18"/>
          <w:szCs w:val="18"/>
        </w:rPr>
        <w:t>.</w:t>
      </w:r>
    </w:p>
  </w:endnote>
  <w:endnote w:id="14">
    <w:p w14:paraId="4E980B5B" w14:textId="5C820B37"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w:t>
      </w:r>
      <w:hyperlink r:id="rId14" w:history="1">
        <w:r w:rsidRPr="00EE2C7C">
          <w:rPr>
            <w:rStyle w:val="Hyperlink"/>
            <w:rFonts w:ascii="Calibri Light" w:hAnsi="Calibri Light" w:cs="Calibri Light"/>
            <w:sz w:val="18"/>
            <w:szCs w:val="18"/>
          </w:rPr>
          <w:t>https://www.globalr2p.org/countries/iraq/</w:t>
        </w:r>
      </w:hyperlink>
      <w:r>
        <w:rPr>
          <w:rFonts w:ascii="Calibri Light" w:hAnsi="Calibri Light" w:cs="Calibri Light"/>
          <w:sz w:val="18"/>
          <w:szCs w:val="18"/>
        </w:rPr>
        <w:t>.</w:t>
      </w:r>
    </w:p>
  </w:endnote>
  <w:endnote w:id="15">
    <w:p w14:paraId="243155BB" w14:textId="77777777" w:rsidR="008206E8" w:rsidRPr="00EE2C7C" w:rsidRDefault="008206E8" w:rsidP="003A57AD">
      <w:pPr>
        <w:pStyle w:val="EndnoteText"/>
        <w:snapToGrid w:val="0"/>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w:t>
      </w:r>
      <w:hyperlink r:id="rId15" w:history="1">
        <w:r w:rsidRPr="00EE2C7C">
          <w:rPr>
            <w:rStyle w:val="Hyperlink"/>
            <w:rFonts w:ascii="Calibri Light" w:hAnsi="Calibri Light" w:cs="Calibri Light"/>
            <w:sz w:val="18"/>
            <w:szCs w:val="18"/>
          </w:rPr>
          <w:t>https://www.un.org/sexualviolenceinconflict/escaping-from-isil-a-yazidi-sexual-violence-survivor-rebuilds-her-life/</w:t>
        </w:r>
      </w:hyperlink>
      <w:r w:rsidRPr="00EE2C7C">
        <w:rPr>
          <w:rFonts w:ascii="Calibri Light" w:hAnsi="Calibri Light" w:cs="Calibri Light"/>
          <w:sz w:val="18"/>
          <w:szCs w:val="18"/>
        </w:rPr>
        <w:t xml:space="preserve">  Recognising the UN Investigative Team for the Accountability of Islamic State (UNITAD) mechanism has been established pursuant to UNSCR 2379 (2017).</w:t>
      </w:r>
    </w:p>
  </w:endnote>
  <w:endnote w:id="16">
    <w:p w14:paraId="389426D6" w14:textId="74948988" w:rsidR="008206E8" w:rsidRPr="00132917" w:rsidRDefault="008206E8" w:rsidP="003A57AD">
      <w:pPr>
        <w:pStyle w:val="EndnoteText"/>
        <w:spacing w:after="0"/>
      </w:pPr>
      <w:r>
        <w:rPr>
          <w:rStyle w:val="EndnoteReference"/>
        </w:rPr>
        <w:endnoteRef/>
      </w:r>
      <w:r>
        <w:t xml:space="preserve"> </w:t>
      </w:r>
      <w:r w:rsidRPr="00C5742F">
        <w:t xml:space="preserve">  </w:t>
      </w:r>
      <w:hyperlink r:id="rId16" w:history="1">
        <w:r w:rsidRPr="00C5742F">
          <w:rPr>
            <w:rStyle w:val="Hyperlink"/>
            <w:rFonts w:ascii="Calibri Light" w:hAnsi="Calibri Light" w:cs="Calibri Light"/>
            <w:sz w:val="18"/>
            <w:szCs w:val="18"/>
          </w:rPr>
          <w:t>https://www.hrw.org/middle-east/n-africa/iraq</w:t>
        </w:r>
      </w:hyperlink>
      <w:r>
        <w:t>.</w:t>
      </w:r>
    </w:p>
  </w:endnote>
  <w:endnote w:id="17">
    <w:p w14:paraId="29A51C53" w14:textId="08C9017D" w:rsidR="008206E8" w:rsidRPr="00DB1FC4" w:rsidRDefault="008206E8" w:rsidP="003A57AD">
      <w:pPr>
        <w:pStyle w:val="EndnoteText"/>
        <w:spacing w:after="0"/>
        <w:rPr>
          <w:rFonts w:ascii="Calibri" w:hAnsi="Calibri" w:cs="Calibri"/>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w:t>
      </w:r>
      <w:hyperlink r:id="rId17" w:history="1">
        <w:r w:rsidRPr="00EE2C7C">
          <w:rPr>
            <w:rStyle w:val="Hyperlink"/>
            <w:rFonts w:ascii="Calibri Light" w:hAnsi="Calibri Light" w:cs="Calibri Light"/>
            <w:sz w:val="18"/>
            <w:szCs w:val="18"/>
          </w:rPr>
          <w:t>https://www.hrw.org/legacy/backgrounder/wrd/iraq-women.htm</w:t>
        </w:r>
      </w:hyperlink>
      <w:r>
        <w:rPr>
          <w:rFonts w:ascii="Calibri" w:hAnsi="Calibri" w:cs="Calibri"/>
          <w:sz w:val="18"/>
          <w:szCs w:val="18"/>
        </w:rPr>
        <w:t>.</w:t>
      </w:r>
    </w:p>
  </w:endnote>
  <w:endnote w:id="18">
    <w:p w14:paraId="43D2BB02" w14:textId="76867735"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hyperlink r:id="rId18" w:history="1">
        <w:r w:rsidRPr="00EE2C7C">
          <w:rPr>
            <w:rStyle w:val="Hyperlink"/>
            <w:rFonts w:ascii="Calibri Light" w:hAnsi="Calibri Light" w:cs="Calibri Light"/>
            <w:sz w:val="18"/>
            <w:szCs w:val="18"/>
          </w:rPr>
          <w:t>http://reports.weforum.org/global-gender-gap-report-2020/the-global-gender-gap-index-2020/results-and-analysis/</w:t>
        </w:r>
      </w:hyperlink>
      <w:r w:rsidRPr="00EE2C7C">
        <w:rPr>
          <w:rFonts w:ascii="Calibri Light" w:hAnsi="Calibri Light" w:cs="Calibri Light"/>
          <w:sz w:val="18"/>
          <w:szCs w:val="18"/>
        </w:rPr>
        <w:t xml:space="preserve"> &amp;  </w:t>
      </w:r>
      <w:r w:rsidRPr="00EE2C7C">
        <w:rPr>
          <w:rStyle w:val="Hyperlink"/>
          <w:rFonts w:ascii="Calibri Light" w:hAnsi="Calibri Light" w:cs="Calibri Light"/>
          <w:sz w:val="18"/>
          <w:szCs w:val="18"/>
        </w:rPr>
        <w:t>https://oxfamilibrary.openrepository.com/bitstream/handle/10546/620602/rr-gender-profile-iraq-131218-en.pdf</w:t>
      </w:r>
      <w:r w:rsidRPr="00603688">
        <w:rPr>
          <w:rStyle w:val="Hyperlink"/>
          <w:rFonts w:ascii="Calibri Light" w:hAnsi="Calibri Light" w:cs="Calibri Light"/>
          <w:sz w:val="18"/>
          <w:szCs w:val="18"/>
          <w:u w:val="none"/>
        </w:rPr>
        <w:t>.</w:t>
      </w:r>
    </w:p>
  </w:endnote>
  <w:endnote w:id="19">
    <w:p w14:paraId="07FF6F49" w14:textId="53C459A5" w:rsidR="008206E8" w:rsidRPr="00EE2C7C" w:rsidRDefault="008206E8" w:rsidP="003A57AD">
      <w:pPr>
        <w:pStyle w:val="EndnoteText"/>
        <w:snapToGrid w:val="0"/>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w:t>
      </w:r>
      <w:hyperlink r:id="rId19" w:history="1">
        <w:r w:rsidRPr="00EE2C7C">
          <w:rPr>
            <w:rStyle w:val="Hyperlink"/>
            <w:rFonts w:ascii="Calibri Light" w:hAnsi="Calibri Light" w:cs="Calibri Light"/>
            <w:sz w:val="18"/>
            <w:szCs w:val="18"/>
          </w:rPr>
          <w:t>https://www.wilsoncenter.org/blog-post/women-mps-the-iraqi-parliament</w:t>
        </w:r>
      </w:hyperlink>
      <w:r>
        <w:rPr>
          <w:rFonts w:ascii="Calibri Light" w:hAnsi="Calibri Light" w:cs="Calibri Light"/>
          <w:sz w:val="18"/>
          <w:szCs w:val="18"/>
        </w:rPr>
        <w:t>.</w:t>
      </w:r>
    </w:p>
  </w:endnote>
  <w:endnote w:id="20">
    <w:p w14:paraId="6D5CEF6D" w14:textId="30D0D0B9" w:rsidR="008206E8" w:rsidRPr="00EE2C7C" w:rsidRDefault="008206E8" w:rsidP="003A57AD">
      <w:pPr>
        <w:pStyle w:val="NormalWeb"/>
        <w:snapToGrid w:val="0"/>
        <w:spacing w:before="0" w:beforeAutospacing="0" w:after="0" w:afterAutospacing="0"/>
        <w:rPr>
          <w:rFonts w:ascii="Calibri Light" w:hAnsi="Calibri Light" w:cs="Calibri Light"/>
          <w:sz w:val="18"/>
          <w:szCs w:val="18"/>
        </w:rPr>
      </w:pPr>
      <w:r w:rsidRPr="00EE2C7C">
        <w:rPr>
          <w:rStyle w:val="EndnoteReference"/>
          <w:rFonts w:ascii="Calibri Light" w:hAnsi="Calibri Light" w:cs="Calibri Light"/>
          <w:color w:val="000000" w:themeColor="text1"/>
          <w:sz w:val="18"/>
          <w:szCs w:val="18"/>
        </w:rPr>
        <w:endnoteRef/>
      </w:r>
      <w:r w:rsidRPr="00EE2C7C">
        <w:rPr>
          <w:rFonts w:ascii="Calibri Light" w:hAnsi="Calibri Light" w:cs="Calibri Light"/>
          <w:color w:val="000000" w:themeColor="text1"/>
          <w:sz w:val="18"/>
          <w:szCs w:val="18"/>
        </w:rPr>
        <w:t xml:space="preserve"> Sarah Taylor, Coordinator, NGO Working Group, Women, Peace and Security, interviewed in ‘Side by Side: Women Peace and Security.’  </w:t>
      </w:r>
      <w:hyperlink r:id="rId20" w:history="1">
        <w:r w:rsidRPr="00EE2C7C">
          <w:rPr>
            <w:rStyle w:val="Hyperlink"/>
            <w:rFonts w:ascii="Calibri Light" w:hAnsi="Calibri Light" w:cs="Calibri Light"/>
            <w:sz w:val="18"/>
            <w:szCs w:val="18"/>
          </w:rPr>
          <w:t>https://www.dss.gov.au/sites/default/files/documents/02_2013/wps_toolkit.pdf</w:t>
        </w:r>
      </w:hyperlink>
      <w:r>
        <w:rPr>
          <w:rFonts w:ascii="Calibri Light" w:hAnsi="Calibri Light" w:cs="Calibri Light"/>
          <w:sz w:val="18"/>
          <w:szCs w:val="18"/>
        </w:rPr>
        <w:t>.</w:t>
      </w:r>
    </w:p>
  </w:endnote>
  <w:endnote w:id="21">
    <w:p w14:paraId="564DC5A3" w14:textId="6BC61232"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w:t>
      </w:r>
      <w:hyperlink r:id="rId21" w:history="1">
        <w:r w:rsidRPr="00EE2C7C">
          <w:rPr>
            <w:rStyle w:val="Hyperlink"/>
            <w:rFonts w:ascii="Calibri Light" w:hAnsi="Calibri Light" w:cs="Calibri Light"/>
            <w:sz w:val="18"/>
            <w:szCs w:val="18"/>
          </w:rPr>
          <w:t>https://www.cfr.org/interactive/womens-participation-in-peace-processes</w:t>
        </w:r>
      </w:hyperlink>
      <w:r w:rsidRPr="00EE2C7C">
        <w:rPr>
          <w:rFonts w:ascii="Calibri Light" w:hAnsi="Calibri Light" w:cs="Calibri Light"/>
          <w:sz w:val="18"/>
          <w:szCs w:val="18"/>
        </w:rPr>
        <w:t xml:space="preserve"> and </w:t>
      </w:r>
      <w:hyperlink r:id="rId22" w:history="1">
        <w:r w:rsidRPr="00EE2C7C">
          <w:rPr>
            <w:rStyle w:val="Hyperlink"/>
            <w:rFonts w:ascii="Calibri Light" w:hAnsi="Calibri Light" w:cs="Calibri Light"/>
            <w:sz w:val="18"/>
            <w:szCs w:val="18"/>
          </w:rPr>
          <w:t>https://www.inclusivesecurity.org/publication/why-women-inclusive-security-and-peaceful-societies/</w:t>
        </w:r>
      </w:hyperlink>
      <w:r w:rsidRPr="00EE2C7C">
        <w:rPr>
          <w:rFonts w:ascii="Calibri Light" w:hAnsi="Calibri Light" w:cs="Calibri Light"/>
          <w:sz w:val="18"/>
          <w:szCs w:val="18"/>
        </w:rPr>
        <w:t xml:space="preserve"> </w:t>
      </w:r>
    </w:p>
  </w:endnote>
  <w:endnote w:id="22">
    <w:p w14:paraId="065D1A37" w14:textId="1A6A9813"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w:t>
      </w:r>
      <w:hyperlink r:id="rId23" w:history="1">
        <w:r w:rsidRPr="00EE2C7C">
          <w:rPr>
            <w:rStyle w:val="Hyperlink"/>
            <w:rFonts w:ascii="Calibri Light" w:hAnsi="Calibri Light" w:cs="Calibri Light"/>
            <w:sz w:val="18"/>
            <w:szCs w:val="18"/>
          </w:rPr>
          <w:t>https://www.peacewomen.org/sites/default/files/Fact%20Sheet%20Gender%20Equality.pdf</w:t>
        </w:r>
      </w:hyperlink>
      <w:r>
        <w:rPr>
          <w:rFonts w:ascii="Calibri Light" w:hAnsi="Calibri Light" w:cs="Calibri Light"/>
          <w:sz w:val="18"/>
          <w:szCs w:val="18"/>
        </w:rPr>
        <w:t>.</w:t>
      </w:r>
    </w:p>
  </w:endnote>
  <w:endnote w:id="23">
    <w:p w14:paraId="5329B4DC" w14:textId="77777777" w:rsidR="008206E8" w:rsidRPr="0011759A" w:rsidRDefault="008206E8" w:rsidP="003A57AD">
      <w:pPr>
        <w:pStyle w:val="NormalWeb"/>
        <w:spacing w:before="0" w:beforeAutospacing="0" w:after="0" w:afterAutospacing="0"/>
        <w:rPr>
          <w:rFonts w:ascii="Calibri" w:hAnsi="Calibri" w:cs="Calibri"/>
          <w:sz w:val="18"/>
          <w:szCs w:val="18"/>
        </w:rPr>
      </w:pPr>
      <w:r w:rsidRPr="0011759A">
        <w:rPr>
          <w:rStyle w:val="EndnoteReference"/>
          <w:rFonts w:ascii="Calibri" w:hAnsi="Calibri" w:cs="Calibri"/>
          <w:sz w:val="18"/>
          <w:szCs w:val="18"/>
        </w:rPr>
        <w:endnoteRef/>
      </w:r>
      <w:r w:rsidRPr="0011759A">
        <w:rPr>
          <w:rFonts w:ascii="Calibri" w:hAnsi="Calibri" w:cs="Calibri"/>
          <w:sz w:val="18"/>
          <w:szCs w:val="18"/>
        </w:rPr>
        <w:t xml:space="preserve"> Krause, Jana, Krause, Werner &amp; </w:t>
      </w:r>
      <w:r w:rsidRPr="0011759A">
        <w:rPr>
          <w:rFonts w:ascii="Calibri" w:hAnsi="Calibri" w:cs="Calibri"/>
          <w:sz w:val="18"/>
          <w:szCs w:val="18"/>
        </w:rPr>
        <w:t xml:space="preserve">Branfors Piia (2018), Women’s Participation in Peace Negotiations and the Durability of Peace </w:t>
      </w:r>
      <w:r w:rsidRPr="0011759A">
        <w:rPr>
          <w:rFonts w:ascii="Calibri" w:hAnsi="Calibri" w:cs="Calibri"/>
          <w:i/>
          <w:iCs/>
          <w:sz w:val="18"/>
          <w:szCs w:val="18"/>
        </w:rPr>
        <w:t xml:space="preserve">International Interactions </w:t>
      </w:r>
      <w:r w:rsidRPr="0011759A">
        <w:rPr>
          <w:rFonts w:ascii="Calibri" w:hAnsi="Calibri" w:cs="Calibri"/>
          <w:sz w:val="18"/>
          <w:szCs w:val="18"/>
        </w:rPr>
        <w:t>44(6): 985-1016. Further evidence demonstrates inclusion of women increases the chances of a peace agreement lasting at least 15 years by 35%</w:t>
      </w:r>
      <w:r>
        <w:rPr>
          <w:rFonts w:ascii="Calibri" w:hAnsi="Calibri" w:cs="Calibri"/>
          <w:sz w:val="18"/>
          <w:szCs w:val="18"/>
        </w:rPr>
        <w:t xml:space="preserve">. </w:t>
      </w:r>
      <w:hyperlink r:id="rId24" w:history="1">
        <w:r w:rsidRPr="0008740C">
          <w:rPr>
            <w:rStyle w:val="Hyperlink"/>
            <w:rFonts w:ascii="Calibri" w:hAnsi="Calibri" w:cs="Calibri"/>
            <w:sz w:val="18"/>
            <w:szCs w:val="18"/>
          </w:rPr>
          <w:t>https://www.inclusivesecurity.org/2016/03/10/infographic-womens- inclusion-in-the-syria-peace-talks/</w:t>
        </w:r>
      </w:hyperlink>
      <w:r>
        <w:rPr>
          <w:rFonts w:ascii="Calibri" w:hAnsi="Calibri" w:cs="Calibri"/>
          <w:color w:val="0560BF"/>
          <w:sz w:val="18"/>
          <w:szCs w:val="18"/>
        </w:rPr>
        <w:t xml:space="preserve"> </w:t>
      </w:r>
      <w:r w:rsidRPr="0011759A">
        <w:rPr>
          <w:rFonts w:ascii="Calibri" w:hAnsi="Calibri" w:cs="Calibri"/>
          <w:color w:val="0560BF"/>
          <w:sz w:val="18"/>
          <w:szCs w:val="18"/>
        </w:rPr>
        <w:t xml:space="preserve"> </w:t>
      </w:r>
    </w:p>
  </w:endnote>
  <w:endnote w:id="24">
    <w:p w14:paraId="0D3967A2" w14:textId="54B25228" w:rsidR="008206E8" w:rsidRPr="009B2359" w:rsidRDefault="008206E8" w:rsidP="009B2359">
      <w:pPr>
        <w:pStyle w:val="EndnoteText"/>
        <w:spacing w:after="0"/>
        <w:rPr>
          <w:sz w:val="18"/>
          <w:szCs w:val="18"/>
        </w:rPr>
      </w:pPr>
      <w:r w:rsidRPr="009B2359">
        <w:rPr>
          <w:rStyle w:val="EndnoteReference"/>
          <w:sz w:val="18"/>
          <w:szCs w:val="18"/>
        </w:rPr>
        <w:endnoteRef/>
      </w:r>
      <w:r w:rsidRPr="009B2359">
        <w:rPr>
          <w:sz w:val="18"/>
          <w:szCs w:val="18"/>
        </w:rPr>
        <w:t xml:space="preserve"> https://www.redr.org.au/media/dswf4xt4/advancing-women-peace-and-security-in-the-middle-east-cop-report.pdf</w:t>
      </w:r>
    </w:p>
  </w:endnote>
  <w:endnote w:id="25">
    <w:p w14:paraId="66415B2C" w14:textId="34D6B70D"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w:t>
      </w:r>
      <w:hyperlink r:id="rId25" w:history="1">
        <w:r w:rsidRPr="00EE2C7C">
          <w:rPr>
            <w:rStyle w:val="Hyperlink"/>
            <w:rFonts w:ascii="Calibri Light" w:hAnsi="Calibri Light" w:cs="Calibri Light"/>
            <w:sz w:val="18"/>
            <w:szCs w:val="18"/>
          </w:rPr>
          <w:t>https://www.peacewomen.org/nap-iraq</w:t>
        </w:r>
      </w:hyperlink>
      <w:r>
        <w:rPr>
          <w:rStyle w:val="Hyperlink"/>
          <w:rFonts w:ascii="Calibri Light" w:hAnsi="Calibri Light" w:cs="Calibri Light"/>
          <w:sz w:val="18"/>
          <w:szCs w:val="18"/>
        </w:rPr>
        <w:t>.</w:t>
      </w:r>
    </w:p>
  </w:endnote>
  <w:endnote w:id="26">
    <w:p w14:paraId="137ECBE2" w14:textId="36097542" w:rsidR="008206E8" w:rsidRPr="00D50777" w:rsidRDefault="008206E8" w:rsidP="003A57AD">
      <w:pPr>
        <w:pStyle w:val="EndnoteText"/>
        <w:spacing w:after="0"/>
      </w:pPr>
      <w:r>
        <w:rPr>
          <w:rStyle w:val="EndnoteReference"/>
        </w:rPr>
        <w:endnoteRef/>
      </w:r>
      <w:r>
        <w:t xml:space="preserve"> </w:t>
      </w:r>
      <w:r w:rsidRPr="00D50777">
        <w:rPr>
          <w:rFonts w:ascii="Calibri Light" w:eastAsiaTheme="minorEastAsia" w:hAnsi="Calibri Light" w:cs="Calibri Light"/>
          <w:sz w:val="18"/>
          <w:szCs w:val="18"/>
          <w:lang w:val="en-GB"/>
        </w:rPr>
        <w:t>There are four pillars – participation, protection, conflict prevention and relief and recovery.</w:t>
      </w:r>
    </w:p>
  </w:endnote>
  <w:endnote w:id="27">
    <w:p w14:paraId="013D7C40" w14:textId="5B982E73"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w:t>
      </w:r>
      <w:hyperlink r:id="rId26" w:history="1">
        <w:r w:rsidRPr="007E09CB">
          <w:rPr>
            <w:rStyle w:val="Hyperlink"/>
            <w:rFonts w:ascii="Calibri Light" w:hAnsi="Calibri Light" w:cs="Calibri Light"/>
            <w:sz w:val="18"/>
            <w:szCs w:val="18"/>
          </w:rPr>
          <w:t>https://www.unocha.org/iraq/about-ocha-iraq</w:t>
        </w:r>
      </w:hyperlink>
      <w:r>
        <w:rPr>
          <w:rFonts w:ascii="Calibri Light" w:hAnsi="Calibri Light" w:cs="Calibri Light"/>
          <w:sz w:val="18"/>
          <w:szCs w:val="18"/>
        </w:rPr>
        <w:t>.</w:t>
      </w:r>
    </w:p>
  </w:endnote>
  <w:endnote w:id="28">
    <w:p w14:paraId="659AA77B" w14:textId="356E8EE1"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w:t>
      </w:r>
      <w:hyperlink r:id="rId27" w:history="1">
        <w:r w:rsidRPr="00EE2C7C">
          <w:rPr>
            <w:rStyle w:val="Hyperlink"/>
            <w:rFonts w:ascii="Calibri Light" w:hAnsi="Calibri Light" w:cs="Calibri Light"/>
            <w:sz w:val="18"/>
            <w:szCs w:val="18"/>
          </w:rPr>
          <w:t>https://www.globalprotectioncluster.org/wp-content/uploads/190909-HCT-Protection-Strategy-FINAL.pdf</w:t>
        </w:r>
      </w:hyperlink>
      <w:r>
        <w:rPr>
          <w:rFonts w:ascii="Calibri Light" w:hAnsi="Calibri Light" w:cs="Calibri Light"/>
          <w:sz w:val="18"/>
          <w:szCs w:val="18"/>
        </w:rPr>
        <w:t>.</w:t>
      </w:r>
    </w:p>
  </w:endnote>
  <w:endnote w:id="29">
    <w:p w14:paraId="471204A9" w14:textId="2647DD0C" w:rsidR="008206E8" w:rsidRPr="00EE2C7C" w:rsidRDefault="008206E8" w:rsidP="003A57AD">
      <w:pPr>
        <w:pStyle w:val="EndnoteText"/>
        <w:snapToGrid w:val="0"/>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w:t>
      </w:r>
      <w:hyperlink r:id="rId28" w:history="1">
        <w:r w:rsidRPr="00EE2C7C">
          <w:rPr>
            <w:rStyle w:val="Hyperlink"/>
            <w:rFonts w:ascii="Calibri Light" w:hAnsi="Calibri Light" w:cs="Calibri Light"/>
            <w:sz w:val="18"/>
            <w:szCs w:val="18"/>
          </w:rPr>
          <w:t>https://www.globalprotectioncluster.org/wp-content/uploads/Not-wanted-anywhere_GPC_Iraq_Feb-2020.pdf?utm_source=SUBSCRIBE+TO+GPC+UPDATES&amp;utm_campaign=bb853edbab-EMAIL_CAMPAIGN_2020_03_13_09_11&amp;utm_medium=email&amp;utm_term=0_f7f07c0884-bb853edbab-47552885</w:t>
        </w:r>
      </w:hyperlink>
      <w:r>
        <w:rPr>
          <w:rFonts w:ascii="Calibri Light" w:hAnsi="Calibri Light" w:cs="Calibri Light"/>
          <w:sz w:val="18"/>
          <w:szCs w:val="18"/>
        </w:rPr>
        <w:t>.</w:t>
      </w:r>
    </w:p>
  </w:endnote>
  <w:endnote w:id="30">
    <w:p w14:paraId="1949909A" w14:textId="77777777" w:rsidR="008206E8" w:rsidRPr="00EE2C7C" w:rsidRDefault="008206E8" w:rsidP="003A57AD">
      <w:pPr>
        <w:widowControl w:val="0"/>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According to the 2019 BPF consortium conflict analysis “IS conflict is, for both Sinjar and Hawija, only the latest event in a long history of conflict, exclusion, oppression and/or power struggles. Each round of conflict introduces a new set of issues, and in some cases, grievances go back decades or more, and have become inherited rather than directly experienced.” </w:t>
      </w:r>
    </w:p>
  </w:endnote>
  <w:endnote w:id="31">
    <w:p w14:paraId="61816E31" w14:textId="21B85ED7" w:rsidR="008206E8" w:rsidRPr="00D50777" w:rsidRDefault="008206E8" w:rsidP="003A57AD">
      <w:pPr>
        <w:pStyle w:val="EndnoteText"/>
        <w:spacing w:after="0"/>
      </w:pPr>
      <w:r>
        <w:rPr>
          <w:rStyle w:val="EndnoteReference"/>
        </w:rPr>
        <w:endnoteRef/>
      </w:r>
      <w:r>
        <w:t xml:space="preserve"> </w:t>
      </w:r>
      <w:hyperlink r:id="rId29" w:history="1">
        <w:r w:rsidRPr="00516E6F">
          <w:rPr>
            <w:rStyle w:val="Hyperlink"/>
            <w:rFonts w:ascii="Calibri Light" w:hAnsi="Calibri Light" w:cs="Calibri Light"/>
            <w:sz w:val="18"/>
            <w:szCs w:val="18"/>
          </w:rPr>
          <w:t>https://www.ndi.org/publications/ndi-poll-iraqis-welcome-improved-security-and-social-cohesion-discontent-government</w:t>
        </w:r>
      </w:hyperlink>
      <w:r>
        <w:t>.</w:t>
      </w:r>
    </w:p>
  </w:endnote>
  <w:endnote w:id="32">
    <w:p w14:paraId="38190B28" w14:textId="0B1A3F1B"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w:t>
      </w:r>
      <w:hyperlink r:id="rId30" w:history="1">
        <w:r w:rsidRPr="00EE2C7C">
          <w:rPr>
            <w:rStyle w:val="Hyperlink"/>
            <w:rFonts w:ascii="Calibri Light" w:hAnsi="Calibri Light" w:cs="Calibri Light"/>
            <w:sz w:val="18"/>
            <w:szCs w:val="18"/>
          </w:rPr>
          <w:t>https://www.al-monitor.com/pulse/originals/2020/03/iraq-economy-oil-coronavirus.html</w:t>
        </w:r>
      </w:hyperlink>
      <w:r w:rsidRPr="00603688">
        <w:rPr>
          <w:rStyle w:val="Hyperlink"/>
          <w:rFonts w:ascii="Calibri Light" w:hAnsi="Calibri Light" w:cs="Calibri Light"/>
          <w:sz w:val="18"/>
          <w:szCs w:val="18"/>
          <w:u w:val="none"/>
        </w:rPr>
        <w:t>.</w:t>
      </w:r>
    </w:p>
  </w:endnote>
  <w:endnote w:id="33">
    <w:p w14:paraId="4A440A6C" w14:textId="12B861BB"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w:t>
      </w:r>
      <w:hyperlink r:id="rId31" w:history="1">
        <w:r w:rsidRPr="00EE2C7C">
          <w:rPr>
            <w:rStyle w:val="Hyperlink"/>
            <w:rFonts w:ascii="Calibri Light" w:hAnsi="Calibri Light" w:cs="Calibri Light"/>
            <w:sz w:val="18"/>
            <w:szCs w:val="18"/>
          </w:rPr>
          <w:t>https://www.lowyinstitute.org/the-interpreter/isis-looks-prosper-world-distracted-virus</w:t>
        </w:r>
      </w:hyperlink>
      <w:r>
        <w:rPr>
          <w:rFonts w:ascii="Calibri Light" w:hAnsi="Calibri Light" w:cs="Calibri Light"/>
          <w:sz w:val="18"/>
          <w:szCs w:val="18"/>
        </w:rPr>
        <w:t>.</w:t>
      </w:r>
    </w:p>
  </w:endnote>
  <w:endnote w:id="34">
    <w:p w14:paraId="6C7B4669" w14:textId="0D956E15"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As of September 2017 </w:t>
      </w:r>
      <w:hyperlink r:id="rId32" w:history="1">
        <w:r w:rsidRPr="00EE2C7C">
          <w:rPr>
            <w:rStyle w:val="Hyperlink"/>
            <w:rFonts w:ascii="Calibri Light" w:hAnsi="Calibri Light" w:cs="Calibri Light"/>
            <w:sz w:val="18"/>
            <w:szCs w:val="18"/>
          </w:rPr>
          <w:t>http://iraqdtm.iom.int</w:t>
        </w:r>
      </w:hyperlink>
      <w:r>
        <w:rPr>
          <w:rFonts w:ascii="Calibri Light" w:hAnsi="Calibri Light" w:cs="Calibri Light"/>
          <w:sz w:val="18"/>
          <w:szCs w:val="18"/>
        </w:rPr>
        <w:t>.</w:t>
      </w:r>
    </w:p>
  </w:endnote>
  <w:endnote w:id="35">
    <w:p w14:paraId="66DFC70F" w14:textId="2B63775D" w:rsidR="008206E8" w:rsidRPr="00FC58E1" w:rsidRDefault="008206E8" w:rsidP="003A57AD">
      <w:pPr>
        <w:pStyle w:val="EndnoteText"/>
        <w:spacing w:after="0"/>
        <w:rPr>
          <w:rFonts w:ascii="Calibri Light" w:hAnsi="Calibri Light" w:cs="Calibri Light"/>
          <w:sz w:val="18"/>
          <w:szCs w:val="18"/>
        </w:rPr>
      </w:pPr>
      <w:r w:rsidRPr="00781479">
        <w:rPr>
          <w:rStyle w:val="EndnoteReference"/>
          <w:rFonts w:ascii="Calibri" w:hAnsi="Calibri" w:cs="Calibri"/>
          <w:sz w:val="18"/>
          <w:szCs w:val="18"/>
        </w:rPr>
        <w:endnoteRef/>
      </w:r>
      <w:r w:rsidRPr="00781479">
        <w:rPr>
          <w:rFonts w:ascii="Calibri" w:hAnsi="Calibri" w:cs="Calibri"/>
          <w:sz w:val="18"/>
          <w:szCs w:val="18"/>
        </w:rPr>
        <w:t xml:space="preserve"> </w:t>
      </w:r>
      <w:r w:rsidRPr="00FC58E1">
        <w:rPr>
          <w:rFonts w:ascii="Calibri Light" w:hAnsi="Calibri Light" w:cs="Calibri Light"/>
          <w:sz w:val="18"/>
          <w:szCs w:val="18"/>
        </w:rPr>
        <w:t>Credit: HAG May 2020.</w:t>
      </w:r>
    </w:p>
  </w:endnote>
  <w:endnote w:id="36">
    <w:p w14:paraId="5B09B326" w14:textId="23DECDCD"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2018 Iraq Humanitarian Response Plan.</w:t>
      </w:r>
    </w:p>
  </w:endnote>
  <w:endnote w:id="37">
    <w:p w14:paraId="5E930521" w14:textId="75A80E48"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w:t>
      </w:r>
      <w:hyperlink r:id="rId33" w:history="1">
        <w:r w:rsidRPr="00EE2C7C">
          <w:rPr>
            <w:rStyle w:val="Hyperlink"/>
            <w:rFonts w:ascii="Calibri Light" w:hAnsi="Calibri Light" w:cs="Calibri Light"/>
            <w:sz w:val="18"/>
            <w:szCs w:val="18"/>
          </w:rPr>
          <w:t>https://www.odi.org/events/4288-iraq-providing-aid-protection-crisis</w:t>
        </w:r>
      </w:hyperlink>
      <w:r>
        <w:rPr>
          <w:rFonts w:ascii="Calibri Light" w:hAnsi="Calibri Light" w:cs="Calibri Light"/>
          <w:sz w:val="18"/>
          <w:szCs w:val="18"/>
        </w:rPr>
        <w:t>.</w:t>
      </w:r>
    </w:p>
  </w:endnote>
  <w:endnote w:id="38">
    <w:p w14:paraId="28E67BEF" w14:textId="0A120EB0"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2018 Iraq Humanitarian Response Plan</w:t>
      </w:r>
      <w:r>
        <w:rPr>
          <w:rFonts w:ascii="Calibri Light" w:hAnsi="Calibri Light" w:cs="Calibri Light"/>
          <w:sz w:val="18"/>
          <w:szCs w:val="18"/>
        </w:rPr>
        <w:t>.</w:t>
      </w:r>
    </w:p>
  </w:endnote>
  <w:endnote w:id="39">
    <w:p w14:paraId="47885167" w14:textId="0152AB6C"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2018 Iraq Humanitarian Response Plan</w:t>
      </w:r>
      <w:r>
        <w:rPr>
          <w:rFonts w:ascii="Calibri Light" w:hAnsi="Calibri Light" w:cs="Calibri Light"/>
          <w:sz w:val="18"/>
          <w:szCs w:val="18"/>
        </w:rPr>
        <w:t>.</w:t>
      </w:r>
    </w:p>
  </w:endnote>
  <w:endnote w:id="40">
    <w:p w14:paraId="0F785BDC" w14:textId="045A8A83"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w:t>
      </w:r>
      <w:hyperlink r:id="rId34" w:history="1">
        <w:r w:rsidRPr="00EE2C7C">
          <w:rPr>
            <w:rStyle w:val="Hyperlink"/>
            <w:rFonts w:ascii="Calibri Light" w:hAnsi="Calibri Light" w:cs="Calibri Light"/>
            <w:sz w:val="18"/>
            <w:szCs w:val="18"/>
          </w:rPr>
          <w:t>https://www.dfat.gov.au/aid/topics/investment-priorities/building-resilience/stabilisation-and-recovery/Pages/stabilisation-and-recovery</w:t>
        </w:r>
      </w:hyperlink>
      <w:r>
        <w:rPr>
          <w:rFonts w:ascii="Calibri Light" w:hAnsi="Calibri Light" w:cs="Calibri Light"/>
          <w:sz w:val="18"/>
          <w:szCs w:val="18"/>
        </w:rPr>
        <w:t>.</w:t>
      </w:r>
    </w:p>
  </w:endnote>
  <w:endnote w:id="41">
    <w:p w14:paraId="0491B3CF" w14:textId="77777777"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REACH-CCM Cluster; Iraq IDP Camp Intentions Survey, December 2017-January 2018.</w:t>
      </w:r>
    </w:p>
  </w:endnote>
  <w:endnote w:id="42">
    <w:p w14:paraId="33E419F0" w14:textId="7EC9AE7A"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Taken from UNDP FFS presentation to donors, April 2018.</w:t>
      </w:r>
    </w:p>
  </w:endnote>
  <w:endnote w:id="43">
    <w:p w14:paraId="5A395A53" w14:textId="72BEA7ED" w:rsidR="008206E8" w:rsidRPr="00061E8E" w:rsidRDefault="008206E8" w:rsidP="003A57AD">
      <w:pPr>
        <w:pStyle w:val="EndnoteText"/>
        <w:spacing w:after="0"/>
        <w:rPr>
          <w:rFonts w:ascii="Calibri Light" w:hAnsi="Calibri Light" w:cs="Calibri Light"/>
          <w:sz w:val="18"/>
          <w:szCs w:val="18"/>
        </w:rPr>
      </w:pPr>
      <w:r w:rsidRPr="00061E8E">
        <w:rPr>
          <w:rStyle w:val="EndnoteReference"/>
          <w:rFonts w:ascii="Calibri Light" w:hAnsi="Calibri Light" w:cs="Calibri Light"/>
          <w:sz w:val="18"/>
          <w:szCs w:val="18"/>
        </w:rPr>
        <w:endnoteRef/>
      </w:r>
      <w:r w:rsidRPr="00061E8E">
        <w:rPr>
          <w:rFonts w:ascii="Calibri Light" w:hAnsi="Calibri Light" w:cs="Calibri Light"/>
          <w:sz w:val="18"/>
          <w:szCs w:val="18"/>
        </w:rPr>
        <w:t xml:space="preserve"> UNDP FFS: </w:t>
      </w:r>
      <w:r w:rsidRPr="00061E8E">
        <w:rPr>
          <w:rFonts w:ascii="Calibri Light" w:hAnsi="Calibri Light" w:cs="Calibri Light"/>
          <w:sz w:val="18"/>
          <w:szCs w:val="18"/>
          <w:lang w:eastAsia="ja-JP"/>
        </w:rPr>
        <w:t>Australia DFAT Progress Update, March 2020.</w:t>
      </w:r>
    </w:p>
  </w:endnote>
  <w:endnote w:id="44">
    <w:p w14:paraId="042524CB" w14:textId="44507B9C"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HRP Iraq 2020, p14.</w:t>
      </w:r>
    </w:p>
  </w:endnote>
  <w:endnote w:id="45">
    <w:p w14:paraId="24E10893" w14:textId="3F323475"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The assumptions underpinning the M&amp;E framework influence the reliability of the aggregate level results in particular.</w:t>
      </w:r>
    </w:p>
  </w:endnote>
  <w:endnote w:id="46">
    <w:p w14:paraId="4453DE86" w14:textId="0D52611E"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w:t>
      </w:r>
      <w:hyperlink r:id="rId35" w:history="1">
        <w:r w:rsidRPr="00EE2C7C">
          <w:rPr>
            <w:rStyle w:val="Hyperlink"/>
            <w:rFonts w:ascii="Calibri Light" w:hAnsi="Calibri Light" w:cs="Calibri Light"/>
            <w:sz w:val="18"/>
            <w:szCs w:val="18"/>
          </w:rPr>
          <w:t>http://iraqdtm.iom.int/archive/DTMReturnDashboards.aspx</w:t>
        </w:r>
      </w:hyperlink>
      <w:r>
        <w:rPr>
          <w:rFonts w:ascii="Calibri Light" w:hAnsi="Calibri Light" w:cs="Calibri Light"/>
          <w:sz w:val="18"/>
          <w:szCs w:val="18"/>
        </w:rPr>
        <w:t>.</w:t>
      </w:r>
    </w:p>
  </w:endnote>
  <w:endnote w:id="47">
    <w:p w14:paraId="4E0598A9" w14:textId="77777777" w:rsidR="008206E8" w:rsidRPr="00EE2C7C" w:rsidRDefault="008206E8" w:rsidP="0056018B">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There are a number of assumptions underpinning these calculations. The overall figure is an aggregate level accumulation of select UNFPA, IHO, STC, UNMAS and UNICEF indicator results. It is possible the same individuals have received more than one type of assistance/ service reducing the overall numbers reached. It is also possible the same individuals have been counted in both the 2018 and 2019 cumulative results</w:t>
      </w:r>
      <w:r>
        <w:rPr>
          <w:rFonts w:ascii="Calibri Light" w:hAnsi="Calibri Light" w:cs="Calibri Light"/>
          <w:sz w:val="18"/>
          <w:szCs w:val="18"/>
        </w:rPr>
        <w:t>.</w:t>
      </w:r>
    </w:p>
  </w:endnote>
  <w:endnote w:id="48">
    <w:p w14:paraId="338B6FC5" w14:textId="75C2AC59"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w:t>
      </w:r>
      <w:hyperlink r:id="rId36" w:history="1">
        <w:r w:rsidRPr="00EE2C7C">
          <w:rPr>
            <w:rStyle w:val="Hyperlink"/>
            <w:rFonts w:ascii="Calibri Light" w:hAnsi="Calibri Light" w:cs="Calibri Light"/>
            <w:sz w:val="18"/>
            <w:szCs w:val="18"/>
          </w:rPr>
          <w:t>http://iraqdtm.iom.int/Dashboard</w:t>
        </w:r>
      </w:hyperlink>
      <w:r>
        <w:rPr>
          <w:rStyle w:val="Hyperlink"/>
          <w:rFonts w:ascii="Calibri Light" w:hAnsi="Calibri Light" w:cs="Calibri Light"/>
          <w:sz w:val="18"/>
          <w:szCs w:val="18"/>
        </w:rPr>
        <w:t>.</w:t>
      </w:r>
    </w:p>
  </w:endnote>
  <w:endnote w:id="49">
    <w:p w14:paraId="6A703ECF" w14:textId="471AF827" w:rsidR="008206E8" w:rsidRPr="00EE2C7C" w:rsidRDefault="008206E8" w:rsidP="003A57AD">
      <w:pPr>
        <w:pStyle w:val="EndnoteText"/>
        <w:snapToGrid w:val="0"/>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See DFAT Evaluation of Protection in Disaster Responses in the Pacific 2019. See also </w:t>
      </w:r>
      <w:hyperlink r:id="rId37" w:history="1">
        <w:r w:rsidRPr="00EE2C7C">
          <w:rPr>
            <w:rStyle w:val="Hyperlink"/>
            <w:rFonts w:ascii="Calibri Light" w:hAnsi="Calibri Light" w:cs="Calibri Light"/>
            <w:sz w:val="18"/>
            <w:szCs w:val="18"/>
          </w:rPr>
          <w:t>https://www.odi.org/sites/odi.org.uk/files/resource-documents/12651.pdf</w:t>
        </w:r>
      </w:hyperlink>
      <w:r>
        <w:rPr>
          <w:rFonts w:ascii="Calibri Light" w:hAnsi="Calibri Light" w:cs="Calibri Light"/>
          <w:sz w:val="18"/>
          <w:szCs w:val="18"/>
        </w:rPr>
        <w:t>.</w:t>
      </w:r>
    </w:p>
  </w:endnote>
  <w:endnote w:id="50">
    <w:p w14:paraId="69268E81" w14:textId="04F106F6"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For on overview of LGBT and the law in Iraq: </w:t>
      </w:r>
      <w:hyperlink r:id="rId38" w:history="1">
        <w:r w:rsidRPr="00B83B8D">
          <w:rPr>
            <w:rStyle w:val="Hyperlink"/>
            <w:rFonts w:ascii="Calibri Light" w:hAnsi="Calibri Light" w:cs="Calibri Light"/>
            <w:sz w:val="18"/>
            <w:szCs w:val="18"/>
          </w:rPr>
          <w:t>https://www.humandignitytrust.org/country-profile/iraq /</w:t>
        </w:r>
      </w:hyperlink>
      <w:r>
        <w:rPr>
          <w:rFonts w:ascii="Calibri Light" w:hAnsi="Calibri Light" w:cs="Calibri Light"/>
          <w:sz w:val="18"/>
          <w:szCs w:val="18"/>
        </w:rPr>
        <w:t>.</w:t>
      </w:r>
    </w:p>
  </w:endnote>
  <w:endnote w:id="51">
    <w:p w14:paraId="1A5BE959" w14:textId="77777777" w:rsidR="008206E8" w:rsidRPr="00EE2C7C" w:rsidRDefault="008206E8" w:rsidP="003A57AD">
      <w:pPr>
        <w:snapToGrid w:val="0"/>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Adapted from DFAT Evaluation of Protection in Australia’s Disaster Responses in the Pacific 2018 ‘Three levels of action required to effectively operationalize protection in humanitarian action.’ p6.</w:t>
      </w:r>
    </w:p>
  </w:endnote>
  <w:endnote w:id="52">
    <w:p w14:paraId="1C0139E8" w14:textId="6ADFC6BE"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DFAT Evaluation of Protection in Disaster Responses in the Pacific 2019.</w:t>
      </w:r>
    </w:p>
  </w:endnote>
  <w:endnote w:id="53">
    <w:p w14:paraId="34810D1B" w14:textId="580C3A5F"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DFAT HAQC 2018-19</w:t>
      </w:r>
      <w:r>
        <w:rPr>
          <w:rFonts w:ascii="Calibri Light" w:hAnsi="Calibri Light" w:cs="Calibri Light"/>
          <w:sz w:val="18"/>
          <w:szCs w:val="18"/>
        </w:rPr>
        <w:t>.</w:t>
      </w:r>
    </w:p>
  </w:endnote>
  <w:endnote w:id="54">
    <w:p w14:paraId="7892075B" w14:textId="77777777" w:rsidR="008206E8" w:rsidRPr="00EE2C7C" w:rsidRDefault="008206E8" w:rsidP="0056018B">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DFAT HAQC 2018-19, under a very modest target of 13 pe</w:t>
      </w:r>
      <w:r>
        <w:rPr>
          <w:rFonts w:ascii="Calibri Light" w:hAnsi="Calibri Light" w:cs="Calibri Light"/>
          <w:sz w:val="18"/>
          <w:szCs w:val="18"/>
        </w:rPr>
        <w:t>r</w:t>
      </w:r>
      <w:r w:rsidRPr="00EE2C7C">
        <w:rPr>
          <w:rFonts w:ascii="Calibri Light" w:hAnsi="Calibri Light" w:cs="Calibri Light"/>
          <w:sz w:val="18"/>
          <w:szCs w:val="18"/>
        </w:rPr>
        <w:t>cent.</w:t>
      </w:r>
    </w:p>
  </w:endnote>
  <w:endnote w:id="55">
    <w:p w14:paraId="15311683" w14:textId="77777777" w:rsidR="008206E8" w:rsidRPr="00EE2C7C" w:rsidRDefault="008206E8" w:rsidP="0056018B">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BFP Mid-term evaluation, p24.</w:t>
      </w:r>
    </w:p>
  </w:endnote>
  <w:endnote w:id="56">
    <w:p w14:paraId="4E89F89A" w14:textId="43B5CD9C"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DFAT Iraq Package HAQC 2018-19.</w:t>
      </w:r>
    </w:p>
  </w:endnote>
  <w:endnote w:id="57">
    <w:p w14:paraId="2178D480" w14:textId="77777777"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DFAT Iraq Humanitarian and Stabilisation Update 7 December 2018.</w:t>
      </w:r>
    </w:p>
  </w:endnote>
  <w:endnote w:id="58">
    <w:p w14:paraId="335D18B9" w14:textId="3C68712A" w:rsidR="008206E8" w:rsidRPr="002F4139" w:rsidRDefault="008206E8" w:rsidP="003A57AD">
      <w:pPr>
        <w:pStyle w:val="EndnoteText"/>
        <w:spacing w:after="0"/>
        <w:rPr>
          <w:rFonts w:ascii="Calibri Light" w:hAnsi="Calibri Light" w:cs="Calibri Light"/>
          <w:sz w:val="18"/>
          <w:szCs w:val="18"/>
        </w:rPr>
      </w:pPr>
      <w:r w:rsidRPr="002F4139">
        <w:rPr>
          <w:rStyle w:val="EndnoteReference"/>
          <w:rFonts w:ascii="Calibri Light" w:hAnsi="Calibri Light" w:cs="Calibri Light"/>
          <w:sz w:val="18"/>
          <w:szCs w:val="18"/>
        </w:rPr>
        <w:endnoteRef/>
      </w:r>
      <w:r w:rsidRPr="002F4139">
        <w:rPr>
          <w:rFonts w:ascii="Calibri Light" w:hAnsi="Calibri Light" w:cs="Calibri Light"/>
          <w:sz w:val="18"/>
          <w:szCs w:val="18"/>
        </w:rPr>
        <w:t xml:space="preserve"> </w:t>
      </w:r>
      <w:r w:rsidRPr="002F4139">
        <w:rPr>
          <w:rFonts w:ascii="Calibri Light" w:hAnsi="Calibri Light" w:cs="Calibri Light"/>
          <w:color w:val="000000"/>
          <w:sz w:val="18"/>
          <w:szCs w:val="18"/>
        </w:rPr>
        <w:t xml:space="preserve">The sensitivities of identifying people with disabilities, and the fact that not all disabilities are visible, can be addressed through the Washington Group tools for disability data collection, which do not rely on data collectors/enumerators using observation. </w:t>
      </w:r>
    </w:p>
  </w:endnote>
  <w:endnote w:id="59">
    <w:p w14:paraId="4131BD06" w14:textId="77777777"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BPF mid-term evaluation, p vi.</w:t>
      </w:r>
    </w:p>
  </w:endnote>
  <w:endnote w:id="60">
    <w:p w14:paraId="7C09AEAB" w14:textId="29EE988B"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w:t>
      </w:r>
      <w:hyperlink r:id="rId39" w:history="1">
        <w:r w:rsidRPr="00EE2C7C">
          <w:rPr>
            <w:rStyle w:val="Hyperlink"/>
            <w:rFonts w:ascii="Calibri Light" w:hAnsi="Calibri Light" w:cs="Calibri Light"/>
            <w:sz w:val="18"/>
            <w:szCs w:val="18"/>
          </w:rPr>
          <w:t>https://reliefweb.int/report/iraq/iraq-unhcr-civil-documentation-idps-october-2019</w:t>
        </w:r>
      </w:hyperlink>
      <w:r>
        <w:rPr>
          <w:rFonts w:ascii="Calibri Light" w:hAnsi="Calibri Light" w:cs="Calibri Light"/>
          <w:sz w:val="18"/>
          <w:szCs w:val="18"/>
        </w:rPr>
        <w:t>.</w:t>
      </w:r>
    </w:p>
  </w:endnote>
  <w:endnote w:id="61">
    <w:p w14:paraId="26015684" w14:textId="1C4191A3"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w:t>
      </w:r>
      <w:hyperlink r:id="rId40" w:history="1">
        <w:r w:rsidRPr="00EE2C7C">
          <w:rPr>
            <w:rStyle w:val="Hyperlink"/>
            <w:rFonts w:ascii="Calibri Light" w:hAnsi="Calibri Light" w:cs="Calibri Light"/>
            <w:sz w:val="18"/>
            <w:szCs w:val="18"/>
          </w:rPr>
          <w:t>https://reliefweb.int/report/iraq/iraq-unhcr-civil-documentation-idps-october-2019</w:t>
        </w:r>
      </w:hyperlink>
      <w:r>
        <w:rPr>
          <w:rStyle w:val="Hyperlink"/>
          <w:rFonts w:ascii="Calibri Light" w:hAnsi="Calibri Light" w:cs="Calibri Light"/>
          <w:sz w:val="18"/>
          <w:szCs w:val="18"/>
        </w:rPr>
        <w:t>.</w:t>
      </w:r>
      <w:r w:rsidRPr="00EE2C7C">
        <w:rPr>
          <w:rFonts w:ascii="Calibri Light" w:hAnsi="Calibri Light" w:cs="Calibri Light"/>
          <w:sz w:val="18"/>
          <w:szCs w:val="18"/>
        </w:rPr>
        <w:t xml:space="preserve"> </w:t>
      </w:r>
    </w:p>
  </w:endnote>
  <w:endnote w:id="62">
    <w:p w14:paraId="0CBEDE0F" w14:textId="588FD8C7"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BPF Mid-term Evaluation, p20.</w:t>
      </w:r>
    </w:p>
  </w:endnote>
  <w:endnote w:id="63">
    <w:p w14:paraId="1C0DB1AC" w14:textId="50A6E1C1"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BPF mid-term evaluation, p23.</w:t>
      </w:r>
    </w:p>
  </w:endnote>
  <w:endnote w:id="64">
    <w:p w14:paraId="414A3B3D" w14:textId="1B4C457A"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BPF mid-term evaluation, p23.</w:t>
      </w:r>
    </w:p>
  </w:endnote>
  <w:endnote w:id="65">
    <w:p w14:paraId="4FDD9499" w14:textId="34366D47"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w:t>
      </w:r>
      <w:hyperlink r:id="rId41" w:history="1">
        <w:r w:rsidRPr="00EE2C7C">
          <w:rPr>
            <w:rStyle w:val="Hyperlink"/>
            <w:rFonts w:ascii="Calibri Light" w:hAnsi="Calibri Light" w:cs="Calibri Light"/>
            <w:sz w:val="18"/>
            <w:szCs w:val="18"/>
          </w:rPr>
          <w:t>https://www.dfat.gov.au/about-us/business-opportunities/Pages/preventing-sexual-exploitation-abuse-and-harassment-policy-takes-effect-from-1-july-2019</w:t>
        </w:r>
      </w:hyperlink>
      <w:r>
        <w:rPr>
          <w:rFonts w:ascii="Calibri Light" w:hAnsi="Calibri Light" w:cs="Calibri Light"/>
          <w:sz w:val="18"/>
          <w:szCs w:val="18"/>
        </w:rPr>
        <w:t>.</w:t>
      </w:r>
    </w:p>
  </w:endnote>
  <w:endnote w:id="66">
    <w:p w14:paraId="7F6B1939" w14:textId="2C5C8A3A" w:rsidR="008206E8" w:rsidRPr="00EE2C7C" w:rsidRDefault="008206E8" w:rsidP="003A57AD">
      <w:pPr>
        <w:pStyle w:val="EndnoteText"/>
        <w:snapToGrid w:val="0"/>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Iraq HRP 2020, p22.</w:t>
      </w:r>
    </w:p>
  </w:endnote>
  <w:endnote w:id="67">
    <w:p w14:paraId="493CA52E" w14:textId="692A334F"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w:t>
      </w:r>
      <w:hyperlink r:id="rId42" w:history="1">
        <w:r w:rsidRPr="00EE2C7C">
          <w:rPr>
            <w:rStyle w:val="Hyperlink"/>
            <w:rFonts w:ascii="Calibri Light" w:hAnsi="Calibri Light" w:cs="Calibri Light"/>
            <w:sz w:val="18"/>
            <w:szCs w:val="18"/>
          </w:rPr>
          <w:t>https://www.globalprotectioncluster.org/themes/protection-mainstreaming/</w:t>
        </w:r>
      </w:hyperlink>
      <w:r>
        <w:rPr>
          <w:rFonts w:ascii="Calibri Light" w:hAnsi="Calibri Light" w:cs="Calibri Light"/>
          <w:sz w:val="18"/>
          <w:szCs w:val="18"/>
        </w:rPr>
        <w:t>.</w:t>
      </w:r>
    </w:p>
  </w:endnote>
  <w:endnote w:id="68">
    <w:p w14:paraId="66ADD475" w14:textId="77777777"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Iraq HRP 2020, p35.</w:t>
      </w:r>
    </w:p>
  </w:endnote>
  <w:endnote w:id="69">
    <w:p w14:paraId="35BC6F1C" w14:textId="77777777"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Ibid.</w:t>
      </w:r>
    </w:p>
  </w:endnote>
  <w:endnote w:id="70">
    <w:p w14:paraId="304BE637" w14:textId="1A51881B"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BPF Mid-term evaluation, p23.</w:t>
      </w:r>
    </w:p>
  </w:endnote>
  <w:endnote w:id="71">
    <w:p w14:paraId="37211739" w14:textId="0F2A82FC"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As reflected in the 2020 HRP (p35) and BPF mid-term evaluation 2020.</w:t>
      </w:r>
    </w:p>
  </w:endnote>
  <w:endnote w:id="72">
    <w:p w14:paraId="795DC2B9" w14:textId="5239B78C" w:rsidR="008206E8" w:rsidRPr="00EE2C7C" w:rsidRDefault="008206E8" w:rsidP="003A57AD">
      <w:pPr>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w:t>
      </w:r>
      <w:hyperlink r:id="rId43" w:history="1">
        <w:r w:rsidRPr="00EE2C7C">
          <w:rPr>
            <w:rStyle w:val="Hyperlink"/>
            <w:rFonts w:ascii="Calibri Light" w:hAnsi="Calibri Light" w:cs="Calibri Light"/>
            <w:sz w:val="18"/>
            <w:szCs w:val="18"/>
          </w:rPr>
          <w:t>https://reliefweb.int/sites/reliefweb.int/files/resources/stabilization-development-nexus_low.pdf</w:t>
        </w:r>
      </w:hyperlink>
      <w:r>
        <w:rPr>
          <w:rFonts w:ascii="Calibri Light" w:hAnsi="Calibri Light" w:cs="Calibri Light"/>
          <w:sz w:val="18"/>
          <w:szCs w:val="18"/>
        </w:rPr>
        <w:t>.</w:t>
      </w:r>
    </w:p>
  </w:endnote>
  <w:endnote w:id="73">
    <w:p w14:paraId="2FEE01CB" w14:textId="56A02003"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w:t>
      </w:r>
      <w:hyperlink r:id="rId44" w:history="1">
        <w:r w:rsidRPr="00EE2C7C">
          <w:rPr>
            <w:rStyle w:val="Hyperlink"/>
            <w:rFonts w:ascii="Calibri Light" w:hAnsi="Calibri Light" w:cs="Calibri Light"/>
            <w:sz w:val="18"/>
            <w:szCs w:val="18"/>
          </w:rPr>
          <w:t>https://odihpn.org/wp-content/uploads/2020/04/NP-82-web-1.pdf</w:t>
        </w:r>
      </w:hyperlink>
      <w:r w:rsidRPr="00FC58E1">
        <w:rPr>
          <w:rStyle w:val="Hyperlink"/>
          <w:rFonts w:ascii="Calibri Light" w:hAnsi="Calibri Light" w:cs="Calibri Light"/>
          <w:sz w:val="18"/>
          <w:szCs w:val="18"/>
          <w:u w:val="none"/>
        </w:rPr>
        <w:t>.</w:t>
      </w:r>
    </w:p>
  </w:endnote>
  <w:endnote w:id="74">
    <w:p w14:paraId="7713CD50" w14:textId="77777777"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Further supported by the BPF Conflict Analysis.</w:t>
      </w:r>
    </w:p>
  </w:endnote>
  <w:endnote w:id="75">
    <w:p w14:paraId="4C9A5FB3" w14:textId="77777777"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IOM Interim Report July 2019, p6.</w:t>
      </w:r>
    </w:p>
  </w:endnote>
  <w:endnote w:id="76">
    <w:p w14:paraId="5DE33004" w14:textId="1CE73CB5"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Six monthly report, 3 April 2020.</w:t>
      </w:r>
    </w:p>
  </w:endnote>
  <w:endnote w:id="77">
    <w:p w14:paraId="46157E54" w14:textId="214C7579"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BPF Mid-term evaluation, p31.</w:t>
      </w:r>
    </w:p>
  </w:endnote>
  <w:endnote w:id="78">
    <w:p w14:paraId="14F7F8E7" w14:textId="35617EF1"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BPD Mid-term evaluation, p31.</w:t>
      </w:r>
    </w:p>
  </w:endnote>
  <w:endnote w:id="79">
    <w:p w14:paraId="239AB41A" w14:textId="258D87D8"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BPD Mid-term evaluation, p31.</w:t>
      </w:r>
    </w:p>
  </w:endnote>
  <w:endnote w:id="80">
    <w:p w14:paraId="052AD6D3" w14:textId="3B773124" w:rsidR="008206E8" w:rsidRPr="00EE2C7C" w:rsidRDefault="008206E8" w:rsidP="003A57AD">
      <w:pPr>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w:t>
      </w:r>
      <w:r w:rsidRPr="00EE2C7C">
        <w:rPr>
          <w:rFonts w:ascii="Calibri Light" w:hAnsi="Calibri Light" w:cs="Calibri Light"/>
          <w:color w:val="000000"/>
          <w:sz w:val="18"/>
          <w:szCs w:val="18"/>
          <w:lang w:eastAsia="ja-JP"/>
        </w:rPr>
        <w:t>DFAT HAQC 2018.</w:t>
      </w:r>
    </w:p>
  </w:endnote>
  <w:endnote w:id="81">
    <w:p w14:paraId="0E14536B" w14:textId="77777777" w:rsidR="008206E8" w:rsidRPr="00061E8E" w:rsidRDefault="008206E8" w:rsidP="003A57AD">
      <w:pPr>
        <w:snapToGrid w:val="0"/>
        <w:spacing w:after="0"/>
        <w:rPr>
          <w:rFonts w:ascii="Calibri Light" w:hAnsi="Calibri Light" w:cs="Calibri Light"/>
          <w:sz w:val="18"/>
          <w:szCs w:val="18"/>
        </w:rPr>
      </w:pPr>
      <w:r w:rsidRPr="00061E8E">
        <w:rPr>
          <w:rStyle w:val="EndnoteReference"/>
          <w:rFonts w:ascii="Calibri Light" w:hAnsi="Calibri Light" w:cs="Calibri Light"/>
          <w:sz w:val="18"/>
          <w:szCs w:val="18"/>
        </w:rPr>
        <w:endnoteRef/>
      </w:r>
      <w:r w:rsidRPr="00061E8E">
        <w:rPr>
          <w:rFonts w:ascii="Calibri Light" w:hAnsi="Calibri Light" w:cs="Calibri Light"/>
          <w:sz w:val="18"/>
          <w:szCs w:val="18"/>
        </w:rPr>
        <w:t xml:space="preserve"> </w:t>
      </w:r>
      <w:r w:rsidRPr="00061E8E">
        <w:rPr>
          <w:rFonts w:ascii="Calibri Light" w:hAnsi="Calibri Light" w:cs="Calibri Light"/>
          <w:color w:val="000000"/>
          <w:sz w:val="18"/>
          <w:szCs w:val="18"/>
          <w:lang w:eastAsia="ja-JP"/>
        </w:rPr>
        <w:t>According to DFAT’s 2018-19 HAQC for Iraq.</w:t>
      </w:r>
    </w:p>
  </w:endnote>
  <w:endnote w:id="82">
    <w:p w14:paraId="77CC291C" w14:textId="466630BC" w:rsidR="008206E8" w:rsidRPr="00A927F2" w:rsidRDefault="008206E8" w:rsidP="003A57AD">
      <w:pPr>
        <w:pStyle w:val="EndnoteText"/>
        <w:snapToGrid w:val="0"/>
        <w:spacing w:after="0"/>
        <w:rPr>
          <w:rFonts w:ascii="Calibri Light" w:hAnsi="Calibri Light" w:cs="Calibri Light"/>
          <w:sz w:val="2"/>
          <w:szCs w:val="2"/>
          <w:highlight w:val="yellow"/>
        </w:rPr>
      </w:pPr>
    </w:p>
  </w:endnote>
  <w:endnote w:id="83">
    <w:p w14:paraId="626D1CC5" w14:textId="77777777"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UNICEF Additional Information, November 2019.</w:t>
      </w:r>
    </w:p>
  </w:endnote>
  <w:endnote w:id="84">
    <w:p w14:paraId="038D28E4" w14:textId="39E1E6FA"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In terms of GBV risks, on 7 April the UN Secretary-General publicly appealed for peace to be extended to the home in recognition of the increased risk of violence women are facing there.</w:t>
      </w:r>
    </w:p>
  </w:endnote>
  <w:endnote w:id="85">
    <w:p w14:paraId="7023AE4F" w14:textId="71048F59"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w:t>
      </w:r>
      <w:hyperlink r:id="rId45" w:history="1">
        <w:r w:rsidRPr="00EE2C7C">
          <w:rPr>
            <w:rStyle w:val="Hyperlink"/>
            <w:rFonts w:ascii="Calibri Light" w:hAnsi="Calibri Light" w:cs="Calibri Light"/>
            <w:sz w:val="18"/>
            <w:szCs w:val="18"/>
          </w:rPr>
          <w:t>https://www.globaldashboard.org/2020/04/30/buildabridgetobetter-recommendations-to-drive-pandemic-responses/</w:t>
        </w:r>
      </w:hyperlink>
      <w:r>
        <w:rPr>
          <w:rFonts w:ascii="Calibri Light" w:hAnsi="Calibri Light" w:cs="Calibri Light"/>
          <w:sz w:val="18"/>
          <w:szCs w:val="18"/>
        </w:rPr>
        <w:t>.</w:t>
      </w:r>
    </w:p>
  </w:endnote>
  <w:endnote w:id="86">
    <w:p w14:paraId="152D77D1" w14:textId="66B9FC37"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w:t>
      </w:r>
      <w:hyperlink r:id="rId46" w:history="1">
        <w:r w:rsidRPr="00EE2C7C">
          <w:rPr>
            <w:rStyle w:val="Hyperlink"/>
            <w:rFonts w:ascii="Calibri Light" w:hAnsi="Calibri Light" w:cs="Calibri Light"/>
            <w:sz w:val="18"/>
            <w:szCs w:val="18"/>
          </w:rPr>
          <w:t>https://www.globalprotectioncluster.org/covid-19/</w:t>
        </w:r>
      </w:hyperlink>
      <w:r>
        <w:rPr>
          <w:rFonts w:ascii="Calibri Light" w:hAnsi="Calibri Light" w:cs="Calibri Light"/>
          <w:sz w:val="18"/>
          <w:szCs w:val="18"/>
        </w:rPr>
        <w:t>.</w:t>
      </w:r>
    </w:p>
  </w:endnote>
  <w:endnote w:id="87">
    <w:p w14:paraId="0C5A474C" w14:textId="7A24CF30"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w:t>
      </w:r>
      <w:hyperlink r:id="rId47" w:history="1">
        <w:r w:rsidRPr="00EE2C7C">
          <w:rPr>
            <w:rStyle w:val="Hyperlink"/>
            <w:rFonts w:ascii="Calibri Light" w:hAnsi="Calibri Light" w:cs="Calibri Light"/>
            <w:sz w:val="18"/>
            <w:szCs w:val="18"/>
          </w:rPr>
          <w:t>https://www.globalprotectioncluster.org/covid-19/</w:t>
        </w:r>
      </w:hyperlink>
      <w:r w:rsidRPr="007E009A">
        <w:rPr>
          <w:rStyle w:val="Hyperlink"/>
          <w:rFonts w:ascii="Calibri Light" w:hAnsi="Calibri Light" w:cs="Calibri Light"/>
          <w:sz w:val="18"/>
          <w:szCs w:val="18"/>
          <w:u w:val="none"/>
        </w:rPr>
        <w:t>.</w:t>
      </w:r>
    </w:p>
  </w:endnote>
  <w:endnote w:id="88">
    <w:p w14:paraId="7E6DF530" w14:textId="0077AB69"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w:t>
      </w:r>
      <w:hyperlink r:id="rId48" w:history="1">
        <w:r w:rsidRPr="00EE2C7C">
          <w:rPr>
            <w:rStyle w:val="Hyperlink"/>
            <w:rFonts w:ascii="Calibri Light" w:hAnsi="Calibri Light" w:cs="Calibri Light"/>
            <w:sz w:val="18"/>
            <w:szCs w:val="18"/>
          </w:rPr>
          <w:t>https://english.alaraby.co.uk/english/news/2020/3/24/honour-infects-iraqi-families-refuse-quarantine-for-coronvairus-positive-daughters?fbclid=IwAR1whGuRTSFTYJnS_NDh1hTDFHkYZHvIjFSmscQXe8_ctLYW1g5LdJPHMnc</w:t>
        </w:r>
      </w:hyperlink>
      <w:r w:rsidRPr="00FC58E1">
        <w:rPr>
          <w:rStyle w:val="Hyperlink"/>
          <w:rFonts w:ascii="Calibri Light" w:hAnsi="Calibri Light" w:cs="Calibri Light"/>
          <w:sz w:val="18"/>
          <w:szCs w:val="18"/>
          <w:u w:val="none"/>
        </w:rPr>
        <w:t>.</w:t>
      </w:r>
    </w:p>
  </w:endnote>
  <w:endnote w:id="89">
    <w:p w14:paraId="5F87F387" w14:textId="7EF0168A" w:rsidR="008206E8" w:rsidRPr="00EE2C7C" w:rsidRDefault="008206E8" w:rsidP="003A57AD">
      <w:pPr>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w:t>
      </w:r>
      <w:hyperlink r:id="rId49" w:history="1">
        <w:r w:rsidRPr="00EE2C7C">
          <w:rPr>
            <w:rStyle w:val="Hyperlink"/>
            <w:rFonts w:ascii="Calibri Light" w:hAnsi="Calibri Light" w:cs="Calibri Light"/>
            <w:sz w:val="18"/>
            <w:szCs w:val="18"/>
          </w:rPr>
          <w:t>https://foreignpolicy.com/2020/04/06/iraq-islamic-state-comeback-coronavirus-us-withdrawal/</w:t>
        </w:r>
      </w:hyperlink>
      <w:r w:rsidRPr="00EE2C7C">
        <w:rPr>
          <w:rFonts w:ascii="Calibri Light" w:hAnsi="Calibri Light" w:cs="Calibri Light"/>
          <w:sz w:val="18"/>
          <w:szCs w:val="18"/>
        </w:rPr>
        <w:t xml:space="preserve">   </w:t>
      </w:r>
      <w:hyperlink r:id="rId50" w:history="1">
        <w:r w:rsidRPr="00EE2C7C">
          <w:rPr>
            <w:rStyle w:val="Hyperlink"/>
            <w:rFonts w:ascii="Calibri Light" w:hAnsi="Calibri Light" w:cs="Calibri Light"/>
            <w:sz w:val="18"/>
            <w:szCs w:val="18"/>
          </w:rPr>
          <w:t>https://www.crisisgroup.org/global/contending-isis-time-coronavirus</w:t>
        </w:r>
      </w:hyperlink>
      <w:r>
        <w:rPr>
          <w:rFonts w:ascii="Calibri Light" w:hAnsi="Calibri Light" w:cs="Calibri Light"/>
          <w:sz w:val="18"/>
          <w:szCs w:val="18"/>
        </w:rPr>
        <w:t>.</w:t>
      </w:r>
    </w:p>
  </w:endnote>
  <w:endnote w:id="90">
    <w:p w14:paraId="2ABF726E" w14:textId="1038680D"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Foreign Minister Marise Payne Speech to the UN Human </w:t>
      </w:r>
      <w:r>
        <w:rPr>
          <w:rFonts w:ascii="Calibri Light" w:hAnsi="Calibri Light" w:cs="Calibri Light"/>
          <w:sz w:val="18"/>
          <w:szCs w:val="18"/>
        </w:rPr>
        <w:t>Rights Council 25 February 2019</w:t>
      </w:r>
      <w:r w:rsidRPr="00EE2C7C">
        <w:rPr>
          <w:rFonts w:ascii="Calibri Light" w:hAnsi="Calibri Light" w:cs="Calibri Light"/>
          <w:sz w:val="18"/>
          <w:szCs w:val="18"/>
        </w:rPr>
        <w:t xml:space="preserve"> </w:t>
      </w:r>
      <w:hyperlink r:id="rId51" w:history="1">
        <w:r w:rsidRPr="00EE2C7C">
          <w:rPr>
            <w:rStyle w:val="Hyperlink"/>
            <w:rFonts w:ascii="Calibri Light" w:hAnsi="Calibri Light" w:cs="Calibri Light"/>
            <w:sz w:val="18"/>
            <w:szCs w:val="18"/>
          </w:rPr>
          <w:t>https://www.foreignminister.gov.au/minister/marise-payne/speech/un-human-rights-council</w:t>
        </w:r>
      </w:hyperlink>
      <w:r>
        <w:rPr>
          <w:rFonts w:ascii="Calibri Light" w:hAnsi="Calibri Light" w:cs="Calibri Light"/>
          <w:sz w:val="18"/>
          <w:szCs w:val="18"/>
        </w:rPr>
        <w:t>.</w:t>
      </w:r>
    </w:p>
  </w:endnote>
  <w:endnote w:id="91">
    <w:p w14:paraId="28690EF2" w14:textId="54048DBE" w:rsidR="008206E8" w:rsidRPr="00EE2C7C" w:rsidRDefault="008206E8" w:rsidP="003A57AD">
      <w:pPr>
        <w:spacing w:after="0"/>
        <w:rPr>
          <w:rFonts w:ascii="Calibri Light" w:hAnsi="Calibri Light" w:cs="Calibri Light"/>
          <w:sz w:val="18"/>
          <w:szCs w:val="18"/>
        </w:rPr>
      </w:pPr>
      <w:r w:rsidRPr="002F4139">
        <w:rPr>
          <w:rStyle w:val="EndnoteReference"/>
          <w:rFonts w:ascii="Calibri Light" w:hAnsi="Calibri Light" w:cs="Calibri Light"/>
          <w:sz w:val="18"/>
          <w:szCs w:val="18"/>
        </w:rPr>
        <w:endnoteRef/>
      </w:r>
      <w:r w:rsidRPr="002F4139">
        <w:rPr>
          <w:rFonts w:ascii="Calibri Light" w:hAnsi="Calibri Light" w:cs="Calibri Light"/>
          <w:sz w:val="18"/>
          <w:szCs w:val="18"/>
        </w:rPr>
        <w:t xml:space="preserve"> IOM reported that Australia’s bilateral advocacy resulted in the development of their first country level disability inclusion strategy, which has been replicated across other responses.</w:t>
      </w:r>
    </w:p>
  </w:endnote>
  <w:endnote w:id="92">
    <w:p w14:paraId="2F84967D" w14:textId="6F56E12C"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Based on the HAG compiled M&amp;E results as of 3 April 2020 and underlying assumptions/limitations.</w:t>
      </w:r>
    </w:p>
  </w:endnote>
  <w:endnote w:id="93">
    <w:p w14:paraId="0E6C7C0E" w14:textId="115C002D" w:rsidR="008206E8" w:rsidRPr="00864081" w:rsidRDefault="008206E8" w:rsidP="003A57AD">
      <w:pPr>
        <w:pStyle w:val="EndnoteText"/>
        <w:spacing w:after="0"/>
        <w:rPr>
          <w:rFonts w:ascii="Calibri Light" w:hAnsi="Calibri Light" w:cs="Calibri Light"/>
          <w:sz w:val="18"/>
          <w:szCs w:val="18"/>
        </w:rPr>
      </w:pPr>
      <w:r w:rsidRPr="00864081">
        <w:rPr>
          <w:rStyle w:val="EndnoteReference"/>
          <w:rFonts w:ascii="Calibri Light" w:hAnsi="Calibri Light" w:cs="Calibri Light"/>
          <w:sz w:val="18"/>
          <w:szCs w:val="18"/>
        </w:rPr>
        <w:endnoteRef/>
      </w:r>
      <w:r w:rsidRPr="00864081">
        <w:rPr>
          <w:rFonts w:ascii="Calibri Light" w:hAnsi="Calibri Light" w:cs="Calibri Light"/>
          <w:sz w:val="18"/>
          <w:szCs w:val="18"/>
        </w:rPr>
        <w:t xml:space="preserve"> Foreign Minister Marise Payne Speech to the UN Human Rights Council 25 Februar</w:t>
      </w:r>
      <w:r>
        <w:rPr>
          <w:rFonts w:ascii="Calibri Light" w:hAnsi="Calibri Light" w:cs="Calibri Light"/>
          <w:sz w:val="18"/>
          <w:szCs w:val="18"/>
        </w:rPr>
        <w:t xml:space="preserve">y 2019 </w:t>
      </w:r>
      <w:hyperlink r:id="rId52" w:history="1">
        <w:r w:rsidRPr="00864081">
          <w:rPr>
            <w:rStyle w:val="Hyperlink"/>
            <w:rFonts w:ascii="Calibri Light" w:hAnsi="Calibri Light" w:cs="Calibri Light"/>
            <w:sz w:val="18"/>
            <w:szCs w:val="18"/>
          </w:rPr>
          <w:t>https://www.foreignminister.gov.au/minister/marise-payne/speech/un-human-rights-council</w:t>
        </w:r>
      </w:hyperlink>
      <w:r>
        <w:rPr>
          <w:rFonts w:ascii="Calibri Light" w:hAnsi="Calibri Light" w:cs="Calibri Light"/>
          <w:sz w:val="18"/>
          <w:szCs w:val="18"/>
        </w:rPr>
        <w:t>.</w:t>
      </w:r>
    </w:p>
  </w:endnote>
  <w:endnote w:id="94">
    <w:p w14:paraId="15F8604E" w14:textId="77777777" w:rsidR="008206E8" w:rsidRPr="00EE2C7C" w:rsidRDefault="008206E8" w:rsidP="003A57AD">
      <w:pPr>
        <w:pStyle w:val="EndnoteText"/>
        <w:spacing w:after="0"/>
        <w:rPr>
          <w:rFonts w:ascii="Calibri Light" w:hAnsi="Calibri Light" w:cs="Calibri Light"/>
          <w:sz w:val="18"/>
          <w:szCs w:val="18"/>
        </w:rPr>
      </w:pPr>
      <w:r w:rsidRPr="00EE2C7C">
        <w:rPr>
          <w:rStyle w:val="EndnoteReference"/>
          <w:rFonts w:ascii="Calibri Light" w:hAnsi="Calibri Light" w:cs="Calibri Light"/>
          <w:sz w:val="18"/>
          <w:szCs w:val="18"/>
        </w:rPr>
        <w:endnoteRef/>
      </w:r>
      <w:r w:rsidRPr="00EE2C7C">
        <w:rPr>
          <w:rFonts w:ascii="Calibri Light" w:hAnsi="Calibri Light" w:cs="Calibri Light"/>
          <w:sz w:val="18"/>
          <w:szCs w:val="18"/>
        </w:rPr>
        <w:t xml:space="preserve"> </w:t>
      </w:r>
      <w:r w:rsidRPr="002F4139">
        <w:rPr>
          <w:rFonts w:ascii="Calibri Light" w:hAnsi="Calibri Light" w:cs="Calibri Light"/>
          <w:sz w:val="18"/>
          <w:szCs w:val="18"/>
        </w:rPr>
        <w:t>This includes Canada, United Kingdom, Norway and Sweden.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FB4AF" w14:textId="77777777" w:rsidR="008206E8" w:rsidRDefault="008206E8">
    <w:pPr>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276FE" w14:textId="77777777" w:rsidR="008206E8" w:rsidRDefault="008206E8">
    <w:pPr>
      <w:autoSpaceDE w:val="0"/>
      <w:autoSpaceDN w:val="0"/>
      <w:adjustRightInd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FF3C7" w14:textId="77777777" w:rsidR="008206E8" w:rsidRDefault="008206E8" w:rsidP="003E6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FA87A8" w14:textId="77777777" w:rsidR="008206E8" w:rsidRDefault="008206E8" w:rsidP="003E66BD">
    <w:pPr>
      <w:autoSpaceDE w:val="0"/>
      <w:autoSpaceDN w:val="0"/>
      <w:adjustRightInd w:val="0"/>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8C5D1" w14:textId="77777777" w:rsidR="008206E8" w:rsidRDefault="008206E8" w:rsidP="003E66BD">
    <w:pPr>
      <w:autoSpaceDE w:val="0"/>
      <w:autoSpaceDN w:val="0"/>
      <w:adjustRightInd w:val="0"/>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AB13E" w14:textId="2192729D" w:rsidR="008206E8" w:rsidRDefault="008206E8" w:rsidP="009F01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726EA429" w14:textId="77777777" w:rsidR="008206E8" w:rsidRDefault="008206E8" w:rsidP="009F016D">
    <w:pPr>
      <w:autoSpaceDE w:val="0"/>
      <w:autoSpaceDN w:val="0"/>
      <w:adjustRightInd w:val="0"/>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B1389" w14:textId="788351C6" w:rsidR="008206E8" w:rsidRDefault="008206E8" w:rsidP="00A010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14:paraId="44CC7DC4" w14:textId="77777777" w:rsidR="008206E8" w:rsidRDefault="008206E8" w:rsidP="003E66BD">
    <w:pPr>
      <w:autoSpaceDE w:val="0"/>
      <w:autoSpaceDN w:val="0"/>
      <w:adjustRightInd w:val="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9270A" w14:textId="77777777" w:rsidR="008206E8" w:rsidRDefault="008206E8" w:rsidP="00FD1886">
      <w:r>
        <w:separator/>
      </w:r>
    </w:p>
  </w:footnote>
  <w:footnote w:type="continuationSeparator" w:id="0">
    <w:p w14:paraId="4BACD1CA" w14:textId="77777777" w:rsidR="008206E8" w:rsidRDefault="008206E8" w:rsidP="00FD1886">
      <w:r>
        <w:continuationSeparator/>
      </w:r>
    </w:p>
  </w:footnote>
  <w:footnote w:id="1">
    <w:p w14:paraId="60524E64" w14:textId="70A7A6CC" w:rsidR="008206E8" w:rsidRPr="006A40BE" w:rsidRDefault="008206E8" w:rsidP="00D837E0">
      <w:pPr>
        <w:pStyle w:val="FootnoteText"/>
        <w:spacing w:after="0"/>
        <w:rPr>
          <w:sz w:val="18"/>
          <w:szCs w:val="18"/>
        </w:rPr>
      </w:pPr>
      <w:r w:rsidRPr="006A40BE">
        <w:rPr>
          <w:rStyle w:val="FootnoteReference"/>
          <w:sz w:val="18"/>
          <w:szCs w:val="18"/>
        </w:rPr>
        <w:footnoteRef/>
      </w:r>
      <w:r w:rsidRPr="006A40BE">
        <w:rPr>
          <w:sz w:val="18"/>
          <w:szCs w:val="18"/>
        </w:rPr>
        <w:t xml:space="preserve"> Iraq Humanitarian Response Plan 2017; UNICEF Iraq Monthly Humanitarian Situation Report, September 2017</w:t>
      </w:r>
      <w:r>
        <w:rPr>
          <w:sz w:val="18"/>
          <w:szCs w:val="18"/>
        </w:rPr>
        <w:t xml:space="preserve">. </w:t>
      </w:r>
      <w:r w:rsidRPr="006A40BE">
        <w:rPr>
          <w:sz w:val="18"/>
          <w:szCs w:val="18"/>
        </w:rPr>
        <w:t xml:space="preserve"> </w:t>
      </w:r>
      <w:r>
        <w:rPr>
          <w:sz w:val="18"/>
          <w:szCs w:val="18"/>
        </w:rPr>
        <w:t xml:space="preserve"> </w:t>
      </w:r>
    </w:p>
  </w:footnote>
  <w:footnote w:id="2">
    <w:p w14:paraId="50963A2E" w14:textId="427EBBCD" w:rsidR="008206E8" w:rsidRPr="006A40BE" w:rsidRDefault="008206E8" w:rsidP="00D837E0">
      <w:pPr>
        <w:pStyle w:val="FootnoteText"/>
        <w:spacing w:after="0"/>
        <w:rPr>
          <w:sz w:val="18"/>
          <w:szCs w:val="18"/>
        </w:rPr>
      </w:pPr>
      <w:r w:rsidRPr="006A40BE">
        <w:rPr>
          <w:rStyle w:val="FootnoteReference"/>
          <w:sz w:val="18"/>
          <w:szCs w:val="18"/>
        </w:rPr>
        <w:footnoteRef/>
      </w:r>
      <w:r w:rsidRPr="006A40BE">
        <w:rPr>
          <w:sz w:val="18"/>
          <w:szCs w:val="18"/>
        </w:rPr>
        <w:t xml:space="preserve"> Iraq Body Count Database, </w:t>
      </w:r>
      <w:hyperlink r:id="rId1" w:history="1">
        <w:r w:rsidRPr="007E09CB">
          <w:rPr>
            <w:rStyle w:val="Hyperlink"/>
            <w:sz w:val="18"/>
            <w:szCs w:val="18"/>
          </w:rPr>
          <w:t>https://www.iraqbodycount.org/database/</w:t>
        </w:r>
      </w:hyperlink>
      <w:r w:rsidRPr="006A40BE">
        <w:rPr>
          <w:sz w:val="18"/>
          <w:szCs w:val="18"/>
        </w:rPr>
        <w:t>, accessed 31 October 2017</w:t>
      </w:r>
      <w:r>
        <w:rPr>
          <w:sz w:val="18"/>
          <w:szCs w:val="18"/>
        </w:rPr>
        <w:t>.</w:t>
      </w:r>
    </w:p>
  </w:footnote>
  <w:footnote w:id="3">
    <w:p w14:paraId="2E42C71C" w14:textId="2EA64EDC" w:rsidR="008206E8" w:rsidRPr="006A40BE" w:rsidRDefault="008206E8" w:rsidP="00D837E0">
      <w:pPr>
        <w:pStyle w:val="FootnoteText"/>
        <w:spacing w:after="0"/>
        <w:rPr>
          <w:sz w:val="18"/>
          <w:szCs w:val="18"/>
        </w:rPr>
      </w:pPr>
      <w:r w:rsidRPr="006A40BE">
        <w:rPr>
          <w:rStyle w:val="FootnoteReference"/>
          <w:sz w:val="18"/>
          <w:szCs w:val="18"/>
        </w:rPr>
        <w:footnoteRef/>
      </w:r>
      <w:r w:rsidRPr="006A40BE">
        <w:rPr>
          <w:sz w:val="18"/>
          <w:szCs w:val="18"/>
        </w:rPr>
        <w:t xml:space="preserve"> IOM Displacement Tracking Matrix, accessed 31 October 2017</w:t>
      </w:r>
      <w:r>
        <w:rPr>
          <w:sz w:val="18"/>
          <w:szCs w:val="18"/>
        </w:rPr>
        <w:t>.</w:t>
      </w:r>
    </w:p>
  </w:footnote>
  <w:footnote w:id="4">
    <w:p w14:paraId="52DD5330" w14:textId="6E0F4C6F" w:rsidR="008206E8" w:rsidRPr="006A40BE" w:rsidRDefault="008206E8" w:rsidP="00F72EA1">
      <w:pPr>
        <w:pStyle w:val="FootnoteText"/>
        <w:rPr>
          <w:sz w:val="18"/>
          <w:szCs w:val="18"/>
        </w:rPr>
      </w:pPr>
      <w:r w:rsidRPr="006A40BE">
        <w:rPr>
          <w:rStyle w:val="FootnoteReference"/>
          <w:sz w:val="18"/>
          <w:szCs w:val="18"/>
        </w:rPr>
        <w:footnoteRef/>
      </w:r>
      <w:r w:rsidRPr="006A40BE">
        <w:rPr>
          <w:sz w:val="18"/>
          <w:szCs w:val="18"/>
        </w:rPr>
        <w:t xml:space="preserve"> See </w:t>
      </w:r>
      <w:hyperlink r:id="rId2" w:history="1">
        <w:r w:rsidRPr="006A40BE">
          <w:rPr>
            <w:rStyle w:val="Hyperlink"/>
            <w:sz w:val="18"/>
            <w:szCs w:val="18"/>
          </w:rPr>
          <w:t>http://dfat.gov.au/about-us/publications/Documents/dfat-humanitarian-strategy.pdf</w:t>
        </w:r>
      </w:hyperlink>
      <w:r>
        <w:rPr>
          <w:sz w:val="18"/>
          <w:szCs w:val="18"/>
        </w:rPr>
        <w:t>.</w:t>
      </w:r>
    </w:p>
  </w:footnote>
  <w:footnote w:id="5">
    <w:p w14:paraId="0FCD465C" w14:textId="2C3C592F" w:rsidR="008206E8" w:rsidRPr="00416641" w:rsidRDefault="008206E8" w:rsidP="002D7861">
      <w:pPr>
        <w:pStyle w:val="FootnoteText"/>
        <w:spacing w:after="0"/>
        <w:rPr>
          <w:sz w:val="18"/>
          <w:szCs w:val="18"/>
        </w:rPr>
      </w:pPr>
      <w:r w:rsidRPr="00416641">
        <w:rPr>
          <w:rStyle w:val="FootnoteReference"/>
          <w:sz w:val="18"/>
          <w:szCs w:val="18"/>
        </w:rPr>
        <w:footnoteRef/>
      </w:r>
      <w:r w:rsidRPr="00416641">
        <w:rPr>
          <w:sz w:val="18"/>
          <w:szCs w:val="18"/>
        </w:rPr>
        <w:t xml:space="preserve"> IOM Displacement Tracking Matrix, accessed 31 October 2017</w:t>
      </w:r>
      <w:r>
        <w:rPr>
          <w:sz w:val="18"/>
          <w:szCs w:val="18"/>
        </w:rPr>
        <w:t>.</w:t>
      </w:r>
    </w:p>
  </w:footnote>
  <w:footnote w:id="6">
    <w:p w14:paraId="5110FCCE" w14:textId="77287416" w:rsidR="008206E8" w:rsidRPr="00416641" w:rsidRDefault="008206E8" w:rsidP="002D7861">
      <w:pPr>
        <w:pStyle w:val="FootnoteText"/>
        <w:spacing w:after="0"/>
        <w:rPr>
          <w:sz w:val="18"/>
          <w:szCs w:val="18"/>
        </w:rPr>
      </w:pPr>
      <w:r w:rsidRPr="00416641">
        <w:rPr>
          <w:rStyle w:val="FootnoteReference"/>
          <w:sz w:val="18"/>
          <w:szCs w:val="18"/>
        </w:rPr>
        <w:footnoteRef/>
      </w:r>
      <w:r w:rsidRPr="00416641">
        <w:rPr>
          <w:sz w:val="18"/>
          <w:szCs w:val="18"/>
        </w:rPr>
        <w:t xml:space="preserve"> </w:t>
      </w:r>
      <w:hyperlink r:id="rId3" w:history="1">
        <w:r w:rsidRPr="00416641">
          <w:rPr>
            <w:rStyle w:val="Hyperlink"/>
            <w:sz w:val="18"/>
            <w:szCs w:val="18"/>
          </w:rPr>
          <w:t>https://reliefweb.int/report/iraq/iraq-humanitarian-needs-overview-2020-november-2019-enarku</w:t>
        </w:r>
      </w:hyperlink>
      <w:r>
        <w:rPr>
          <w:sz w:val="18"/>
          <w:szCs w:val="18"/>
        </w:rPr>
        <w:t>.</w:t>
      </w:r>
    </w:p>
  </w:footnote>
  <w:footnote w:id="7">
    <w:p w14:paraId="13BF4C52" w14:textId="7BC036D6" w:rsidR="008206E8" w:rsidRPr="00416641" w:rsidRDefault="008206E8" w:rsidP="002D7861">
      <w:pPr>
        <w:pStyle w:val="FootnoteText"/>
        <w:spacing w:after="0"/>
        <w:rPr>
          <w:sz w:val="18"/>
          <w:szCs w:val="18"/>
        </w:rPr>
      </w:pPr>
      <w:r w:rsidRPr="00416641">
        <w:rPr>
          <w:rStyle w:val="FootnoteReference"/>
          <w:sz w:val="18"/>
          <w:szCs w:val="18"/>
        </w:rPr>
        <w:footnoteRef/>
      </w:r>
      <w:r>
        <w:rPr>
          <w:sz w:val="18"/>
          <w:szCs w:val="18"/>
        </w:rPr>
        <w:t xml:space="preserve"> </w:t>
      </w:r>
      <w:hyperlink r:id="rId4" w:history="1">
        <w:r w:rsidRPr="002D7C97">
          <w:rPr>
            <w:rStyle w:val="Hyperlink"/>
            <w:sz w:val="18"/>
            <w:szCs w:val="18"/>
          </w:rPr>
          <w:t>https://reliefweb.int/sites/reliefweb.int/files/resources/Iraq_HNO_2020-Summary%5BEN%5D%20%281%29.pdf</w:t>
        </w:r>
      </w:hyperlink>
      <w:r>
        <w:rPr>
          <w:sz w:val="18"/>
          <w:szCs w:val="18"/>
        </w:rPr>
        <w:t>.</w:t>
      </w:r>
    </w:p>
  </w:footnote>
  <w:footnote w:id="8">
    <w:p w14:paraId="2CDFA554" w14:textId="7AA16C6D" w:rsidR="008206E8" w:rsidRDefault="008206E8" w:rsidP="002D7861">
      <w:pPr>
        <w:pStyle w:val="FootnoteText"/>
        <w:spacing w:after="0"/>
      </w:pPr>
      <w:r w:rsidRPr="00416641">
        <w:rPr>
          <w:rStyle w:val="FootnoteReference"/>
          <w:sz w:val="18"/>
          <w:szCs w:val="18"/>
        </w:rPr>
        <w:footnoteRef/>
      </w:r>
      <w:r w:rsidRPr="00416641">
        <w:rPr>
          <w:sz w:val="18"/>
          <w:szCs w:val="18"/>
        </w:rPr>
        <w:t xml:space="preserve"> </w:t>
      </w:r>
      <w:hyperlink r:id="rId5" w:history="1">
        <w:r w:rsidRPr="00416641">
          <w:rPr>
            <w:rStyle w:val="Hyperlink"/>
            <w:sz w:val="18"/>
            <w:szCs w:val="18"/>
          </w:rPr>
          <w:t>https://reliefweb.int/sites/reliefweb.int/files/resources/Iraq_HNO_2020-Summary%5BEN%5D%20%281%29.pdf</w:t>
        </w:r>
      </w:hyperlink>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3AA39" w14:textId="77BD3AF2" w:rsidR="008206E8" w:rsidRDefault="008206E8">
    <w:pPr>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DA0CB" w14:textId="318B4B67" w:rsidR="008206E8" w:rsidRDefault="008206E8">
    <w:pPr>
      <w:autoSpaceDE w:val="0"/>
      <w:autoSpaceDN w:val="0"/>
      <w:adjustRightInd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25FAF" w14:textId="57DC2A10" w:rsidR="008206E8" w:rsidRDefault="008206E8">
    <w:pPr>
      <w:autoSpaceDE w:val="0"/>
      <w:autoSpaceDN w:val="0"/>
      <w:adjustRightInd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CAA6B" w14:textId="34468D31" w:rsidR="008206E8" w:rsidRDefault="008206E8">
    <w:pPr>
      <w:autoSpaceDE w:val="0"/>
      <w:autoSpaceDN w:val="0"/>
      <w:adjustRightInd w:v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21EAB" w14:textId="47D88110" w:rsidR="008206E8" w:rsidRDefault="00820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57811"/>
    <w:multiLevelType w:val="multilevel"/>
    <w:tmpl w:val="192C2B0E"/>
    <w:lvl w:ilvl="0">
      <w:start w:val="1"/>
      <w:numFmt w:val="decimal"/>
      <w:lvlText w:val="%1."/>
      <w:lvlJc w:val="left"/>
      <w:pPr>
        <w:ind w:left="361" w:hanging="360"/>
      </w:pPr>
      <w:rPr>
        <w:rFonts w:hint="default"/>
        <w:sz w:val="60"/>
        <w:szCs w:val="60"/>
      </w:rPr>
    </w:lvl>
    <w:lvl w:ilvl="1">
      <w:start w:val="1"/>
      <w:numFmt w:val="decimal"/>
      <w:isLgl/>
      <w:lvlText w:val="%1.%2"/>
      <w:lvlJc w:val="left"/>
      <w:pPr>
        <w:ind w:left="361" w:hanging="360"/>
      </w:pPr>
      <w:rPr>
        <w:rFonts w:hint="default"/>
      </w:rPr>
    </w:lvl>
    <w:lvl w:ilvl="2">
      <w:start w:val="1"/>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441" w:hanging="144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801" w:hanging="1800"/>
      </w:pPr>
      <w:rPr>
        <w:rFonts w:hint="default"/>
      </w:rPr>
    </w:lvl>
    <w:lvl w:ilvl="8">
      <w:start w:val="1"/>
      <w:numFmt w:val="decimal"/>
      <w:isLgl/>
      <w:lvlText w:val="%1.%2.%3.%4.%5.%6.%7.%8.%9"/>
      <w:lvlJc w:val="left"/>
      <w:pPr>
        <w:ind w:left="1801" w:hanging="1800"/>
      </w:pPr>
      <w:rPr>
        <w:rFonts w:hint="default"/>
      </w:rPr>
    </w:lvl>
  </w:abstractNum>
  <w:abstractNum w:abstractNumId="1" w15:restartNumberingAfterBreak="0">
    <w:nsid w:val="05647628"/>
    <w:multiLevelType w:val="hybridMultilevel"/>
    <w:tmpl w:val="46966FF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7970D7"/>
    <w:multiLevelType w:val="hybridMultilevel"/>
    <w:tmpl w:val="DB087B26"/>
    <w:lvl w:ilvl="0" w:tplc="0809000F">
      <w:start w:val="1"/>
      <w:numFmt w:val="decimal"/>
      <w:lvlText w:val="%1."/>
      <w:lvlJc w:val="left"/>
      <w:pPr>
        <w:ind w:left="720" w:hanging="360"/>
      </w:pPr>
      <w:rPr>
        <w:rFonts w:hint="default"/>
      </w:r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E80500"/>
    <w:multiLevelType w:val="hybridMultilevel"/>
    <w:tmpl w:val="1A2087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C33523"/>
    <w:multiLevelType w:val="hybridMultilevel"/>
    <w:tmpl w:val="E098C61C"/>
    <w:lvl w:ilvl="0" w:tplc="08090005">
      <w:start w:val="1"/>
      <w:numFmt w:val="bullet"/>
      <w:lvlText w:val=""/>
      <w:lvlJc w:val="left"/>
      <w:pPr>
        <w:ind w:left="108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86C6D"/>
    <w:multiLevelType w:val="hybridMultilevel"/>
    <w:tmpl w:val="BB6E14A4"/>
    <w:lvl w:ilvl="0" w:tplc="7B0CEA1C">
      <w:start w:val="1"/>
      <w:numFmt w:val="bullet"/>
      <w:pStyle w:val="Bullets"/>
      <w:lvlText w:val=""/>
      <w:lvlJc w:val="left"/>
      <w:pPr>
        <w:tabs>
          <w:tab w:val="num" w:pos="454"/>
        </w:tabs>
        <w:ind w:left="454" w:hanging="341"/>
      </w:pPr>
      <w:rPr>
        <w:rFonts w:ascii="Symbol" w:hAnsi="Symbol" w:hint="default"/>
        <w:b w:val="0"/>
        <w:i w:val="0"/>
        <w:color w:val="AB0534"/>
        <w:sz w:val="18"/>
      </w:rPr>
    </w:lvl>
    <w:lvl w:ilvl="1" w:tplc="AE8821F8">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8F353F"/>
    <w:multiLevelType w:val="hybridMultilevel"/>
    <w:tmpl w:val="D5128DF8"/>
    <w:lvl w:ilvl="0" w:tplc="D66CA2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7F4987"/>
    <w:multiLevelType w:val="hybridMultilevel"/>
    <w:tmpl w:val="2A1A80C6"/>
    <w:lvl w:ilvl="0" w:tplc="A82647F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86459A"/>
    <w:multiLevelType w:val="hybridMultilevel"/>
    <w:tmpl w:val="A0600E80"/>
    <w:lvl w:ilvl="0" w:tplc="BF083D5E">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9" w15:restartNumberingAfterBreak="0">
    <w:nsid w:val="17B65F5B"/>
    <w:multiLevelType w:val="hybridMultilevel"/>
    <w:tmpl w:val="21562E86"/>
    <w:lvl w:ilvl="0" w:tplc="568ED6C0">
      <w:start w:val="1"/>
      <w:numFmt w:val="decimal"/>
      <w:pStyle w:val="Numbers"/>
      <w:lvlText w:val="%1."/>
      <w:lvlJc w:val="left"/>
      <w:pPr>
        <w:tabs>
          <w:tab w:val="num" w:pos="454"/>
        </w:tabs>
        <w:ind w:left="454" w:hanging="34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E8821F8">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9B31F8E"/>
    <w:multiLevelType w:val="hybridMultilevel"/>
    <w:tmpl w:val="7974BC96"/>
    <w:lvl w:ilvl="0" w:tplc="4E0EC1DA">
      <w:start w:val="1"/>
      <w:numFmt w:val="bullet"/>
      <w:pStyle w:val="bullets0"/>
      <w:lvlText w:val=""/>
      <w:lvlJc w:val="left"/>
      <w:pPr>
        <w:ind w:left="896" w:hanging="360"/>
      </w:pPr>
      <w:rPr>
        <w:rFonts w:ascii="Symbol" w:hAnsi="Symbol" w:hint="default"/>
      </w:rPr>
    </w:lvl>
    <w:lvl w:ilvl="1" w:tplc="08090003">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1" w15:restartNumberingAfterBreak="0">
    <w:nsid w:val="1AD0604B"/>
    <w:multiLevelType w:val="hybridMultilevel"/>
    <w:tmpl w:val="02A23ACA"/>
    <w:lvl w:ilvl="0" w:tplc="08090017">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5516D0"/>
    <w:multiLevelType w:val="multilevel"/>
    <w:tmpl w:val="192C2B0E"/>
    <w:lvl w:ilvl="0">
      <w:start w:val="1"/>
      <w:numFmt w:val="decimal"/>
      <w:lvlText w:val="%1."/>
      <w:lvlJc w:val="left"/>
      <w:pPr>
        <w:ind w:left="360" w:hanging="360"/>
      </w:pPr>
      <w:rPr>
        <w:rFonts w:hint="default"/>
        <w:sz w:val="60"/>
        <w:szCs w:val="6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7FB776C"/>
    <w:multiLevelType w:val="multilevel"/>
    <w:tmpl w:val="EBD86F40"/>
    <w:lvl w:ilvl="0">
      <w:start w:val="1"/>
      <w:numFmt w:val="decimal"/>
      <w:suff w:val="space"/>
      <w:lvlText w:val="%1."/>
      <w:lvlJc w:val="left"/>
      <w:pPr>
        <w:ind w:left="680" w:hanging="680"/>
      </w:pPr>
      <w:rPr>
        <w:rFonts w:hint="default"/>
        <w:sz w:val="56"/>
        <w:szCs w:val="60"/>
      </w:rPr>
    </w:lvl>
    <w:lvl w:ilvl="1">
      <w:start w:val="1"/>
      <w:numFmt w:val="decimal"/>
      <w:isLgl/>
      <w:lvlText w:val="%1.%2"/>
      <w:lvlJc w:val="left"/>
      <w:pPr>
        <w:ind w:left="680" w:hanging="680"/>
      </w:pPr>
      <w:rPr>
        <w:rFonts w:hint="default"/>
        <w:sz w:val="40"/>
      </w:rPr>
    </w:lvl>
    <w:lvl w:ilvl="2">
      <w:start w:val="1"/>
      <w:numFmt w:val="decimal"/>
      <w:isLgl/>
      <w:lvlText w:val="%1.%2.%3"/>
      <w:lvlJc w:val="left"/>
      <w:pPr>
        <w:ind w:left="680" w:hanging="680"/>
      </w:pPr>
      <w:rPr>
        <w:rFonts w:hint="default"/>
      </w:rPr>
    </w:lvl>
    <w:lvl w:ilvl="3">
      <w:start w:val="1"/>
      <w:numFmt w:val="decimal"/>
      <w:isLgl/>
      <w:lvlText w:val="%1.%2.%3.%4"/>
      <w:lvlJc w:val="left"/>
      <w:pPr>
        <w:ind w:left="680" w:hanging="680"/>
      </w:pPr>
      <w:rPr>
        <w:rFonts w:hint="default"/>
      </w:rPr>
    </w:lvl>
    <w:lvl w:ilvl="4">
      <w:start w:val="1"/>
      <w:numFmt w:val="decimal"/>
      <w:isLgl/>
      <w:lvlText w:val="%1.%2.%3.%4.%5"/>
      <w:lvlJc w:val="left"/>
      <w:pPr>
        <w:ind w:left="680" w:hanging="680"/>
      </w:pPr>
      <w:rPr>
        <w:rFonts w:hint="default"/>
      </w:rPr>
    </w:lvl>
    <w:lvl w:ilvl="5">
      <w:start w:val="1"/>
      <w:numFmt w:val="decimal"/>
      <w:isLgl/>
      <w:lvlText w:val="%1.%2.%3.%4.%5.%6"/>
      <w:lvlJc w:val="left"/>
      <w:pPr>
        <w:ind w:left="680" w:hanging="680"/>
      </w:pPr>
      <w:rPr>
        <w:rFonts w:hint="default"/>
      </w:rPr>
    </w:lvl>
    <w:lvl w:ilvl="6">
      <w:start w:val="1"/>
      <w:numFmt w:val="decimal"/>
      <w:isLgl/>
      <w:lvlText w:val="%1.%2.%3.%4.%5.%6.%7"/>
      <w:lvlJc w:val="left"/>
      <w:pPr>
        <w:ind w:left="680" w:hanging="680"/>
      </w:pPr>
      <w:rPr>
        <w:rFonts w:hint="default"/>
      </w:rPr>
    </w:lvl>
    <w:lvl w:ilvl="7">
      <w:start w:val="1"/>
      <w:numFmt w:val="decimal"/>
      <w:isLgl/>
      <w:lvlText w:val="%1.%2.%3.%4.%5.%6.%7.%8"/>
      <w:lvlJc w:val="left"/>
      <w:pPr>
        <w:ind w:left="680" w:hanging="680"/>
      </w:pPr>
      <w:rPr>
        <w:rFonts w:hint="default"/>
      </w:rPr>
    </w:lvl>
    <w:lvl w:ilvl="8">
      <w:start w:val="1"/>
      <w:numFmt w:val="decimal"/>
      <w:isLgl/>
      <w:lvlText w:val="%1.%2.%3.%4.%5.%6.%7.%8.%9"/>
      <w:lvlJc w:val="left"/>
      <w:pPr>
        <w:ind w:left="680" w:hanging="680"/>
      </w:pPr>
      <w:rPr>
        <w:rFonts w:hint="default"/>
      </w:rPr>
    </w:lvl>
  </w:abstractNum>
  <w:abstractNum w:abstractNumId="14" w15:restartNumberingAfterBreak="0">
    <w:nsid w:val="2A4841C3"/>
    <w:multiLevelType w:val="hybridMultilevel"/>
    <w:tmpl w:val="297E1994"/>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070075"/>
    <w:multiLevelType w:val="hybridMultilevel"/>
    <w:tmpl w:val="711480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A1799"/>
    <w:multiLevelType w:val="hybridMultilevel"/>
    <w:tmpl w:val="E45A0E5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6592D16"/>
    <w:multiLevelType w:val="hybridMultilevel"/>
    <w:tmpl w:val="D93EC9C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7D46FD0"/>
    <w:multiLevelType w:val="multilevel"/>
    <w:tmpl w:val="192C2B0E"/>
    <w:lvl w:ilvl="0">
      <w:start w:val="1"/>
      <w:numFmt w:val="decimal"/>
      <w:lvlText w:val="%1."/>
      <w:lvlJc w:val="left"/>
      <w:pPr>
        <w:ind w:left="360" w:hanging="360"/>
      </w:pPr>
      <w:rPr>
        <w:rFonts w:hint="default"/>
        <w:sz w:val="60"/>
        <w:szCs w:val="6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A157198"/>
    <w:multiLevelType w:val="hybridMultilevel"/>
    <w:tmpl w:val="38CC71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F6084D"/>
    <w:multiLevelType w:val="hybridMultilevel"/>
    <w:tmpl w:val="2862AF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DE2C52"/>
    <w:multiLevelType w:val="hybridMultilevel"/>
    <w:tmpl w:val="EE42192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5D00B5A"/>
    <w:multiLevelType w:val="hybridMultilevel"/>
    <w:tmpl w:val="CAACB6D6"/>
    <w:lvl w:ilvl="0" w:tplc="B4C0C8EC">
      <w:start w:val="1"/>
      <w:numFmt w:val="decimal"/>
      <w:lvlText w:val="%1."/>
      <w:lvlJc w:val="left"/>
      <w:pPr>
        <w:ind w:left="720" w:hanging="360"/>
      </w:pPr>
      <w:rPr>
        <w:b w:val="0"/>
        <w:bCs/>
        <w:color w:val="4F6228" w:themeColor="accent3" w:themeShade="8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F91C1F"/>
    <w:multiLevelType w:val="hybridMultilevel"/>
    <w:tmpl w:val="1CFA2CEE"/>
    <w:lvl w:ilvl="0" w:tplc="04090017">
      <w:start w:val="1"/>
      <w:numFmt w:val="lowerLetter"/>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8AB7D38"/>
    <w:multiLevelType w:val="hybridMultilevel"/>
    <w:tmpl w:val="4412B6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D2301C"/>
    <w:multiLevelType w:val="hybridMultilevel"/>
    <w:tmpl w:val="160057B0"/>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3E10BA"/>
    <w:multiLevelType w:val="hybridMultilevel"/>
    <w:tmpl w:val="0EEE06EC"/>
    <w:lvl w:ilvl="0" w:tplc="E99EF6A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975AA4"/>
    <w:multiLevelType w:val="hybridMultilevel"/>
    <w:tmpl w:val="7960D81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F238C0"/>
    <w:multiLevelType w:val="hybridMultilevel"/>
    <w:tmpl w:val="A9C6B5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91BBE"/>
    <w:multiLevelType w:val="hybridMultilevel"/>
    <w:tmpl w:val="E58810D6"/>
    <w:lvl w:ilvl="0" w:tplc="0C090001">
      <w:start w:val="1"/>
      <w:numFmt w:val="bullet"/>
      <w:lvlText w:val=""/>
      <w:lvlJc w:val="left"/>
      <w:pPr>
        <w:ind w:left="2188" w:hanging="360"/>
      </w:pPr>
      <w:rPr>
        <w:rFonts w:ascii="Symbol" w:hAnsi="Symbol" w:hint="default"/>
      </w:rPr>
    </w:lvl>
    <w:lvl w:ilvl="1" w:tplc="0C090003" w:tentative="1">
      <w:start w:val="1"/>
      <w:numFmt w:val="bullet"/>
      <w:lvlText w:val="o"/>
      <w:lvlJc w:val="left"/>
      <w:pPr>
        <w:ind w:left="2908" w:hanging="360"/>
      </w:pPr>
      <w:rPr>
        <w:rFonts w:ascii="Courier New" w:hAnsi="Courier New" w:cs="Courier New" w:hint="default"/>
      </w:rPr>
    </w:lvl>
    <w:lvl w:ilvl="2" w:tplc="0C090005" w:tentative="1">
      <w:start w:val="1"/>
      <w:numFmt w:val="bullet"/>
      <w:lvlText w:val=""/>
      <w:lvlJc w:val="left"/>
      <w:pPr>
        <w:ind w:left="3628" w:hanging="360"/>
      </w:pPr>
      <w:rPr>
        <w:rFonts w:ascii="Wingdings" w:hAnsi="Wingdings" w:hint="default"/>
      </w:rPr>
    </w:lvl>
    <w:lvl w:ilvl="3" w:tplc="0C090001" w:tentative="1">
      <w:start w:val="1"/>
      <w:numFmt w:val="bullet"/>
      <w:lvlText w:val=""/>
      <w:lvlJc w:val="left"/>
      <w:pPr>
        <w:ind w:left="4348" w:hanging="360"/>
      </w:pPr>
      <w:rPr>
        <w:rFonts w:ascii="Symbol" w:hAnsi="Symbol" w:hint="default"/>
      </w:rPr>
    </w:lvl>
    <w:lvl w:ilvl="4" w:tplc="0C090003" w:tentative="1">
      <w:start w:val="1"/>
      <w:numFmt w:val="bullet"/>
      <w:lvlText w:val="o"/>
      <w:lvlJc w:val="left"/>
      <w:pPr>
        <w:ind w:left="5068" w:hanging="360"/>
      </w:pPr>
      <w:rPr>
        <w:rFonts w:ascii="Courier New" w:hAnsi="Courier New" w:cs="Courier New" w:hint="default"/>
      </w:rPr>
    </w:lvl>
    <w:lvl w:ilvl="5" w:tplc="0C090005" w:tentative="1">
      <w:start w:val="1"/>
      <w:numFmt w:val="bullet"/>
      <w:lvlText w:val=""/>
      <w:lvlJc w:val="left"/>
      <w:pPr>
        <w:ind w:left="5788" w:hanging="360"/>
      </w:pPr>
      <w:rPr>
        <w:rFonts w:ascii="Wingdings" w:hAnsi="Wingdings" w:hint="default"/>
      </w:rPr>
    </w:lvl>
    <w:lvl w:ilvl="6" w:tplc="0C090001" w:tentative="1">
      <w:start w:val="1"/>
      <w:numFmt w:val="bullet"/>
      <w:lvlText w:val=""/>
      <w:lvlJc w:val="left"/>
      <w:pPr>
        <w:ind w:left="6508" w:hanging="360"/>
      </w:pPr>
      <w:rPr>
        <w:rFonts w:ascii="Symbol" w:hAnsi="Symbol" w:hint="default"/>
      </w:rPr>
    </w:lvl>
    <w:lvl w:ilvl="7" w:tplc="0C090003" w:tentative="1">
      <w:start w:val="1"/>
      <w:numFmt w:val="bullet"/>
      <w:lvlText w:val="o"/>
      <w:lvlJc w:val="left"/>
      <w:pPr>
        <w:ind w:left="7228" w:hanging="360"/>
      </w:pPr>
      <w:rPr>
        <w:rFonts w:ascii="Courier New" w:hAnsi="Courier New" w:cs="Courier New" w:hint="default"/>
      </w:rPr>
    </w:lvl>
    <w:lvl w:ilvl="8" w:tplc="0C090005" w:tentative="1">
      <w:start w:val="1"/>
      <w:numFmt w:val="bullet"/>
      <w:lvlText w:val=""/>
      <w:lvlJc w:val="left"/>
      <w:pPr>
        <w:ind w:left="7948" w:hanging="360"/>
      </w:pPr>
      <w:rPr>
        <w:rFonts w:ascii="Wingdings" w:hAnsi="Wingdings" w:hint="default"/>
      </w:rPr>
    </w:lvl>
  </w:abstractNum>
  <w:abstractNum w:abstractNumId="30" w15:restartNumberingAfterBreak="0">
    <w:nsid w:val="509E16AB"/>
    <w:multiLevelType w:val="multilevel"/>
    <w:tmpl w:val="192C2B0E"/>
    <w:lvl w:ilvl="0">
      <w:start w:val="1"/>
      <w:numFmt w:val="decimal"/>
      <w:lvlText w:val="%1."/>
      <w:lvlJc w:val="left"/>
      <w:pPr>
        <w:ind w:left="360" w:hanging="360"/>
      </w:pPr>
      <w:rPr>
        <w:rFonts w:hint="default"/>
        <w:sz w:val="60"/>
        <w:szCs w:val="6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AC21DB9"/>
    <w:multiLevelType w:val="multilevel"/>
    <w:tmpl w:val="BC5A6F32"/>
    <w:lvl w:ilvl="0">
      <w:start w:val="1"/>
      <w:numFmt w:val="decimal"/>
      <w:suff w:val="space"/>
      <w:lvlText w:val="%1."/>
      <w:lvlJc w:val="left"/>
      <w:pPr>
        <w:ind w:left="680" w:hanging="680"/>
      </w:pPr>
      <w:rPr>
        <w:rFonts w:hint="default"/>
        <w:color w:val="4F6228" w:themeColor="accent3" w:themeShade="80"/>
        <w:sz w:val="56"/>
        <w:szCs w:val="60"/>
      </w:rPr>
    </w:lvl>
    <w:lvl w:ilvl="1">
      <w:start w:val="1"/>
      <w:numFmt w:val="decimal"/>
      <w:isLgl/>
      <w:lvlText w:val="%1.%2"/>
      <w:lvlJc w:val="left"/>
      <w:pPr>
        <w:ind w:left="680" w:hanging="680"/>
      </w:pPr>
      <w:rPr>
        <w:rFonts w:hint="default"/>
        <w:color w:val="auto"/>
        <w:sz w:val="40"/>
        <w:szCs w:val="40"/>
      </w:rPr>
    </w:lvl>
    <w:lvl w:ilvl="2">
      <w:start w:val="1"/>
      <w:numFmt w:val="decimal"/>
      <w:isLgl/>
      <w:lvlText w:val="%1.%2.%3"/>
      <w:lvlJc w:val="left"/>
      <w:pPr>
        <w:ind w:left="680" w:hanging="680"/>
      </w:pPr>
      <w:rPr>
        <w:rFonts w:hint="default"/>
      </w:rPr>
    </w:lvl>
    <w:lvl w:ilvl="3">
      <w:start w:val="1"/>
      <w:numFmt w:val="decimal"/>
      <w:isLgl/>
      <w:lvlText w:val="%1.%2.%3.%4"/>
      <w:lvlJc w:val="left"/>
      <w:pPr>
        <w:ind w:left="680" w:hanging="680"/>
      </w:pPr>
      <w:rPr>
        <w:rFonts w:hint="default"/>
      </w:rPr>
    </w:lvl>
    <w:lvl w:ilvl="4">
      <w:start w:val="1"/>
      <w:numFmt w:val="decimal"/>
      <w:isLgl/>
      <w:lvlText w:val="%1.%2.%3.%4.%5"/>
      <w:lvlJc w:val="left"/>
      <w:pPr>
        <w:ind w:left="680" w:hanging="680"/>
      </w:pPr>
      <w:rPr>
        <w:rFonts w:hint="default"/>
      </w:rPr>
    </w:lvl>
    <w:lvl w:ilvl="5">
      <w:start w:val="1"/>
      <w:numFmt w:val="decimal"/>
      <w:isLgl/>
      <w:lvlText w:val="%1.%2.%3.%4.%5.%6"/>
      <w:lvlJc w:val="left"/>
      <w:pPr>
        <w:ind w:left="680" w:hanging="680"/>
      </w:pPr>
      <w:rPr>
        <w:rFonts w:hint="default"/>
      </w:rPr>
    </w:lvl>
    <w:lvl w:ilvl="6">
      <w:start w:val="1"/>
      <w:numFmt w:val="decimal"/>
      <w:isLgl/>
      <w:lvlText w:val="%1.%2.%3.%4.%5.%6.%7"/>
      <w:lvlJc w:val="left"/>
      <w:pPr>
        <w:ind w:left="680" w:hanging="680"/>
      </w:pPr>
      <w:rPr>
        <w:rFonts w:hint="default"/>
      </w:rPr>
    </w:lvl>
    <w:lvl w:ilvl="7">
      <w:start w:val="1"/>
      <w:numFmt w:val="decimal"/>
      <w:isLgl/>
      <w:lvlText w:val="%1.%2.%3.%4.%5.%6.%7.%8"/>
      <w:lvlJc w:val="left"/>
      <w:pPr>
        <w:ind w:left="680" w:hanging="680"/>
      </w:pPr>
      <w:rPr>
        <w:rFonts w:hint="default"/>
      </w:rPr>
    </w:lvl>
    <w:lvl w:ilvl="8">
      <w:start w:val="1"/>
      <w:numFmt w:val="decimal"/>
      <w:isLgl/>
      <w:lvlText w:val="%1.%2.%3.%4.%5.%6.%7.%8.%9"/>
      <w:lvlJc w:val="left"/>
      <w:pPr>
        <w:ind w:left="680" w:hanging="680"/>
      </w:pPr>
      <w:rPr>
        <w:rFonts w:hint="default"/>
      </w:rPr>
    </w:lvl>
  </w:abstractNum>
  <w:abstractNum w:abstractNumId="32" w15:restartNumberingAfterBreak="0">
    <w:nsid w:val="5DC34D82"/>
    <w:multiLevelType w:val="hybridMultilevel"/>
    <w:tmpl w:val="65922A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5512DD"/>
    <w:multiLevelType w:val="multilevel"/>
    <w:tmpl w:val="92CACC74"/>
    <w:lvl w:ilvl="0">
      <w:start w:val="1"/>
      <w:numFmt w:val="decimal"/>
      <w:lvlText w:val="%1"/>
      <w:lvlJc w:val="left"/>
      <w:pPr>
        <w:ind w:left="432" w:hanging="432"/>
      </w:pPr>
    </w:lvl>
    <w:lvl w:ilvl="1">
      <w:start w:val="1"/>
      <w:numFmt w:val="lowerRoman"/>
      <w:lvlText w:val="%2)"/>
      <w:lvlJc w:val="left"/>
      <w:pPr>
        <w:ind w:left="576" w:hanging="576"/>
      </w:pPr>
      <w:rPr>
        <w:rFonts w:ascii="Calibri" w:eastAsiaTheme="majorEastAsia" w:hAnsi="Calibri" w:cs="Calibri"/>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3014677"/>
    <w:multiLevelType w:val="hybridMultilevel"/>
    <w:tmpl w:val="146A7F3A"/>
    <w:lvl w:ilvl="0" w:tplc="04090017">
      <w:start w:val="1"/>
      <w:numFmt w:val="lowerLetter"/>
      <w:lvlText w:val="%1)"/>
      <w:lvlJc w:val="lef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9C3088D"/>
    <w:multiLevelType w:val="hybridMultilevel"/>
    <w:tmpl w:val="6CCAF2C6"/>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3F18BC"/>
    <w:multiLevelType w:val="multilevel"/>
    <w:tmpl w:val="E7309C52"/>
    <w:lvl w:ilvl="0">
      <w:start w:val="1"/>
      <w:numFmt w:val="decimal"/>
      <w:pStyle w:val="Heading2"/>
      <w:lvlText w:val="%1."/>
      <w:lvlJc w:val="left"/>
      <w:pPr>
        <w:ind w:left="360" w:hanging="360"/>
      </w:pPr>
      <w:rPr>
        <w:rFonts w:hint="default"/>
        <w:sz w:val="44"/>
        <w:szCs w:val="4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F314FC3"/>
    <w:multiLevelType w:val="hybridMultilevel"/>
    <w:tmpl w:val="5AF28BA8"/>
    <w:lvl w:ilvl="0" w:tplc="D66CA246">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25"/>
  </w:num>
  <w:num w:numId="3">
    <w:abstractNumId w:val="14"/>
  </w:num>
  <w:num w:numId="4">
    <w:abstractNumId w:val="4"/>
  </w:num>
  <w:num w:numId="5">
    <w:abstractNumId w:val="31"/>
  </w:num>
  <w:num w:numId="6">
    <w:abstractNumId w:val="32"/>
  </w:num>
  <w:num w:numId="7">
    <w:abstractNumId w:val="20"/>
  </w:num>
  <w:num w:numId="8">
    <w:abstractNumId w:val="28"/>
  </w:num>
  <w:num w:numId="9">
    <w:abstractNumId w:val="27"/>
  </w:num>
  <w:num w:numId="10">
    <w:abstractNumId w:val="35"/>
  </w:num>
  <w:num w:numId="11">
    <w:abstractNumId w:val="15"/>
  </w:num>
  <w:num w:numId="12">
    <w:abstractNumId w:val="24"/>
  </w:num>
  <w:num w:numId="13">
    <w:abstractNumId w:val="7"/>
  </w:num>
  <w:num w:numId="14">
    <w:abstractNumId w:val="10"/>
  </w:num>
  <w:num w:numId="15">
    <w:abstractNumId w:val="8"/>
  </w:num>
  <w:num w:numId="16">
    <w:abstractNumId w:val="3"/>
  </w:num>
  <w:num w:numId="17">
    <w:abstractNumId w:val="17"/>
  </w:num>
  <w:num w:numId="18">
    <w:abstractNumId w:val="9"/>
  </w:num>
  <w:num w:numId="19">
    <w:abstractNumId w:val="22"/>
  </w:num>
  <w:num w:numId="20">
    <w:abstractNumId w:val="23"/>
  </w:num>
  <w:num w:numId="21">
    <w:abstractNumId w:val="19"/>
  </w:num>
  <w:num w:numId="22">
    <w:abstractNumId w:val="1"/>
  </w:num>
  <w:num w:numId="23">
    <w:abstractNumId w:val="34"/>
  </w:num>
  <w:num w:numId="24">
    <w:abstractNumId w:val="21"/>
  </w:num>
  <w:num w:numId="25">
    <w:abstractNumId w:val="16"/>
  </w:num>
  <w:num w:numId="26">
    <w:abstractNumId w:val="11"/>
  </w:num>
  <w:num w:numId="27">
    <w:abstractNumId w:val="26"/>
  </w:num>
  <w:num w:numId="28">
    <w:abstractNumId w:val="5"/>
  </w:num>
  <w:num w:numId="29">
    <w:abstractNumId w:val="33"/>
  </w:num>
  <w:num w:numId="30">
    <w:abstractNumId w:val="36"/>
  </w:num>
  <w:num w:numId="31">
    <w:abstractNumId w:val="30"/>
  </w:num>
  <w:num w:numId="32">
    <w:abstractNumId w:val="12"/>
  </w:num>
  <w:num w:numId="33">
    <w:abstractNumId w:val="18"/>
  </w:num>
  <w:num w:numId="34">
    <w:abstractNumId w:val="6"/>
  </w:num>
  <w:num w:numId="35">
    <w:abstractNumId w:val="37"/>
  </w:num>
  <w:num w:numId="36">
    <w:abstractNumId w:val="0"/>
  </w:num>
  <w:num w:numId="37">
    <w:abstractNumId w:val="13"/>
  </w:num>
  <w:num w:numId="38">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activeWritingStyle w:appName="MSWord" w:lang="en-US" w:vendorID="64" w:dllVersion="4096" w:nlCheck="1" w:checkStyle="0"/>
  <w:activeWritingStyle w:appName="MSWord" w:lang="en-AU" w:vendorID="64" w:dllVersion="4096" w:nlCheck="1" w:checkStyle="0"/>
  <w:activeWritingStyle w:appName="MSWord" w:lang="en-AU" w:vendorID="64" w:dllVersion="6" w:nlCheck="1" w:checkStyle="0"/>
  <w:activeWritingStyle w:appName="MSWord" w:lang="en-US"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AU" w:vendorID="64" w:dllVersion="0" w:nlCheck="1" w:checkStyle="0"/>
  <w:proofState w:spelling="clean" w:grammar="clean"/>
  <w:defaultTabStop w:val="0"/>
  <w:hyphenationZone w:val="283"/>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675"/>
    <w:rsid w:val="000030EF"/>
    <w:rsid w:val="00005854"/>
    <w:rsid w:val="00013988"/>
    <w:rsid w:val="000153E3"/>
    <w:rsid w:val="000159EF"/>
    <w:rsid w:val="00020249"/>
    <w:rsid w:val="00025CB7"/>
    <w:rsid w:val="00026AF6"/>
    <w:rsid w:val="00027059"/>
    <w:rsid w:val="000345AB"/>
    <w:rsid w:val="000347F0"/>
    <w:rsid w:val="00036D8F"/>
    <w:rsid w:val="000378F9"/>
    <w:rsid w:val="000416CC"/>
    <w:rsid w:val="000431AD"/>
    <w:rsid w:val="00043926"/>
    <w:rsid w:val="00044C32"/>
    <w:rsid w:val="00044CF7"/>
    <w:rsid w:val="0004556C"/>
    <w:rsid w:val="00045D3F"/>
    <w:rsid w:val="00052CD8"/>
    <w:rsid w:val="00054F41"/>
    <w:rsid w:val="00056B70"/>
    <w:rsid w:val="00057B25"/>
    <w:rsid w:val="000601F1"/>
    <w:rsid w:val="00061E8E"/>
    <w:rsid w:val="000623E0"/>
    <w:rsid w:val="00065421"/>
    <w:rsid w:val="00065D1A"/>
    <w:rsid w:val="00066030"/>
    <w:rsid w:val="00066287"/>
    <w:rsid w:val="000668C6"/>
    <w:rsid w:val="00067250"/>
    <w:rsid w:val="000676C7"/>
    <w:rsid w:val="00067B37"/>
    <w:rsid w:val="000713F3"/>
    <w:rsid w:val="000718C2"/>
    <w:rsid w:val="00072771"/>
    <w:rsid w:val="000817CB"/>
    <w:rsid w:val="000828F9"/>
    <w:rsid w:val="0008435D"/>
    <w:rsid w:val="00084B23"/>
    <w:rsid w:val="000875A7"/>
    <w:rsid w:val="00092402"/>
    <w:rsid w:val="00093EA9"/>
    <w:rsid w:val="0009435B"/>
    <w:rsid w:val="00094652"/>
    <w:rsid w:val="00095E52"/>
    <w:rsid w:val="000969BB"/>
    <w:rsid w:val="00097651"/>
    <w:rsid w:val="00097D07"/>
    <w:rsid w:val="000A1D1A"/>
    <w:rsid w:val="000A2C09"/>
    <w:rsid w:val="000A4B33"/>
    <w:rsid w:val="000A4B63"/>
    <w:rsid w:val="000A67A5"/>
    <w:rsid w:val="000B0547"/>
    <w:rsid w:val="000B357D"/>
    <w:rsid w:val="000B35BD"/>
    <w:rsid w:val="000B3EB4"/>
    <w:rsid w:val="000B42F5"/>
    <w:rsid w:val="000B478B"/>
    <w:rsid w:val="000B51B4"/>
    <w:rsid w:val="000C0296"/>
    <w:rsid w:val="000C03CE"/>
    <w:rsid w:val="000C2438"/>
    <w:rsid w:val="000C395D"/>
    <w:rsid w:val="000C5E90"/>
    <w:rsid w:val="000C6E6B"/>
    <w:rsid w:val="000D164F"/>
    <w:rsid w:val="000D313C"/>
    <w:rsid w:val="000D33D2"/>
    <w:rsid w:val="000D3E31"/>
    <w:rsid w:val="000D4D3A"/>
    <w:rsid w:val="000D77AA"/>
    <w:rsid w:val="000E2A3F"/>
    <w:rsid w:val="000E334E"/>
    <w:rsid w:val="000E4247"/>
    <w:rsid w:val="000E6F14"/>
    <w:rsid w:val="000E77E4"/>
    <w:rsid w:val="000F1829"/>
    <w:rsid w:val="000F2115"/>
    <w:rsid w:val="000F2162"/>
    <w:rsid w:val="000F43B6"/>
    <w:rsid w:val="000F4B04"/>
    <w:rsid w:val="000F4B35"/>
    <w:rsid w:val="000F526B"/>
    <w:rsid w:val="000F6E3B"/>
    <w:rsid w:val="000F761D"/>
    <w:rsid w:val="00101586"/>
    <w:rsid w:val="001015D4"/>
    <w:rsid w:val="00106EF7"/>
    <w:rsid w:val="0010747B"/>
    <w:rsid w:val="00110724"/>
    <w:rsid w:val="00111CD3"/>
    <w:rsid w:val="001150DA"/>
    <w:rsid w:val="0011712A"/>
    <w:rsid w:val="0011759A"/>
    <w:rsid w:val="00117EA9"/>
    <w:rsid w:val="00120090"/>
    <w:rsid w:val="001211C6"/>
    <w:rsid w:val="001244BD"/>
    <w:rsid w:val="00126655"/>
    <w:rsid w:val="00130A15"/>
    <w:rsid w:val="00130CFD"/>
    <w:rsid w:val="00131768"/>
    <w:rsid w:val="00132917"/>
    <w:rsid w:val="00136197"/>
    <w:rsid w:val="00140FD8"/>
    <w:rsid w:val="0014305E"/>
    <w:rsid w:val="00143950"/>
    <w:rsid w:val="00144070"/>
    <w:rsid w:val="0014519C"/>
    <w:rsid w:val="0014526C"/>
    <w:rsid w:val="00151913"/>
    <w:rsid w:val="00151D71"/>
    <w:rsid w:val="001522F5"/>
    <w:rsid w:val="00152AB1"/>
    <w:rsid w:val="001539B7"/>
    <w:rsid w:val="00153A32"/>
    <w:rsid w:val="001543FE"/>
    <w:rsid w:val="001559C3"/>
    <w:rsid w:val="00157086"/>
    <w:rsid w:val="0016531D"/>
    <w:rsid w:val="00165334"/>
    <w:rsid w:val="001654EF"/>
    <w:rsid w:val="00165D62"/>
    <w:rsid w:val="00165FB4"/>
    <w:rsid w:val="001664EE"/>
    <w:rsid w:val="001666F0"/>
    <w:rsid w:val="00166A0C"/>
    <w:rsid w:val="00167698"/>
    <w:rsid w:val="0016781A"/>
    <w:rsid w:val="001708F9"/>
    <w:rsid w:val="00170B20"/>
    <w:rsid w:val="00172022"/>
    <w:rsid w:val="00173F84"/>
    <w:rsid w:val="0017472E"/>
    <w:rsid w:val="001748A5"/>
    <w:rsid w:val="0017591D"/>
    <w:rsid w:val="00175BB1"/>
    <w:rsid w:val="00182607"/>
    <w:rsid w:val="00182859"/>
    <w:rsid w:val="001837A0"/>
    <w:rsid w:val="00183A34"/>
    <w:rsid w:val="00183C05"/>
    <w:rsid w:val="00186F97"/>
    <w:rsid w:val="00187DBF"/>
    <w:rsid w:val="00190256"/>
    <w:rsid w:val="00190421"/>
    <w:rsid w:val="001911D3"/>
    <w:rsid w:val="00195C41"/>
    <w:rsid w:val="0019648B"/>
    <w:rsid w:val="001A1EF8"/>
    <w:rsid w:val="001A5B62"/>
    <w:rsid w:val="001A5CB0"/>
    <w:rsid w:val="001A635D"/>
    <w:rsid w:val="001A795D"/>
    <w:rsid w:val="001A7BCB"/>
    <w:rsid w:val="001B0B9E"/>
    <w:rsid w:val="001B1229"/>
    <w:rsid w:val="001B25F6"/>
    <w:rsid w:val="001B4350"/>
    <w:rsid w:val="001B5880"/>
    <w:rsid w:val="001B5CC4"/>
    <w:rsid w:val="001B68EF"/>
    <w:rsid w:val="001C058B"/>
    <w:rsid w:val="001C29E3"/>
    <w:rsid w:val="001C509E"/>
    <w:rsid w:val="001C7D54"/>
    <w:rsid w:val="001D2687"/>
    <w:rsid w:val="001D2CE7"/>
    <w:rsid w:val="001D5757"/>
    <w:rsid w:val="001D71E2"/>
    <w:rsid w:val="001E2494"/>
    <w:rsid w:val="001E2E1F"/>
    <w:rsid w:val="001E3D8E"/>
    <w:rsid w:val="001E55CB"/>
    <w:rsid w:val="001E5D08"/>
    <w:rsid w:val="001F1357"/>
    <w:rsid w:val="001F1B28"/>
    <w:rsid w:val="001F2D9C"/>
    <w:rsid w:val="00201FB1"/>
    <w:rsid w:val="002042BC"/>
    <w:rsid w:val="00204EDB"/>
    <w:rsid w:val="002057D9"/>
    <w:rsid w:val="0020704B"/>
    <w:rsid w:val="002071F9"/>
    <w:rsid w:val="00210A4D"/>
    <w:rsid w:val="00211504"/>
    <w:rsid w:val="00213868"/>
    <w:rsid w:val="00214A85"/>
    <w:rsid w:val="00214C48"/>
    <w:rsid w:val="00214E8A"/>
    <w:rsid w:val="002159EB"/>
    <w:rsid w:val="00215C83"/>
    <w:rsid w:val="0021687F"/>
    <w:rsid w:val="0021798C"/>
    <w:rsid w:val="00217B6F"/>
    <w:rsid w:val="00217B9E"/>
    <w:rsid w:val="002215B9"/>
    <w:rsid w:val="00221FA8"/>
    <w:rsid w:val="00225725"/>
    <w:rsid w:val="00230834"/>
    <w:rsid w:val="002328F2"/>
    <w:rsid w:val="00233072"/>
    <w:rsid w:val="00235FF4"/>
    <w:rsid w:val="0024060A"/>
    <w:rsid w:val="00241F93"/>
    <w:rsid w:val="0024403D"/>
    <w:rsid w:val="0024435E"/>
    <w:rsid w:val="0024667A"/>
    <w:rsid w:val="00246B93"/>
    <w:rsid w:val="002477DF"/>
    <w:rsid w:val="00251239"/>
    <w:rsid w:val="00252D2A"/>
    <w:rsid w:val="00255CC3"/>
    <w:rsid w:val="00260E68"/>
    <w:rsid w:val="00262183"/>
    <w:rsid w:val="00264D7F"/>
    <w:rsid w:val="00264DD2"/>
    <w:rsid w:val="002652CB"/>
    <w:rsid w:val="00265BF3"/>
    <w:rsid w:val="00266B85"/>
    <w:rsid w:val="00270BF1"/>
    <w:rsid w:val="0027324A"/>
    <w:rsid w:val="0027376F"/>
    <w:rsid w:val="0027413C"/>
    <w:rsid w:val="00274AAB"/>
    <w:rsid w:val="00274B87"/>
    <w:rsid w:val="00275734"/>
    <w:rsid w:val="002766EA"/>
    <w:rsid w:val="002816BE"/>
    <w:rsid w:val="002821F2"/>
    <w:rsid w:val="00285A20"/>
    <w:rsid w:val="002870F9"/>
    <w:rsid w:val="002878D5"/>
    <w:rsid w:val="002928F8"/>
    <w:rsid w:val="002947E1"/>
    <w:rsid w:val="002974B6"/>
    <w:rsid w:val="002A1195"/>
    <w:rsid w:val="002A3749"/>
    <w:rsid w:val="002A493B"/>
    <w:rsid w:val="002A69BC"/>
    <w:rsid w:val="002B00BC"/>
    <w:rsid w:val="002C150C"/>
    <w:rsid w:val="002C1AD1"/>
    <w:rsid w:val="002C3EB8"/>
    <w:rsid w:val="002C7F14"/>
    <w:rsid w:val="002D1D75"/>
    <w:rsid w:val="002D3D75"/>
    <w:rsid w:val="002D5973"/>
    <w:rsid w:val="002D688F"/>
    <w:rsid w:val="002D7861"/>
    <w:rsid w:val="002E05EE"/>
    <w:rsid w:val="002E7948"/>
    <w:rsid w:val="002E7C85"/>
    <w:rsid w:val="002F0292"/>
    <w:rsid w:val="002F085D"/>
    <w:rsid w:val="002F1008"/>
    <w:rsid w:val="002F335F"/>
    <w:rsid w:val="002F4139"/>
    <w:rsid w:val="00300316"/>
    <w:rsid w:val="003012A0"/>
    <w:rsid w:val="003039F3"/>
    <w:rsid w:val="00303D24"/>
    <w:rsid w:val="003048FC"/>
    <w:rsid w:val="00305051"/>
    <w:rsid w:val="00305A5E"/>
    <w:rsid w:val="00305AA5"/>
    <w:rsid w:val="00307493"/>
    <w:rsid w:val="00307807"/>
    <w:rsid w:val="00310037"/>
    <w:rsid w:val="003114A0"/>
    <w:rsid w:val="00312826"/>
    <w:rsid w:val="00316C40"/>
    <w:rsid w:val="00320890"/>
    <w:rsid w:val="00322782"/>
    <w:rsid w:val="0032385D"/>
    <w:rsid w:val="0032386E"/>
    <w:rsid w:val="00324A56"/>
    <w:rsid w:val="00325287"/>
    <w:rsid w:val="003257EF"/>
    <w:rsid w:val="00330006"/>
    <w:rsid w:val="00331115"/>
    <w:rsid w:val="00333826"/>
    <w:rsid w:val="003346A8"/>
    <w:rsid w:val="00340712"/>
    <w:rsid w:val="003421E5"/>
    <w:rsid w:val="00345DA1"/>
    <w:rsid w:val="00350149"/>
    <w:rsid w:val="0035356D"/>
    <w:rsid w:val="00354663"/>
    <w:rsid w:val="00354922"/>
    <w:rsid w:val="0035541B"/>
    <w:rsid w:val="0035566D"/>
    <w:rsid w:val="00355C92"/>
    <w:rsid w:val="0036069C"/>
    <w:rsid w:val="003620F2"/>
    <w:rsid w:val="0036243C"/>
    <w:rsid w:val="003631C1"/>
    <w:rsid w:val="00363CDA"/>
    <w:rsid w:val="003645D3"/>
    <w:rsid w:val="0036469F"/>
    <w:rsid w:val="00364D77"/>
    <w:rsid w:val="003652FB"/>
    <w:rsid w:val="003702F2"/>
    <w:rsid w:val="0037148E"/>
    <w:rsid w:val="0037244E"/>
    <w:rsid w:val="00372C3F"/>
    <w:rsid w:val="00380441"/>
    <w:rsid w:val="003806F4"/>
    <w:rsid w:val="0038210E"/>
    <w:rsid w:val="00382448"/>
    <w:rsid w:val="00382E83"/>
    <w:rsid w:val="003830AB"/>
    <w:rsid w:val="00383637"/>
    <w:rsid w:val="003941BE"/>
    <w:rsid w:val="00395144"/>
    <w:rsid w:val="00395268"/>
    <w:rsid w:val="00395E5F"/>
    <w:rsid w:val="003970F2"/>
    <w:rsid w:val="003A0BD4"/>
    <w:rsid w:val="003A1C3F"/>
    <w:rsid w:val="003A57AD"/>
    <w:rsid w:val="003A7C29"/>
    <w:rsid w:val="003B18ED"/>
    <w:rsid w:val="003B5FE9"/>
    <w:rsid w:val="003C013C"/>
    <w:rsid w:val="003C2052"/>
    <w:rsid w:val="003C205E"/>
    <w:rsid w:val="003C6391"/>
    <w:rsid w:val="003C7E25"/>
    <w:rsid w:val="003D0A27"/>
    <w:rsid w:val="003D125A"/>
    <w:rsid w:val="003D21DE"/>
    <w:rsid w:val="003D5905"/>
    <w:rsid w:val="003D5AC1"/>
    <w:rsid w:val="003D6D9B"/>
    <w:rsid w:val="003D786D"/>
    <w:rsid w:val="003E0BB0"/>
    <w:rsid w:val="003E5049"/>
    <w:rsid w:val="003E66BD"/>
    <w:rsid w:val="003E6971"/>
    <w:rsid w:val="003E7CA5"/>
    <w:rsid w:val="003E7F2F"/>
    <w:rsid w:val="003F0CB9"/>
    <w:rsid w:val="003F34BD"/>
    <w:rsid w:val="003F531B"/>
    <w:rsid w:val="003F6473"/>
    <w:rsid w:val="003F6BE1"/>
    <w:rsid w:val="003F775E"/>
    <w:rsid w:val="00401277"/>
    <w:rsid w:val="00401864"/>
    <w:rsid w:val="004025B5"/>
    <w:rsid w:val="00403AFD"/>
    <w:rsid w:val="0040414D"/>
    <w:rsid w:val="00404252"/>
    <w:rsid w:val="00404C07"/>
    <w:rsid w:val="004059E5"/>
    <w:rsid w:val="00413117"/>
    <w:rsid w:val="0041330E"/>
    <w:rsid w:val="00413A82"/>
    <w:rsid w:val="00414DA0"/>
    <w:rsid w:val="004160C8"/>
    <w:rsid w:val="00417F49"/>
    <w:rsid w:val="00420652"/>
    <w:rsid w:val="00420BCC"/>
    <w:rsid w:val="00422D2F"/>
    <w:rsid w:val="004233B5"/>
    <w:rsid w:val="0042354E"/>
    <w:rsid w:val="00424BF8"/>
    <w:rsid w:val="00424D82"/>
    <w:rsid w:val="00430803"/>
    <w:rsid w:val="00430E8A"/>
    <w:rsid w:val="004318BE"/>
    <w:rsid w:val="00431E5D"/>
    <w:rsid w:val="00431FCC"/>
    <w:rsid w:val="00432A41"/>
    <w:rsid w:val="00435C90"/>
    <w:rsid w:val="00436113"/>
    <w:rsid w:val="00436404"/>
    <w:rsid w:val="004368A6"/>
    <w:rsid w:val="004404BF"/>
    <w:rsid w:val="004428AB"/>
    <w:rsid w:val="00442D14"/>
    <w:rsid w:val="00444A1E"/>
    <w:rsid w:val="00446981"/>
    <w:rsid w:val="00451946"/>
    <w:rsid w:val="00452CF0"/>
    <w:rsid w:val="00453F9E"/>
    <w:rsid w:val="00455C6D"/>
    <w:rsid w:val="00456C69"/>
    <w:rsid w:val="00460A2B"/>
    <w:rsid w:val="00462914"/>
    <w:rsid w:val="004635EB"/>
    <w:rsid w:val="0046370B"/>
    <w:rsid w:val="00463ACF"/>
    <w:rsid w:val="00466803"/>
    <w:rsid w:val="00467FDC"/>
    <w:rsid w:val="00470AE3"/>
    <w:rsid w:val="00470D66"/>
    <w:rsid w:val="004712AC"/>
    <w:rsid w:val="004726EA"/>
    <w:rsid w:val="00474F3F"/>
    <w:rsid w:val="00475B7F"/>
    <w:rsid w:val="00475DC5"/>
    <w:rsid w:val="00477227"/>
    <w:rsid w:val="00482CCC"/>
    <w:rsid w:val="004840DB"/>
    <w:rsid w:val="0048704C"/>
    <w:rsid w:val="0048784F"/>
    <w:rsid w:val="004915E0"/>
    <w:rsid w:val="00491601"/>
    <w:rsid w:val="00491DF4"/>
    <w:rsid w:val="00495DB3"/>
    <w:rsid w:val="004961E3"/>
    <w:rsid w:val="004A0079"/>
    <w:rsid w:val="004A077F"/>
    <w:rsid w:val="004A177C"/>
    <w:rsid w:val="004A3125"/>
    <w:rsid w:val="004A410D"/>
    <w:rsid w:val="004A5749"/>
    <w:rsid w:val="004A5798"/>
    <w:rsid w:val="004A7F5F"/>
    <w:rsid w:val="004B01DF"/>
    <w:rsid w:val="004B0A6A"/>
    <w:rsid w:val="004B3624"/>
    <w:rsid w:val="004B6583"/>
    <w:rsid w:val="004C31A1"/>
    <w:rsid w:val="004C38CA"/>
    <w:rsid w:val="004C48CE"/>
    <w:rsid w:val="004C591A"/>
    <w:rsid w:val="004C6E18"/>
    <w:rsid w:val="004C7865"/>
    <w:rsid w:val="004C7985"/>
    <w:rsid w:val="004D1D3F"/>
    <w:rsid w:val="004D33E4"/>
    <w:rsid w:val="004D3459"/>
    <w:rsid w:val="004D70DB"/>
    <w:rsid w:val="004E0106"/>
    <w:rsid w:val="004E1C00"/>
    <w:rsid w:val="004E24B0"/>
    <w:rsid w:val="004E26E6"/>
    <w:rsid w:val="004E5E5B"/>
    <w:rsid w:val="004E76B3"/>
    <w:rsid w:val="004F01F7"/>
    <w:rsid w:val="004F5588"/>
    <w:rsid w:val="004F6A49"/>
    <w:rsid w:val="00500025"/>
    <w:rsid w:val="0050440A"/>
    <w:rsid w:val="005071A6"/>
    <w:rsid w:val="005079A2"/>
    <w:rsid w:val="00510434"/>
    <w:rsid w:val="00511997"/>
    <w:rsid w:val="00515D7C"/>
    <w:rsid w:val="00516E6F"/>
    <w:rsid w:val="00516F22"/>
    <w:rsid w:val="00517B77"/>
    <w:rsid w:val="00521886"/>
    <w:rsid w:val="00521924"/>
    <w:rsid w:val="00521EA1"/>
    <w:rsid w:val="00523153"/>
    <w:rsid w:val="0052343B"/>
    <w:rsid w:val="00523C36"/>
    <w:rsid w:val="00523DC8"/>
    <w:rsid w:val="00524811"/>
    <w:rsid w:val="00525AB1"/>
    <w:rsid w:val="00526F74"/>
    <w:rsid w:val="00527E52"/>
    <w:rsid w:val="005306CE"/>
    <w:rsid w:val="00531A36"/>
    <w:rsid w:val="00532436"/>
    <w:rsid w:val="00532DC7"/>
    <w:rsid w:val="0053600A"/>
    <w:rsid w:val="0053610E"/>
    <w:rsid w:val="005361C4"/>
    <w:rsid w:val="0053770A"/>
    <w:rsid w:val="00541BF7"/>
    <w:rsid w:val="00542656"/>
    <w:rsid w:val="00542928"/>
    <w:rsid w:val="00543437"/>
    <w:rsid w:val="005466AC"/>
    <w:rsid w:val="00546721"/>
    <w:rsid w:val="005526C2"/>
    <w:rsid w:val="0055577A"/>
    <w:rsid w:val="00556FF3"/>
    <w:rsid w:val="00557E91"/>
    <w:rsid w:val="0056018B"/>
    <w:rsid w:val="0056081F"/>
    <w:rsid w:val="005652B7"/>
    <w:rsid w:val="005659A5"/>
    <w:rsid w:val="005665FB"/>
    <w:rsid w:val="00570548"/>
    <w:rsid w:val="00572C61"/>
    <w:rsid w:val="00574675"/>
    <w:rsid w:val="005808ED"/>
    <w:rsid w:val="00585A2F"/>
    <w:rsid w:val="00590B9A"/>
    <w:rsid w:val="00591885"/>
    <w:rsid w:val="0059210D"/>
    <w:rsid w:val="00593D3E"/>
    <w:rsid w:val="00594441"/>
    <w:rsid w:val="00594EB8"/>
    <w:rsid w:val="0059593A"/>
    <w:rsid w:val="0059614C"/>
    <w:rsid w:val="0059685B"/>
    <w:rsid w:val="005A0581"/>
    <w:rsid w:val="005A204D"/>
    <w:rsid w:val="005A257E"/>
    <w:rsid w:val="005A48B7"/>
    <w:rsid w:val="005A72DC"/>
    <w:rsid w:val="005A74A7"/>
    <w:rsid w:val="005A79C2"/>
    <w:rsid w:val="005A79FB"/>
    <w:rsid w:val="005A7BBE"/>
    <w:rsid w:val="005B11D8"/>
    <w:rsid w:val="005B16BB"/>
    <w:rsid w:val="005B3483"/>
    <w:rsid w:val="005B38A7"/>
    <w:rsid w:val="005B68A7"/>
    <w:rsid w:val="005C2088"/>
    <w:rsid w:val="005D22FD"/>
    <w:rsid w:val="005D4AED"/>
    <w:rsid w:val="005D7B5E"/>
    <w:rsid w:val="005D7EE4"/>
    <w:rsid w:val="005E0005"/>
    <w:rsid w:val="005E03A7"/>
    <w:rsid w:val="005E0591"/>
    <w:rsid w:val="005E0A5E"/>
    <w:rsid w:val="005E1F09"/>
    <w:rsid w:val="005E2C66"/>
    <w:rsid w:val="005E4B93"/>
    <w:rsid w:val="005F0668"/>
    <w:rsid w:val="005F0956"/>
    <w:rsid w:val="005F2136"/>
    <w:rsid w:val="005F3ABC"/>
    <w:rsid w:val="005F433D"/>
    <w:rsid w:val="005F7CB3"/>
    <w:rsid w:val="00601A87"/>
    <w:rsid w:val="00601F77"/>
    <w:rsid w:val="00603688"/>
    <w:rsid w:val="006045AA"/>
    <w:rsid w:val="00604884"/>
    <w:rsid w:val="00605304"/>
    <w:rsid w:val="00605CC3"/>
    <w:rsid w:val="006069FF"/>
    <w:rsid w:val="00607272"/>
    <w:rsid w:val="006105F4"/>
    <w:rsid w:val="00611405"/>
    <w:rsid w:val="00612A6D"/>
    <w:rsid w:val="00613736"/>
    <w:rsid w:val="0061373B"/>
    <w:rsid w:val="006143A7"/>
    <w:rsid w:val="00614BD3"/>
    <w:rsid w:val="006155B2"/>
    <w:rsid w:val="00620581"/>
    <w:rsid w:val="00621838"/>
    <w:rsid w:val="006230F0"/>
    <w:rsid w:val="0062311B"/>
    <w:rsid w:val="0062386C"/>
    <w:rsid w:val="0062496D"/>
    <w:rsid w:val="006252A7"/>
    <w:rsid w:val="00625B61"/>
    <w:rsid w:val="0062623B"/>
    <w:rsid w:val="00626564"/>
    <w:rsid w:val="006317EC"/>
    <w:rsid w:val="0063192E"/>
    <w:rsid w:val="006342B6"/>
    <w:rsid w:val="00636623"/>
    <w:rsid w:val="00636A8F"/>
    <w:rsid w:val="00637719"/>
    <w:rsid w:val="0064055B"/>
    <w:rsid w:val="00640964"/>
    <w:rsid w:val="0064258C"/>
    <w:rsid w:val="006437A4"/>
    <w:rsid w:val="00644A21"/>
    <w:rsid w:val="006459CD"/>
    <w:rsid w:val="006502BB"/>
    <w:rsid w:val="00655778"/>
    <w:rsid w:val="00655A62"/>
    <w:rsid w:val="00655F0D"/>
    <w:rsid w:val="00660027"/>
    <w:rsid w:val="00660B0C"/>
    <w:rsid w:val="006618E3"/>
    <w:rsid w:val="00661B8B"/>
    <w:rsid w:val="00662780"/>
    <w:rsid w:val="00664C7E"/>
    <w:rsid w:val="00671CCB"/>
    <w:rsid w:val="00672968"/>
    <w:rsid w:val="00673B3F"/>
    <w:rsid w:val="00675FEB"/>
    <w:rsid w:val="0067685A"/>
    <w:rsid w:val="006777F7"/>
    <w:rsid w:val="0067793E"/>
    <w:rsid w:val="00680652"/>
    <w:rsid w:val="00681075"/>
    <w:rsid w:val="006817E1"/>
    <w:rsid w:val="00681954"/>
    <w:rsid w:val="006832A4"/>
    <w:rsid w:val="00683CCB"/>
    <w:rsid w:val="00683DDA"/>
    <w:rsid w:val="00687633"/>
    <w:rsid w:val="00687F9D"/>
    <w:rsid w:val="00693CC8"/>
    <w:rsid w:val="00696C58"/>
    <w:rsid w:val="00696F25"/>
    <w:rsid w:val="006A2CF7"/>
    <w:rsid w:val="006A3B90"/>
    <w:rsid w:val="006A3ED7"/>
    <w:rsid w:val="006A71DF"/>
    <w:rsid w:val="006B2C18"/>
    <w:rsid w:val="006B2FC8"/>
    <w:rsid w:val="006B6BA3"/>
    <w:rsid w:val="006B7335"/>
    <w:rsid w:val="006C0A82"/>
    <w:rsid w:val="006C19C8"/>
    <w:rsid w:val="006C4691"/>
    <w:rsid w:val="006C50AD"/>
    <w:rsid w:val="006C5B3C"/>
    <w:rsid w:val="006C69D9"/>
    <w:rsid w:val="006D2D93"/>
    <w:rsid w:val="006D4E4E"/>
    <w:rsid w:val="006D508C"/>
    <w:rsid w:val="006D5220"/>
    <w:rsid w:val="006D54DB"/>
    <w:rsid w:val="006D6215"/>
    <w:rsid w:val="006D64F8"/>
    <w:rsid w:val="006E0D76"/>
    <w:rsid w:val="006E1061"/>
    <w:rsid w:val="006E12C0"/>
    <w:rsid w:val="006E1AF5"/>
    <w:rsid w:val="006E5884"/>
    <w:rsid w:val="006E5EF0"/>
    <w:rsid w:val="006E5FF7"/>
    <w:rsid w:val="006E6C44"/>
    <w:rsid w:val="006E6DB1"/>
    <w:rsid w:val="006E78E4"/>
    <w:rsid w:val="006F0150"/>
    <w:rsid w:val="006F11CD"/>
    <w:rsid w:val="006F1F39"/>
    <w:rsid w:val="006F40B9"/>
    <w:rsid w:val="006F4475"/>
    <w:rsid w:val="006F5BA8"/>
    <w:rsid w:val="006F5CB0"/>
    <w:rsid w:val="006F6029"/>
    <w:rsid w:val="006F6DA1"/>
    <w:rsid w:val="006F7272"/>
    <w:rsid w:val="006F738B"/>
    <w:rsid w:val="00701B69"/>
    <w:rsid w:val="00701B9B"/>
    <w:rsid w:val="00703AB2"/>
    <w:rsid w:val="00706563"/>
    <w:rsid w:val="0070777C"/>
    <w:rsid w:val="00713CE2"/>
    <w:rsid w:val="0071647E"/>
    <w:rsid w:val="00716D68"/>
    <w:rsid w:val="00716F42"/>
    <w:rsid w:val="007221A7"/>
    <w:rsid w:val="00722F72"/>
    <w:rsid w:val="007270D7"/>
    <w:rsid w:val="0072756F"/>
    <w:rsid w:val="00727A79"/>
    <w:rsid w:val="007305DE"/>
    <w:rsid w:val="007314D1"/>
    <w:rsid w:val="00731529"/>
    <w:rsid w:val="00740FF2"/>
    <w:rsid w:val="0074257A"/>
    <w:rsid w:val="00743863"/>
    <w:rsid w:val="007441EB"/>
    <w:rsid w:val="00744411"/>
    <w:rsid w:val="00744AB8"/>
    <w:rsid w:val="00747938"/>
    <w:rsid w:val="00750D7F"/>
    <w:rsid w:val="00751789"/>
    <w:rsid w:val="00754BE0"/>
    <w:rsid w:val="007558AC"/>
    <w:rsid w:val="00756A00"/>
    <w:rsid w:val="00756E1B"/>
    <w:rsid w:val="00762B31"/>
    <w:rsid w:val="007631C5"/>
    <w:rsid w:val="0076348D"/>
    <w:rsid w:val="00765863"/>
    <w:rsid w:val="00766112"/>
    <w:rsid w:val="0077052D"/>
    <w:rsid w:val="00770A27"/>
    <w:rsid w:val="007717A0"/>
    <w:rsid w:val="007726A4"/>
    <w:rsid w:val="00775D61"/>
    <w:rsid w:val="00776E8C"/>
    <w:rsid w:val="00777A5C"/>
    <w:rsid w:val="00777E2F"/>
    <w:rsid w:val="007809D8"/>
    <w:rsid w:val="00781479"/>
    <w:rsid w:val="00785BA0"/>
    <w:rsid w:val="007869AF"/>
    <w:rsid w:val="007914AD"/>
    <w:rsid w:val="00791DCA"/>
    <w:rsid w:val="007A0063"/>
    <w:rsid w:val="007A210B"/>
    <w:rsid w:val="007A3D0D"/>
    <w:rsid w:val="007A5354"/>
    <w:rsid w:val="007A5780"/>
    <w:rsid w:val="007A5A3C"/>
    <w:rsid w:val="007A60C6"/>
    <w:rsid w:val="007B07A2"/>
    <w:rsid w:val="007B231A"/>
    <w:rsid w:val="007B2622"/>
    <w:rsid w:val="007B7F5E"/>
    <w:rsid w:val="007C1259"/>
    <w:rsid w:val="007C4525"/>
    <w:rsid w:val="007C48CE"/>
    <w:rsid w:val="007C5179"/>
    <w:rsid w:val="007C5816"/>
    <w:rsid w:val="007C5AD4"/>
    <w:rsid w:val="007D48F9"/>
    <w:rsid w:val="007D4E88"/>
    <w:rsid w:val="007D4F66"/>
    <w:rsid w:val="007D68BC"/>
    <w:rsid w:val="007E009A"/>
    <w:rsid w:val="007E0A64"/>
    <w:rsid w:val="007E2716"/>
    <w:rsid w:val="007E498E"/>
    <w:rsid w:val="007E62B6"/>
    <w:rsid w:val="007F1118"/>
    <w:rsid w:val="007F2673"/>
    <w:rsid w:val="007F3435"/>
    <w:rsid w:val="007F4199"/>
    <w:rsid w:val="007F4B95"/>
    <w:rsid w:val="00801429"/>
    <w:rsid w:val="00801D4D"/>
    <w:rsid w:val="00802944"/>
    <w:rsid w:val="00802AB8"/>
    <w:rsid w:val="008053EA"/>
    <w:rsid w:val="00805D82"/>
    <w:rsid w:val="00806C20"/>
    <w:rsid w:val="008072F3"/>
    <w:rsid w:val="00810730"/>
    <w:rsid w:val="008117DE"/>
    <w:rsid w:val="00813DCD"/>
    <w:rsid w:val="00815049"/>
    <w:rsid w:val="00815D16"/>
    <w:rsid w:val="00816B20"/>
    <w:rsid w:val="00816E61"/>
    <w:rsid w:val="0081708A"/>
    <w:rsid w:val="00817F20"/>
    <w:rsid w:val="008206E8"/>
    <w:rsid w:val="00821B5A"/>
    <w:rsid w:val="00821C07"/>
    <w:rsid w:val="00821FD3"/>
    <w:rsid w:val="0082649B"/>
    <w:rsid w:val="00830377"/>
    <w:rsid w:val="00832421"/>
    <w:rsid w:val="0083360F"/>
    <w:rsid w:val="0083383E"/>
    <w:rsid w:val="00833AA1"/>
    <w:rsid w:val="0083573B"/>
    <w:rsid w:val="0083629E"/>
    <w:rsid w:val="008368B6"/>
    <w:rsid w:val="00845E6D"/>
    <w:rsid w:val="00846C28"/>
    <w:rsid w:val="00853DC1"/>
    <w:rsid w:val="00854D7E"/>
    <w:rsid w:val="00855502"/>
    <w:rsid w:val="00860B1D"/>
    <w:rsid w:val="00860EAA"/>
    <w:rsid w:val="008675D6"/>
    <w:rsid w:val="008736D7"/>
    <w:rsid w:val="008739F9"/>
    <w:rsid w:val="00873E6B"/>
    <w:rsid w:val="00875DEB"/>
    <w:rsid w:val="00876B3C"/>
    <w:rsid w:val="0087707B"/>
    <w:rsid w:val="00880BD7"/>
    <w:rsid w:val="00881D19"/>
    <w:rsid w:val="00882752"/>
    <w:rsid w:val="008828EE"/>
    <w:rsid w:val="00882F3A"/>
    <w:rsid w:val="00882F43"/>
    <w:rsid w:val="00884477"/>
    <w:rsid w:val="008863AD"/>
    <w:rsid w:val="008877A5"/>
    <w:rsid w:val="008915D5"/>
    <w:rsid w:val="00893BAC"/>
    <w:rsid w:val="00895A34"/>
    <w:rsid w:val="008A072E"/>
    <w:rsid w:val="008A0A9B"/>
    <w:rsid w:val="008A1337"/>
    <w:rsid w:val="008A2FC3"/>
    <w:rsid w:val="008A412D"/>
    <w:rsid w:val="008A4652"/>
    <w:rsid w:val="008B0454"/>
    <w:rsid w:val="008B0969"/>
    <w:rsid w:val="008B30F1"/>
    <w:rsid w:val="008B3E3F"/>
    <w:rsid w:val="008B42BF"/>
    <w:rsid w:val="008C3229"/>
    <w:rsid w:val="008C42FB"/>
    <w:rsid w:val="008C49AB"/>
    <w:rsid w:val="008C5DDE"/>
    <w:rsid w:val="008C67BE"/>
    <w:rsid w:val="008C7BAE"/>
    <w:rsid w:val="008D2981"/>
    <w:rsid w:val="008D2F73"/>
    <w:rsid w:val="008D31B7"/>
    <w:rsid w:val="008D6ECC"/>
    <w:rsid w:val="008D7B1F"/>
    <w:rsid w:val="008E0AA3"/>
    <w:rsid w:val="008E122F"/>
    <w:rsid w:val="008E364F"/>
    <w:rsid w:val="008E3BB0"/>
    <w:rsid w:val="008E4D79"/>
    <w:rsid w:val="008E6CD2"/>
    <w:rsid w:val="008F5196"/>
    <w:rsid w:val="00900D7A"/>
    <w:rsid w:val="00901AF0"/>
    <w:rsid w:val="00903136"/>
    <w:rsid w:val="00903D4D"/>
    <w:rsid w:val="00906097"/>
    <w:rsid w:val="009079FA"/>
    <w:rsid w:val="00910C8E"/>
    <w:rsid w:val="0091141E"/>
    <w:rsid w:val="00912630"/>
    <w:rsid w:val="009147F6"/>
    <w:rsid w:val="009173EA"/>
    <w:rsid w:val="00921A7B"/>
    <w:rsid w:val="009248F8"/>
    <w:rsid w:val="00925CC6"/>
    <w:rsid w:val="00926BF4"/>
    <w:rsid w:val="00927A4A"/>
    <w:rsid w:val="00927BA2"/>
    <w:rsid w:val="0093037E"/>
    <w:rsid w:val="00930D1F"/>
    <w:rsid w:val="00931310"/>
    <w:rsid w:val="009316F2"/>
    <w:rsid w:val="00934A05"/>
    <w:rsid w:val="00935F3F"/>
    <w:rsid w:val="00936480"/>
    <w:rsid w:val="0093788B"/>
    <w:rsid w:val="00937AED"/>
    <w:rsid w:val="00937E87"/>
    <w:rsid w:val="00941781"/>
    <w:rsid w:val="009423A6"/>
    <w:rsid w:val="00942F20"/>
    <w:rsid w:val="00943FAD"/>
    <w:rsid w:val="00945DDE"/>
    <w:rsid w:val="00946077"/>
    <w:rsid w:val="009468B9"/>
    <w:rsid w:val="00946F34"/>
    <w:rsid w:val="009477FA"/>
    <w:rsid w:val="0095098E"/>
    <w:rsid w:val="00951C30"/>
    <w:rsid w:val="0095550F"/>
    <w:rsid w:val="009559FF"/>
    <w:rsid w:val="00955B33"/>
    <w:rsid w:val="00955CF6"/>
    <w:rsid w:val="00957232"/>
    <w:rsid w:val="00961741"/>
    <w:rsid w:val="00963AFB"/>
    <w:rsid w:val="00967769"/>
    <w:rsid w:val="009708F1"/>
    <w:rsid w:val="00971C94"/>
    <w:rsid w:val="009753BF"/>
    <w:rsid w:val="00975B53"/>
    <w:rsid w:val="009764F3"/>
    <w:rsid w:val="00977151"/>
    <w:rsid w:val="00980497"/>
    <w:rsid w:val="00985AED"/>
    <w:rsid w:val="00985E3A"/>
    <w:rsid w:val="00986663"/>
    <w:rsid w:val="0098727C"/>
    <w:rsid w:val="0099269B"/>
    <w:rsid w:val="009963B4"/>
    <w:rsid w:val="00997E0D"/>
    <w:rsid w:val="009A2178"/>
    <w:rsid w:val="009A401B"/>
    <w:rsid w:val="009A5C19"/>
    <w:rsid w:val="009B2359"/>
    <w:rsid w:val="009B287F"/>
    <w:rsid w:val="009B3F96"/>
    <w:rsid w:val="009B405E"/>
    <w:rsid w:val="009B6394"/>
    <w:rsid w:val="009B6994"/>
    <w:rsid w:val="009C0239"/>
    <w:rsid w:val="009C0928"/>
    <w:rsid w:val="009C1448"/>
    <w:rsid w:val="009C5A16"/>
    <w:rsid w:val="009C6D56"/>
    <w:rsid w:val="009C72B6"/>
    <w:rsid w:val="009D1B3C"/>
    <w:rsid w:val="009D3246"/>
    <w:rsid w:val="009D5032"/>
    <w:rsid w:val="009D6058"/>
    <w:rsid w:val="009D66CB"/>
    <w:rsid w:val="009D6A9A"/>
    <w:rsid w:val="009D736A"/>
    <w:rsid w:val="009E023D"/>
    <w:rsid w:val="009E2594"/>
    <w:rsid w:val="009E42BB"/>
    <w:rsid w:val="009E580C"/>
    <w:rsid w:val="009E604F"/>
    <w:rsid w:val="009E6446"/>
    <w:rsid w:val="009E648B"/>
    <w:rsid w:val="009E666B"/>
    <w:rsid w:val="009E7A78"/>
    <w:rsid w:val="009F016D"/>
    <w:rsid w:val="009F0736"/>
    <w:rsid w:val="009F163B"/>
    <w:rsid w:val="009F4B4C"/>
    <w:rsid w:val="009F50C2"/>
    <w:rsid w:val="009F50DE"/>
    <w:rsid w:val="009F74D3"/>
    <w:rsid w:val="00A01073"/>
    <w:rsid w:val="00A01225"/>
    <w:rsid w:val="00A02F59"/>
    <w:rsid w:val="00A041B9"/>
    <w:rsid w:val="00A064ED"/>
    <w:rsid w:val="00A07039"/>
    <w:rsid w:val="00A101D7"/>
    <w:rsid w:val="00A11B93"/>
    <w:rsid w:val="00A16EEA"/>
    <w:rsid w:val="00A20E9E"/>
    <w:rsid w:val="00A21EE5"/>
    <w:rsid w:val="00A21FA0"/>
    <w:rsid w:val="00A24BFC"/>
    <w:rsid w:val="00A251DF"/>
    <w:rsid w:val="00A25BD3"/>
    <w:rsid w:val="00A2736F"/>
    <w:rsid w:val="00A32833"/>
    <w:rsid w:val="00A32C87"/>
    <w:rsid w:val="00A33961"/>
    <w:rsid w:val="00A357BB"/>
    <w:rsid w:val="00A36961"/>
    <w:rsid w:val="00A41FAD"/>
    <w:rsid w:val="00A43245"/>
    <w:rsid w:val="00A4350B"/>
    <w:rsid w:val="00A44762"/>
    <w:rsid w:val="00A44E93"/>
    <w:rsid w:val="00A453B3"/>
    <w:rsid w:val="00A47806"/>
    <w:rsid w:val="00A5013C"/>
    <w:rsid w:val="00A55ED9"/>
    <w:rsid w:val="00A61003"/>
    <w:rsid w:val="00A62435"/>
    <w:rsid w:val="00A62682"/>
    <w:rsid w:val="00A64976"/>
    <w:rsid w:val="00A64A41"/>
    <w:rsid w:val="00A6530A"/>
    <w:rsid w:val="00A660BE"/>
    <w:rsid w:val="00A672A7"/>
    <w:rsid w:val="00A71114"/>
    <w:rsid w:val="00A72ADF"/>
    <w:rsid w:val="00A73A62"/>
    <w:rsid w:val="00A75937"/>
    <w:rsid w:val="00A75F5E"/>
    <w:rsid w:val="00A8348A"/>
    <w:rsid w:val="00A84728"/>
    <w:rsid w:val="00A84D92"/>
    <w:rsid w:val="00A8595A"/>
    <w:rsid w:val="00A85A56"/>
    <w:rsid w:val="00A87080"/>
    <w:rsid w:val="00A8723D"/>
    <w:rsid w:val="00A927F2"/>
    <w:rsid w:val="00A93616"/>
    <w:rsid w:val="00A95483"/>
    <w:rsid w:val="00A95B8D"/>
    <w:rsid w:val="00A9669C"/>
    <w:rsid w:val="00A975EB"/>
    <w:rsid w:val="00A978AF"/>
    <w:rsid w:val="00AA0058"/>
    <w:rsid w:val="00AA3188"/>
    <w:rsid w:val="00AA4247"/>
    <w:rsid w:val="00AA4A14"/>
    <w:rsid w:val="00AA4C6C"/>
    <w:rsid w:val="00AA5757"/>
    <w:rsid w:val="00AB06A3"/>
    <w:rsid w:val="00AB23E7"/>
    <w:rsid w:val="00AB2A2E"/>
    <w:rsid w:val="00AB5EC6"/>
    <w:rsid w:val="00AB77B7"/>
    <w:rsid w:val="00AC0AAE"/>
    <w:rsid w:val="00AC0EE6"/>
    <w:rsid w:val="00AC28B2"/>
    <w:rsid w:val="00AC3F99"/>
    <w:rsid w:val="00AC7999"/>
    <w:rsid w:val="00AD0B30"/>
    <w:rsid w:val="00AD1B1B"/>
    <w:rsid w:val="00AD2424"/>
    <w:rsid w:val="00AD6178"/>
    <w:rsid w:val="00AE0E70"/>
    <w:rsid w:val="00AE1CE4"/>
    <w:rsid w:val="00AE3D40"/>
    <w:rsid w:val="00AE5A98"/>
    <w:rsid w:val="00AF012B"/>
    <w:rsid w:val="00AF0C24"/>
    <w:rsid w:val="00AF11AE"/>
    <w:rsid w:val="00AF3BD8"/>
    <w:rsid w:val="00AF4159"/>
    <w:rsid w:val="00AF4EA0"/>
    <w:rsid w:val="00AF5BFB"/>
    <w:rsid w:val="00B01D72"/>
    <w:rsid w:val="00B01DB1"/>
    <w:rsid w:val="00B02586"/>
    <w:rsid w:val="00B02C70"/>
    <w:rsid w:val="00B03949"/>
    <w:rsid w:val="00B039AC"/>
    <w:rsid w:val="00B03D67"/>
    <w:rsid w:val="00B0505F"/>
    <w:rsid w:val="00B056C5"/>
    <w:rsid w:val="00B05F10"/>
    <w:rsid w:val="00B132A1"/>
    <w:rsid w:val="00B13F20"/>
    <w:rsid w:val="00B14240"/>
    <w:rsid w:val="00B16B65"/>
    <w:rsid w:val="00B2036D"/>
    <w:rsid w:val="00B21214"/>
    <w:rsid w:val="00B21890"/>
    <w:rsid w:val="00B21BA2"/>
    <w:rsid w:val="00B2249E"/>
    <w:rsid w:val="00B22BC5"/>
    <w:rsid w:val="00B2315B"/>
    <w:rsid w:val="00B23AA1"/>
    <w:rsid w:val="00B25449"/>
    <w:rsid w:val="00B25E35"/>
    <w:rsid w:val="00B25F9C"/>
    <w:rsid w:val="00B26BF7"/>
    <w:rsid w:val="00B319B1"/>
    <w:rsid w:val="00B371EE"/>
    <w:rsid w:val="00B4068E"/>
    <w:rsid w:val="00B4078C"/>
    <w:rsid w:val="00B40D94"/>
    <w:rsid w:val="00B410B5"/>
    <w:rsid w:val="00B4125B"/>
    <w:rsid w:val="00B43345"/>
    <w:rsid w:val="00B47F76"/>
    <w:rsid w:val="00B47FE4"/>
    <w:rsid w:val="00B51376"/>
    <w:rsid w:val="00B517B4"/>
    <w:rsid w:val="00B527D5"/>
    <w:rsid w:val="00B52B82"/>
    <w:rsid w:val="00B5645C"/>
    <w:rsid w:val="00B5735E"/>
    <w:rsid w:val="00B609D6"/>
    <w:rsid w:val="00B61426"/>
    <w:rsid w:val="00B61BBC"/>
    <w:rsid w:val="00B6263B"/>
    <w:rsid w:val="00B674B6"/>
    <w:rsid w:val="00B74B54"/>
    <w:rsid w:val="00B74B5C"/>
    <w:rsid w:val="00B74DA0"/>
    <w:rsid w:val="00B762C3"/>
    <w:rsid w:val="00B77E5F"/>
    <w:rsid w:val="00B8174F"/>
    <w:rsid w:val="00B81D98"/>
    <w:rsid w:val="00B83449"/>
    <w:rsid w:val="00B8590E"/>
    <w:rsid w:val="00B87A8D"/>
    <w:rsid w:val="00B87D0B"/>
    <w:rsid w:val="00B90408"/>
    <w:rsid w:val="00B92B64"/>
    <w:rsid w:val="00B9310D"/>
    <w:rsid w:val="00B94289"/>
    <w:rsid w:val="00B978BB"/>
    <w:rsid w:val="00BA310C"/>
    <w:rsid w:val="00BA3647"/>
    <w:rsid w:val="00BA444D"/>
    <w:rsid w:val="00BA6139"/>
    <w:rsid w:val="00BB0E75"/>
    <w:rsid w:val="00BB115B"/>
    <w:rsid w:val="00BB1ABF"/>
    <w:rsid w:val="00BB23C0"/>
    <w:rsid w:val="00BB357D"/>
    <w:rsid w:val="00BC13B1"/>
    <w:rsid w:val="00BC1863"/>
    <w:rsid w:val="00BC26CA"/>
    <w:rsid w:val="00BC295A"/>
    <w:rsid w:val="00BC3B69"/>
    <w:rsid w:val="00BC4CEB"/>
    <w:rsid w:val="00BC51B6"/>
    <w:rsid w:val="00BC7D79"/>
    <w:rsid w:val="00BC7F4D"/>
    <w:rsid w:val="00BD05A3"/>
    <w:rsid w:val="00BD15E2"/>
    <w:rsid w:val="00BD19A4"/>
    <w:rsid w:val="00BD1C03"/>
    <w:rsid w:val="00BD510B"/>
    <w:rsid w:val="00BD6587"/>
    <w:rsid w:val="00BD775C"/>
    <w:rsid w:val="00BD7A63"/>
    <w:rsid w:val="00BE2189"/>
    <w:rsid w:val="00BE22F9"/>
    <w:rsid w:val="00BE53C0"/>
    <w:rsid w:val="00BE5F74"/>
    <w:rsid w:val="00BE6170"/>
    <w:rsid w:val="00BE68E9"/>
    <w:rsid w:val="00BE7483"/>
    <w:rsid w:val="00BE76FB"/>
    <w:rsid w:val="00BF1426"/>
    <w:rsid w:val="00BF20CD"/>
    <w:rsid w:val="00BF4DA9"/>
    <w:rsid w:val="00BF5348"/>
    <w:rsid w:val="00BF6E26"/>
    <w:rsid w:val="00C030F3"/>
    <w:rsid w:val="00C0461B"/>
    <w:rsid w:val="00C049F6"/>
    <w:rsid w:val="00C0632A"/>
    <w:rsid w:val="00C10B0D"/>
    <w:rsid w:val="00C11662"/>
    <w:rsid w:val="00C12805"/>
    <w:rsid w:val="00C15FF3"/>
    <w:rsid w:val="00C1634B"/>
    <w:rsid w:val="00C16B6A"/>
    <w:rsid w:val="00C17E70"/>
    <w:rsid w:val="00C202DA"/>
    <w:rsid w:val="00C2203B"/>
    <w:rsid w:val="00C23007"/>
    <w:rsid w:val="00C23559"/>
    <w:rsid w:val="00C239CB"/>
    <w:rsid w:val="00C25656"/>
    <w:rsid w:val="00C31549"/>
    <w:rsid w:val="00C3198C"/>
    <w:rsid w:val="00C325FD"/>
    <w:rsid w:val="00C34AE5"/>
    <w:rsid w:val="00C36964"/>
    <w:rsid w:val="00C40079"/>
    <w:rsid w:val="00C41AB8"/>
    <w:rsid w:val="00C452CA"/>
    <w:rsid w:val="00C45874"/>
    <w:rsid w:val="00C47FE0"/>
    <w:rsid w:val="00C50671"/>
    <w:rsid w:val="00C50D27"/>
    <w:rsid w:val="00C50E9C"/>
    <w:rsid w:val="00C50F44"/>
    <w:rsid w:val="00C51D84"/>
    <w:rsid w:val="00C51E57"/>
    <w:rsid w:val="00C5315E"/>
    <w:rsid w:val="00C53D57"/>
    <w:rsid w:val="00C54013"/>
    <w:rsid w:val="00C55EAB"/>
    <w:rsid w:val="00C5742F"/>
    <w:rsid w:val="00C57603"/>
    <w:rsid w:val="00C57F44"/>
    <w:rsid w:val="00C624B7"/>
    <w:rsid w:val="00C62B65"/>
    <w:rsid w:val="00C64F45"/>
    <w:rsid w:val="00C67CCB"/>
    <w:rsid w:val="00C70DD0"/>
    <w:rsid w:val="00C75486"/>
    <w:rsid w:val="00C7585B"/>
    <w:rsid w:val="00C7638F"/>
    <w:rsid w:val="00C76955"/>
    <w:rsid w:val="00C7763E"/>
    <w:rsid w:val="00C80F4B"/>
    <w:rsid w:val="00C81379"/>
    <w:rsid w:val="00C81BCF"/>
    <w:rsid w:val="00C81EDF"/>
    <w:rsid w:val="00C838BA"/>
    <w:rsid w:val="00C8626D"/>
    <w:rsid w:val="00C86EF8"/>
    <w:rsid w:val="00C8769E"/>
    <w:rsid w:val="00C93B00"/>
    <w:rsid w:val="00C94335"/>
    <w:rsid w:val="00C97EFF"/>
    <w:rsid w:val="00CA0251"/>
    <w:rsid w:val="00CA116D"/>
    <w:rsid w:val="00CA1944"/>
    <w:rsid w:val="00CA1C94"/>
    <w:rsid w:val="00CA1F0B"/>
    <w:rsid w:val="00CA3D9E"/>
    <w:rsid w:val="00CA3F4B"/>
    <w:rsid w:val="00CA5D82"/>
    <w:rsid w:val="00CA618B"/>
    <w:rsid w:val="00CA6459"/>
    <w:rsid w:val="00CA73C9"/>
    <w:rsid w:val="00CB0932"/>
    <w:rsid w:val="00CB2E00"/>
    <w:rsid w:val="00CB6C52"/>
    <w:rsid w:val="00CB7027"/>
    <w:rsid w:val="00CC00A1"/>
    <w:rsid w:val="00CC0EE8"/>
    <w:rsid w:val="00CC182B"/>
    <w:rsid w:val="00CC1D9D"/>
    <w:rsid w:val="00CC3157"/>
    <w:rsid w:val="00CC3974"/>
    <w:rsid w:val="00CC437F"/>
    <w:rsid w:val="00CC43F1"/>
    <w:rsid w:val="00CC69CA"/>
    <w:rsid w:val="00CD175C"/>
    <w:rsid w:val="00CD4471"/>
    <w:rsid w:val="00CD4798"/>
    <w:rsid w:val="00CD496B"/>
    <w:rsid w:val="00CD677A"/>
    <w:rsid w:val="00CD7C9E"/>
    <w:rsid w:val="00CE0609"/>
    <w:rsid w:val="00CE4376"/>
    <w:rsid w:val="00CE4450"/>
    <w:rsid w:val="00CE46AB"/>
    <w:rsid w:val="00CE4DA4"/>
    <w:rsid w:val="00CE6396"/>
    <w:rsid w:val="00CE7720"/>
    <w:rsid w:val="00CF1061"/>
    <w:rsid w:val="00CF10D9"/>
    <w:rsid w:val="00CF3190"/>
    <w:rsid w:val="00CF7491"/>
    <w:rsid w:val="00D000B3"/>
    <w:rsid w:val="00D012CE"/>
    <w:rsid w:val="00D02A8D"/>
    <w:rsid w:val="00D03504"/>
    <w:rsid w:val="00D04314"/>
    <w:rsid w:val="00D04879"/>
    <w:rsid w:val="00D048B2"/>
    <w:rsid w:val="00D0687B"/>
    <w:rsid w:val="00D07654"/>
    <w:rsid w:val="00D1006F"/>
    <w:rsid w:val="00D14F0C"/>
    <w:rsid w:val="00D20671"/>
    <w:rsid w:val="00D211C5"/>
    <w:rsid w:val="00D226B6"/>
    <w:rsid w:val="00D241EF"/>
    <w:rsid w:val="00D27C99"/>
    <w:rsid w:val="00D315CD"/>
    <w:rsid w:val="00D3234F"/>
    <w:rsid w:val="00D32C75"/>
    <w:rsid w:val="00D33704"/>
    <w:rsid w:val="00D36D17"/>
    <w:rsid w:val="00D410C1"/>
    <w:rsid w:val="00D41D7E"/>
    <w:rsid w:val="00D420BE"/>
    <w:rsid w:val="00D42AEE"/>
    <w:rsid w:val="00D43DA7"/>
    <w:rsid w:val="00D50777"/>
    <w:rsid w:val="00D51AC1"/>
    <w:rsid w:val="00D51E5B"/>
    <w:rsid w:val="00D52C60"/>
    <w:rsid w:val="00D536C7"/>
    <w:rsid w:val="00D54880"/>
    <w:rsid w:val="00D55809"/>
    <w:rsid w:val="00D55A81"/>
    <w:rsid w:val="00D56D13"/>
    <w:rsid w:val="00D61998"/>
    <w:rsid w:val="00D628E4"/>
    <w:rsid w:val="00D62ACF"/>
    <w:rsid w:val="00D63D88"/>
    <w:rsid w:val="00D651A0"/>
    <w:rsid w:val="00D66287"/>
    <w:rsid w:val="00D675F4"/>
    <w:rsid w:val="00D71B41"/>
    <w:rsid w:val="00D74B05"/>
    <w:rsid w:val="00D770D3"/>
    <w:rsid w:val="00D7772A"/>
    <w:rsid w:val="00D8019F"/>
    <w:rsid w:val="00D80B80"/>
    <w:rsid w:val="00D837E0"/>
    <w:rsid w:val="00D8380E"/>
    <w:rsid w:val="00D83E3A"/>
    <w:rsid w:val="00D85E64"/>
    <w:rsid w:val="00D91589"/>
    <w:rsid w:val="00D93FBD"/>
    <w:rsid w:val="00D9474C"/>
    <w:rsid w:val="00D94BF5"/>
    <w:rsid w:val="00D95097"/>
    <w:rsid w:val="00D95941"/>
    <w:rsid w:val="00D97398"/>
    <w:rsid w:val="00DA092F"/>
    <w:rsid w:val="00DA7858"/>
    <w:rsid w:val="00DB0A2A"/>
    <w:rsid w:val="00DB1FC4"/>
    <w:rsid w:val="00DB5041"/>
    <w:rsid w:val="00DB529D"/>
    <w:rsid w:val="00DB7EE1"/>
    <w:rsid w:val="00DC0E82"/>
    <w:rsid w:val="00DC2C39"/>
    <w:rsid w:val="00DC410A"/>
    <w:rsid w:val="00DC5999"/>
    <w:rsid w:val="00DC7823"/>
    <w:rsid w:val="00DD1D56"/>
    <w:rsid w:val="00DD4FE3"/>
    <w:rsid w:val="00DD628E"/>
    <w:rsid w:val="00DD6738"/>
    <w:rsid w:val="00DD7A1B"/>
    <w:rsid w:val="00DE5496"/>
    <w:rsid w:val="00DE6198"/>
    <w:rsid w:val="00DE75CE"/>
    <w:rsid w:val="00DF1632"/>
    <w:rsid w:val="00DF1EA2"/>
    <w:rsid w:val="00DF39EF"/>
    <w:rsid w:val="00E00114"/>
    <w:rsid w:val="00E0051A"/>
    <w:rsid w:val="00E0055A"/>
    <w:rsid w:val="00E00DC8"/>
    <w:rsid w:val="00E04199"/>
    <w:rsid w:val="00E04B8A"/>
    <w:rsid w:val="00E0533E"/>
    <w:rsid w:val="00E07C69"/>
    <w:rsid w:val="00E07E28"/>
    <w:rsid w:val="00E130EB"/>
    <w:rsid w:val="00E21836"/>
    <w:rsid w:val="00E232DE"/>
    <w:rsid w:val="00E2345A"/>
    <w:rsid w:val="00E23EB7"/>
    <w:rsid w:val="00E25289"/>
    <w:rsid w:val="00E25FFC"/>
    <w:rsid w:val="00E26E2C"/>
    <w:rsid w:val="00E31389"/>
    <w:rsid w:val="00E33C9E"/>
    <w:rsid w:val="00E34D03"/>
    <w:rsid w:val="00E3569C"/>
    <w:rsid w:val="00E403F8"/>
    <w:rsid w:val="00E4150E"/>
    <w:rsid w:val="00E424EA"/>
    <w:rsid w:val="00E42A79"/>
    <w:rsid w:val="00E45095"/>
    <w:rsid w:val="00E5062D"/>
    <w:rsid w:val="00E50AD2"/>
    <w:rsid w:val="00E52864"/>
    <w:rsid w:val="00E52929"/>
    <w:rsid w:val="00E52F5D"/>
    <w:rsid w:val="00E543FF"/>
    <w:rsid w:val="00E54E26"/>
    <w:rsid w:val="00E558EA"/>
    <w:rsid w:val="00E605E2"/>
    <w:rsid w:val="00E62470"/>
    <w:rsid w:val="00E66339"/>
    <w:rsid w:val="00E7166B"/>
    <w:rsid w:val="00E728E1"/>
    <w:rsid w:val="00E72B1A"/>
    <w:rsid w:val="00E73A9B"/>
    <w:rsid w:val="00E74FE9"/>
    <w:rsid w:val="00E7507A"/>
    <w:rsid w:val="00E75F84"/>
    <w:rsid w:val="00E77D5C"/>
    <w:rsid w:val="00E77FB9"/>
    <w:rsid w:val="00E80563"/>
    <w:rsid w:val="00E81E88"/>
    <w:rsid w:val="00E90436"/>
    <w:rsid w:val="00E93239"/>
    <w:rsid w:val="00E933DB"/>
    <w:rsid w:val="00E9389B"/>
    <w:rsid w:val="00E94CB8"/>
    <w:rsid w:val="00E95C4A"/>
    <w:rsid w:val="00EA019E"/>
    <w:rsid w:val="00EA1176"/>
    <w:rsid w:val="00EA2296"/>
    <w:rsid w:val="00EA3466"/>
    <w:rsid w:val="00EA7A66"/>
    <w:rsid w:val="00EB09EE"/>
    <w:rsid w:val="00EB11D0"/>
    <w:rsid w:val="00EB25BB"/>
    <w:rsid w:val="00EB30D2"/>
    <w:rsid w:val="00EB3F92"/>
    <w:rsid w:val="00EB7365"/>
    <w:rsid w:val="00EC0354"/>
    <w:rsid w:val="00EC0469"/>
    <w:rsid w:val="00EC080A"/>
    <w:rsid w:val="00EC08D4"/>
    <w:rsid w:val="00EC0F67"/>
    <w:rsid w:val="00EC1710"/>
    <w:rsid w:val="00EC2179"/>
    <w:rsid w:val="00EC2241"/>
    <w:rsid w:val="00EC25E9"/>
    <w:rsid w:val="00EC3E7D"/>
    <w:rsid w:val="00ED0554"/>
    <w:rsid w:val="00ED1E11"/>
    <w:rsid w:val="00ED273A"/>
    <w:rsid w:val="00ED5258"/>
    <w:rsid w:val="00ED5E53"/>
    <w:rsid w:val="00ED6062"/>
    <w:rsid w:val="00ED674F"/>
    <w:rsid w:val="00ED6B8C"/>
    <w:rsid w:val="00ED7717"/>
    <w:rsid w:val="00EE1BE7"/>
    <w:rsid w:val="00EE2C7C"/>
    <w:rsid w:val="00EE4061"/>
    <w:rsid w:val="00EE6004"/>
    <w:rsid w:val="00EE697C"/>
    <w:rsid w:val="00EF1101"/>
    <w:rsid w:val="00EF4256"/>
    <w:rsid w:val="00EF57F8"/>
    <w:rsid w:val="00F03322"/>
    <w:rsid w:val="00F0717A"/>
    <w:rsid w:val="00F10C69"/>
    <w:rsid w:val="00F11B08"/>
    <w:rsid w:val="00F1408A"/>
    <w:rsid w:val="00F15774"/>
    <w:rsid w:val="00F15FBE"/>
    <w:rsid w:val="00F17A16"/>
    <w:rsid w:val="00F21918"/>
    <w:rsid w:val="00F2390C"/>
    <w:rsid w:val="00F242CA"/>
    <w:rsid w:val="00F259ED"/>
    <w:rsid w:val="00F3258F"/>
    <w:rsid w:val="00F32AAB"/>
    <w:rsid w:val="00F3335B"/>
    <w:rsid w:val="00F33782"/>
    <w:rsid w:val="00F34386"/>
    <w:rsid w:val="00F34AED"/>
    <w:rsid w:val="00F350F2"/>
    <w:rsid w:val="00F36398"/>
    <w:rsid w:val="00F363A2"/>
    <w:rsid w:val="00F37DDF"/>
    <w:rsid w:val="00F40BC2"/>
    <w:rsid w:val="00F41887"/>
    <w:rsid w:val="00F41CC4"/>
    <w:rsid w:val="00F45C7C"/>
    <w:rsid w:val="00F47BB4"/>
    <w:rsid w:val="00F54EE6"/>
    <w:rsid w:val="00F55714"/>
    <w:rsid w:val="00F57308"/>
    <w:rsid w:val="00F579A4"/>
    <w:rsid w:val="00F60793"/>
    <w:rsid w:val="00F6140A"/>
    <w:rsid w:val="00F625F4"/>
    <w:rsid w:val="00F64454"/>
    <w:rsid w:val="00F6632D"/>
    <w:rsid w:val="00F66C35"/>
    <w:rsid w:val="00F6743A"/>
    <w:rsid w:val="00F70BF2"/>
    <w:rsid w:val="00F72E92"/>
    <w:rsid w:val="00F72EA1"/>
    <w:rsid w:val="00F72F35"/>
    <w:rsid w:val="00F7401A"/>
    <w:rsid w:val="00F7658C"/>
    <w:rsid w:val="00F765A6"/>
    <w:rsid w:val="00F76A90"/>
    <w:rsid w:val="00F77494"/>
    <w:rsid w:val="00F80C30"/>
    <w:rsid w:val="00F836BA"/>
    <w:rsid w:val="00F84025"/>
    <w:rsid w:val="00F8463D"/>
    <w:rsid w:val="00F8655D"/>
    <w:rsid w:val="00F874A7"/>
    <w:rsid w:val="00F874E1"/>
    <w:rsid w:val="00F957C4"/>
    <w:rsid w:val="00F958C0"/>
    <w:rsid w:val="00F978DF"/>
    <w:rsid w:val="00F97AFB"/>
    <w:rsid w:val="00FA2D49"/>
    <w:rsid w:val="00FA5030"/>
    <w:rsid w:val="00FA6501"/>
    <w:rsid w:val="00FA667F"/>
    <w:rsid w:val="00FA71D0"/>
    <w:rsid w:val="00FB1A57"/>
    <w:rsid w:val="00FB3177"/>
    <w:rsid w:val="00FB360C"/>
    <w:rsid w:val="00FB479B"/>
    <w:rsid w:val="00FB6004"/>
    <w:rsid w:val="00FC035A"/>
    <w:rsid w:val="00FC2E01"/>
    <w:rsid w:val="00FC3B5D"/>
    <w:rsid w:val="00FC3FDD"/>
    <w:rsid w:val="00FC578A"/>
    <w:rsid w:val="00FC58E1"/>
    <w:rsid w:val="00FC6F39"/>
    <w:rsid w:val="00FC75E8"/>
    <w:rsid w:val="00FD1886"/>
    <w:rsid w:val="00FD2E06"/>
    <w:rsid w:val="00FD59A2"/>
    <w:rsid w:val="00FD667E"/>
    <w:rsid w:val="00FE1586"/>
    <w:rsid w:val="00FE57FB"/>
    <w:rsid w:val="00FE6C5C"/>
    <w:rsid w:val="00FE73C8"/>
    <w:rsid w:val="00FF132C"/>
    <w:rsid w:val="00FF3962"/>
    <w:rsid w:val="00FF47CD"/>
    <w:rsid w:val="00FF5CD4"/>
    <w:rsid w:val="00FF646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7B28AA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EA1"/>
    <w:pPr>
      <w:spacing w:after="240"/>
    </w:pPr>
    <w:rPr>
      <w:rFonts w:ascii="Calibri" w:hAnsi="Calibri"/>
      <w:sz w:val="22"/>
      <w:szCs w:val="24"/>
      <w:lang w:val="en-GB" w:eastAsia="en-US"/>
    </w:rPr>
  </w:style>
  <w:style w:type="paragraph" w:styleId="Heading1">
    <w:name w:val="heading 1"/>
    <w:basedOn w:val="Normal"/>
    <w:next w:val="Normal"/>
    <w:link w:val="Heading1Char"/>
    <w:uiPriority w:val="9"/>
    <w:qFormat/>
    <w:rsid w:val="001D2CE7"/>
    <w:pPr>
      <w:keepNext/>
      <w:keepLines/>
      <w:spacing w:after="0"/>
      <w:outlineLvl w:val="0"/>
    </w:pPr>
    <w:rPr>
      <w:rFonts w:asciiTheme="majorHAnsi" w:eastAsiaTheme="majorEastAsia" w:hAnsiTheme="majorHAnsi" w:cstheme="majorBidi"/>
      <w:color w:val="4F6228" w:themeColor="accent3" w:themeShade="80"/>
      <w:sz w:val="60"/>
      <w:szCs w:val="32"/>
    </w:rPr>
  </w:style>
  <w:style w:type="paragraph" w:styleId="Heading2">
    <w:name w:val="heading 2"/>
    <w:basedOn w:val="Normal"/>
    <w:next w:val="Normal"/>
    <w:link w:val="Heading2Char"/>
    <w:uiPriority w:val="9"/>
    <w:unhideWhenUsed/>
    <w:qFormat/>
    <w:rsid w:val="001D2CE7"/>
    <w:pPr>
      <w:keepNext/>
      <w:keepLines/>
      <w:numPr>
        <w:numId w:val="30"/>
      </w:numPr>
      <w:spacing w:before="240" w:after="0"/>
      <w:ind w:left="357" w:hanging="357"/>
      <w:outlineLvl w:val="1"/>
    </w:pPr>
    <w:rPr>
      <w:rFonts w:asciiTheme="majorHAnsi" w:eastAsiaTheme="majorEastAsia" w:hAnsiTheme="majorHAnsi" w:cstheme="majorBidi"/>
      <w:sz w:val="44"/>
      <w:szCs w:val="26"/>
    </w:rPr>
  </w:style>
  <w:style w:type="paragraph" w:styleId="Heading3">
    <w:name w:val="heading 3"/>
    <w:basedOn w:val="Normal"/>
    <w:next w:val="Normal"/>
    <w:link w:val="Heading3Char"/>
    <w:uiPriority w:val="9"/>
    <w:unhideWhenUsed/>
    <w:qFormat/>
    <w:rsid w:val="00FF3962"/>
    <w:pPr>
      <w:keepNext/>
      <w:keepLines/>
      <w:spacing w:before="40" w:after="0"/>
      <w:outlineLvl w:val="2"/>
    </w:pPr>
    <w:rPr>
      <w:rFonts w:asciiTheme="majorHAnsi" w:eastAsiaTheme="majorEastAsia" w:hAnsiTheme="majorHAnsi" w:cstheme="majorBidi"/>
      <w:i/>
      <w:color w:val="4F6228" w:themeColor="accent3" w:themeShade="80"/>
      <w:sz w:val="32"/>
      <w:lang w:val="en-AU"/>
    </w:rPr>
  </w:style>
  <w:style w:type="paragraph" w:styleId="Heading4">
    <w:name w:val="heading 4"/>
    <w:basedOn w:val="Normal"/>
    <w:next w:val="Normal"/>
    <w:link w:val="Heading4Char"/>
    <w:uiPriority w:val="9"/>
    <w:unhideWhenUsed/>
    <w:qFormat/>
    <w:rsid w:val="002D7861"/>
    <w:pPr>
      <w:keepNext/>
      <w:keepLines/>
      <w:spacing w:before="40" w:after="40"/>
      <w:outlineLvl w:val="3"/>
    </w:pPr>
    <w:rPr>
      <w:rFonts w:asciiTheme="majorHAnsi" w:eastAsiaTheme="majorEastAsia" w:hAnsiTheme="majorHAnsi" w:cstheme="majorBidi"/>
      <w:i/>
      <w:iCs/>
      <w:color w:val="595959" w:themeColor="text1" w:themeTint="A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Mary,List Paragraph (numbered (a)),Indent Paragraph,Numbered List Paragraph,References,body bullets,LIST OF TABLES.,List Paragraph1,WB List Paragraph,List Paragraph nowy,TOR Heading 1,Bullet List,FooterText,numbered"/>
    <w:basedOn w:val="Normal"/>
    <w:link w:val="ListParagraphChar"/>
    <w:uiPriority w:val="34"/>
    <w:qFormat/>
    <w:rsid w:val="00574675"/>
    <w:pPr>
      <w:ind w:left="720"/>
      <w:contextualSpacing/>
    </w:pPr>
  </w:style>
  <w:style w:type="character" w:styleId="CommentReference">
    <w:name w:val="annotation reference"/>
    <w:basedOn w:val="DefaultParagraphFont"/>
    <w:uiPriority w:val="99"/>
    <w:semiHidden/>
    <w:unhideWhenUsed/>
    <w:rsid w:val="00713CE2"/>
    <w:rPr>
      <w:sz w:val="16"/>
      <w:szCs w:val="16"/>
    </w:rPr>
  </w:style>
  <w:style w:type="paragraph" w:styleId="CommentText">
    <w:name w:val="annotation text"/>
    <w:basedOn w:val="Normal"/>
    <w:link w:val="CommentTextChar"/>
    <w:uiPriority w:val="99"/>
    <w:unhideWhenUsed/>
    <w:rsid w:val="00713CE2"/>
    <w:rPr>
      <w:sz w:val="20"/>
      <w:szCs w:val="20"/>
    </w:rPr>
  </w:style>
  <w:style w:type="character" w:customStyle="1" w:styleId="CommentTextChar">
    <w:name w:val="Comment Text Char"/>
    <w:basedOn w:val="DefaultParagraphFont"/>
    <w:link w:val="CommentText"/>
    <w:uiPriority w:val="99"/>
    <w:rsid w:val="00713CE2"/>
    <w:rPr>
      <w:rFonts w:ascii="Helvetica" w:hAnsi="Helvetica"/>
      <w:lang w:val="en-US" w:eastAsia="en-US"/>
    </w:rPr>
  </w:style>
  <w:style w:type="paragraph" w:styleId="CommentSubject">
    <w:name w:val="annotation subject"/>
    <w:basedOn w:val="CommentText"/>
    <w:next w:val="CommentText"/>
    <w:link w:val="CommentSubjectChar"/>
    <w:uiPriority w:val="99"/>
    <w:semiHidden/>
    <w:unhideWhenUsed/>
    <w:rsid w:val="00713CE2"/>
    <w:rPr>
      <w:b/>
      <w:bCs/>
    </w:rPr>
  </w:style>
  <w:style w:type="character" w:customStyle="1" w:styleId="CommentSubjectChar">
    <w:name w:val="Comment Subject Char"/>
    <w:basedOn w:val="CommentTextChar"/>
    <w:link w:val="CommentSubject"/>
    <w:uiPriority w:val="99"/>
    <w:semiHidden/>
    <w:rsid w:val="00713CE2"/>
    <w:rPr>
      <w:rFonts w:ascii="Helvetica" w:hAnsi="Helvetica"/>
      <w:b/>
      <w:bCs/>
      <w:lang w:val="en-US" w:eastAsia="en-US"/>
    </w:rPr>
  </w:style>
  <w:style w:type="paragraph" w:styleId="BalloonText">
    <w:name w:val="Balloon Text"/>
    <w:basedOn w:val="Normal"/>
    <w:link w:val="BalloonTextChar"/>
    <w:uiPriority w:val="99"/>
    <w:semiHidden/>
    <w:unhideWhenUsed/>
    <w:rsid w:val="00713CE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13CE2"/>
    <w:rPr>
      <w:sz w:val="18"/>
      <w:szCs w:val="18"/>
      <w:lang w:val="en-US" w:eastAsia="en-US"/>
    </w:rPr>
  </w:style>
  <w:style w:type="character" w:styleId="Hyperlink">
    <w:name w:val="Hyperlink"/>
    <w:uiPriority w:val="99"/>
    <w:unhideWhenUsed/>
    <w:rsid w:val="00985AED"/>
    <w:rPr>
      <w:color w:val="595959" w:themeColor="text1" w:themeTint="A6"/>
      <w:u w:val="single"/>
    </w:rPr>
  </w:style>
  <w:style w:type="paragraph" w:styleId="EndnoteText">
    <w:name w:val="endnote text"/>
    <w:basedOn w:val="Normal"/>
    <w:link w:val="EndnoteTextChar"/>
    <w:uiPriority w:val="99"/>
    <w:unhideWhenUsed/>
    <w:qFormat/>
    <w:rsid w:val="00FD1886"/>
    <w:rPr>
      <w:rFonts w:asciiTheme="minorHAnsi" w:eastAsiaTheme="minorHAnsi" w:hAnsiTheme="minorHAnsi" w:cstheme="minorBidi"/>
      <w:sz w:val="20"/>
      <w:szCs w:val="20"/>
      <w:lang w:val="en-AU"/>
    </w:rPr>
  </w:style>
  <w:style w:type="character" w:customStyle="1" w:styleId="EndnoteTextChar">
    <w:name w:val="Endnote Text Char"/>
    <w:basedOn w:val="DefaultParagraphFont"/>
    <w:link w:val="EndnoteText"/>
    <w:uiPriority w:val="99"/>
    <w:qFormat/>
    <w:rsid w:val="00FD1886"/>
    <w:rPr>
      <w:rFonts w:asciiTheme="minorHAnsi" w:eastAsiaTheme="minorHAnsi" w:hAnsiTheme="minorHAnsi" w:cstheme="minorBidi"/>
      <w:lang w:eastAsia="en-US"/>
    </w:rPr>
  </w:style>
  <w:style w:type="character" w:styleId="EndnoteReference">
    <w:name w:val="endnote reference"/>
    <w:basedOn w:val="DefaultParagraphFont"/>
    <w:uiPriority w:val="99"/>
    <w:unhideWhenUsed/>
    <w:rsid w:val="00FD1886"/>
    <w:rPr>
      <w:vertAlign w:val="superscript"/>
    </w:rPr>
  </w:style>
  <w:style w:type="paragraph" w:styleId="NormalWeb">
    <w:name w:val="Normal (Web)"/>
    <w:basedOn w:val="Normal"/>
    <w:uiPriority w:val="99"/>
    <w:unhideWhenUsed/>
    <w:rsid w:val="00FD1886"/>
    <w:pPr>
      <w:spacing w:before="100" w:beforeAutospacing="1" w:after="100" w:afterAutospacing="1"/>
    </w:pPr>
    <w:rPr>
      <w:rFonts w:ascii="Times New Roman" w:eastAsia="Times New Roman" w:hAnsi="Times New Roman"/>
      <w:sz w:val="24"/>
      <w:lang w:val="en-AU" w:eastAsia="en-GB"/>
    </w:rPr>
  </w:style>
  <w:style w:type="character" w:customStyle="1" w:styleId="Heading3Char">
    <w:name w:val="Heading 3 Char"/>
    <w:basedOn w:val="DefaultParagraphFont"/>
    <w:link w:val="Heading3"/>
    <w:uiPriority w:val="9"/>
    <w:rsid w:val="00FF3962"/>
    <w:rPr>
      <w:rFonts w:asciiTheme="majorHAnsi" w:eastAsiaTheme="majorEastAsia" w:hAnsiTheme="majorHAnsi" w:cstheme="majorBidi"/>
      <w:i/>
      <w:color w:val="4F6228" w:themeColor="accent3" w:themeShade="80"/>
      <w:sz w:val="32"/>
      <w:szCs w:val="24"/>
      <w:lang w:eastAsia="en-US"/>
    </w:rPr>
  </w:style>
  <w:style w:type="character" w:styleId="Emphasis">
    <w:name w:val="Emphasis"/>
    <w:aliases w:val="Emphasis italic"/>
    <w:basedOn w:val="DefaultParagraphFont"/>
    <w:uiPriority w:val="20"/>
    <w:qFormat/>
    <w:rsid w:val="00FD1886"/>
    <w:rPr>
      <w:i/>
      <w:iCs/>
    </w:rPr>
  </w:style>
  <w:style w:type="character" w:customStyle="1" w:styleId="Heading1Char">
    <w:name w:val="Heading 1 Char"/>
    <w:basedOn w:val="DefaultParagraphFont"/>
    <w:link w:val="Heading1"/>
    <w:uiPriority w:val="9"/>
    <w:rsid w:val="001D2CE7"/>
    <w:rPr>
      <w:rFonts w:asciiTheme="majorHAnsi" w:eastAsiaTheme="majorEastAsia" w:hAnsiTheme="majorHAnsi" w:cstheme="majorBidi"/>
      <w:color w:val="4F6228" w:themeColor="accent3" w:themeShade="80"/>
      <w:sz w:val="60"/>
      <w:szCs w:val="32"/>
      <w:lang w:val="en-GB" w:eastAsia="en-US"/>
    </w:rPr>
  </w:style>
  <w:style w:type="character" w:customStyle="1" w:styleId="Heading2Char">
    <w:name w:val="Heading 2 Char"/>
    <w:basedOn w:val="DefaultParagraphFont"/>
    <w:link w:val="Heading2"/>
    <w:uiPriority w:val="9"/>
    <w:rsid w:val="001D2CE7"/>
    <w:rPr>
      <w:rFonts w:asciiTheme="majorHAnsi" w:eastAsiaTheme="majorEastAsia" w:hAnsiTheme="majorHAnsi" w:cstheme="majorBidi"/>
      <w:sz w:val="44"/>
      <w:szCs w:val="26"/>
      <w:lang w:val="en-GB" w:eastAsia="en-US"/>
    </w:rPr>
  </w:style>
  <w:style w:type="character" w:customStyle="1" w:styleId="ListParagraphChar">
    <w:name w:val="List Paragraph Char"/>
    <w:aliases w:val="List Bullet Mary Char,List Paragraph (numbered (a)) Char,Indent Paragraph Char,Numbered List Paragraph Char,References Char,body bullets Char,LIST OF TABLES. Char,List Paragraph1 Char,WB List Paragraph Char,List Paragraph nowy Char"/>
    <w:basedOn w:val="DefaultParagraphFont"/>
    <w:link w:val="ListParagraph"/>
    <w:uiPriority w:val="34"/>
    <w:qFormat/>
    <w:locked/>
    <w:rsid w:val="00CA73C9"/>
    <w:rPr>
      <w:rFonts w:ascii="Helvetica" w:hAnsi="Helvetica"/>
      <w:sz w:val="22"/>
      <w:szCs w:val="24"/>
      <w:lang w:val="en-US" w:eastAsia="en-US"/>
    </w:rPr>
  </w:style>
  <w:style w:type="character" w:customStyle="1" w:styleId="UnresolvedMention1">
    <w:name w:val="Unresolved Mention1"/>
    <w:basedOn w:val="DefaultParagraphFont"/>
    <w:uiPriority w:val="99"/>
    <w:semiHidden/>
    <w:unhideWhenUsed/>
    <w:rsid w:val="005B11D8"/>
    <w:rPr>
      <w:color w:val="605E5C"/>
      <w:shd w:val="clear" w:color="auto" w:fill="E1DFDD"/>
    </w:rPr>
  </w:style>
  <w:style w:type="character" w:customStyle="1" w:styleId="Heading4Char">
    <w:name w:val="Heading 4 Char"/>
    <w:basedOn w:val="DefaultParagraphFont"/>
    <w:link w:val="Heading4"/>
    <w:uiPriority w:val="9"/>
    <w:rsid w:val="002D7861"/>
    <w:rPr>
      <w:rFonts w:asciiTheme="majorHAnsi" w:eastAsiaTheme="majorEastAsia" w:hAnsiTheme="majorHAnsi" w:cstheme="majorBidi"/>
      <w:i/>
      <w:iCs/>
      <w:color w:val="595959" w:themeColor="text1" w:themeTint="A6"/>
      <w:sz w:val="24"/>
      <w:szCs w:val="24"/>
      <w:lang w:val="en-GB" w:eastAsia="en-US"/>
    </w:rPr>
  </w:style>
  <w:style w:type="table" w:styleId="TableGrid">
    <w:name w:val="Table Grid"/>
    <w:basedOn w:val="TableNormal"/>
    <w:uiPriority w:val="59"/>
    <w:rsid w:val="00C50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9389B"/>
    <w:pPr>
      <w:tabs>
        <w:tab w:val="center" w:pos="4513"/>
        <w:tab w:val="right" w:pos="9026"/>
      </w:tabs>
    </w:pPr>
  </w:style>
  <w:style w:type="character" w:customStyle="1" w:styleId="FooterChar">
    <w:name w:val="Footer Char"/>
    <w:basedOn w:val="DefaultParagraphFont"/>
    <w:link w:val="Footer"/>
    <w:uiPriority w:val="99"/>
    <w:rsid w:val="00E9389B"/>
    <w:rPr>
      <w:rFonts w:ascii="Helvetica" w:hAnsi="Helvetica"/>
      <w:sz w:val="22"/>
      <w:szCs w:val="24"/>
      <w:lang w:val="en-US" w:eastAsia="en-US"/>
    </w:rPr>
  </w:style>
  <w:style w:type="character" w:styleId="PageNumber">
    <w:name w:val="page number"/>
    <w:basedOn w:val="DefaultParagraphFont"/>
    <w:uiPriority w:val="99"/>
    <w:semiHidden/>
    <w:unhideWhenUsed/>
    <w:rsid w:val="00E9389B"/>
  </w:style>
  <w:style w:type="character" w:styleId="FollowedHyperlink">
    <w:name w:val="FollowedHyperlink"/>
    <w:basedOn w:val="DefaultParagraphFont"/>
    <w:uiPriority w:val="99"/>
    <w:semiHidden/>
    <w:unhideWhenUsed/>
    <w:rsid w:val="00D83E3A"/>
    <w:rPr>
      <w:color w:val="800080" w:themeColor="followedHyperlink"/>
      <w:u w:val="single"/>
    </w:rPr>
  </w:style>
  <w:style w:type="paragraph" w:styleId="BodyText">
    <w:name w:val="Body Text"/>
    <w:basedOn w:val="Normal"/>
    <w:link w:val="BodyTextChar"/>
    <w:uiPriority w:val="99"/>
    <w:unhideWhenUsed/>
    <w:rsid w:val="00BF1426"/>
    <w:pPr>
      <w:suppressAutoHyphens/>
      <w:spacing w:before="120" w:after="60" w:line="260" w:lineRule="atLeast"/>
    </w:pPr>
    <w:rPr>
      <w:rFonts w:asciiTheme="minorHAnsi" w:eastAsiaTheme="minorHAnsi" w:hAnsiTheme="minorHAnsi" w:cstheme="minorBidi"/>
      <w:color w:val="1F497D" w:themeColor="text2"/>
      <w:szCs w:val="22"/>
    </w:rPr>
  </w:style>
  <w:style w:type="character" w:customStyle="1" w:styleId="BodyTextChar">
    <w:name w:val="Body Text Char"/>
    <w:basedOn w:val="DefaultParagraphFont"/>
    <w:link w:val="BodyText"/>
    <w:uiPriority w:val="99"/>
    <w:rsid w:val="00BF1426"/>
    <w:rPr>
      <w:rFonts w:asciiTheme="minorHAnsi" w:eastAsiaTheme="minorHAnsi" w:hAnsiTheme="minorHAnsi" w:cstheme="minorBidi"/>
      <w:color w:val="1F497D" w:themeColor="text2"/>
      <w:sz w:val="22"/>
      <w:szCs w:val="22"/>
      <w:lang w:val="en-GB" w:eastAsia="en-US"/>
    </w:rPr>
  </w:style>
  <w:style w:type="paragraph" w:styleId="FootnoteText">
    <w:name w:val="footnote text"/>
    <w:basedOn w:val="Normal"/>
    <w:link w:val="FootnoteTextChar"/>
    <w:unhideWhenUsed/>
    <w:qFormat/>
    <w:rsid w:val="00945DDE"/>
    <w:rPr>
      <w:sz w:val="20"/>
      <w:szCs w:val="20"/>
    </w:rPr>
  </w:style>
  <w:style w:type="character" w:customStyle="1" w:styleId="FootnoteTextChar">
    <w:name w:val="Footnote Text Char"/>
    <w:basedOn w:val="DefaultParagraphFont"/>
    <w:link w:val="FootnoteText"/>
    <w:rsid w:val="00945DDE"/>
    <w:rPr>
      <w:rFonts w:ascii="Helvetica" w:hAnsi="Helvetica"/>
      <w:lang w:val="en-US" w:eastAsia="en-US"/>
    </w:rPr>
  </w:style>
  <w:style w:type="character" w:styleId="FootnoteReference">
    <w:name w:val="footnote reference"/>
    <w:aliases w:val="16 Point,Superscript 6 Point,Ref,de nota al pie,ftref, Car Car Char Car Char Car Car Char Car Char Char, Car Car Car Car Car Car Car Car Char Car Car Char Car Car Car Char Car Char Char Char,SUPERS,Footnote Reference Number, BVI fnr"/>
    <w:basedOn w:val="DefaultParagraphFont"/>
    <w:unhideWhenUsed/>
    <w:rsid w:val="00945DDE"/>
    <w:rPr>
      <w:vertAlign w:val="superscript"/>
    </w:rPr>
  </w:style>
  <w:style w:type="paragraph" w:styleId="Revision">
    <w:name w:val="Revision"/>
    <w:hidden/>
    <w:uiPriority w:val="99"/>
    <w:semiHidden/>
    <w:rsid w:val="00413A82"/>
    <w:rPr>
      <w:rFonts w:ascii="Helvetica" w:hAnsi="Helvetica"/>
      <w:sz w:val="22"/>
      <w:szCs w:val="24"/>
      <w:lang w:val="en-US" w:eastAsia="en-US"/>
    </w:rPr>
  </w:style>
  <w:style w:type="paragraph" w:customStyle="1" w:styleId="Default">
    <w:name w:val="Default"/>
    <w:rsid w:val="004B6583"/>
    <w:pPr>
      <w:widowControl w:val="0"/>
      <w:autoSpaceDE w:val="0"/>
      <w:autoSpaceDN w:val="0"/>
      <w:adjustRightInd w:val="0"/>
    </w:pPr>
    <w:rPr>
      <w:rFonts w:ascii="Calibri Light" w:hAnsi="Calibri Light" w:cs="Calibri Light"/>
      <w:color w:val="000000"/>
      <w:sz w:val="24"/>
      <w:szCs w:val="24"/>
      <w:lang w:val="en-US"/>
    </w:rPr>
  </w:style>
  <w:style w:type="paragraph" w:styleId="Header">
    <w:name w:val="header"/>
    <w:basedOn w:val="Normal"/>
    <w:link w:val="HeaderChar"/>
    <w:uiPriority w:val="99"/>
    <w:unhideWhenUsed/>
    <w:rsid w:val="00655A62"/>
    <w:pPr>
      <w:tabs>
        <w:tab w:val="center" w:pos="4513"/>
        <w:tab w:val="right" w:pos="9026"/>
      </w:tabs>
    </w:pPr>
  </w:style>
  <w:style w:type="character" w:customStyle="1" w:styleId="HeaderChar">
    <w:name w:val="Header Char"/>
    <w:basedOn w:val="DefaultParagraphFont"/>
    <w:link w:val="Header"/>
    <w:uiPriority w:val="99"/>
    <w:rsid w:val="00655A62"/>
    <w:rPr>
      <w:rFonts w:ascii="Helvetica" w:hAnsi="Helvetica"/>
      <w:sz w:val="22"/>
      <w:szCs w:val="24"/>
      <w:lang w:val="en-US" w:eastAsia="en-US"/>
    </w:rPr>
  </w:style>
  <w:style w:type="character" w:customStyle="1" w:styleId="UnresolvedMention2">
    <w:name w:val="Unresolved Mention2"/>
    <w:basedOn w:val="DefaultParagraphFont"/>
    <w:uiPriority w:val="99"/>
    <w:semiHidden/>
    <w:unhideWhenUsed/>
    <w:rsid w:val="006502BB"/>
    <w:rPr>
      <w:color w:val="605E5C"/>
      <w:shd w:val="clear" w:color="auto" w:fill="E1DFDD"/>
    </w:rPr>
  </w:style>
  <w:style w:type="character" w:customStyle="1" w:styleId="UnresolvedMention3">
    <w:name w:val="Unresolved Mention3"/>
    <w:basedOn w:val="DefaultParagraphFont"/>
    <w:uiPriority w:val="99"/>
    <w:semiHidden/>
    <w:unhideWhenUsed/>
    <w:rsid w:val="00F80C30"/>
    <w:rPr>
      <w:color w:val="605E5C"/>
      <w:shd w:val="clear" w:color="auto" w:fill="E1DFDD"/>
    </w:rPr>
  </w:style>
  <w:style w:type="character" w:customStyle="1" w:styleId="UnresolvedMention4">
    <w:name w:val="Unresolved Mention4"/>
    <w:basedOn w:val="DefaultParagraphFont"/>
    <w:uiPriority w:val="99"/>
    <w:semiHidden/>
    <w:unhideWhenUsed/>
    <w:rsid w:val="0011759A"/>
    <w:rPr>
      <w:color w:val="605E5C"/>
      <w:shd w:val="clear" w:color="auto" w:fill="E1DFDD"/>
    </w:rPr>
  </w:style>
  <w:style w:type="character" w:customStyle="1" w:styleId="UnresolvedMention5">
    <w:name w:val="Unresolved Mention5"/>
    <w:basedOn w:val="DefaultParagraphFont"/>
    <w:uiPriority w:val="99"/>
    <w:semiHidden/>
    <w:unhideWhenUsed/>
    <w:rsid w:val="00CA5D82"/>
    <w:rPr>
      <w:color w:val="605E5C"/>
      <w:shd w:val="clear" w:color="auto" w:fill="E1DFDD"/>
    </w:rPr>
  </w:style>
  <w:style w:type="paragraph" w:styleId="Title">
    <w:name w:val="Title"/>
    <w:basedOn w:val="Normal"/>
    <w:next w:val="Normal"/>
    <w:link w:val="TitleChar"/>
    <w:uiPriority w:val="10"/>
    <w:qFormat/>
    <w:rsid w:val="00274AAB"/>
    <w:pPr>
      <w:contextualSpacing/>
    </w:pPr>
    <w:rPr>
      <w:rFonts w:asciiTheme="majorHAnsi" w:eastAsiaTheme="majorEastAsia" w:hAnsiTheme="majorHAnsi" w:cstheme="majorBidi"/>
      <w:color w:val="BB3333"/>
      <w:spacing w:val="-10"/>
      <w:kern w:val="28"/>
      <w:sz w:val="56"/>
      <w:szCs w:val="56"/>
    </w:rPr>
  </w:style>
  <w:style w:type="character" w:customStyle="1" w:styleId="TitleChar">
    <w:name w:val="Title Char"/>
    <w:basedOn w:val="DefaultParagraphFont"/>
    <w:link w:val="Title"/>
    <w:uiPriority w:val="10"/>
    <w:rsid w:val="00274AAB"/>
    <w:rPr>
      <w:rFonts w:asciiTheme="majorHAnsi" w:eastAsiaTheme="majorEastAsia" w:hAnsiTheme="majorHAnsi" w:cstheme="majorBidi"/>
      <w:color w:val="BB3333"/>
      <w:spacing w:val="-10"/>
      <w:kern w:val="28"/>
      <w:sz w:val="56"/>
      <w:szCs w:val="56"/>
      <w:lang w:val="en-GB" w:eastAsia="en-US"/>
    </w:rPr>
  </w:style>
  <w:style w:type="paragraph" w:customStyle="1" w:styleId="Enfasi">
    <w:name w:val="Enfasi"/>
    <w:basedOn w:val="Normal"/>
    <w:link w:val="EnfasiChar"/>
    <w:autoRedefine/>
    <w:qFormat/>
    <w:rsid w:val="001D2CE7"/>
    <w:pPr>
      <w:spacing w:before="240"/>
      <w:ind w:left="176"/>
    </w:pPr>
    <w:rPr>
      <w:rFonts w:asciiTheme="majorHAnsi" w:hAnsiTheme="majorHAnsi" w:cstheme="majorHAnsi"/>
      <w:b/>
      <w:bCs/>
      <w:i/>
      <w:iCs/>
      <w:color w:val="4F6228" w:themeColor="accent3" w:themeShade="80"/>
      <w:szCs w:val="22"/>
    </w:rPr>
  </w:style>
  <w:style w:type="paragraph" w:customStyle="1" w:styleId="bullets0">
    <w:name w:val="bullets"/>
    <w:basedOn w:val="ListParagraph"/>
    <w:link w:val="bulletsChar"/>
    <w:autoRedefine/>
    <w:qFormat/>
    <w:rsid w:val="009D6A9A"/>
    <w:pPr>
      <w:numPr>
        <w:numId w:val="14"/>
      </w:numPr>
      <w:ind w:left="357" w:right="851" w:hanging="357"/>
    </w:pPr>
  </w:style>
  <w:style w:type="character" w:customStyle="1" w:styleId="EnfasiChar">
    <w:name w:val="Enfasi Char"/>
    <w:basedOn w:val="DefaultParagraphFont"/>
    <w:link w:val="Enfasi"/>
    <w:rsid w:val="001D2CE7"/>
    <w:rPr>
      <w:rFonts w:asciiTheme="majorHAnsi" w:hAnsiTheme="majorHAnsi" w:cstheme="majorHAnsi"/>
      <w:b/>
      <w:bCs/>
      <w:i/>
      <w:iCs/>
      <w:color w:val="4F6228" w:themeColor="accent3" w:themeShade="80"/>
      <w:sz w:val="22"/>
      <w:szCs w:val="22"/>
      <w:lang w:val="en-GB" w:eastAsia="en-US"/>
    </w:rPr>
  </w:style>
  <w:style w:type="table" w:customStyle="1" w:styleId="GridTable1LightAccent21">
    <w:name w:val="Grid Table 1 Light – Accent 21"/>
    <w:basedOn w:val="TableNormal"/>
    <w:uiPriority w:val="46"/>
    <w:rsid w:val="00FC3FD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bulletsChar">
    <w:name w:val="bullets Char"/>
    <w:basedOn w:val="ListParagraphChar"/>
    <w:link w:val="bullets0"/>
    <w:rsid w:val="009D6A9A"/>
    <w:rPr>
      <w:rFonts w:ascii="Calibri" w:hAnsi="Calibri"/>
      <w:sz w:val="22"/>
      <w:szCs w:val="24"/>
      <w:lang w:val="en-GB" w:eastAsia="en-US"/>
    </w:rPr>
  </w:style>
  <w:style w:type="table" w:customStyle="1" w:styleId="GridTable1Light-Accent31">
    <w:name w:val="Grid Table 1 Light - Accent 31"/>
    <w:basedOn w:val="TableNormal"/>
    <w:uiPriority w:val="46"/>
    <w:rsid w:val="00204EDB"/>
    <w:tblPr>
      <w:tblStyleRowBandSize w:val="1"/>
      <w:tblStyleColBandSize w:val="1"/>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4-Accent31">
    <w:name w:val="Grid Table 4 - Accent 31"/>
    <w:basedOn w:val="TableNormal"/>
    <w:uiPriority w:val="49"/>
    <w:rsid w:val="00FC3FD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Quote1">
    <w:name w:val="Quote1"/>
    <w:basedOn w:val="Normal"/>
    <w:link w:val="quoteChar"/>
    <w:autoRedefine/>
    <w:qFormat/>
    <w:rsid w:val="00614BD3"/>
    <w:pPr>
      <w:spacing w:after="0"/>
      <w:ind w:left="680" w:right="680"/>
    </w:pPr>
    <w:rPr>
      <w:i/>
    </w:rPr>
  </w:style>
  <w:style w:type="character" w:customStyle="1" w:styleId="quoteChar">
    <w:name w:val="quote Char"/>
    <w:basedOn w:val="DefaultParagraphFont"/>
    <w:link w:val="Quote1"/>
    <w:rsid w:val="00614BD3"/>
    <w:rPr>
      <w:rFonts w:ascii="Calibri" w:hAnsi="Calibri"/>
      <w:i/>
      <w:sz w:val="22"/>
      <w:szCs w:val="24"/>
      <w:lang w:val="en-GB" w:eastAsia="en-US"/>
    </w:rPr>
  </w:style>
  <w:style w:type="paragraph" w:styleId="TOCHeading">
    <w:name w:val="TOC Heading"/>
    <w:basedOn w:val="Heading1"/>
    <w:next w:val="Normal"/>
    <w:uiPriority w:val="39"/>
    <w:unhideWhenUsed/>
    <w:qFormat/>
    <w:rsid w:val="00183A34"/>
    <w:pPr>
      <w:spacing w:before="240" w:line="259" w:lineRule="auto"/>
      <w:outlineLvl w:val="9"/>
    </w:pPr>
    <w:rPr>
      <w:b/>
      <w:color w:val="365F91" w:themeColor="accent1" w:themeShade="BF"/>
      <w:sz w:val="32"/>
      <w:lang w:val="en-US"/>
    </w:rPr>
  </w:style>
  <w:style w:type="paragraph" w:styleId="TOC1">
    <w:name w:val="toc 1"/>
    <w:basedOn w:val="Normal"/>
    <w:next w:val="Normal"/>
    <w:autoRedefine/>
    <w:uiPriority w:val="39"/>
    <w:unhideWhenUsed/>
    <w:rsid w:val="003D0A27"/>
    <w:pPr>
      <w:ind w:left="284"/>
    </w:pPr>
    <w:rPr>
      <w:rFonts w:asciiTheme="majorHAnsi" w:hAnsiTheme="majorHAnsi" w:cstheme="majorHAnsi"/>
      <w:b/>
      <w:bCs/>
      <w:caps/>
      <w:color w:val="595959" w:themeColor="text1" w:themeTint="A6"/>
      <w:sz w:val="24"/>
    </w:rPr>
  </w:style>
  <w:style w:type="paragraph" w:styleId="TOC2">
    <w:name w:val="toc 2"/>
    <w:basedOn w:val="Normal"/>
    <w:next w:val="Normal"/>
    <w:autoRedefine/>
    <w:uiPriority w:val="39"/>
    <w:unhideWhenUsed/>
    <w:rsid w:val="006F738B"/>
    <w:pPr>
      <w:tabs>
        <w:tab w:val="left" w:pos="660"/>
        <w:tab w:val="right" w:pos="11185"/>
      </w:tabs>
      <w:spacing w:before="240" w:after="0"/>
      <w:ind w:left="284"/>
    </w:pPr>
    <w:rPr>
      <w:rFonts w:asciiTheme="majorHAnsi" w:hAnsiTheme="majorHAnsi"/>
      <w:bCs/>
      <w:color w:val="7F7F7F" w:themeColor="text1" w:themeTint="80"/>
      <w:sz w:val="20"/>
      <w:szCs w:val="20"/>
    </w:rPr>
  </w:style>
  <w:style w:type="paragraph" w:styleId="TOC3">
    <w:name w:val="toc 3"/>
    <w:basedOn w:val="Normal"/>
    <w:next w:val="Normal"/>
    <w:autoRedefine/>
    <w:uiPriority w:val="39"/>
    <w:unhideWhenUsed/>
    <w:rsid w:val="00183A34"/>
    <w:pPr>
      <w:spacing w:after="0"/>
      <w:ind w:left="220"/>
    </w:pPr>
    <w:rPr>
      <w:rFonts w:asciiTheme="minorHAnsi" w:hAnsiTheme="minorHAnsi"/>
      <w:sz w:val="20"/>
      <w:szCs w:val="20"/>
    </w:rPr>
  </w:style>
  <w:style w:type="paragraph" w:styleId="TOC4">
    <w:name w:val="toc 4"/>
    <w:basedOn w:val="Normal"/>
    <w:next w:val="Normal"/>
    <w:autoRedefine/>
    <w:uiPriority w:val="39"/>
    <w:unhideWhenUsed/>
    <w:rsid w:val="00183A34"/>
    <w:pP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183A34"/>
    <w:pP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183A34"/>
    <w:pP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183A34"/>
    <w:pP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183A34"/>
    <w:pP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183A34"/>
    <w:pPr>
      <w:spacing w:after="0"/>
      <w:ind w:left="1540"/>
    </w:pPr>
    <w:rPr>
      <w:rFonts w:asciiTheme="minorHAnsi" w:hAnsiTheme="minorHAnsi"/>
      <w:sz w:val="20"/>
      <w:szCs w:val="20"/>
    </w:rPr>
  </w:style>
  <w:style w:type="paragraph" w:customStyle="1" w:styleId="IntroAnnex">
    <w:name w:val="Intro&amp;Annex"/>
    <w:basedOn w:val="Normal"/>
    <w:qFormat/>
    <w:rsid w:val="00921A7B"/>
    <w:pPr>
      <w:spacing w:after="0"/>
    </w:pPr>
    <w:rPr>
      <w:rFonts w:ascii="Georgia" w:hAnsi="Georgia"/>
      <w:b/>
      <w:color w:val="595959" w:themeColor="text1" w:themeTint="A6"/>
      <w:sz w:val="48"/>
    </w:rPr>
  </w:style>
  <w:style w:type="paragraph" w:customStyle="1" w:styleId="Covertitle">
    <w:name w:val="Cover title"/>
    <w:qFormat/>
    <w:rsid w:val="00F72EA1"/>
    <w:pPr>
      <w:spacing w:before="10320" w:after="720"/>
    </w:pPr>
    <w:rPr>
      <w:rFonts w:asciiTheme="majorHAnsi" w:eastAsiaTheme="majorEastAsia" w:hAnsiTheme="majorHAnsi" w:cstheme="majorBidi"/>
      <w:bCs/>
      <w:color w:val="AB0534"/>
      <w:kern w:val="28"/>
      <w:sz w:val="40"/>
      <w:szCs w:val="40"/>
      <w:lang w:eastAsia="en-US"/>
    </w:rPr>
  </w:style>
  <w:style w:type="table" w:customStyle="1" w:styleId="ListTable2-Accent11">
    <w:name w:val="List Table 2 - Accent 11"/>
    <w:basedOn w:val="TableNormal"/>
    <w:uiPriority w:val="47"/>
    <w:rsid w:val="00CD175C"/>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Numbers">
    <w:name w:val="Numbers"/>
    <w:basedOn w:val="bullets0"/>
    <w:qFormat/>
    <w:rsid w:val="00CD175C"/>
    <w:pPr>
      <w:numPr>
        <w:numId w:val="18"/>
      </w:numPr>
      <w:spacing w:after="120"/>
      <w:ind w:right="0"/>
      <w:contextualSpacing w:val="0"/>
    </w:pPr>
    <w:rPr>
      <w:rFonts w:eastAsiaTheme="minorHAnsi" w:cstheme="minorBidi"/>
      <w:szCs w:val="22"/>
      <w:lang w:val="en-AU"/>
    </w:rPr>
  </w:style>
  <w:style w:type="table" w:customStyle="1" w:styleId="Table3">
    <w:name w:val="Table 3"/>
    <w:basedOn w:val="TableNormal"/>
    <w:uiPriority w:val="99"/>
    <w:rsid w:val="00CD175C"/>
    <w:rPr>
      <w:rFonts w:asciiTheme="minorHAnsi" w:eastAsiaTheme="minorHAnsi" w:hAnsiTheme="minorHAnsi" w:cstheme="minorBidi"/>
      <w:sz w:val="22"/>
      <w:szCs w:val="22"/>
      <w:lang w:eastAsia="en-US"/>
    </w:rPr>
    <w:tblPr>
      <w:tblBorders>
        <w:top w:val="single" w:sz="4" w:space="0" w:color="BC1D43"/>
        <w:bottom w:val="single" w:sz="4" w:space="0" w:color="BC1D43"/>
        <w:insideH w:val="single" w:sz="4" w:space="0" w:color="BC1D43"/>
      </w:tblBorders>
    </w:tblPr>
    <w:tcPr>
      <w:tcMar>
        <w:top w:w="142" w:type="dxa"/>
      </w:tcMar>
    </w:tcPr>
    <w:tblStylePr w:type="firstRow">
      <w:rPr>
        <w:rFonts w:ascii="Calibri Light" w:hAnsi="Calibri Light"/>
        <w:b w:val="0"/>
        <w:bCs w:val="0"/>
        <w:i w:val="0"/>
        <w:iCs w:val="0"/>
        <w:color w:val="BC1D43"/>
        <w:sz w:val="24"/>
      </w:rPr>
    </w:tblStylePr>
  </w:style>
  <w:style w:type="paragraph" w:customStyle="1" w:styleId="Bullets">
    <w:name w:val="Bullets"/>
    <w:basedOn w:val="Normal"/>
    <w:qFormat/>
    <w:rsid w:val="006317EC"/>
    <w:pPr>
      <w:numPr>
        <w:numId w:val="28"/>
      </w:numPr>
      <w:spacing w:after="120"/>
    </w:pPr>
    <w:rPr>
      <w:rFonts w:asciiTheme="minorHAnsi" w:eastAsiaTheme="minorHAnsi" w:hAnsiTheme="minorHAnsi" w:cstheme="minorBidi"/>
      <w:szCs w:val="22"/>
      <w:lang w:val="en-AU"/>
    </w:rPr>
  </w:style>
  <w:style w:type="table" w:customStyle="1" w:styleId="Table1">
    <w:name w:val="Table 1"/>
    <w:basedOn w:val="TableNormal"/>
    <w:uiPriority w:val="99"/>
    <w:rsid w:val="00B2315B"/>
    <w:rPr>
      <w:rFonts w:asciiTheme="minorHAnsi" w:eastAsiaTheme="minorHAnsi" w:hAnsiTheme="minorHAnsi" w:cstheme="minorBidi"/>
      <w:sz w:val="22"/>
      <w:szCs w:val="22"/>
      <w:lang w:eastAsia="en-US"/>
    </w:rPr>
    <w:tblPr>
      <w:tblBorders>
        <w:bottom w:val="single" w:sz="4" w:space="0" w:color="BC1D43"/>
        <w:insideH w:val="single" w:sz="4" w:space="0" w:color="BC1D43"/>
      </w:tblBorders>
    </w:tblPr>
    <w:tcPr>
      <w:tcMar>
        <w:top w:w="142" w:type="dxa"/>
        <w:bottom w:w="0" w:type="dxa"/>
      </w:tcMar>
    </w:tcPr>
    <w:tblStylePr w:type="firstRow">
      <w:rPr>
        <w:rFonts w:ascii="Calibri" w:hAnsi="Calibri"/>
        <w:b/>
        <w:bCs/>
        <w:i w:val="0"/>
        <w:iCs w:val="0"/>
        <w:caps/>
        <w:smallCaps w:val="0"/>
        <w:strike w:val="0"/>
        <w:dstrike w:val="0"/>
        <w:vanish w:val="0"/>
        <w:color w:val="FFFFFF" w:themeColor="background1"/>
        <w:spacing w:val="10"/>
        <w:sz w:val="21"/>
        <w:vertAlign w:val="baseline"/>
      </w:rPr>
      <w:tblPr/>
      <w:tcPr>
        <w:tcBorders>
          <w:top w:val="nil"/>
          <w:left w:val="nil"/>
          <w:bottom w:val="nil"/>
          <w:right w:val="nil"/>
          <w:insideH w:val="nil"/>
          <w:insideV w:val="nil"/>
          <w:tl2br w:val="nil"/>
          <w:tr2bl w:val="nil"/>
        </w:tcBorders>
        <w:shd w:val="clear" w:color="auto" w:fill="BC1D43"/>
      </w:tcPr>
    </w:tblStylePr>
  </w:style>
  <w:style w:type="paragraph" w:customStyle="1" w:styleId="tablebullets">
    <w:name w:val="table bullets"/>
    <w:basedOn w:val="Bullets"/>
    <w:link w:val="tablebulletsChar"/>
    <w:qFormat/>
    <w:rsid w:val="00B2315B"/>
    <w:pPr>
      <w:numPr>
        <w:numId w:val="0"/>
      </w:numPr>
      <w:spacing w:after="60"/>
      <w:ind w:left="3763" w:hanging="360"/>
    </w:pPr>
    <w:rPr>
      <w:sz w:val="20"/>
      <w:szCs w:val="20"/>
    </w:rPr>
  </w:style>
  <w:style w:type="character" w:customStyle="1" w:styleId="tablebulletsChar">
    <w:name w:val="table bullets Char"/>
    <w:basedOn w:val="DefaultParagraphFont"/>
    <w:link w:val="tablebullets"/>
    <w:rsid w:val="00B2315B"/>
    <w:rPr>
      <w:rFonts w:asciiTheme="minorHAnsi" w:eastAsiaTheme="minorHAnsi" w:hAnsiTheme="minorHAnsi" w:cstheme="minorBidi"/>
      <w:lang w:eastAsia="en-US"/>
    </w:rPr>
  </w:style>
  <w:style w:type="paragraph" w:styleId="DocumentMap">
    <w:name w:val="Document Map"/>
    <w:basedOn w:val="Normal"/>
    <w:link w:val="DocumentMapChar"/>
    <w:uiPriority w:val="99"/>
    <w:semiHidden/>
    <w:unhideWhenUsed/>
    <w:rsid w:val="00B43345"/>
    <w:pPr>
      <w:spacing w:after="0"/>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B43345"/>
    <w:rPr>
      <w:rFonts w:ascii="Lucida Grande" w:hAnsi="Lucida Grande" w:cs="Lucida Grande"/>
      <w:sz w:val="24"/>
      <w:szCs w:val="24"/>
      <w:lang w:val="en-GB" w:eastAsia="en-US"/>
    </w:rPr>
  </w:style>
  <w:style w:type="table" w:styleId="PlainTable1">
    <w:name w:val="Plain Table 1"/>
    <w:basedOn w:val="TableNormal"/>
    <w:uiPriority w:val="99"/>
    <w:rsid w:val="00036D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1D2CE7"/>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4845630">
      <w:bodyDiv w:val="1"/>
      <w:marLeft w:val="0"/>
      <w:marRight w:val="0"/>
      <w:marTop w:val="0"/>
      <w:marBottom w:val="0"/>
      <w:divBdr>
        <w:top w:val="none" w:sz="0" w:space="0" w:color="auto"/>
        <w:left w:val="none" w:sz="0" w:space="0" w:color="auto"/>
        <w:bottom w:val="none" w:sz="0" w:space="0" w:color="auto"/>
        <w:right w:val="none" w:sz="0" w:space="0" w:color="auto"/>
      </w:divBdr>
      <w:divsChild>
        <w:div w:id="495346159">
          <w:marLeft w:val="0"/>
          <w:marRight w:val="0"/>
          <w:marTop w:val="0"/>
          <w:marBottom w:val="0"/>
          <w:divBdr>
            <w:top w:val="none" w:sz="0" w:space="0" w:color="auto"/>
            <w:left w:val="none" w:sz="0" w:space="0" w:color="auto"/>
            <w:bottom w:val="none" w:sz="0" w:space="0" w:color="auto"/>
            <w:right w:val="none" w:sz="0" w:space="0" w:color="auto"/>
          </w:divBdr>
          <w:divsChild>
            <w:div w:id="432284271">
              <w:marLeft w:val="0"/>
              <w:marRight w:val="0"/>
              <w:marTop w:val="0"/>
              <w:marBottom w:val="0"/>
              <w:divBdr>
                <w:top w:val="none" w:sz="0" w:space="0" w:color="auto"/>
                <w:left w:val="none" w:sz="0" w:space="0" w:color="auto"/>
                <w:bottom w:val="none" w:sz="0" w:space="0" w:color="auto"/>
                <w:right w:val="none" w:sz="0" w:space="0" w:color="auto"/>
              </w:divBdr>
              <w:divsChild>
                <w:div w:id="21096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82181">
      <w:bodyDiv w:val="1"/>
      <w:marLeft w:val="0"/>
      <w:marRight w:val="0"/>
      <w:marTop w:val="0"/>
      <w:marBottom w:val="0"/>
      <w:divBdr>
        <w:top w:val="none" w:sz="0" w:space="0" w:color="auto"/>
        <w:left w:val="none" w:sz="0" w:space="0" w:color="auto"/>
        <w:bottom w:val="none" w:sz="0" w:space="0" w:color="auto"/>
        <w:right w:val="none" w:sz="0" w:space="0" w:color="auto"/>
      </w:divBdr>
    </w:div>
    <w:div w:id="1275551206">
      <w:bodyDiv w:val="1"/>
      <w:marLeft w:val="0"/>
      <w:marRight w:val="0"/>
      <w:marTop w:val="0"/>
      <w:marBottom w:val="0"/>
      <w:divBdr>
        <w:top w:val="none" w:sz="0" w:space="0" w:color="auto"/>
        <w:left w:val="none" w:sz="0" w:space="0" w:color="auto"/>
        <w:bottom w:val="none" w:sz="0" w:space="0" w:color="auto"/>
        <w:right w:val="none" w:sz="0" w:space="0" w:color="auto"/>
      </w:divBdr>
      <w:divsChild>
        <w:div w:id="262569097">
          <w:marLeft w:val="0"/>
          <w:marRight w:val="0"/>
          <w:marTop w:val="0"/>
          <w:marBottom w:val="0"/>
          <w:divBdr>
            <w:top w:val="none" w:sz="0" w:space="0" w:color="auto"/>
            <w:left w:val="none" w:sz="0" w:space="0" w:color="auto"/>
            <w:bottom w:val="none" w:sz="0" w:space="0" w:color="auto"/>
            <w:right w:val="none" w:sz="0" w:space="0" w:color="auto"/>
          </w:divBdr>
          <w:divsChild>
            <w:div w:id="373775480">
              <w:marLeft w:val="0"/>
              <w:marRight w:val="0"/>
              <w:marTop w:val="0"/>
              <w:marBottom w:val="0"/>
              <w:divBdr>
                <w:top w:val="none" w:sz="0" w:space="0" w:color="auto"/>
                <w:left w:val="none" w:sz="0" w:space="0" w:color="auto"/>
                <w:bottom w:val="none" w:sz="0" w:space="0" w:color="auto"/>
                <w:right w:val="none" w:sz="0" w:space="0" w:color="auto"/>
              </w:divBdr>
              <w:divsChild>
                <w:div w:id="9555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94408">
      <w:bodyDiv w:val="1"/>
      <w:marLeft w:val="0"/>
      <w:marRight w:val="0"/>
      <w:marTop w:val="0"/>
      <w:marBottom w:val="0"/>
      <w:divBdr>
        <w:top w:val="none" w:sz="0" w:space="0" w:color="auto"/>
        <w:left w:val="none" w:sz="0" w:space="0" w:color="auto"/>
        <w:bottom w:val="none" w:sz="0" w:space="0" w:color="auto"/>
        <w:right w:val="none" w:sz="0" w:space="0" w:color="auto"/>
      </w:divBdr>
      <w:divsChild>
        <w:div w:id="443383158">
          <w:marLeft w:val="0"/>
          <w:marRight w:val="0"/>
          <w:marTop w:val="0"/>
          <w:marBottom w:val="0"/>
          <w:divBdr>
            <w:top w:val="none" w:sz="0" w:space="0" w:color="auto"/>
            <w:left w:val="none" w:sz="0" w:space="0" w:color="auto"/>
            <w:bottom w:val="none" w:sz="0" w:space="0" w:color="auto"/>
            <w:right w:val="none" w:sz="0" w:space="0" w:color="auto"/>
          </w:divBdr>
          <w:divsChild>
            <w:div w:id="678121091">
              <w:marLeft w:val="0"/>
              <w:marRight w:val="0"/>
              <w:marTop w:val="0"/>
              <w:marBottom w:val="0"/>
              <w:divBdr>
                <w:top w:val="none" w:sz="0" w:space="0" w:color="auto"/>
                <w:left w:val="none" w:sz="0" w:space="0" w:color="auto"/>
                <w:bottom w:val="none" w:sz="0" w:space="0" w:color="auto"/>
                <w:right w:val="none" w:sz="0" w:space="0" w:color="auto"/>
              </w:divBdr>
              <w:divsChild>
                <w:div w:id="8130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900186">
      <w:bodyDiv w:val="1"/>
      <w:marLeft w:val="0"/>
      <w:marRight w:val="0"/>
      <w:marTop w:val="0"/>
      <w:marBottom w:val="0"/>
      <w:divBdr>
        <w:top w:val="none" w:sz="0" w:space="0" w:color="auto"/>
        <w:left w:val="none" w:sz="0" w:space="0" w:color="auto"/>
        <w:bottom w:val="none" w:sz="0" w:space="0" w:color="auto"/>
        <w:right w:val="none" w:sz="0" w:space="0" w:color="auto"/>
      </w:divBdr>
    </w:div>
    <w:div w:id="1580869777">
      <w:bodyDiv w:val="1"/>
      <w:marLeft w:val="0"/>
      <w:marRight w:val="0"/>
      <w:marTop w:val="0"/>
      <w:marBottom w:val="0"/>
      <w:divBdr>
        <w:top w:val="none" w:sz="0" w:space="0" w:color="auto"/>
        <w:left w:val="none" w:sz="0" w:space="0" w:color="auto"/>
        <w:bottom w:val="none" w:sz="0" w:space="0" w:color="auto"/>
        <w:right w:val="none" w:sz="0" w:space="0" w:color="auto"/>
      </w:divBdr>
      <w:divsChild>
        <w:div w:id="1499883600">
          <w:marLeft w:val="0"/>
          <w:marRight w:val="0"/>
          <w:marTop w:val="0"/>
          <w:marBottom w:val="0"/>
          <w:divBdr>
            <w:top w:val="none" w:sz="0" w:space="0" w:color="auto"/>
            <w:left w:val="none" w:sz="0" w:space="0" w:color="auto"/>
            <w:bottom w:val="none" w:sz="0" w:space="0" w:color="auto"/>
            <w:right w:val="none" w:sz="0" w:space="0" w:color="auto"/>
          </w:divBdr>
          <w:divsChild>
            <w:div w:id="702095184">
              <w:marLeft w:val="0"/>
              <w:marRight w:val="0"/>
              <w:marTop w:val="0"/>
              <w:marBottom w:val="0"/>
              <w:divBdr>
                <w:top w:val="none" w:sz="0" w:space="0" w:color="auto"/>
                <w:left w:val="none" w:sz="0" w:space="0" w:color="auto"/>
                <w:bottom w:val="none" w:sz="0" w:space="0" w:color="auto"/>
                <w:right w:val="none" w:sz="0" w:space="0" w:color="auto"/>
              </w:divBdr>
              <w:divsChild>
                <w:div w:id="19991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5707">
      <w:bodyDiv w:val="1"/>
      <w:marLeft w:val="0"/>
      <w:marRight w:val="0"/>
      <w:marTop w:val="0"/>
      <w:marBottom w:val="0"/>
      <w:divBdr>
        <w:top w:val="none" w:sz="0" w:space="0" w:color="auto"/>
        <w:left w:val="none" w:sz="0" w:space="0" w:color="auto"/>
        <w:bottom w:val="none" w:sz="0" w:space="0" w:color="auto"/>
        <w:right w:val="none" w:sz="0" w:space="0" w:color="auto"/>
      </w:divBdr>
      <w:divsChild>
        <w:div w:id="99761496">
          <w:marLeft w:val="0"/>
          <w:marRight w:val="0"/>
          <w:marTop w:val="0"/>
          <w:marBottom w:val="0"/>
          <w:divBdr>
            <w:top w:val="none" w:sz="0" w:space="0" w:color="auto"/>
            <w:left w:val="none" w:sz="0" w:space="0" w:color="auto"/>
            <w:bottom w:val="none" w:sz="0" w:space="0" w:color="auto"/>
            <w:right w:val="none" w:sz="0" w:space="0" w:color="auto"/>
          </w:divBdr>
          <w:divsChild>
            <w:div w:id="1762145434">
              <w:marLeft w:val="0"/>
              <w:marRight w:val="0"/>
              <w:marTop w:val="0"/>
              <w:marBottom w:val="0"/>
              <w:divBdr>
                <w:top w:val="none" w:sz="0" w:space="0" w:color="auto"/>
                <w:left w:val="none" w:sz="0" w:space="0" w:color="auto"/>
                <w:bottom w:val="none" w:sz="0" w:space="0" w:color="auto"/>
                <w:right w:val="none" w:sz="0" w:space="0" w:color="auto"/>
              </w:divBdr>
              <w:divsChild>
                <w:div w:id="19945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43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s://www.google.com/search?client=safari&amp;rls=en&amp;q=The+UK+Government%E2%80%99s+Approach+to+Stabilisation:+A+guide+for+policy-makers+and+practitioners&amp;ie=UTF-8&amp;oe=UTF-8"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5.xml"/><Relationship Id="rId25" Type="http://schemas.openxmlformats.org/officeDocument/2006/relationships/hyperlink" Target="https://legalinstruments.oecd.org/public/doc/643/643.en.pdf"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redr.org.au/media/dswf4xt4/advancing-women-peace-and-security-in-the-middle-east-cop-report.pdf"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dfat.gov.au/about-us/publications/Pages/evaluation-of-protection-in-australias-disaster-responses-in-the-pacific" TargetMode="External"/><Relationship Id="rId28" Type="http://schemas.openxmlformats.org/officeDocument/2006/relationships/hyperlink" Target="https://reliefweb.int/report/world/literature-review-stabilisation-development-nexus" TargetMode="External"/><Relationship Id="rId10" Type="http://schemas.openxmlformats.org/officeDocument/2006/relationships/footer" Target="footer1.xml"/><Relationship Id="rId19" Type="http://schemas.openxmlformats.org/officeDocument/2006/relationships/hyperlink" Target="https://www.redr.org.au/media/dswf4xt4/advancing-women-peace-and-security-in-the-middle-east-cop-report.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iraqdtm.iom.int/archive/DTMReturnDashboards.aspx" TargetMode="External"/><Relationship Id="rId27" Type="http://schemas.openxmlformats.org/officeDocument/2006/relationships/hyperlink" Target="https://www.europarl.europa.eu/RegData/etudes/STUD/2017/603859/EXPO_STU(2017)603859_EN.pdf" TargetMode="Externa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13" Type="http://schemas.openxmlformats.org/officeDocument/2006/relationships/hyperlink" Target="https://www.hrw.org/news/2019/12/16/iraq-state-appears-complicit-massacre-protesters" TargetMode="External"/><Relationship Id="rId18" Type="http://schemas.openxmlformats.org/officeDocument/2006/relationships/hyperlink" Target="http://reports.weforum.org/global-gender-gap-report-2020/the-global-gender-gap-index-2020/results-and-analysis/" TargetMode="External"/><Relationship Id="rId26" Type="http://schemas.openxmlformats.org/officeDocument/2006/relationships/hyperlink" Target="https://www.unocha.org/iraq/about-ocha-iraq" TargetMode="External"/><Relationship Id="rId39" Type="http://schemas.openxmlformats.org/officeDocument/2006/relationships/hyperlink" Target="https://reliefweb.int/report/iraq/iraq-unhcr-civil-documentation-idps-october-2019" TargetMode="External"/><Relationship Id="rId3" Type="http://schemas.openxmlformats.org/officeDocument/2006/relationships/hyperlink" Target="http://reports.weforum.org/global-gender-gap-report-2020/the-global-gender-gap-index-2020/results-and-analysis/" TargetMode="External"/><Relationship Id="rId21" Type="http://schemas.openxmlformats.org/officeDocument/2006/relationships/hyperlink" Target="https://www.cfr.org/interactive/womens-participation-in-peace-processes" TargetMode="External"/><Relationship Id="rId34" Type="http://schemas.openxmlformats.org/officeDocument/2006/relationships/hyperlink" Target="https://www.dfat.gov.au/aid/topics/investment-priorities/building-resilience/stabilisation-and-recovery/Pages/stabilisation-and-recovery" TargetMode="External"/><Relationship Id="rId42" Type="http://schemas.openxmlformats.org/officeDocument/2006/relationships/hyperlink" Target="https://www.globalprotectioncluster.org/themes/protection-mainstreaming/" TargetMode="External"/><Relationship Id="rId47" Type="http://schemas.openxmlformats.org/officeDocument/2006/relationships/hyperlink" Target="https://www.globalprotectioncluster.org/covid-19/" TargetMode="External"/><Relationship Id="rId50" Type="http://schemas.openxmlformats.org/officeDocument/2006/relationships/hyperlink" Target="https://www.crisisgroup.org/global/contending-isis-time-coronavirus" TargetMode="External"/><Relationship Id="rId7" Type="http://schemas.openxmlformats.org/officeDocument/2006/relationships/hyperlink" Target="https://legalinstruments.oecd.org/public/doc/643/643.en.pdf" TargetMode="External"/><Relationship Id="rId12" Type="http://schemas.openxmlformats.org/officeDocument/2006/relationships/hyperlink" Target="https://www.nytimes.com/2019/11/26/world/middleeast/iraq-protests-sweden-Najah-al-Shammari.html" TargetMode="External"/><Relationship Id="rId17" Type="http://schemas.openxmlformats.org/officeDocument/2006/relationships/hyperlink" Target="https://www.hrw.org/legacy/backgrounder/wrd/iraq-women.htm" TargetMode="External"/><Relationship Id="rId25" Type="http://schemas.openxmlformats.org/officeDocument/2006/relationships/hyperlink" Target="https://www.peacewomen.org/nap-iraq" TargetMode="External"/><Relationship Id="rId33" Type="http://schemas.openxmlformats.org/officeDocument/2006/relationships/hyperlink" Target="https://www.odi.org/events/4288-iraq-providing-aid-protection-crisis" TargetMode="External"/><Relationship Id="rId38" Type="http://schemas.openxmlformats.org/officeDocument/2006/relationships/hyperlink" Target="https://www.humandignitytrust.org/country-profile/iraq%20/" TargetMode="External"/><Relationship Id="rId46" Type="http://schemas.openxmlformats.org/officeDocument/2006/relationships/hyperlink" Target="https://www.globalprotectioncluster.org/covid-19/" TargetMode="External"/><Relationship Id="rId2" Type="http://schemas.openxmlformats.org/officeDocument/2006/relationships/hyperlink" Target="http://dfat.gov.au/about-us/publications/Documents/dfat-humanitarian-strategy.pdf" TargetMode="External"/><Relationship Id="rId16" Type="http://schemas.openxmlformats.org/officeDocument/2006/relationships/hyperlink" Target="https://www.hrw.org/middle-east/n-africa/iraq" TargetMode="External"/><Relationship Id="rId20" Type="http://schemas.openxmlformats.org/officeDocument/2006/relationships/hyperlink" Target="https://www.dss.gov.au/sites/default/files/documents/02_2013/wps_toolkit.pdf" TargetMode="External"/><Relationship Id="rId29" Type="http://schemas.openxmlformats.org/officeDocument/2006/relationships/hyperlink" Target="https://www.ndi.org/publications/ndi-poll-iraqis-welcome-improved-security-and-social-cohesion-discontent-government" TargetMode="External"/><Relationship Id="rId41" Type="http://schemas.openxmlformats.org/officeDocument/2006/relationships/hyperlink" Target="https://www.dfat.gov.au/about-us/business-opportunities/Pages/preventing-sexual-exploitation-abuse-and-harassment-policy-takes-effect-from-1-july-2019" TargetMode="External"/><Relationship Id="rId1" Type="http://schemas.openxmlformats.org/officeDocument/2006/relationships/hyperlink" Target="https://www.aph.gov.au/About_Parliament/Parliamentary_Departments/Parliamentary_Library/pubs/BriefingBook45p/IraqAndSyria" TargetMode="External"/><Relationship Id="rId6" Type="http://schemas.openxmlformats.org/officeDocument/2006/relationships/hyperlink" Target="http://dfat.gov.au/about-us/publications/Documents/dfat-humanitarian-strategy.pdf" TargetMode="External"/><Relationship Id="rId11" Type="http://schemas.openxmlformats.org/officeDocument/2006/relationships/hyperlink" Target="https://www.cia.gov/library/publications/the-world-factbook/geos/iz.html" TargetMode="External"/><Relationship Id="rId24" Type="http://schemas.openxmlformats.org/officeDocument/2006/relationships/hyperlink" Target="https://www.inclusivesecurity.org/2016/03/10/infographic-womens-%20inclusion-in-the-syria-peace-talks/" TargetMode="External"/><Relationship Id="rId32" Type="http://schemas.openxmlformats.org/officeDocument/2006/relationships/hyperlink" Target="http://iraqdtm.iom.int" TargetMode="External"/><Relationship Id="rId37" Type="http://schemas.openxmlformats.org/officeDocument/2006/relationships/hyperlink" Target="https://www.odi.org/sites/odi.org.uk/files/resource-documents/12651.pdf" TargetMode="External"/><Relationship Id="rId40" Type="http://schemas.openxmlformats.org/officeDocument/2006/relationships/hyperlink" Target="https://reliefweb.int/report/iraq/iraq-unhcr-civil-documentation-idps-october-2019" TargetMode="External"/><Relationship Id="rId45" Type="http://schemas.openxmlformats.org/officeDocument/2006/relationships/hyperlink" Target="https://www.globaldashboard.org/2020/04/30/buildabridgetobetter-recommendations-to-drive-pandemic-responses/" TargetMode="External"/><Relationship Id="rId5" Type="http://schemas.openxmlformats.org/officeDocument/2006/relationships/hyperlink" Target="https://www.foreignminister.gov.au/minister/marise-payne/speech/un-human-rights-council" TargetMode="External"/><Relationship Id="rId15" Type="http://schemas.openxmlformats.org/officeDocument/2006/relationships/hyperlink" Target="https://www.un.org/sexualviolenceinconflict/escaping-from-isil-a-yazidi-sexual-violence-survivor-rebuilds-her-life/" TargetMode="External"/><Relationship Id="rId23" Type="http://schemas.openxmlformats.org/officeDocument/2006/relationships/hyperlink" Target="https://www.peacewomen.org/sites/default/files/Fact%20Sheet%20Gender%20Equality.pdf" TargetMode="External"/><Relationship Id="rId28" Type="http://schemas.openxmlformats.org/officeDocument/2006/relationships/hyperlink" Target="https://www.globalprotectioncluster.org/wp-content/uploads/Not-wanted-anywhere_GPC_Iraq_Feb-2020.pdf?utm_source=SUBSCRIBE+TO+GPC+UPDATES&amp;utm_campaign=bb853edbab-EMAIL_CAMPAIGN_2020_03_13_09_11&amp;utm_medium=email&amp;utm_term=0_f7f07c0884-bb853edbab-47552885" TargetMode="External"/><Relationship Id="rId36" Type="http://schemas.openxmlformats.org/officeDocument/2006/relationships/hyperlink" Target="http://iraqdtm.iom.int/Dashboard" TargetMode="External"/><Relationship Id="rId49" Type="http://schemas.openxmlformats.org/officeDocument/2006/relationships/hyperlink" Target="https://foreignpolicy.com/2020/04/06/iraq-islamic-state-comeback-coronavirus-us-withdrawal/" TargetMode="External"/><Relationship Id="rId10" Type="http://schemas.openxmlformats.org/officeDocument/2006/relationships/hyperlink" Target="https://iraq.iom.int/news/evaluating-perceptions-security-and-police-iraq-iom-study" TargetMode="External"/><Relationship Id="rId19" Type="http://schemas.openxmlformats.org/officeDocument/2006/relationships/hyperlink" Target="https://www.wilsoncenter.org/blog-post/women-mps-the-iraqi-parliament" TargetMode="External"/><Relationship Id="rId31" Type="http://schemas.openxmlformats.org/officeDocument/2006/relationships/hyperlink" Target="https://www.lowyinstitute.org/the-interpreter/isis-looks-prosper-world-distracted-virus" TargetMode="External"/><Relationship Id="rId44" Type="http://schemas.openxmlformats.org/officeDocument/2006/relationships/hyperlink" Target="https://odihpn.org/wp-content/uploads/2020/04/NP-82-web-1.pdf" TargetMode="External"/><Relationship Id="rId52" Type="http://schemas.openxmlformats.org/officeDocument/2006/relationships/hyperlink" Target="https://www.foreignminister.gov.au/minister/marise-payne/speech/un-human-rights-council" TargetMode="External"/><Relationship Id="rId4" Type="http://schemas.openxmlformats.org/officeDocument/2006/relationships/hyperlink" Target="https://oxfamilibrary.openrepository.com/bitstream/handle/10546/620602/rr-gender-profile-iraq-131218-en.pdf" TargetMode="External"/><Relationship Id="rId9" Type="http://schemas.openxmlformats.org/officeDocument/2006/relationships/hyperlink" Target="https://www.aph.gov.au/About_Parliament/Parliamentary_Departments/Parliamentary_Library/pubs/BriefingBook45p/IraqAndSyria" TargetMode="External"/><Relationship Id="rId14" Type="http://schemas.openxmlformats.org/officeDocument/2006/relationships/hyperlink" Target="https://www.globalr2p.org/countries/iraq/" TargetMode="External"/><Relationship Id="rId22" Type="http://schemas.openxmlformats.org/officeDocument/2006/relationships/hyperlink" Target="https://www.inclusivesecurity.org/publication/why-women-inclusive-security-and-peaceful-societies/" TargetMode="External"/><Relationship Id="rId27" Type="http://schemas.openxmlformats.org/officeDocument/2006/relationships/hyperlink" Target="https://www.globalprotectioncluster.org/wp-content/uploads/190909-HCT-Protection-Strategy-FINAL.pdf" TargetMode="External"/><Relationship Id="rId30" Type="http://schemas.openxmlformats.org/officeDocument/2006/relationships/hyperlink" Target="https://www.al-monitor.com/pulse/originals/2020/03/iraq-economy-oil-coronavirus.html" TargetMode="External"/><Relationship Id="rId35" Type="http://schemas.openxmlformats.org/officeDocument/2006/relationships/hyperlink" Target="http://iraqdtm.iom.int/archive/DTMReturnDashboards.aspx" TargetMode="External"/><Relationship Id="rId43" Type="http://schemas.openxmlformats.org/officeDocument/2006/relationships/hyperlink" Target="https://reliefweb.int/sites/reliefweb.int/files/resources/stabilization-development-nexus_low.pdf" TargetMode="External"/><Relationship Id="rId48" Type="http://schemas.openxmlformats.org/officeDocument/2006/relationships/hyperlink" Target="https://english.alaraby.co.uk/english/news/2020/3/24/honour-infects-iraqi-families-refuse-quarantine-for-coronvairus-positive-daughters?fbclid=IwAR1whGuRTSFTYJnS_NDh1hTDFHkYZHvIjFSmscQXe8_ctLYW1g5LdJPHMnc" TargetMode="External"/><Relationship Id="rId8" Type="http://schemas.openxmlformats.org/officeDocument/2006/relationships/hyperlink" Target="https://www.thenewhumanitarian.org/content/fragility-what-s-minds-policy-makers-aid-workers-and-donors" TargetMode="External"/><Relationship Id="rId51" Type="http://schemas.openxmlformats.org/officeDocument/2006/relationships/hyperlink" Target="https://www.foreignminister.gov.au/minister/marise-payne/speech/un-human-rights-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reliefweb.int/report/iraq/iraq-humanitarian-needs-overview-2020-november-2019-enarku" TargetMode="External"/><Relationship Id="rId2" Type="http://schemas.openxmlformats.org/officeDocument/2006/relationships/hyperlink" Target="http://dfat.gov.au/about-us/publications/Documents/dfat-humanitarian-strategy.pdf" TargetMode="External"/><Relationship Id="rId1" Type="http://schemas.openxmlformats.org/officeDocument/2006/relationships/hyperlink" Target="https://www.iraqbodycount.org/database/" TargetMode="External"/><Relationship Id="rId5" Type="http://schemas.openxmlformats.org/officeDocument/2006/relationships/hyperlink" Target="https://reliefweb.int/sites/reliefweb.int/files/resources/Iraq_HNO_2020-Summary%5BEN%5D%20%281%29.pdf" TargetMode="External"/><Relationship Id="rId4" Type="http://schemas.openxmlformats.org/officeDocument/2006/relationships/hyperlink" Target="https://reliefweb.int/sites/reliefweb.int/files/resources/Iraq_HNO_2020-Summary%5BEN%5D%20%281%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34756-8C47-E34D-83B1-49EA5A4A9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26944</Words>
  <Characters>163500</Characters>
  <Application>Microsoft Office Word</Application>
  <DocSecurity>0</DocSecurity>
  <Lines>1362</Lines>
  <Paragraphs>380</Paragraphs>
  <ScaleCrop>false</ScaleCrop>
  <Company/>
  <LinksUpToDate>false</LinksUpToDate>
  <CharactersWithSpaces>190064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2021-03-17T21:37:00Z</dcterms:created>
  <dcterms:modified xsi:type="dcterms:W3CDTF">2021-03-17T21:37:00Z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ffd1de25-3574-410b-8fde-72e38badf24a</vt:lpwstr>
  </property>
  <property fmtid="{D5CDD505-2E9C-101B-9397-08002B2CF9AE}" pid="3" name="SEC">
    <vt:lpwstr>OFFICIAL</vt:lpwstr>
  </property>
</Properties>
</file>