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1B88A" w14:textId="77777777" w:rsidR="00944BC2" w:rsidRPr="0072064D" w:rsidRDefault="00944BC2" w:rsidP="00944BC2">
      <w:pPr>
        <w:tabs>
          <w:tab w:val="left" w:pos="170"/>
        </w:tabs>
        <w:rPr>
          <w:color w:val="666699"/>
          <w:sz w:val="18"/>
          <w:szCs w:val="18"/>
        </w:rPr>
      </w:pPr>
      <w:bookmarkStart w:id="0" w:name="_GoBack"/>
      <w:bookmarkEnd w:id="0"/>
    </w:p>
    <w:p w14:paraId="4A01B88B" w14:textId="08E3044C" w:rsidR="00C657FB" w:rsidRDefault="00970C8D"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 xml:space="preserve">Independent Progress Review of the </w:t>
      </w:r>
      <w:r w:rsidR="007801A9">
        <w:rPr>
          <w:sz w:val="24"/>
          <w:lang w:eastAsia="en-AU"/>
        </w:rPr>
        <w:t>Technical Assistance Facility for Social Protection Reforms</w:t>
      </w:r>
    </w:p>
    <w:p w14:paraId="4A01B88C" w14:textId="77777777"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14:paraId="18487F8B" w14:textId="373A8CCC" w:rsidR="009B70B1" w:rsidRPr="006820A4" w:rsidRDefault="009B70B1" w:rsidP="00683EB4">
      <w:pPr>
        <w:pStyle w:val="Heading2"/>
        <w:rPr>
          <w:b w:val="0"/>
          <w:sz w:val="20"/>
          <w:szCs w:val="20"/>
        </w:rPr>
      </w:pPr>
      <w:proofErr w:type="gramStart"/>
      <w:r w:rsidRPr="006820A4">
        <w:rPr>
          <w:b w:val="0"/>
          <w:sz w:val="20"/>
          <w:szCs w:val="20"/>
        </w:rPr>
        <w:t>Prepared by: Pablo Renato Lucero, Jr.</w:t>
      </w:r>
      <w:proofErr w:type="gramEnd"/>
    </w:p>
    <w:p w14:paraId="50445033" w14:textId="757381B0" w:rsidR="009B70B1" w:rsidRPr="006820A4" w:rsidRDefault="009B70B1" w:rsidP="009B70B1">
      <w:pPr>
        <w:rPr>
          <w:szCs w:val="20"/>
          <w:lang w:eastAsia="en-AU"/>
        </w:rPr>
      </w:pPr>
      <w:r w:rsidRPr="006820A4">
        <w:rPr>
          <w:szCs w:val="20"/>
          <w:lang w:eastAsia="en-AU"/>
        </w:rPr>
        <w:t>Approved by:  Layton Pike</w:t>
      </w:r>
    </w:p>
    <w:p w14:paraId="1F9D6D36" w14:textId="32C23821" w:rsidR="009B70B1" w:rsidRPr="006820A4" w:rsidRDefault="009B70B1" w:rsidP="009B70B1">
      <w:pPr>
        <w:rPr>
          <w:szCs w:val="20"/>
          <w:lang w:eastAsia="en-AU"/>
        </w:rPr>
      </w:pPr>
      <w:r w:rsidRPr="006820A4">
        <w:rPr>
          <w:szCs w:val="20"/>
          <w:lang w:eastAsia="en-AU"/>
        </w:rPr>
        <w:t>Date prepared:</w:t>
      </w:r>
      <w:r w:rsidR="009D0A88">
        <w:rPr>
          <w:szCs w:val="20"/>
          <w:lang w:eastAsia="en-AU"/>
        </w:rPr>
        <w:t xml:space="preserve">   25 June 2014</w:t>
      </w:r>
    </w:p>
    <w:p w14:paraId="4A01B88D" w14:textId="77777777"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14:paraId="4A01B890" w14:textId="77777777" w:rsidTr="00175FFC">
        <w:trPr>
          <w:cantSplit/>
          <w:tblHeader/>
        </w:trPr>
        <w:tc>
          <w:tcPr>
            <w:tcW w:w="2660" w:type="dxa"/>
            <w:shd w:val="clear" w:color="auto" w:fill="E0E0E0"/>
            <w:vAlign w:val="center"/>
          </w:tcPr>
          <w:p w14:paraId="4A01B88E" w14:textId="77777777"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14:paraId="4A01B88F" w14:textId="77777777" w:rsidR="00C657FB" w:rsidRPr="00F43CEC" w:rsidRDefault="00C657FB" w:rsidP="00175FFC">
            <w:pPr>
              <w:pStyle w:val="Table-normal-text"/>
              <w:spacing w:before="120" w:after="120"/>
              <w:rPr>
                <w:b/>
              </w:rPr>
            </w:pPr>
          </w:p>
        </w:tc>
      </w:tr>
      <w:tr w:rsidR="00C657FB" w:rsidRPr="00F43CEC" w14:paraId="4A01B893" w14:textId="77777777" w:rsidTr="00175FFC">
        <w:trPr>
          <w:cantSplit/>
        </w:trPr>
        <w:tc>
          <w:tcPr>
            <w:tcW w:w="2660" w:type="dxa"/>
            <w:shd w:val="clear" w:color="auto" w:fill="auto"/>
          </w:tcPr>
          <w:p w14:paraId="4A01B891" w14:textId="77777777" w:rsidR="00C657FB" w:rsidRPr="00F2320B" w:rsidRDefault="00C657FB" w:rsidP="00175FFC">
            <w:pPr>
              <w:pStyle w:val="Table-normal-text"/>
            </w:pPr>
            <w:r w:rsidRPr="00F2320B">
              <w:t>AidWorks initiative number</w:t>
            </w:r>
          </w:p>
        </w:tc>
        <w:tc>
          <w:tcPr>
            <w:tcW w:w="7229" w:type="dxa"/>
            <w:gridSpan w:val="3"/>
            <w:shd w:val="clear" w:color="auto" w:fill="auto"/>
          </w:tcPr>
          <w:p w14:paraId="4A01B892" w14:textId="7549EFE1" w:rsidR="00C657FB" w:rsidRPr="00F2320B" w:rsidRDefault="007801A9" w:rsidP="00896128">
            <w:pPr>
              <w:pStyle w:val="Table-normal-text"/>
            </w:pPr>
            <w:r>
              <w:t>INI428</w:t>
            </w:r>
            <w:r w:rsidR="00896128">
              <w:t xml:space="preserve"> / activity number 11A661</w:t>
            </w:r>
          </w:p>
        </w:tc>
      </w:tr>
      <w:tr w:rsidR="00C657FB" w:rsidRPr="00F43CEC" w14:paraId="4A01B898" w14:textId="77777777" w:rsidTr="00175FFC">
        <w:trPr>
          <w:cantSplit/>
        </w:trPr>
        <w:tc>
          <w:tcPr>
            <w:tcW w:w="2660" w:type="dxa"/>
            <w:shd w:val="clear" w:color="auto" w:fill="auto"/>
          </w:tcPr>
          <w:p w14:paraId="4A01B894" w14:textId="77777777" w:rsidR="00C657FB" w:rsidRPr="00F2320B" w:rsidRDefault="00C657FB" w:rsidP="00175FFC">
            <w:pPr>
              <w:pStyle w:val="Table-normal-text"/>
            </w:pPr>
            <w:r w:rsidRPr="00F2320B">
              <w:t xml:space="preserve">Commencement </w:t>
            </w:r>
            <w:r>
              <w:t>d</w:t>
            </w:r>
            <w:r w:rsidRPr="00F2320B">
              <w:t>ate</w:t>
            </w:r>
          </w:p>
        </w:tc>
        <w:tc>
          <w:tcPr>
            <w:tcW w:w="2693" w:type="dxa"/>
            <w:shd w:val="clear" w:color="auto" w:fill="auto"/>
          </w:tcPr>
          <w:p w14:paraId="4A01B895" w14:textId="5ADD3915" w:rsidR="00C657FB" w:rsidRPr="00F2320B" w:rsidRDefault="007801A9" w:rsidP="00175FFC">
            <w:pPr>
              <w:pStyle w:val="Table-normal-text"/>
            </w:pPr>
            <w:r>
              <w:t>3 February 2009</w:t>
            </w:r>
          </w:p>
        </w:tc>
        <w:tc>
          <w:tcPr>
            <w:tcW w:w="1843" w:type="dxa"/>
            <w:shd w:val="clear" w:color="auto" w:fill="auto"/>
          </w:tcPr>
          <w:p w14:paraId="4A01B896" w14:textId="77777777"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14:paraId="4A01B897" w14:textId="061E483A" w:rsidR="00C657FB" w:rsidRPr="00F2320B" w:rsidRDefault="007801A9" w:rsidP="00175FFC">
            <w:pPr>
              <w:pStyle w:val="Table-normal-text"/>
            </w:pPr>
            <w:r>
              <w:t>30 June 2017</w:t>
            </w:r>
          </w:p>
        </w:tc>
      </w:tr>
      <w:tr w:rsidR="00C657FB" w:rsidRPr="00F43CEC" w14:paraId="4A01B89B" w14:textId="77777777" w:rsidTr="00175FFC">
        <w:trPr>
          <w:cantSplit/>
        </w:trPr>
        <w:tc>
          <w:tcPr>
            <w:tcW w:w="2660" w:type="dxa"/>
            <w:shd w:val="clear" w:color="auto" w:fill="auto"/>
          </w:tcPr>
          <w:p w14:paraId="4A01B899" w14:textId="77777777" w:rsidR="00C657FB" w:rsidRPr="00F2320B" w:rsidRDefault="00C657FB" w:rsidP="00175FFC">
            <w:pPr>
              <w:pStyle w:val="Table-normal-text"/>
            </w:pPr>
            <w:r>
              <w:t>Total Australian $</w:t>
            </w:r>
          </w:p>
        </w:tc>
        <w:tc>
          <w:tcPr>
            <w:tcW w:w="7229" w:type="dxa"/>
            <w:gridSpan w:val="3"/>
            <w:shd w:val="clear" w:color="auto" w:fill="auto"/>
          </w:tcPr>
          <w:p w14:paraId="4A01B89A" w14:textId="755A6F63" w:rsidR="00C657FB" w:rsidRPr="00F2320B" w:rsidRDefault="00036209" w:rsidP="00175FFC">
            <w:pPr>
              <w:pStyle w:val="Table-normal-text"/>
            </w:pPr>
            <w:r>
              <w:rPr>
                <w:lang w:val="en"/>
              </w:rPr>
              <w:t>$</w:t>
            </w:r>
            <w:r w:rsidR="00896128">
              <w:rPr>
                <w:lang w:val="en"/>
              </w:rPr>
              <w:t>5,000,000</w:t>
            </w:r>
          </w:p>
        </w:tc>
      </w:tr>
      <w:tr w:rsidR="00C657FB" w:rsidRPr="00F43CEC" w14:paraId="4A01B89E" w14:textId="77777777" w:rsidTr="00175FFC">
        <w:trPr>
          <w:cantSplit/>
        </w:trPr>
        <w:tc>
          <w:tcPr>
            <w:tcW w:w="2660" w:type="dxa"/>
            <w:shd w:val="clear" w:color="auto" w:fill="auto"/>
          </w:tcPr>
          <w:p w14:paraId="4A01B89C" w14:textId="77777777" w:rsidR="00C657FB" w:rsidRPr="00F2320B" w:rsidRDefault="00C657FB" w:rsidP="00175FFC">
            <w:pPr>
              <w:pStyle w:val="Table-normal-text"/>
            </w:pPr>
            <w:r>
              <w:t>Total other $</w:t>
            </w:r>
          </w:p>
        </w:tc>
        <w:tc>
          <w:tcPr>
            <w:tcW w:w="7229" w:type="dxa"/>
            <w:gridSpan w:val="3"/>
            <w:shd w:val="clear" w:color="auto" w:fill="auto"/>
          </w:tcPr>
          <w:p w14:paraId="4A01B89D" w14:textId="77777777" w:rsidR="00C657FB" w:rsidRPr="00F2320B" w:rsidRDefault="00C657FB" w:rsidP="00175FFC">
            <w:pPr>
              <w:pStyle w:val="Table-normal-text"/>
            </w:pPr>
          </w:p>
        </w:tc>
      </w:tr>
      <w:tr w:rsidR="00C657FB" w:rsidRPr="00F43CEC" w14:paraId="4A01B8A1" w14:textId="77777777" w:rsidTr="00175FFC">
        <w:trPr>
          <w:cantSplit/>
        </w:trPr>
        <w:tc>
          <w:tcPr>
            <w:tcW w:w="2660" w:type="dxa"/>
            <w:shd w:val="clear" w:color="auto" w:fill="auto"/>
          </w:tcPr>
          <w:p w14:paraId="4A01B89F" w14:textId="77777777" w:rsidR="00C657FB" w:rsidRPr="00F2320B" w:rsidRDefault="00C657FB" w:rsidP="00175FFC">
            <w:pPr>
              <w:pStyle w:val="Table-normal-text"/>
            </w:pPr>
            <w:r w:rsidRPr="00F2320B">
              <w:t>Delivery organisation(s)</w:t>
            </w:r>
          </w:p>
        </w:tc>
        <w:tc>
          <w:tcPr>
            <w:tcW w:w="7229" w:type="dxa"/>
            <w:gridSpan w:val="3"/>
            <w:shd w:val="clear" w:color="auto" w:fill="auto"/>
          </w:tcPr>
          <w:p w14:paraId="4A01B8A0" w14:textId="79847A50" w:rsidR="00C657FB" w:rsidRPr="00F2320B" w:rsidRDefault="003F5112" w:rsidP="00175FFC">
            <w:pPr>
              <w:pStyle w:val="Table-normal-text"/>
            </w:pPr>
            <w:r>
              <w:t>DSWD</w:t>
            </w:r>
          </w:p>
        </w:tc>
      </w:tr>
      <w:tr w:rsidR="00C657FB" w:rsidRPr="00F43CEC" w14:paraId="4A01B8A4" w14:textId="77777777" w:rsidTr="00175FFC">
        <w:trPr>
          <w:cantSplit/>
        </w:trPr>
        <w:tc>
          <w:tcPr>
            <w:tcW w:w="2660" w:type="dxa"/>
            <w:shd w:val="clear" w:color="auto" w:fill="auto"/>
          </w:tcPr>
          <w:p w14:paraId="4A01B8A2" w14:textId="77777777"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14:paraId="4A01B8A3" w14:textId="64870431" w:rsidR="00C657FB" w:rsidRPr="00F2320B" w:rsidRDefault="003F5112" w:rsidP="00175FFC">
            <w:pPr>
              <w:pStyle w:val="Table-normal-text"/>
            </w:pPr>
            <w:r>
              <w:t>DSWD</w:t>
            </w:r>
          </w:p>
        </w:tc>
      </w:tr>
      <w:tr w:rsidR="00C657FB" w:rsidRPr="00F43CEC" w14:paraId="4A01B8A7" w14:textId="77777777" w:rsidTr="00175FFC">
        <w:trPr>
          <w:cantSplit/>
        </w:trPr>
        <w:tc>
          <w:tcPr>
            <w:tcW w:w="2660" w:type="dxa"/>
            <w:shd w:val="clear" w:color="auto" w:fill="auto"/>
          </w:tcPr>
          <w:p w14:paraId="4A01B8A5" w14:textId="77777777" w:rsidR="00C657FB" w:rsidRPr="00F2320B" w:rsidRDefault="00C657FB" w:rsidP="00175FFC">
            <w:pPr>
              <w:pStyle w:val="Table-normal-text"/>
            </w:pPr>
            <w:r w:rsidRPr="00F2320B">
              <w:t>Country/Region</w:t>
            </w:r>
          </w:p>
        </w:tc>
        <w:tc>
          <w:tcPr>
            <w:tcW w:w="7229" w:type="dxa"/>
            <w:gridSpan w:val="3"/>
            <w:shd w:val="clear" w:color="auto" w:fill="auto"/>
          </w:tcPr>
          <w:p w14:paraId="4A01B8A6" w14:textId="4805AE11" w:rsidR="00C657FB" w:rsidRPr="00F2320B" w:rsidRDefault="00970C8D" w:rsidP="00175FFC">
            <w:pPr>
              <w:pStyle w:val="Table-normal-text"/>
            </w:pPr>
            <w:r>
              <w:t>Philippines</w:t>
            </w:r>
          </w:p>
        </w:tc>
      </w:tr>
      <w:tr w:rsidR="00C657FB" w:rsidRPr="00F43CEC" w14:paraId="4A01B8AA" w14:textId="77777777" w:rsidTr="00175FFC">
        <w:trPr>
          <w:cantSplit/>
        </w:trPr>
        <w:tc>
          <w:tcPr>
            <w:tcW w:w="2660" w:type="dxa"/>
            <w:shd w:val="clear" w:color="auto" w:fill="auto"/>
          </w:tcPr>
          <w:p w14:paraId="4A01B8A8" w14:textId="77777777"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14:paraId="4A01B8A9" w14:textId="0B1B9AB5" w:rsidR="00C657FB" w:rsidRPr="00F2320B" w:rsidRDefault="003F5112" w:rsidP="00175FFC">
            <w:pPr>
              <w:pStyle w:val="Table-normal-text"/>
            </w:pPr>
            <w:r>
              <w:t>Social Protection</w:t>
            </w:r>
          </w:p>
        </w:tc>
      </w:tr>
      <w:tr w:rsidR="00C657FB" w:rsidRPr="00F43CEC" w14:paraId="4A01B8AD" w14:textId="77777777" w:rsidTr="00175FFC">
        <w:trPr>
          <w:cantSplit/>
        </w:trPr>
        <w:tc>
          <w:tcPr>
            <w:tcW w:w="2660" w:type="dxa"/>
            <w:shd w:val="clear" w:color="auto" w:fill="auto"/>
          </w:tcPr>
          <w:p w14:paraId="4A01B8AB" w14:textId="77777777"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14:paraId="159B0EBE" w14:textId="4B650563" w:rsidR="00063CEC" w:rsidRPr="00063CEC" w:rsidRDefault="00063CEC" w:rsidP="00063CEC">
            <w:pPr>
              <w:numPr>
                <w:ilvl w:val="0"/>
                <w:numId w:val="46"/>
              </w:numPr>
              <w:tabs>
                <w:tab w:val="left" w:pos="227"/>
              </w:tabs>
              <w:spacing w:before="60"/>
            </w:pPr>
            <w:r w:rsidRPr="00303D39">
              <w:t xml:space="preserve">DSWD has the technical capacity to deliver enhanced CCT and NHTSPR program expansions. </w:t>
            </w:r>
          </w:p>
          <w:p w14:paraId="4A01B8AC" w14:textId="3BAD244C" w:rsidR="00970C8D" w:rsidRPr="00F2320B" w:rsidRDefault="00063CEC" w:rsidP="00896128">
            <w:pPr>
              <w:numPr>
                <w:ilvl w:val="0"/>
                <w:numId w:val="46"/>
              </w:numPr>
              <w:tabs>
                <w:tab w:val="left" w:pos="227"/>
              </w:tabs>
              <w:spacing w:before="60"/>
            </w:pPr>
            <w:r w:rsidRPr="00303D39">
              <w:t>Contribute to</w:t>
            </w:r>
            <w:r>
              <w:t xml:space="preserve"> better donor coordination in the identification, provision and management of technical assistance for DSWD’s social protection reform agenda. </w:t>
            </w:r>
          </w:p>
        </w:tc>
      </w:tr>
    </w:tbl>
    <w:p w14:paraId="4A01B8AE" w14:textId="4F2AA8F2" w:rsidR="00C657FB" w:rsidRDefault="00C657FB" w:rsidP="00C657FB">
      <w:pPr>
        <w:pStyle w:val="Heading2"/>
      </w:pPr>
      <w:r>
        <w:t>Evaluation Summary</w:t>
      </w:r>
    </w:p>
    <w:p w14:paraId="4A01B8B0" w14:textId="37AEAB3D" w:rsidR="00C657FB" w:rsidRPr="00123C3E" w:rsidRDefault="00C657FB" w:rsidP="00C657FB">
      <w:pPr>
        <w:rPr>
          <w:b/>
        </w:rPr>
      </w:pPr>
      <w:r w:rsidRPr="00123C3E">
        <w:rPr>
          <w:b/>
        </w:rPr>
        <w:t>Evaluation Objective:</w:t>
      </w:r>
      <w:r>
        <w:rPr>
          <w:b/>
        </w:rPr>
        <w:t xml:space="preserve"> </w:t>
      </w:r>
      <w:r w:rsidR="000E7AAF" w:rsidRPr="000E7AAF">
        <w:t xml:space="preserve">Assess the progress </w:t>
      </w:r>
      <w:r w:rsidR="008B2A6F">
        <w:t xml:space="preserve">of the </w:t>
      </w:r>
      <w:r w:rsidR="00896128">
        <w:t xml:space="preserve">DSWD Technical Assistance </w:t>
      </w:r>
      <w:r w:rsidR="008B2A6F">
        <w:t xml:space="preserve">Facility </w:t>
      </w:r>
      <w:r w:rsidR="00896128">
        <w:t xml:space="preserve">for Social Protection Reforms </w:t>
      </w:r>
      <w:r w:rsidR="008B2A6F">
        <w:t xml:space="preserve">at the midpoint of its implementation and identify areas for improvement </w:t>
      </w:r>
    </w:p>
    <w:p w14:paraId="4A01B8B1" w14:textId="67840EE7" w:rsidR="00C657FB" w:rsidRPr="00394FD3" w:rsidRDefault="00C657FB" w:rsidP="00C657FB">
      <w:r w:rsidRPr="00123C3E">
        <w:rPr>
          <w:b/>
        </w:rPr>
        <w:t>Evaluation Completion Date:</w:t>
      </w:r>
      <w:r>
        <w:rPr>
          <w:b/>
        </w:rPr>
        <w:t xml:space="preserve"> </w:t>
      </w:r>
      <w:r w:rsidR="008B2A6F">
        <w:t>30 April 2014</w:t>
      </w:r>
    </w:p>
    <w:p w14:paraId="4A01B8B2" w14:textId="57F1FE62" w:rsidR="00C657FB" w:rsidRPr="00394FD3" w:rsidRDefault="008B2A6F" w:rsidP="00C657FB">
      <w:r>
        <w:rPr>
          <w:b/>
        </w:rPr>
        <w:t>Evaluator</w:t>
      </w:r>
      <w:r w:rsidR="00C657FB" w:rsidRPr="00123C3E">
        <w:rPr>
          <w:b/>
        </w:rPr>
        <w:t>:</w:t>
      </w:r>
      <w:r w:rsidR="00C657FB">
        <w:rPr>
          <w:b/>
        </w:rPr>
        <w:t xml:space="preserve"> </w:t>
      </w:r>
      <w:r>
        <w:t>Rey Gerona</w:t>
      </w:r>
    </w:p>
    <w:p w14:paraId="4A01B8B5" w14:textId="253E649E" w:rsidR="005E3939" w:rsidRDefault="00367DA3" w:rsidP="000D316D">
      <w:pPr>
        <w:rPr>
          <w:b/>
          <w:sz w:val="22"/>
          <w:szCs w:val="22"/>
          <w:lang w:eastAsia="en-AU"/>
        </w:rPr>
      </w:pPr>
      <w:r w:rsidRPr="008B3156">
        <w:rPr>
          <w:b/>
          <w:sz w:val="22"/>
          <w:szCs w:val="22"/>
          <w:lang w:eastAsia="en-AU"/>
        </w:rPr>
        <w:t>D</w:t>
      </w:r>
      <w:r w:rsidR="00E414F7">
        <w:rPr>
          <w:b/>
          <w:sz w:val="22"/>
          <w:szCs w:val="22"/>
          <w:lang w:eastAsia="en-AU"/>
        </w:rPr>
        <w:t>FAT</w:t>
      </w:r>
      <w:r w:rsidRPr="008B3156">
        <w:rPr>
          <w:b/>
          <w:sz w:val="22"/>
          <w:szCs w:val="22"/>
          <w:lang w:eastAsia="en-AU"/>
        </w:rPr>
        <w:t>’s response to the evaluation report</w:t>
      </w:r>
    </w:p>
    <w:p w14:paraId="371B5379" w14:textId="42512FD8" w:rsidR="00A53836" w:rsidRPr="00A53836" w:rsidRDefault="008B084C" w:rsidP="00A53836">
      <w:pPr>
        <w:rPr>
          <w:i/>
          <w:szCs w:val="20"/>
          <w:u w:val="single"/>
          <w:lang w:eastAsia="en-AU"/>
        </w:rPr>
      </w:pPr>
      <w:proofErr w:type="gramStart"/>
      <w:r>
        <w:rPr>
          <w:i/>
          <w:szCs w:val="20"/>
          <w:u w:val="single"/>
          <w:lang w:eastAsia="en-AU"/>
        </w:rPr>
        <w:t>Br</w:t>
      </w:r>
      <w:r w:rsidR="00A53836">
        <w:rPr>
          <w:i/>
          <w:szCs w:val="20"/>
          <w:u w:val="single"/>
          <w:lang w:eastAsia="en-AU"/>
        </w:rPr>
        <w:t>i</w:t>
      </w:r>
      <w:r>
        <w:rPr>
          <w:i/>
          <w:szCs w:val="20"/>
          <w:u w:val="single"/>
          <w:lang w:eastAsia="en-AU"/>
        </w:rPr>
        <w:t>e</w:t>
      </w:r>
      <w:r w:rsidR="00A53836">
        <w:rPr>
          <w:i/>
          <w:szCs w:val="20"/>
          <w:u w:val="single"/>
          <w:lang w:eastAsia="en-AU"/>
        </w:rPr>
        <w:t xml:space="preserve">f overview of </w:t>
      </w:r>
      <w:r w:rsidR="008B2A6F">
        <w:rPr>
          <w:i/>
          <w:szCs w:val="20"/>
          <w:u w:val="single"/>
          <w:lang w:eastAsia="en-AU"/>
        </w:rPr>
        <w:t>DFAT</w:t>
      </w:r>
      <w:r w:rsidR="00A53836">
        <w:rPr>
          <w:i/>
          <w:szCs w:val="20"/>
          <w:u w:val="single"/>
          <w:lang w:eastAsia="en-AU"/>
        </w:rPr>
        <w:t>’s assessment of the quality of the report (including any issues with evidence, findings, etc.)</w:t>
      </w:r>
      <w:proofErr w:type="gramEnd"/>
    </w:p>
    <w:p w14:paraId="2E5E13D0" w14:textId="4C228186" w:rsidR="00A53836" w:rsidRPr="002A089D" w:rsidRDefault="006B74F9" w:rsidP="00A53836">
      <w:pPr>
        <w:rPr>
          <w:szCs w:val="20"/>
          <w:lang w:eastAsia="en-AU"/>
        </w:rPr>
      </w:pPr>
      <w:r>
        <w:rPr>
          <w:szCs w:val="20"/>
          <w:lang w:eastAsia="en-AU"/>
        </w:rPr>
        <w:t>Overall, the Independent P</w:t>
      </w:r>
      <w:r w:rsidR="00066C64" w:rsidRPr="002A089D">
        <w:rPr>
          <w:szCs w:val="20"/>
          <w:lang w:eastAsia="en-AU"/>
        </w:rPr>
        <w:t xml:space="preserve">rogress </w:t>
      </w:r>
      <w:r>
        <w:rPr>
          <w:szCs w:val="20"/>
          <w:lang w:eastAsia="en-AU"/>
        </w:rPr>
        <w:t xml:space="preserve">Review (IPR) </w:t>
      </w:r>
      <w:r w:rsidR="008B2A6F">
        <w:rPr>
          <w:szCs w:val="20"/>
          <w:lang w:eastAsia="en-AU"/>
        </w:rPr>
        <w:t>report is of average</w:t>
      </w:r>
      <w:r w:rsidR="00066C64" w:rsidRPr="002A089D">
        <w:rPr>
          <w:szCs w:val="20"/>
          <w:lang w:eastAsia="en-AU"/>
        </w:rPr>
        <w:t xml:space="preserve"> quality</w:t>
      </w:r>
      <w:r w:rsidR="008B2A6F">
        <w:rPr>
          <w:szCs w:val="20"/>
          <w:lang w:eastAsia="en-AU"/>
        </w:rPr>
        <w:t xml:space="preserve"> particularly on the structuring and presentation which</w:t>
      </w:r>
      <w:r w:rsidR="00367391">
        <w:rPr>
          <w:szCs w:val="20"/>
          <w:lang w:eastAsia="en-AU"/>
        </w:rPr>
        <w:t xml:space="preserve"> were</w:t>
      </w:r>
      <w:r w:rsidR="008B2A6F">
        <w:rPr>
          <w:szCs w:val="20"/>
          <w:lang w:eastAsia="en-AU"/>
        </w:rPr>
        <w:t xml:space="preserve"> eventually addr</w:t>
      </w:r>
      <w:r w:rsidR="00BA19E0">
        <w:rPr>
          <w:szCs w:val="20"/>
          <w:lang w:eastAsia="en-AU"/>
        </w:rPr>
        <w:t>essed after numerous iterations with guidance from Post</w:t>
      </w:r>
      <w:r w:rsidR="00066C64" w:rsidRPr="002A089D">
        <w:rPr>
          <w:szCs w:val="20"/>
          <w:lang w:eastAsia="en-AU"/>
        </w:rPr>
        <w:t xml:space="preserve">. </w:t>
      </w:r>
      <w:r w:rsidR="00B45A12">
        <w:rPr>
          <w:szCs w:val="20"/>
          <w:lang w:eastAsia="en-AU"/>
        </w:rPr>
        <w:t xml:space="preserve">The report </w:t>
      </w:r>
      <w:r w:rsidR="00BA19E0">
        <w:rPr>
          <w:szCs w:val="20"/>
          <w:lang w:eastAsia="en-AU"/>
        </w:rPr>
        <w:t xml:space="preserve">was able </w:t>
      </w:r>
      <w:r w:rsidR="00A243DF">
        <w:rPr>
          <w:szCs w:val="20"/>
          <w:lang w:eastAsia="en-AU"/>
        </w:rPr>
        <w:t xml:space="preserve">to </w:t>
      </w:r>
      <w:r w:rsidR="00BA19E0">
        <w:rPr>
          <w:szCs w:val="20"/>
          <w:lang w:eastAsia="en-AU"/>
        </w:rPr>
        <w:t>inform</w:t>
      </w:r>
      <w:r w:rsidR="00A53836" w:rsidRPr="002A089D">
        <w:rPr>
          <w:szCs w:val="20"/>
          <w:lang w:eastAsia="en-AU"/>
        </w:rPr>
        <w:t xml:space="preserve"> </w:t>
      </w:r>
      <w:r w:rsidR="008B2A6F">
        <w:rPr>
          <w:szCs w:val="20"/>
          <w:lang w:eastAsia="en-AU"/>
        </w:rPr>
        <w:t>DFAT</w:t>
      </w:r>
      <w:r w:rsidR="00A53836" w:rsidRPr="002A089D">
        <w:rPr>
          <w:szCs w:val="20"/>
          <w:lang w:eastAsia="en-AU"/>
        </w:rPr>
        <w:t xml:space="preserve"> with </w:t>
      </w:r>
      <w:r w:rsidR="00A243DF">
        <w:rPr>
          <w:szCs w:val="20"/>
          <w:lang w:eastAsia="en-AU"/>
        </w:rPr>
        <w:t xml:space="preserve">an </w:t>
      </w:r>
      <w:r w:rsidR="00BA19E0">
        <w:rPr>
          <w:szCs w:val="20"/>
          <w:lang w:eastAsia="en-AU"/>
        </w:rPr>
        <w:t>assessment</w:t>
      </w:r>
      <w:r w:rsidR="00A53836" w:rsidRPr="002A089D">
        <w:rPr>
          <w:szCs w:val="20"/>
          <w:lang w:eastAsia="en-AU"/>
        </w:rPr>
        <w:t xml:space="preserve"> on the progress of the </w:t>
      </w:r>
      <w:r w:rsidR="00BA19E0">
        <w:rPr>
          <w:szCs w:val="20"/>
          <w:lang w:eastAsia="en-AU"/>
        </w:rPr>
        <w:t>Technical Assistance Facility</w:t>
      </w:r>
      <w:r w:rsidR="00A53836" w:rsidRPr="002A089D">
        <w:rPr>
          <w:szCs w:val="20"/>
          <w:lang w:eastAsia="en-AU"/>
        </w:rPr>
        <w:t xml:space="preserve">, </w:t>
      </w:r>
      <w:r w:rsidR="00B45A12">
        <w:rPr>
          <w:szCs w:val="20"/>
          <w:lang w:eastAsia="en-AU"/>
        </w:rPr>
        <w:t xml:space="preserve">and </w:t>
      </w:r>
      <w:r w:rsidR="00A53836" w:rsidRPr="002A089D">
        <w:rPr>
          <w:szCs w:val="20"/>
          <w:lang w:eastAsia="en-AU"/>
        </w:rPr>
        <w:t xml:space="preserve">recommendations to </w:t>
      </w:r>
      <w:r w:rsidR="00330AFF">
        <w:rPr>
          <w:szCs w:val="20"/>
          <w:lang w:eastAsia="en-AU"/>
        </w:rPr>
        <w:t>address weaknesses and enhan</w:t>
      </w:r>
      <w:r w:rsidR="00BA19E0">
        <w:rPr>
          <w:szCs w:val="20"/>
          <w:lang w:eastAsia="en-AU"/>
        </w:rPr>
        <w:t>ce its</w:t>
      </w:r>
      <w:r w:rsidR="00330AFF">
        <w:rPr>
          <w:szCs w:val="20"/>
          <w:lang w:eastAsia="en-AU"/>
        </w:rPr>
        <w:t xml:space="preserve"> implementation</w:t>
      </w:r>
      <w:r w:rsidR="00325C94">
        <w:rPr>
          <w:szCs w:val="20"/>
          <w:lang w:eastAsia="en-AU"/>
        </w:rPr>
        <w:t xml:space="preserve"> moving forward.</w:t>
      </w:r>
    </w:p>
    <w:p w14:paraId="4D73671E" w14:textId="1BAF7623" w:rsidR="00066C64" w:rsidRDefault="00BA19E0" w:rsidP="00A53836">
      <w:pPr>
        <w:rPr>
          <w:szCs w:val="20"/>
          <w:lang w:eastAsia="en-AU"/>
        </w:rPr>
      </w:pPr>
      <w:r>
        <w:rPr>
          <w:szCs w:val="20"/>
          <w:lang w:eastAsia="en-AU"/>
        </w:rPr>
        <w:t>The report established that Australia’s engagement with DSWD in social protection is highly relevant</w:t>
      </w:r>
      <w:r w:rsidR="00066C64" w:rsidRPr="002A089D">
        <w:rPr>
          <w:szCs w:val="20"/>
          <w:lang w:eastAsia="en-AU"/>
        </w:rPr>
        <w:t xml:space="preserve">. It rated the program </w:t>
      </w:r>
      <w:r>
        <w:rPr>
          <w:szCs w:val="20"/>
          <w:lang w:eastAsia="en-AU"/>
        </w:rPr>
        <w:t>satisfactorily</w:t>
      </w:r>
      <w:r w:rsidR="00E92FD0">
        <w:rPr>
          <w:szCs w:val="20"/>
          <w:lang w:eastAsia="en-AU"/>
        </w:rPr>
        <w:t xml:space="preserve"> as far as effectiveness, and prospects on activity continuation</w:t>
      </w:r>
      <w:r>
        <w:rPr>
          <w:szCs w:val="20"/>
          <w:lang w:eastAsia="en-AU"/>
        </w:rPr>
        <w:t xml:space="preserve"> beyond program completion</w:t>
      </w:r>
      <w:r w:rsidR="00066C64" w:rsidRPr="002A089D">
        <w:rPr>
          <w:szCs w:val="20"/>
          <w:lang w:eastAsia="en-AU"/>
        </w:rPr>
        <w:t xml:space="preserve">. </w:t>
      </w:r>
      <w:r>
        <w:rPr>
          <w:szCs w:val="20"/>
          <w:lang w:eastAsia="en-AU"/>
        </w:rPr>
        <w:t>However, t</w:t>
      </w:r>
      <w:r w:rsidR="00066C64" w:rsidRPr="002A089D">
        <w:rPr>
          <w:szCs w:val="20"/>
          <w:lang w:eastAsia="en-AU"/>
        </w:rPr>
        <w:t>he report note</w:t>
      </w:r>
      <w:r w:rsidR="002A089D">
        <w:rPr>
          <w:szCs w:val="20"/>
          <w:lang w:eastAsia="en-AU"/>
        </w:rPr>
        <w:t>d</w:t>
      </w:r>
      <w:r w:rsidR="00066C64" w:rsidRPr="002A089D">
        <w:rPr>
          <w:szCs w:val="20"/>
          <w:lang w:eastAsia="en-AU"/>
        </w:rPr>
        <w:t xml:space="preserve"> the below satisfactory performance of the </w:t>
      </w:r>
      <w:r>
        <w:rPr>
          <w:szCs w:val="20"/>
          <w:lang w:eastAsia="en-AU"/>
        </w:rPr>
        <w:t>TAF</w:t>
      </w:r>
      <w:r w:rsidR="00066C64" w:rsidRPr="002A089D">
        <w:rPr>
          <w:szCs w:val="20"/>
          <w:lang w:eastAsia="en-AU"/>
        </w:rPr>
        <w:t xml:space="preserve"> </w:t>
      </w:r>
      <w:r w:rsidR="00FE1DDE">
        <w:rPr>
          <w:szCs w:val="20"/>
          <w:lang w:eastAsia="en-AU"/>
        </w:rPr>
        <w:t xml:space="preserve">on </w:t>
      </w:r>
      <w:r w:rsidR="007E3C0F">
        <w:rPr>
          <w:szCs w:val="20"/>
          <w:lang w:eastAsia="en-AU"/>
        </w:rPr>
        <w:t>efficiency.</w:t>
      </w:r>
      <w:r w:rsidR="00325C94">
        <w:rPr>
          <w:szCs w:val="20"/>
          <w:lang w:eastAsia="en-AU"/>
        </w:rPr>
        <w:t xml:space="preserve"> The </w:t>
      </w:r>
      <w:r w:rsidR="00325C94">
        <w:rPr>
          <w:szCs w:val="20"/>
          <w:lang w:eastAsia="en-AU"/>
        </w:rPr>
        <w:lastRenderedPageBreak/>
        <w:t>M&amp;E has also been rated as satisfactory but the Evaluator has suggested enhancements in the design which will contribute to the Facility’s efficiency.</w:t>
      </w:r>
    </w:p>
    <w:p w14:paraId="6A2AD7A5" w14:textId="4C616564" w:rsidR="00A53836" w:rsidRPr="00A53836" w:rsidRDefault="00036209" w:rsidP="00A53836">
      <w:pPr>
        <w:rPr>
          <w:szCs w:val="20"/>
          <w:lang w:eastAsia="en-AU"/>
        </w:rPr>
      </w:pPr>
      <w:r>
        <w:rPr>
          <w:szCs w:val="20"/>
          <w:lang w:eastAsia="en-AU"/>
        </w:rPr>
        <w:t>DFAT</w:t>
      </w:r>
      <w:r w:rsidR="00A043BE">
        <w:rPr>
          <w:szCs w:val="20"/>
          <w:lang w:eastAsia="en-AU"/>
        </w:rPr>
        <w:t xml:space="preserve"> </w:t>
      </w:r>
      <w:r w:rsidR="006B74F9">
        <w:rPr>
          <w:szCs w:val="20"/>
          <w:lang w:eastAsia="en-AU"/>
        </w:rPr>
        <w:t>has no</w:t>
      </w:r>
      <w:r w:rsidR="00E92FD0">
        <w:rPr>
          <w:szCs w:val="20"/>
          <w:lang w:eastAsia="en-AU"/>
        </w:rPr>
        <w:t xml:space="preserve"> significant</w:t>
      </w:r>
      <w:r w:rsidR="006B74F9">
        <w:rPr>
          <w:szCs w:val="20"/>
          <w:lang w:eastAsia="en-AU"/>
        </w:rPr>
        <w:t xml:space="preserve"> issues as </w:t>
      </w:r>
      <w:r w:rsidR="00E92FD0">
        <w:rPr>
          <w:szCs w:val="20"/>
          <w:lang w:eastAsia="en-AU"/>
        </w:rPr>
        <w:t xml:space="preserve">far as the findings of the IPR. </w:t>
      </w:r>
      <w:r w:rsidR="006B74F9">
        <w:rPr>
          <w:szCs w:val="20"/>
          <w:lang w:eastAsia="en-AU"/>
        </w:rPr>
        <w:t xml:space="preserve">We note the difficulty encountered by the </w:t>
      </w:r>
      <w:r w:rsidR="00E92FD0">
        <w:rPr>
          <w:szCs w:val="20"/>
          <w:lang w:eastAsia="en-AU"/>
        </w:rPr>
        <w:t>Evaluator</w:t>
      </w:r>
      <w:r w:rsidR="006B74F9">
        <w:rPr>
          <w:szCs w:val="20"/>
          <w:lang w:eastAsia="en-AU"/>
        </w:rPr>
        <w:t xml:space="preserve"> in gathering data given the </w:t>
      </w:r>
      <w:r w:rsidR="00E92FD0">
        <w:rPr>
          <w:szCs w:val="20"/>
          <w:lang w:eastAsia="en-AU"/>
        </w:rPr>
        <w:t xml:space="preserve">assessment coincided with Typhoon Haiyan which occupied </w:t>
      </w:r>
      <w:r w:rsidR="00E414F7">
        <w:rPr>
          <w:szCs w:val="20"/>
          <w:lang w:eastAsia="en-AU"/>
        </w:rPr>
        <w:t xml:space="preserve">DSWD </w:t>
      </w:r>
      <w:r w:rsidR="00E92FD0">
        <w:rPr>
          <w:szCs w:val="20"/>
          <w:lang w:eastAsia="en-AU"/>
        </w:rPr>
        <w:t xml:space="preserve">respondents </w:t>
      </w:r>
      <w:r w:rsidR="00E414F7">
        <w:rPr>
          <w:szCs w:val="20"/>
          <w:lang w:eastAsia="en-AU"/>
        </w:rPr>
        <w:t>due to surge of activities related to</w:t>
      </w:r>
      <w:r w:rsidR="00E92FD0">
        <w:rPr>
          <w:szCs w:val="20"/>
          <w:lang w:eastAsia="en-AU"/>
        </w:rPr>
        <w:t xml:space="preserve"> disaster response</w:t>
      </w:r>
      <w:r w:rsidR="006B74F9">
        <w:rPr>
          <w:szCs w:val="20"/>
          <w:lang w:eastAsia="en-AU"/>
        </w:rPr>
        <w:t xml:space="preserve">. </w:t>
      </w:r>
    </w:p>
    <w:p w14:paraId="089FC0EB" w14:textId="41EDF6E4" w:rsidR="00A53836" w:rsidRPr="00A53836" w:rsidRDefault="008B2A6F" w:rsidP="00A53836">
      <w:pPr>
        <w:rPr>
          <w:i/>
          <w:szCs w:val="20"/>
          <w:u w:val="single"/>
          <w:lang w:eastAsia="en-AU"/>
        </w:rPr>
      </w:pPr>
      <w:r>
        <w:rPr>
          <w:i/>
          <w:szCs w:val="20"/>
          <w:u w:val="single"/>
          <w:lang w:eastAsia="en-AU"/>
        </w:rPr>
        <w:t>DFAT</w:t>
      </w:r>
      <w:r w:rsidR="008B084C">
        <w:rPr>
          <w:i/>
          <w:szCs w:val="20"/>
          <w:u w:val="single"/>
          <w:lang w:eastAsia="en-AU"/>
        </w:rPr>
        <w:t>’s overall response to the findings and recommendations</w:t>
      </w:r>
    </w:p>
    <w:p w14:paraId="73B8A107" w14:textId="5CC6D7DD" w:rsidR="00A53836" w:rsidRPr="00A53836" w:rsidRDefault="00036209" w:rsidP="00A53836">
      <w:pPr>
        <w:rPr>
          <w:szCs w:val="20"/>
          <w:lang w:eastAsia="en-AU"/>
        </w:rPr>
      </w:pPr>
      <w:r>
        <w:rPr>
          <w:szCs w:val="20"/>
          <w:lang w:eastAsia="en-AU"/>
        </w:rPr>
        <w:t xml:space="preserve">DFAT </w:t>
      </w:r>
      <w:r w:rsidR="00A043BE">
        <w:rPr>
          <w:szCs w:val="20"/>
          <w:lang w:eastAsia="en-AU"/>
        </w:rPr>
        <w:t xml:space="preserve">notes the IPR findings and </w:t>
      </w:r>
      <w:r w:rsidR="002A089D">
        <w:rPr>
          <w:szCs w:val="20"/>
          <w:lang w:eastAsia="en-AU"/>
        </w:rPr>
        <w:t xml:space="preserve">agrees </w:t>
      </w:r>
      <w:r w:rsidR="00063CEC">
        <w:rPr>
          <w:szCs w:val="20"/>
          <w:lang w:eastAsia="en-AU"/>
        </w:rPr>
        <w:t xml:space="preserve">mostly </w:t>
      </w:r>
      <w:r w:rsidR="002A089D">
        <w:rPr>
          <w:szCs w:val="20"/>
          <w:lang w:eastAsia="en-AU"/>
        </w:rPr>
        <w:t xml:space="preserve">with the recommendations put forward by the </w:t>
      </w:r>
      <w:r w:rsidR="008B2A6F">
        <w:rPr>
          <w:szCs w:val="20"/>
          <w:lang w:eastAsia="en-AU"/>
        </w:rPr>
        <w:t>Evaluator</w:t>
      </w:r>
      <w:r w:rsidR="002A089D">
        <w:rPr>
          <w:szCs w:val="20"/>
          <w:lang w:eastAsia="en-AU"/>
        </w:rPr>
        <w:t xml:space="preserve">. </w:t>
      </w:r>
      <w:r w:rsidR="008B2A6F">
        <w:rPr>
          <w:szCs w:val="20"/>
          <w:lang w:eastAsia="en-AU"/>
        </w:rPr>
        <w:t>DFAT</w:t>
      </w:r>
      <w:r w:rsidR="002A089D">
        <w:rPr>
          <w:szCs w:val="20"/>
          <w:lang w:eastAsia="en-AU"/>
        </w:rPr>
        <w:t xml:space="preserve"> </w:t>
      </w:r>
      <w:r w:rsidR="008B2A6F">
        <w:rPr>
          <w:szCs w:val="20"/>
          <w:lang w:eastAsia="en-AU"/>
        </w:rPr>
        <w:t xml:space="preserve">has already implemented </w:t>
      </w:r>
      <w:r w:rsidR="00063CEC">
        <w:rPr>
          <w:szCs w:val="20"/>
          <w:lang w:eastAsia="en-AU"/>
        </w:rPr>
        <w:t>a number of the</w:t>
      </w:r>
      <w:r w:rsidR="008B2A6F">
        <w:rPr>
          <w:szCs w:val="20"/>
          <w:lang w:eastAsia="en-AU"/>
        </w:rPr>
        <w:t xml:space="preserve"> </w:t>
      </w:r>
      <w:r w:rsidR="002A089D">
        <w:rPr>
          <w:szCs w:val="20"/>
          <w:lang w:eastAsia="en-AU"/>
        </w:rPr>
        <w:t xml:space="preserve">recommendations </w:t>
      </w:r>
      <w:r w:rsidR="00E414F7">
        <w:rPr>
          <w:szCs w:val="20"/>
          <w:lang w:eastAsia="en-AU"/>
        </w:rPr>
        <w:t xml:space="preserve">as of this writing. </w:t>
      </w:r>
      <w:r w:rsidR="002A089D">
        <w:rPr>
          <w:szCs w:val="20"/>
          <w:lang w:eastAsia="en-AU"/>
        </w:rPr>
        <w:t xml:space="preserve">On critical areas like </w:t>
      </w:r>
      <w:r w:rsidR="007E3C0F">
        <w:rPr>
          <w:szCs w:val="20"/>
          <w:lang w:eastAsia="en-AU"/>
        </w:rPr>
        <w:t xml:space="preserve">weakness in </w:t>
      </w:r>
      <w:r w:rsidR="00E414F7">
        <w:rPr>
          <w:szCs w:val="20"/>
          <w:lang w:eastAsia="en-AU"/>
        </w:rPr>
        <w:t xml:space="preserve">efficiency and </w:t>
      </w:r>
      <w:r w:rsidR="007E3C0F">
        <w:rPr>
          <w:szCs w:val="20"/>
          <w:lang w:eastAsia="en-AU"/>
        </w:rPr>
        <w:t xml:space="preserve">enhancing the </w:t>
      </w:r>
      <w:r w:rsidR="002A089D">
        <w:rPr>
          <w:szCs w:val="20"/>
          <w:lang w:eastAsia="en-AU"/>
        </w:rPr>
        <w:t xml:space="preserve">monitoring and evaluation, </w:t>
      </w:r>
      <w:r w:rsidR="00E414F7">
        <w:rPr>
          <w:szCs w:val="20"/>
          <w:lang w:eastAsia="en-AU"/>
        </w:rPr>
        <w:t>DFAT</w:t>
      </w:r>
      <w:r w:rsidR="002A089D">
        <w:rPr>
          <w:szCs w:val="20"/>
          <w:lang w:eastAsia="en-AU"/>
        </w:rPr>
        <w:t xml:space="preserve"> </w:t>
      </w:r>
      <w:r>
        <w:rPr>
          <w:szCs w:val="20"/>
          <w:lang w:eastAsia="en-AU"/>
        </w:rPr>
        <w:t xml:space="preserve">modified </w:t>
      </w:r>
      <w:r w:rsidR="00367391">
        <w:rPr>
          <w:szCs w:val="20"/>
          <w:lang w:eastAsia="en-AU"/>
        </w:rPr>
        <w:t xml:space="preserve">the funding arrangement for the </w:t>
      </w:r>
      <w:r w:rsidR="00896128">
        <w:rPr>
          <w:szCs w:val="20"/>
          <w:lang w:eastAsia="en-AU"/>
        </w:rPr>
        <w:t xml:space="preserve">Technical Assistance Facility </w:t>
      </w:r>
      <w:r w:rsidR="00367391">
        <w:rPr>
          <w:szCs w:val="20"/>
          <w:lang w:eastAsia="en-AU"/>
        </w:rPr>
        <w:t>and has provided assistance to DSWD in revisiting the TAF framework and improving the M&amp;E.</w:t>
      </w:r>
    </w:p>
    <w:p w14:paraId="0D068973" w14:textId="0900C3CE" w:rsidR="00A53836" w:rsidRPr="00A53836" w:rsidRDefault="008B084C" w:rsidP="00A53836">
      <w:pPr>
        <w:rPr>
          <w:i/>
          <w:szCs w:val="20"/>
          <w:u w:val="single"/>
          <w:lang w:eastAsia="en-AU"/>
        </w:rPr>
      </w:pPr>
      <w:r>
        <w:rPr>
          <w:i/>
          <w:szCs w:val="20"/>
          <w:u w:val="single"/>
          <w:lang w:eastAsia="en-AU"/>
        </w:rPr>
        <w:t>Brief comments on future direct</w:t>
      </w:r>
      <w:r w:rsidR="00B366B9">
        <w:rPr>
          <w:i/>
          <w:szCs w:val="20"/>
          <w:u w:val="single"/>
          <w:lang w:eastAsia="en-AU"/>
        </w:rPr>
        <w:t>ion</w:t>
      </w:r>
      <w:r>
        <w:rPr>
          <w:i/>
          <w:szCs w:val="20"/>
          <w:u w:val="single"/>
          <w:lang w:eastAsia="en-AU"/>
        </w:rPr>
        <w:t xml:space="preserve"> of sector/program/initiative</w:t>
      </w:r>
    </w:p>
    <w:p w14:paraId="64D4E94B" w14:textId="538D481A" w:rsidR="00596AF0" w:rsidRDefault="00B854F9" w:rsidP="00596AF0">
      <w:pPr>
        <w:rPr>
          <w:szCs w:val="20"/>
          <w:lang w:eastAsia="en-AU"/>
        </w:rPr>
      </w:pPr>
      <w:r>
        <w:rPr>
          <w:szCs w:val="20"/>
          <w:lang w:eastAsia="en-AU"/>
        </w:rPr>
        <w:t xml:space="preserve">DFAT will </w:t>
      </w:r>
      <w:r w:rsidR="00596AF0">
        <w:rPr>
          <w:szCs w:val="20"/>
          <w:lang w:eastAsia="en-AU"/>
        </w:rPr>
        <w:t xml:space="preserve">continue to engage in social protection activities (e.g., conditional cash transfer, community-driven development) to influence </w:t>
      </w:r>
      <w:r w:rsidR="00596AF0" w:rsidRPr="00596AF0">
        <w:rPr>
          <w:szCs w:val="20"/>
          <w:lang w:eastAsia="en-AU"/>
        </w:rPr>
        <w:t>Philippine policies on inclusive economic growth</w:t>
      </w:r>
      <w:r w:rsidR="00A243DF">
        <w:rPr>
          <w:szCs w:val="20"/>
          <w:lang w:eastAsia="en-AU"/>
        </w:rPr>
        <w:t xml:space="preserve"> cognis</w:t>
      </w:r>
      <w:r w:rsidR="00596AF0">
        <w:rPr>
          <w:szCs w:val="20"/>
          <w:lang w:eastAsia="en-AU"/>
        </w:rPr>
        <w:t xml:space="preserve">ant that such </w:t>
      </w:r>
      <w:r w:rsidR="00596AF0" w:rsidRPr="00596AF0">
        <w:rPr>
          <w:szCs w:val="20"/>
          <w:lang w:eastAsia="en-AU"/>
        </w:rPr>
        <w:t xml:space="preserve"> interventions like CCT are important to attain inclusive growth and ensure that the poor benefit from and participate in economic opportunities.</w:t>
      </w:r>
      <w:r w:rsidR="00596AF0">
        <w:rPr>
          <w:szCs w:val="20"/>
          <w:lang w:eastAsia="en-AU"/>
        </w:rPr>
        <w:t xml:space="preserve"> </w:t>
      </w:r>
      <w:r w:rsidR="00896128">
        <w:rPr>
          <w:szCs w:val="20"/>
          <w:lang w:eastAsia="en-AU"/>
        </w:rPr>
        <w:t xml:space="preserve"> </w:t>
      </w:r>
      <w:r w:rsidR="00036209">
        <w:rPr>
          <w:szCs w:val="20"/>
          <w:lang w:eastAsia="en-AU"/>
        </w:rPr>
        <w:t xml:space="preserve">DFAT </w:t>
      </w:r>
      <w:r w:rsidR="006837EA">
        <w:rPr>
          <w:szCs w:val="20"/>
          <w:lang w:eastAsia="en-AU"/>
        </w:rPr>
        <w:t xml:space="preserve">has provided </w:t>
      </w:r>
      <w:r w:rsidR="00315833">
        <w:rPr>
          <w:szCs w:val="20"/>
          <w:lang w:eastAsia="en-AU"/>
        </w:rPr>
        <w:t>an additional $</w:t>
      </w:r>
      <w:r w:rsidR="00896128">
        <w:rPr>
          <w:szCs w:val="20"/>
          <w:lang w:eastAsia="en-AU"/>
        </w:rPr>
        <w:t>12</w:t>
      </w:r>
      <w:r w:rsidR="006837EA">
        <w:rPr>
          <w:szCs w:val="20"/>
          <w:lang w:eastAsia="en-AU"/>
        </w:rPr>
        <w:t>.2</w:t>
      </w:r>
      <w:r w:rsidR="00896128">
        <w:rPr>
          <w:szCs w:val="20"/>
          <w:lang w:eastAsia="en-AU"/>
        </w:rPr>
        <w:t xml:space="preserve"> million to DSWD for the construction of classroom and day care centres using the community-led approach in CCT program areas to help meet the demand-supply side requirements.  </w:t>
      </w:r>
    </w:p>
    <w:p w14:paraId="22169404" w14:textId="5F518F2F" w:rsidR="00B854F9" w:rsidRPr="00596AF0" w:rsidRDefault="00B854F9" w:rsidP="00596AF0">
      <w:pPr>
        <w:rPr>
          <w:szCs w:val="20"/>
          <w:lang w:eastAsia="en-AU"/>
        </w:rPr>
      </w:pPr>
      <w:r>
        <w:rPr>
          <w:szCs w:val="20"/>
          <w:lang w:eastAsia="en-AU"/>
        </w:rPr>
        <w:t xml:space="preserve">Australia’s assistance to DSWD </w:t>
      </w:r>
      <w:r w:rsidR="00896128">
        <w:rPr>
          <w:szCs w:val="20"/>
          <w:lang w:eastAsia="en-AU"/>
        </w:rPr>
        <w:t>Technical Assistance Facility</w:t>
      </w:r>
      <w:r>
        <w:rPr>
          <w:szCs w:val="20"/>
          <w:lang w:eastAsia="en-AU"/>
        </w:rPr>
        <w:t xml:space="preserve">, which is the subject of this evaluation, </w:t>
      </w:r>
      <w:r w:rsidR="00BF07A5">
        <w:rPr>
          <w:szCs w:val="20"/>
          <w:lang w:eastAsia="en-AU"/>
        </w:rPr>
        <w:t xml:space="preserve">will be extended for another year through </w:t>
      </w:r>
      <w:r>
        <w:rPr>
          <w:szCs w:val="20"/>
          <w:lang w:eastAsia="en-AU"/>
        </w:rPr>
        <w:t>FY 2015-16</w:t>
      </w:r>
      <w:r w:rsidR="006837EA">
        <w:rPr>
          <w:szCs w:val="20"/>
          <w:lang w:eastAsia="en-AU"/>
        </w:rPr>
        <w:t>, under a new funding arrangement</w:t>
      </w:r>
      <w:r w:rsidR="00BF07A5">
        <w:rPr>
          <w:szCs w:val="20"/>
          <w:lang w:eastAsia="en-AU"/>
        </w:rPr>
        <w:t xml:space="preserve">.   This will allow Australia to continue supporting DSWD in the expansion of its major social protection and poverty reduction programs until the end of President Aquino’s administration.   Australia will enter into a </w:t>
      </w:r>
      <w:r>
        <w:rPr>
          <w:szCs w:val="20"/>
          <w:lang w:eastAsia="en-AU"/>
        </w:rPr>
        <w:t xml:space="preserve">Direct Funding Agreement </w:t>
      </w:r>
      <w:r w:rsidR="00BF07A5">
        <w:rPr>
          <w:szCs w:val="20"/>
          <w:lang w:eastAsia="en-AU"/>
        </w:rPr>
        <w:t xml:space="preserve">with DSWD </w:t>
      </w:r>
      <w:r>
        <w:rPr>
          <w:szCs w:val="20"/>
          <w:lang w:eastAsia="en-AU"/>
        </w:rPr>
        <w:t xml:space="preserve">which will supersede the current Subsidiary Arrangement governing </w:t>
      </w:r>
      <w:proofErr w:type="spellStart"/>
      <w:r>
        <w:rPr>
          <w:szCs w:val="20"/>
          <w:lang w:eastAsia="en-AU"/>
        </w:rPr>
        <w:t>GoA</w:t>
      </w:r>
      <w:proofErr w:type="spellEnd"/>
      <w:r>
        <w:rPr>
          <w:szCs w:val="20"/>
          <w:lang w:eastAsia="en-AU"/>
        </w:rPr>
        <w:t>-GPH partnership.</w:t>
      </w:r>
      <w:r w:rsidR="00BF07A5">
        <w:rPr>
          <w:szCs w:val="20"/>
          <w:lang w:eastAsia="en-AU"/>
        </w:rPr>
        <w:t xml:space="preserve">  The Direct Funding Agreement will reflect the new arrangement of disbursing funds based on an agreed annual technical assistance work plan. </w:t>
      </w:r>
    </w:p>
    <w:p w14:paraId="647D47AA" w14:textId="77777777" w:rsidR="00BF07A5" w:rsidRDefault="00BF07A5" w:rsidP="00C657FB">
      <w:pPr>
        <w:rPr>
          <w:b/>
          <w:sz w:val="22"/>
          <w:szCs w:val="22"/>
          <w:lang w:eastAsia="en-AU"/>
        </w:rPr>
      </w:pPr>
    </w:p>
    <w:p w14:paraId="4A01B8BD" w14:textId="4C1C8C47" w:rsidR="00C657FB" w:rsidRPr="00B45A12" w:rsidRDefault="006837EA" w:rsidP="00C657FB">
      <w:pPr>
        <w:rPr>
          <w:b/>
          <w:sz w:val="22"/>
          <w:szCs w:val="22"/>
          <w:lang w:eastAsia="en-AU"/>
        </w:rPr>
      </w:pPr>
      <w:r>
        <w:rPr>
          <w:b/>
          <w:sz w:val="22"/>
          <w:szCs w:val="22"/>
          <w:lang w:eastAsia="en-AU"/>
        </w:rPr>
        <w:t>DFAT</w:t>
      </w:r>
      <w:r w:rsidR="00F63B43" w:rsidRPr="008B3156">
        <w:rPr>
          <w:b/>
          <w:sz w:val="22"/>
          <w:szCs w:val="22"/>
          <w:lang w:eastAsia="en-AU"/>
        </w:rPr>
        <w:t>’s r</w:t>
      </w:r>
      <w:r w:rsidR="00C657FB" w:rsidRPr="008B3156">
        <w:rPr>
          <w:b/>
          <w:sz w:val="22"/>
          <w:szCs w:val="22"/>
          <w:lang w:eastAsia="en-AU"/>
        </w:rPr>
        <w:t>esponse to specific rec</w:t>
      </w:r>
      <w:r w:rsidR="00367DA3" w:rsidRPr="008B3156">
        <w:rPr>
          <w:b/>
          <w:sz w:val="22"/>
          <w:szCs w:val="22"/>
          <w:lang w:eastAsia="en-AU"/>
        </w:rPr>
        <w:t>ommendations made in the report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2660"/>
        <w:gridCol w:w="2835"/>
        <w:gridCol w:w="2776"/>
        <w:gridCol w:w="1583"/>
      </w:tblGrid>
      <w:tr w:rsidR="00E6298A" w:rsidRPr="00E6298A" w14:paraId="4A01B8C2" w14:textId="77777777" w:rsidTr="00A1709A">
        <w:trPr>
          <w:cantSplit/>
        </w:trPr>
        <w:tc>
          <w:tcPr>
            <w:tcW w:w="2660" w:type="dxa"/>
            <w:shd w:val="clear" w:color="auto" w:fill="FFEC9B"/>
            <w:vAlign w:val="center"/>
          </w:tcPr>
          <w:p w14:paraId="4A01B8BE" w14:textId="77777777" w:rsidR="00E6298A" w:rsidRPr="00E6298A" w:rsidRDefault="00E6298A" w:rsidP="00FD403E">
            <w:pPr>
              <w:pStyle w:val="Heading2"/>
              <w:spacing w:before="120" w:after="120"/>
              <w:rPr>
                <w:sz w:val="20"/>
                <w:szCs w:val="20"/>
              </w:rPr>
            </w:pPr>
            <w:r w:rsidRPr="00E6298A">
              <w:rPr>
                <w:sz w:val="20"/>
                <w:szCs w:val="20"/>
              </w:rPr>
              <w:t>Recommendation</w:t>
            </w:r>
          </w:p>
        </w:tc>
        <w:tc>
          <w:tcPr>
            <w:tcW w:w="2835" w:type="dxa"/>
            <w:tcBorders>
              <w:right w:val="single" w:sz="4" w:space="0" w:color="auto"/>
            </w:tcBorders>
            <w:shd w:val="clear" w:color="auto" w:fill="FFEC9B"/>
            <w:vAlign w:val="center"/>
          </w:tcPr>
          <w:p w14:paraId="4A01B8BF" w14:textId="77777777" w:rsidR="00E6298A" w:rsidRPr="00E6298A" w:rsidRDefault="00E6298A" w:rsidP="001467C6">
            <w:pPr>
              <w:spacing w:after="120"/>
              <w:jc w:val="center"/>
              <w:rPr>
                <w:rFonts w:cs="Arial"/>
                <w:b/>
                <w:szCs w:val="20"/>
              </w:rPr>
            </w:pPr>
            <w:r w:rsidRPr="00E6298A">
              <w:rPr>
                <w:rFonts w:cs="Arial"/>
                <w:b/>
                <w:szCs w:val="20"/>
              </w:rPr>
              <w:t>Response</w:t>
            </w:r>
          </w:p>
        </w:tc>
        <w:tc>
          <w:tcPr>
            <w:tcW w:w="2776" w:type="dxa"/>
            <w:tcBorders>
              <w:left w:val="single" w:sz="4" w:space="0" w:color="auto"/>
            </w:tcBorders>
            <w:shd w:val="clear" w:color="auto" w:fill="FFEC9B"/>
            <w:vAlign w:val="center"/>
          </w:tcPr>
          <w:p w14:paraId="4A01B8C0" w14:textId="77777777" w:rsidR="00E6298A" w:rsidRPr="00E6298A" w:rsidRDefault="00E6298A" w:rsidP="001467C6">
            <w:pPr>
              <w:spacing w:after="120"/>
              <w:jc w:val="center"/>
              <w:rPr>
                <w:rFonts w:cs="Arial"/>
                <w:b/>
                <w:szCs w:val="20"/>
              </w:rPr>
            </w:pPr>
            <w:r w:rsidRPr="00E6298A">
              <w:rPr>
                <w:rFonts w:cs="Arial"/>
                <w:b/>
                <w:szCs w:val="20"/>
              </w:rPr>
              <w:t>Actions</w:t>
            </w:r>
          </w:p>
        </w:tc>
        <w:tc>
          <w:tcPr>
            <w:tcW w:w="1583" w:type="dxa"/>
            <w:tcBorders>
              <w:left w:val="single" w:sz="4" w:space="0" w:color="auto"/>
            </w:tcBorders>
            <w:shd w:val="clear" w:color="auto" w:fill="FFEC9B"/>
            <w:vAlign w:val="center"/>
          </w:tcPr>
          <w:p w14:paraId="4A01B8C1" w14:textId="77777777" w:rsidR="00E6298A" w:rsidRPr="00E6298A" w:rsidRDefault="00E6298A" w:rsidP="001467C6">
            <w:pPr>
              <w:spacing w:after="120"/>
              <w:jc w:val="center"/>
              <w:rPr>
                <w:rFonts w:cs="Arial"/>
                <w:szCs w:val="20"/>
              </w:rPr>
            </w:pPr>
            <w:r w:rsidRPr="00E6298A">
              <w:rPr>
                <w:b/>
                <w:szCs w:val="20"/>
              </w:rPr>
              <w:t>Responsibility</w:t>
            </w:r>
          </w:p>
        </w:tc>
      </w:tr>
      <w:tr w:rsidR="00E6298A" w:rsidRPr="00F43CEC" w14:paraId="4A01B8C8" w14:textId="77777777" w:rsidTr="00A1709A">
        <w:trPr>
          <w:cantSplit/>
          <w:trHeight w:val="885"/>
        </w:trPr>
        <w:tc>
          <w:tcPr>
            <w:tcW w:w="2660" w:type="dxa"/>
            <w:shd w:val="clear" w:color="auto" w:fill="auto"/>
          </w:tcPr>
          <w:p w14:paraId="7A507B43" w14:textId="197A2C84" w:rsidR="00E6298A" w:rsidRPr="00A1709A" w:rsidRDefault="00950A91" w:rsidP="00FD403E">
            <w:pPr>
              <w:numPr>
                <w:ilvl w:val="0"/>
                <w:numId w:val="38"/>
              </w:numPr>
              <w:spacing w:after="120"/>
              <w:ind w:left="284" w:hanging="284"/>
            </w:pPr>
            <w:r>
              <w:rPr>
                <w:lang w:val="en-GB"/>
              </w:rPr>
              <w:t>E</w:t>
            </w:r>
            <w:r w:rsidR="0054250A">
              <w:rPr>
                <w:lang w:val="en-GB"/>
              </w:rPr>
              <w:t xml:space="preserve">xtend </w:t>
            </w:r>
            <w:r w:rsidRPr="00950A91">
              <w:rPr>
                <w:lang w:val="en-GB"/>
              </w:rPr>
              <w:t xml:space="preserve">DFAT’s funding for </w:t>
            </w:r>
            <w:r w:rsidR="00C050A5">
              <w:rPr>
                <w:lang w:val="en-GB"/>
              </w:rPr>
              <w:t xml:space="preserve">Technical Assistance Unit’s </w:t>
            </w:r>
            <w:r w:rsidRPr="00950A91">
              <w:rPr>
                <w:lang w:val="en-GB"/>
              </w:rPr>
              <w:t xml:space="preserve">operations to coincide with </w:t>
            </w:r>
            <w:r w:rsidR="0054250A">
              <w:rPr>
                <w:lang w:val="en-GB"/>
              </w:rPr>
              <w:t xml:space="preserve">the </w:t>
            </w:r>
            <w:r w:rsidRPr="00950A91">
              <w:rPr>
                <w:lang w:val="en-GB"/>
              </w:rPr>
              <w:t xml:space="preserve">DFAT’s support to </w:t>
            </w:r>
            <w:r w:rsidR="00C050A5">
              <w:rPr>
                <w:lang w:val="en-GB"/>
              </w:rPr>
              <w:t xml:space="preserve">Technical Assistance Facility </w:t>
            </w:r>
            <w:r w:rsidRPr="00950A91">
              <w:rPr>
                <w:lang w:val="en-GB"/>
              </w:rPr>
              <w:t>originally scheduled for June 2015</w:t>
            </w:r>
            <w:r w:rsidR="004678BE">
              <w:rPr>
                <w:lang w:val="en-GB"/>
              </w:rPr>
              <w:t>.</w:t>
            </w:r>
          </w:p>
          <w:p w14:paraId="4A01B8C3" w14:textId="208C3C99" w:rsidR="00A1709A" w:rsidRPr="0055277B" w:rsidRDefault="0054250A" w:rsidP="00C050A5">
            <w:pPr>
              <w:numPr>
                <w:ilvl w:val="0"/>
                <w:numId w:val="38"/>
              </w:numPr>
              <w:spacing w:after="120"/>
              <w:ind w:left="284" w:hanging="284"/>
            </w:pPr>
            <w:r>
              <w:rPr>
                <w:lang w:val="en-GB"/>
              </w:rPr>
              <w:t>Study</w:t>
            </w:r>
            <w:r w:rsidR="00A1709A" w:rsidRPr="00A1709A">
              <w:rPr>
                <w:lang w:val="en-GB"/>
              </w:rPr>
              <w:t xml:space="preserve"> the possibility of extending the DFAT-DSWD cooperation on </w:t>
            </w:r>
            <w:r w:rsidR="00C050A5">
              <w:rPr>
                <w:lang w:val="en-GB"/>
              </w:rPr>
              <w:t>Technical Assistance Facility</w:t>
            </w:r>
            <w:r w:rsidR="00A1709A" w:rsidRPr="00A1709A">
              <w:rPr>
                <w:lang w:val="en-GB"/>
              </w:rPr>
              <w:t xml:space="preserve"> to 2016 (last year of the current Philippine Development Plan) or to 2017 (last year of the current Australia-Philippines Development Cooperation Program)</w:t>
            </w:r>
          </w:p>
        </w:tc>
        <w:tc>
          <w:tcPr>
            <w:tcW w:w="2835" w:type="dxa"/>
            <w:tcBorders>
              <w:right w:val="single" w:sz="4" w:space="0" w:color="auto"/>
            </w:tcBorders>
            <w:shd w:val="clear" w:color="auto" w:fill="auto"/>
          </w:tcPr>
          <w:p w14:paraId="260DFC5D" w14:textId="29409202" w:rsidR="007A35FF" w:rsidRDefault="00E6298A" w:rsidP="007A35FF">
            <w:pPr>
              <w:spacing w:after="120"/>
              <w:rPr>
                <w:rFonts w:cs="Arial"/>
              </w:rPr>
            </w:pPr>
            <w:r w:rsidRPr="00F43CEC">
              <w:rPr>
                <w:rFonts w:cs="Arial"/>
              </w:rPr>
              <w:t>Agree</w:t>
            </w:r>
            <w:r w:rsidR="0039792A">
              <w:rPr>
                <w:rFonts w:cs="Arial"/>
              </w:rPr>
              <w:t>.</w:t>
            </w:r>
            <w:r w:rsidRPr="00F43CEC">
              <w:rPr>
                <w:rFonts w:cs="Arial"/>
              </w:rPr>
              <w:t xml:space="preserve"> </w:t>
            </w:r>
          </w:p>
          <w:p w14:paraId="4A01B8C5" w14:textId="6FA70918" w:rsidR="0039792A" w:rsidRPr="00F43CEC" w:rsidRDefault="00A1709A" w:rsidP="00315833">
            <w:pPr>
              <w:spacing w:after="120"/>
              <w:rPr>
                <w:rFonts w:cs="Arial"/>
              </w:rPr>
            </w:pPr>
            <w:r>
              <w:rPr>
                <w:rFonts w:cs="Arial"/>
              </w:rPr>
              <w:t xml:space="preserve">The current Subsidiary Arrangement governing the establishment of the TAF provided a 5-year timeline of implementation. Since the </w:t>
            </w:r>
            <w:r w:rsidR="00315833">
              <w:rPr>
                <w:rFonts w:cs="Arial"/>
              </w:rPr>
              <w:t xml:space="preserve">Technical Assistance Unit (TAU) </w:t>
            </w:r>
            <w:r>
              <w:rPr>
                <w:rFonts w:cs="Arial"/>
              </w:rPr>
              <w:t>serves as the secretariat for the TAF, it is imperative that the TAU should continue to be mobilised to support the activities of the TAF</w:t>
            </w:r>
            <w:r w:rsidR="00BF07A5">
              <w:rPr>
                <w:rFonts w:cs="Arial"/>
              </w:rPr>
              <w:t xml:space="preserve"> until its completion</w:t>
            </w:r>
            <w:r>
              <w:rPr>
                <w:rFonts w:cs="Arial"/>
              </w:rPr>
              <w:t>.</w:t>
            </w:r>
          </w:p>
        </w:tc>
        <w:tc>
          <w:tcPr>
            <w:tcW w:w="2776" w:type="dxa"/>
            <w:tcBorders>
              <w:left w:val="single" w:sz="4" w:space="0" w:color="auto"/>
            </w:tcBorders>
            <w:shd w:val="clear" w:color="auto" w:fill="auto"/>
          </w:tcPr>
          <w:p w14:paraId="02555DF1" w14:textId="329A4271" w:rsidR="00A1709A" w:rsidRDefault="00A1709A" w:rsidP="00DE473C">
            <w:pPr>
              <w:spacing w:after="120"/>
              <w:rPr>
                <w:rFonts w:cs="Arial"/>
              </w:rPr>
            </w:pPr>
            <w:r>
              <w:rPr>
                <w:rFonts w:cs="Arial"/>
              </w:rPr>
              <w:t xml:space="preserve">Education </w:t>
            </w:r>
            <w:r w:rsidR="00BF07A5">
              <w:rPr>
                <w:rFonts w:cs="Arial"/>
              </w:rPr>
              <w:t>and Social Protection team</w:t>
            </w:r>
            <w:r w:rsidR="00C050A5">
              <w:rPr>
                <w:rFonts w:cs="Arial"/>
              </w:rPr>
              <w:t xml:space="preserve"> is in consultation with </w:t>
            </w:r>
            <w:r>
              <w:rPr>
                <w:rFonts w:cs="Arial"/>
              </w:rPr>
              <w:t>the Working in Partner Systems Branch in Canberra</w:t>
            </w:r>
            <w:r w:rsidR="00C050A5">
              <w:rPr>
                <w:rFonts w:cs="Arial"/>
              </w:rPr>
              <w:t xml:space="preserve"> for the drafting of</w:t>
            </w:r>
            <w:r>
              <w:rPr>
                <w:rFonts w:cs="Arial"/>
              </w:rPr>
              <w:t xml:space="preserve"> the Direct Funding Agreement (DFA) between Australia (DFAT) and the Philippines (DSWD).</w:t>
            </w:r>
          </w:p>
          <w:p w14:paraId="4A01B8C6" w14:textId="60CF0DE8" w:rsidR="00A1709A" w:rsidRPr="00B45A12" w:rsidRDefault="00A1709A" w:rsidP="006837EA">
            <w:pPr>
              <w:spacing w:after="120"/>
              <w:rPr>
                <w:rFonts w:cs="Arial"/>
              </w:rPr>
            </w:pPr>
          </w:p>
        </w:tc>
        <w:tc>
          <w:tcPr>
            <w:tcW w:w="1583" w:type="dxa"/>
            <w:tcBorders>
              <w:left w:val="single" w:sz="4" w:space="0" w:color="auto"/>
            </w:tcBorders>
            <w:shd w:val="clear" w:color="auto" w:fill="auto"/>
          </w:tcPr>
          <w:p w14:paraId="4A01B8C7" w14:textId="1C931766" w:rsidR="00E6298A" w:rsidRPr="00F43CEC" w:rsidRDefault="00367391" w:rsidP="00BF07A5">
            <w:pPr>
              <w:spacing w:after="120"/>
              <w:rPr>
                <w:rFonts w:cs="Arial"/>
              </w:rPr>
            </w:pPr>
            <w:r>
              <w:rPr>
                <w:rFonts w:cs="Arial"/>
              </w:rPr>
              <w:t xml:space="preserve">DFAT Education </w:t>
            </w:r>
            <w:r w:rsidR="00BF07A5">
              <w:rPr>
                <w:rFonts w:cs="Arial"/>
              </w:rPr>
              <w:t>and Social Protection team</w:t>
            </w:r>
          </w:p>
        </w:tc>
      </w:tr>
      <w:tr w:rsidR="00E6298A" w:rsidRPr="00F43CEC" w14:paraId="4A01B8CE" w14:textId="77777777" w:rsidTr="00A1709A">
        <w:trPr>
          <w:cantSplit/>
          <w:trHeight w:val="885"/>
        </w:trPr>
        <w:tc>
          <w:tcPr>
            <w:tcW w:w="2660" w:type="dxa"/>
            <w:shd w:val="clear" w:color="auto" w:fill="auto"/>
          </w:tcPr>
          <w:p w14:paraId="4A01B8C9" w14:textId="12FA918E" w:rsidR="00E6298A" w:rsidRPr="0055277B" w:rsidRDefault="00950A91" w:rsidP="00C050A5">
            <w:pPr>
              <w:pStyle w:val="ListParagraph"/>
              <w:numPr>
                <w:ilvl w:val="0"/>
                <w:numId w:val="38"/>
              </w:numPr>
              <w:spacing w:after="120"/>
              <w:ind w:left="284" w:hanging="284"/>
            </w:pPr>
            <w:r>
              <w:rPr>
                <w:lang w:val="en-GB"/>
              </w:rPr>
              <w:lastRenderedPageBreak/>
              <w:t>R</w:t>
            </w:r>
            <w:r w:rsidRPr="00950A91">
              <w:rPr>
                <w:lang w:val="en-GB"/>
              </w:rPr>
              <w:t xml:space="preserve">evisit the </w:t>
            </w:r>
            <w:r w:rsidR="00C050A5">
              <w:rPr>
                <w:lang w:val="en-GB"/>
              </w:rPr>
              <w:t xml:space="preserve">Technical Assistance Facility </w:t>
            </w:r>
            <w:r w:rsidRPr="00950A91">
              <w:rPr>
                <w:lang w:val="en-GB"/>
              </w:rPr>
              <w:t xml:space="preserve">design framework and accompanying plans with the objective of strengthening </w:t>
            </w:r>
            <w:r w:rsidR="00C050A5">
              <w:rPr>
                <w:lang w:val="en-GB"/>
              </w:rPr>
              <w:t xml:space="preserve">the Technical Assistance Facility </w:t>
            </w:r>
            <w:r w:rsidRPr="00950A91">
              <w:rPr>
                <w:lang w:val="en-GB"/>
              </w:rPr>
              <w:t>project management.</w:t>
            </w:r>
          </w:p>
        </w:tc>
        <w:tc>
          <w:tcPr>
            <w:tcW w:w="2835" w:type="dxa"/>
            <w:tcBorders>
              <w:right w:val="single" w:sz="4" w:space="0" w:color="auto"/>
            </w:tcBorders>
            <w:shd w:val="clear" w:color="auto" w:fill="auto"/>
          </w:tcPr>
          <w:p w14:paraId="46F3AC39" w14:textId="2D2E1E82" w:rsidR="007A35FF" w:rsidRDefault="00E6298A" w:rsidP="007A35FF">
            <w:pPr>
              <w:spacing w:after="120"/>
              <w:rPr>
                <w:rFonts w:cs="Arial"/>
              </w:rPr>
            </w:pPr>
            <w:r w:rsidRPr="00F43CEC">
              <w:rPr>
                <w:rFonts w:cs="Arial"/>
              </w:rPr>
              <w:t>Agree</w:t>
            </w:r>
            <w:r w:rsidR="0039792A">
              <w:rPr>
                <w:rFonts w:cs="Arial"/>
              </w:rPr>
              <w:t>.</w:t>
            </w:r>
            <w:r w:rsidRPr="00F43CEC">
              <w:rPr>
                <w:rFonts w:cs="Arial"/>
              </w:rPr>
              <w:t xml:space="preserve"> </w:t>
            </w:r>
          </w:p>
          <w:p w14:paraId="3A0AE889" w14:textId="77777777" w:rsidR="00110597" w:rsidRDefault="002C16EF" w:rsidP="007B2772">
            <w:pPr>
              <w:spacing w:after="120"/>
              <w:rPr>
                <w:rFonts w:cs="Arial"/>
              </w:rPr>
            </w:pPr>
            <w:r>
              <w:rPr>
                <w:rFonts w:cs="Arial"/>
              </w:rPr>
              <w:t>The IPR identified a number of issues on the current TAF framework and operations arrangement which contributed to the less than satisfactory efficiency and M&amp;E.</w:t>
            </w:r>
          </w:p>
          <w:p w14:paraId="4A01B8CB" w14:textId="613BFC4B" w:rsidR="002C16EF" w:rsidRPr="00F43CEC" w:rsidRDefault="002C16EF" w:rsidP="007B2772">
            <w:pPr>
              <w:spacing w:after="120"/>
              <w:rPr>
                <w:rFonts w:cs="Arial"/>
              </w:rPr>
            </w:pPr>
            <w:r>
              <w:rPr>
                <w:rFonts w:cs="Arial"/>
              </w:rPr>
              <w:t>Revisiting the design framework and accompanying M&amp;E plan and management arrangement aims to address the issues and improve the efficiency of the TAF.</w:t>
            </w:r>
          </w:p>
        </w:tc>
        <w:tc>
          <w:tcPr>
            <w:tcW w:w="2776" w:type="dxa"/>
            <w:tcBorders>
              <w:left w:val="single" w:sz="4" w:space="0" w:color="auto"/>
            </w:tcBorders>
            <w:shd w:val="clear" w:color="auto" w:fill="auto"/>
          </w:tcPr>
          <w:p w14:paraId="4A01B8CC" w14:textId="48A34966" w:rsidR="008010C1" w:rsidRPr="00F43CEC" w:rsidRDefault="00315833" w:rsidP="00315833">
            <w:pPr>
              <w:spacing w:after="120"/>
              <w:rPr>
                <w:rFonts w:cs="Arial"/>
              </w:rPr>
            </w:pPr>
            <w:r>
              <w:rPr>
                <w:rFonts w:cs="Arial"/>
              </w:rPr>
              <w:t xml:space="preserve">The Evaluator’s </w:t>
            </w:r>
            <w:r w:rsidR="009B2334">
              <w:rPr>
                <w:rFonts w:cs="Arial"/>
              </w:rPr>
              <w:t>engagement included</w:t>
            </w:r>
            <w:r w:rsidR="00B854F9">
              <w:rPr>
                <w:rFonts w:cs="Arial"/>
              </w:rPr>
              <w:t xml:space="preserve"> the provision of assistance and inputs to TAU on improving the TAF design framework based on the findings of the IPR.</w:t>
            </w:r>
          </w:p>
        </w:tc>
        <w:tc>
          <w:tcPr>
            <w:tcW w:w="1583" w:type="dxa"/>
            <w:tcBorders>
              <w:left w:val="single" w:sz="4" w:space="0" w:color="auto"/>
            </w:tcBorders>
            <w:shd w:val="clear" w:color="auto" w:fill="auto"/>
          </w:tcPr>
          <w:p w14:paraId="4A01B8CD" w14:textId="2EDFFE9B" w:rsidR="00E6298A" w:rsidRPr="00F43CEC" w:rsidRDefault="00367391" w:rsidP="00315833">
            <w:pPr>
              <w:spacing w:after="120"/>
              <w:rPr>
                <w:rFonts w:cs="Arial"/>
              </w:rPr>
            </w:pPr>
            <w:r>
              <w:rPr>
                <w:rFonts w:cs="Arial"/>
              </w:rPr>
              <w:t xml:space="preserve">DSWD </w:t>
            </w:r>
            <w:r w:rsidR="00C050A5">
              <w:rPr>
                <w:rFonts w:cs="Arial"/>
              </w:rPr>
              <w:t>Technical Assistance Unit</w:t>
            </w:r>
            <w:r>
              <w:rPr>
                <w:rFonts w:cs="Arial"/>
              </w:rPr>
              <w:t xml:space="preserve"> </w:t>
            </w:r>
            <w:r w:rsidR="00A1709A">
              <w:rPr>
                <w:rFonts w:cs="Arial"/>
              </w:rPr>
              <w:t xml:space="preserve">to work with </w:t>
            </w:r>
            <w:r w:rsidR="00315833">
              <w:rPr>
                <w:rFonts w:cs="Arial"/>
              </w:rPr>
              <w:t xml:space="preserve">the Evaluator </w:t>
            </w:r>
            <w:r>
              <w:rPr>
                <w:rFonts w:cs="Arial"/>
              </w:rPr>
              <w:t xml:space="preserve">and DFAT Team </w:t>
            </w:r>
            <w:r w:rsidR="00A1709A">
              <w:rPr>
                <w:rFonts w:cs="Arial"/>
              </w:rPr>
              <w:t>to participate in key discussions on the design framework, M&amp;E and program management.</w:t>
            </w:r>
          </w:p>
        </w:tc>
      </w:tr>
      <w:tr w:rsidR="0055277B" w:rsidRPr="00F43CEC" w14:paraId="58DB849E" w14:textId="77777777" w:rsidTr="00A1709A">
        <w:trPr>
          <w:cantSplit/>
          <w:trHeight w:val="885"/>
        </w:trPr>
        <w:tc>
          <w:tcPr>
            <w:tcW w:w="2660" w:type="dxa"/>
            <w:shd w:val="clear" w:color="auto" w:fill="auto"/>
          </w:tcPr>
          <w:p w14:paraId="5D397F8F" w14:textId="422FB3C0" w:rsidR="0055277B" w:rsidRPr="007A35FF" w:rsidRDefault="00950A91" w:rsidP="00C050A5">
            <w:pPr>
              <w:numPr>
                <w:ilvl w:val="0"/>
                <w:numId w:val="38"/>
              </w:numPr>
              <w:spacing w:after="120"/>
              <w:ind w:left="284" w:hanging="284"/>
            </w:pPr>
            <w:r>
              <w:rPr>
                <w:lang w:val="en-GB"/>
              </w:rPr>
              <w:t>S</w:t>
            </w:r>
            <w:r w:rsidR="0054250A">
              <w:rPr>
                <w:lang w:val="en-GB"/>
              </w:rPr>
              <w:t>tudy</w:t>
            </w:r>
            <w:r w:rsidRPr="00950A91">
              <w:rPr>
                <w:lang w:val="en-GB"/>
              </w:rPr>
              <w:t xml:space="preserve"> the possibility of extending </w:t>
            </w:r>
            <w:r w:rsidR="00C050A5">
              <w:rPr>
                <w:lang w:val="en-GB"/>
              </w:rPr>
              <w:t xml:space="preserve">technical assistance </w:t>
            </w:r>
            <w:r w:rsidRPr="00950A91">
              <w:rPr>
                <w:lang w:val="en-GB"/>
              </w:rPr>
              <w:t xml:space="preserve">to determine the organizational preparedness of </w:t>
            </w:r>
            <w:r w:rsidR="00C050A5">
              <w:rPr>
                <w:lang w:val="en-GB"/>
              </w:rPr>
              <w:t>the DSWD Resource Generation and Mobilisation Office (RGMO)</w:t>
            </w:r>
            <w:r w:rsidRPr="00950A91">
              <w:rPr>
                <w:lang w:val="en-GB"/>
              </w:rPr>
              <w:t xml:space="preserve"> and based on the assessment results, formulate the RGMO results-based framework and operational plan.</w:t>
            </w:r>
          </w:p>
        </w:tc>
        <w:tc>
          <w:tcPr>
            <w:tcW w:w="2835" w:type="dxa"/>
            <w:tcBorders>
              <w:right w:val="single" w:sz="4" w:space="0" w:color="auto"/>
            </w:tcBorders>
            <w:shd w:val="clear" w:color="auto" w:fill="auto"/>
          </w:tcPr>
          <w:p w14:paraId="35ACD085" w14:textId="20380C8D" w:rsidR="00B854F9" w:rsidRDefault="00B854F9" w:rsidP="00C263B2">
            <w:pPr>
              <w:spacing w:after="120"/>
              <w:rPr>
                <w:rFonts w:cs="Arial"/>
              </w:rPr>
            </w:pPr>
            <w:r>
              <w:rPr>
                <w:rFonts w:cs="Arial"/>
              </w:rPr>
              <w:t xml:space="preserve">Agree that the RGMO should have a results-based framework and operational plan. However, future plans </w:t>
            </w:r>
            <w:r w:rsidR="00A1709A">
              <w:rPr>
                <w:rFonts w:cs="Arial"/>
              </w:rPr>
              <w:t>and activities for the RGMO should be initiat</w:t>
            </w:r>
            <w:r>
              <w:rPr>
                <w:rFonts w:cs="Arial"/>
              </w:rPr>
              <w:t>ed by DSWD since the RGMO is an organic unit of the Departme</w:t>
            </w:r>
            <w:r w:rsidR="00C4363D">
              <w:rPr>
                <w:rFonts w:cs="Arial"/>
              </w:rPr>
              <w:t>nt.</w:t>
            </w:r>
          </w:p>
          <w:p w14:paraId="01DF764B" w14:textId="58A4F25C" w:rsidR="00110597" w:rsidRPr="00F43CEC" w:rsidRDefault="00110597" w:rsidP="00110597">
            <w:pPr>
              <w:spacing w:after="120"/>
              <w:rPr>
                <w:rFonts w:cs="Arial"/>
              </w:rPr>
            </w:pPr>
          </w:p>
        </w:tc>
        <w:tc>
          <w:tcPr>
            <w:tcW w:w="2776" w:type="dxa"/>
            <w:tcBorders>
              <w:left w:val="single" w:sz="4" w:space="0" w:color="auto"/>
            </w:tcBorders>
            <w:shd w:val="clear" w:color="auto" w:fill="auto"/>
          </w:tcPr>
          <w:p w14:paraId="74C9D53D" w14:textId="56E58C37" w:rsidR="008010C1" w:rsidRPr="00F43CEC" w:rsidRDefault="00B854F9" w:rsidP="008010C1">
            <w:pPr>
              <w:spacing w:after="120"/>
              <w:rPr>
                <w:rFonts w:cs="Arial"/>
              </w:rPr>
            </w:pPr>
            <w:r>
              <w:rPr>
                <w:rFonts w:cs="Arial"/>
              </w:rPr>
              <w:t>DFAT to continue to monitor updates on the progress of the RGMO.</w:t>
            </w:r>
          </w:p>
        </w:tc>
        <w:tc>
          <w:tcPr>
            <w:tcW w:w="1583" w:type="dxa"/>
            <w:tcBorders>
              <w:left w:val="single" w:sz="4" w:space="0" w:color="auto"/>
            </w:tcBorders>
            <w:shd w:val="clear" w:color="auto" w:fill="auto"/>
          </w:tcPr>
          <w:p w14:paraId="7E0675A0" w14:textId="7E0DE593" w:rsidR="0055277B" w:rsidRDefault="00367391" w:rsidP="00632714">
            <w:pPr>
              <w:spacing w:after="120"/>
              <w:rPr>
                <w:rFonts w:cs="Arial"/>
              </w:rPr>
            </w:pPr>
            <w:r>
              <w:rPr>
                <w:rFonts w:cs="Arial"/>
              </w:rPr>
              <w:t>DSWD TAU</w:t>
            </w:r>
            <w:r w:rsidR="00A1709A">
              <w:rPr>
                <w:rFonts w:cs="Arial"/>
              </w:rPr>
              <w:t xml:space="preserve"> to provide updates to DFAT on progress of the RGMO.</w:t>
            </w:r>
          </w:p>
        </w:tc>
      </w:tr>
      <w:tr w:rsidR="007A35FF" w:rsidRPr="00F43CEC" w14:paraId="2C61C5E2" w14:textId="77777777" w:rsidTr="00A1709A">
        <w:trPr>
          <w:cantSplit/>
          <w:trHeight w:val="885"/>
        </w:trPr>
        <w:tc>
          <w:tcPr>
            <w:tcW w:w="2660" w:type="dxa"/>
            <w:shd w:val="clear" w:color="auto" w:fill="auto"/>
          </w:tcPr>
          <w:p w14:paraId="3531B5EC" w14:textId="3823C34C" w:rsidR="007A35FF" w:rsidRPr="007A35FF" w:rsidRDefault="00950A91" w:rsidP="0054250A">
            <w:pPr>
              <w:numPr>
                <w:ilvl w:val="0"/>
                <w:numId w:val="38"/>
              </w:numPr>
              <w:spacing w:after="120"/>
              <w:ind w:left="284" w:hanging="284"/>
            </w:pPr>
            <w:r>
              <w:rPr>
                <w:lang w:val="en-GB"/>
              </w:rPr>
              <w:t>F</w:t>
            </w:r>
            <w:r w:rsidR="0054250A">
              <w:rPr>
                <w:lang w:val="en-GB"/>
              </w:rPr>
              <w:t>ormulate</w:t>
            </w:r>
            <w:r w:rsidRPr="00950A91">
              <w:rPr>
                <w:lang w:val="en-GB"/>
              </w:rPr>
              <w:t xml:space="preserve"> a training intervention plan for OBSU staff</w:t>
            </w:r>
          </w:p>
        </w:tc>
        <w:tc>
          <w:tcPr>
            <w:tcW w:w="2835" w:type="dxa"/>
            <w:tcBorders>
              <w:right w:val="single" w:sz="4" w:space="0" w:color="auto"/>
            </w:tcBorders>
            <w:shd w:val="clear" w:color="auto" w:fill="auto"/>
          </w:tcPr>
          <w:p w14:paraId="754DAE56" w14:textId="3B9DF7F5" w:rsidR="00A1709A" w:rsidRPr="00F43CEC" w:rsidRDefault="007A35FF" w:rsidP="00A1709A">
            <w:pPr>
              <w:spacing w:after="120"/>
              <w:rPr>
                <w:rFonts w:cs="Arial"/>
              </w:rPr>
            </w:pPr>
            <w:r>
              <w:rPr>
                <w:rFonts w:cs="Arial"/>
              </w:rPr>
              <w:t>Agree</w:t>
            </w:r>
            <w:r w:rsidR="00A1709A">
              <w:rPr>
                <w:rFonts w:cs="Arial"/>
              </w:rPr>
              <w:t xml:space="preserve"> that DSWD OBSU staff should have a learning and development plan. However, this should be initiated by the respective OBSUs and DSWD</w:t>
            </w:r>
            <w:r w:rsidR="00C050A5">
              <w:rPr>
                <w:rFonts w:cs="Arial"/>
              </w:rPr>
              <w:t>, and not through the Technical Assistance Facility</w:t>
            </w:r>
            <w:r w:rsidR="00036209">
              <w:rPr>
                <w:rFonts w:cs="Arial"/>
              </w:rPr>
              <w:t>.</w:t>
            </w:r>
          </w:p>
          <w:p w14:paraId="4F1CDDC0" w14:textId="433AE571" w:rsidR="00080365" w:rsidRPr="00F43CEC" w:rsidRDefault="00080365" w:rsidP="00C263B2">
            <w:pPr>
              <w:spacing w:after="120"/>
              <w:rPr>
                <w:rFonts w:cs="Arial"/>
              </w:rPr>
            </w:pPr>
          </w:p>
        </w:tc>
        <w:tc>
          <w:tcPr>
            <w:tcW w:w="2776" w:type="dxa"/>
            <w:tcBorders>
              <w:left w:val="single" w:sz="4" w:space="0" w:color="auto"/>
            </w:tcBorders>
            <w:shd w:val="clear" w:color="auto" w:fill="auto"/>
          </w:tcPr>
          <w:p w14:paraId="2173DF60" w14:textId="363E3FB5" w:rsidR="007A35FF" w:rsidRPr="00F43CEC" w:rsidRDefault="00036209" w:rsidP="0010051B">
            <w:pPr>
              <w:spacing w:after="120"/>
              <w:rPr>
                <w:rFonts w:cs="Arial"/>
              </w:rPr>
            </w:pPr>
            <w:r>
              <w:rPr>
                <w:rFonts w:cs="Arial"/>
              </w:rPr>
              <w:t xml:space="preserve">DFAT to monitor progress of DSWD in this area.  </w:t>
            </w:r>
          </w:p>
        </w:tc>
        <w:tc>
          <w:tcPr>
            <w:tcW w:w="1583" w:type="dxa"/>
            <w:tcBorders>
              <w:left w:val="single" w:sz="4" w:space="0" w:color="auto"/>
            </w:tcBorders>
            <w:shd w:val="clear" w:color="auto" w:fill="auto"/>
          </w:tcPr>
          <w:p w14:paraId="754D2A6E" w14:textId="0D1EC418" w:rsidR="007A35FF" w:rsidRDefault="00367391" w:rsidP="00632714">
            <w:pPr>
              <w:spacing w:after="120"/>
              <w:rPr>
                <w:rFonts w:cs="Arial"/>
              </w:rPr>
            </w:pPr>
            <w:r>
              <w:rPr>
                <w:rFonts w:cs="Arial"/>
              </w:rPr>
              <w:t>DSWD TAU</w:t>
            </w:r>
            <w:r w:rsidR="00C4363D">
              <w:rPr>
                <w:rFonts w:cs="Arial"/>
              </w:rPr>
              <w:t xml:space="preserve"> to provide updates to DFAT</w:t>
            </w:r>
            <w:r w:rsidR="00036209">
              <w:rPr>
                <w:rFonts w:cs="Arial"/>
              </w:rPr>
              <w:t>.</w:t>
            </w:r>
          </w:p>
        </w:tc>
      </w:tr>
      <w:tr w:rsidR="00D50E57" w:rsidRPr="00F43CEC" w14:paraId="6D5C5E06" w14:textId="77777777" w:rsidTr="00A1709A">
        <w:trPr>
          <w:cantSplit/>
          <w:trHeight w:val="885"/>
        </w:trPr>
        <w:tc>
          <w:tcPr>
            <w:tcW w:w="2660" w:type="dxa"/>
            <w:shd w:val="clear" w:color="auto" w:fill="auto"/>
          </w:tcPr>
          <w:p w14:paraId="08C7B1D0" w14:textId="000CB7FF" w:rsidR="00D50E57" w:rsidRDefault="00D50E57" w:rsidP="00036209">
            <w:pPr>
              <w:numPr>
                <w:ilvl w:val="0"/>
                <w:numId w:val="38"/>
              </w:numPr>
              <w:spacing w:after="120"/>
              <w:ind w:left="284" w:hanging="284"/>
              <w:rPr>
                <w:lang w:val="en-GB"/>
              </w:rPr>
            </w:pPr>
            <w:r>
              <w:rPr>
                <w:lang w:val="en-GB"/>
              </w:rPr>
              <w:t>R</w:t>
            </w:r>
            <w:r w:rsidR="0054250A">
              <w:rPr>
                <w:lang w:val="en-GB"/>
              </w:rPr>
              <w:t>evisit</w:t>
            </w:r>
            <w:r w:rsidRPr="00D50E57">
              <w:rPr>
                <w:lang w:val="en-GB"/>
              </w:rPr>
              <w:t xml:space="preserve"> the current arrangement and determine the most practical and feasible option about governance arrangement of DFAT’s commitment funds of </w:t>
            </w:r>
            <w:r w:rsidR="00036209">
              <w:rPr>
                <w:lang w:val="en-GB"/>
              </w:rPr>
              <w:t>$</w:t>
            </w:r>
            <w:r w:rsidRPr="00D50E57">
              <w:rPr>
                <w:lang w:val="en-GB"/>
              </w:rPr>
              <w:t xml:space="preserve">5million for </w:t>
            </w:r>
            <w:r w:rsidR="00C050A5">
              <w:rPr>
                <w:lang w:val="en-GB"/>
              </w:rPr>
              <w:t>technical assistance</w:t>
            </w:r>
            <w:r w:rsidRPr="00D50E57">
              <w:rPr>
                <w:lang w:val="en-GB"/>
              </w:rPr>
              <w:t xml:space="preserve"> on social protection.</w:t>
            </w:r>
          </w:p>
        </w:tc>
        <w:tc>
          <w:tcPr>
            <w:tcW w:w="2835" w:type="dxa"/>
            <w:tcBorders>
              <w:right w:val="single" w:sz="4" w:space="0" w:color="auto"/>
            </w:tcBorders>
            <w:shd w:val="clear" w:color="auto" w:fill="auto"/>
          </w:tcPr>
          <w:p w14:paraId="6FFD1C9A" w14:textId="62F007D6" w:rsidR="00D50E57" w:rsidRDefault="00D50E57" w:rsidP="00D50E57">
            <w:pPr>
              <w:spacing w:after="120"/>
              <w:rPr>
                <w:rFonts w:cs="Arial"/>
              </w:rPr>
            </w:pPr>
            <w:r>
              <w:rPr>
                <w:rFonts w:cs="Arial"/>
              </w:rPr>
              <w:t>Agree. Efficiency of the TAF must be improved and revisiting fund disbursement arrangement is necessary. However, this need not be done through a separate study as the IPR recommends.</w:t>
            </w:r>
          </w:p>
        </w:tc>
        <w:tc>
          <w:tcPr>
            <w:tcW w:w="2776" w:type="dxa"/>
            <w:tcBorders>
              <w:left w:val="single" w:sz="4" w:space="0" w:color="auto"/>
            </w:tcBorders>
            <w:shd w:val="clear" w:color="auto" w:fill="auto"/>
          </w:tcPr>
          <w:p w14:paraId="57BFB053" w14:textId="77777777" w:rsidR="006837EA" w:rsidRDefault="006837EA" w:rsidP="006837EA">
            <w:pPr>
              <w:spacing w:after="120"/>
              <w:rPr>
                <w:rFonts w:cs="Arial"/>
              </w:rPr>
            </w:pPr>
            <w:r>
              <w:rPr>
                <w:rFonts w:cs="Arial"/>
              </w:rPr>
              <w:t xml:space="preserve">To improve efficiency on budget utilisation, Manila Post will utilise a “single-tranche” download of funds based on a jointly agreed work plan. </w:t>
            </w:r>
          </w:p>
          <w:p w14:paraId="5C3F27F2" w14:textId="2A108B60" w:rsidR="00D50E57" w:rsidRDefault="00D50E57" w:rsidP="0010051B">
            <w:pPr>
              <w:spacing w:after="120"/>
              <w:rPr>
                <w:rFonts w:cs="Arial"/>
              </w:rPr>
            </w:pPr>
          </w:p>
        </w:tc>
        <w:tc>
          <w:tcPr>
            <w:tcW w:w="1583" w:type="dxa"/>
            <w:tcBorders>
              <w:left w:val="single" w:sz="4" w:space="0" w:color="auto"/>
            </w:tcBorders>
            <w:shd w:val="clear" w:color="auto" w:fill="auto"/>
          </w:tcPr>
          <w:p w14:paraId="7DEC4D3F" w14:textId="5D027934" w:rsidR="00D50E57" w:rsidRDefault="00D50E57" w:rsidP="00632714">
            <w:pPr>
              <w:spacing w:after="120"/>
              <w:rPr>
                <w:rFonts w:cs="Arial"/>
              </w:rPr>
            </w:pPr>
            <w:r w:rsidRPr="00D50E57">
              <w:rPr>
                <w:rFonts w:cs="Arial"/>
              </w:rPr>
              <w:t>DFAT Education Team 2</w:t>
            </w:r>
          </w:p>
        </w:tc>
      </w:tr>
    </w:tbl>
    <w:p w14:paraId="4A01B8D3" w14:textId="595C674F" w:rsidR="00913F5E" w:rsidRPr="00913F5E" w:rsidRDefault="00913F5E" w:rsidP="00C657FB">
      <w:pPr>
        <w:pStyle w:val="Heading2"/>
      </w:pPr>
    </w:p>
    <w:sectPr w:rsidR="00913F5E" w:rsidRPr="00913F5E" w:rsidSect="00054700">
      <w:headerReference w:type="default" r:id="rId11"/>
      <w:footerReference w:type="default" r:id="rId12"/>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1B8DA" w14:textId="77777777" w:rsidR="00A1709A" w:rsidRDefault="00A1709A">
      <w:pPr>
        <w:pStyle w:val="Table-list-number"/>
      </w:pPr>
      <w:r>
        <w:separator/>
      </w:r>
    </w:p>
  </w:endnote>
  <w:endnote w:type="continuationSeparator" w:id="0">
    <w:p w14:paraId="4A01B8DB" w14:textId="77777777" w:rsidR="00A1709A" w:rsidRDefault="00A1709A">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1B8DD" w14:textId="2F1F1BE5" w:rsidR="00A1709A" w:rsidRPr="00AE52D5" w:rsidRDefault="00A1709A"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4D3ADA">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4D3ADA">
      <w:rPr>
        <w:rStyle w:val="PageNumber"/>
        <w:noProof/>
      </w:rPr>
      <w:t>3</w:t>
    </w:r>
    <w:r w:rsidRPr="00AE52D5">
      <w:rPr>
        <w:rStyle w:val="PageNumber"/>
      </w:rPr>
      <w:fldChar w:fldCharType="end"/>
    </w:r>
  </w:p>
  <w:p w14:paraId="4A01B8DE" w14:textId="77777777" w:rsidR="00A1709A" w:rsidRPr="00AE52D5" w:rsidRDefault="00A1709A"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14:paraId="4A01B8DF" w14:textId="77777777" w:rsidR="00A1709A" w:rsidRPr="000815FC" w:rsidRDefault="00A1709A" w:rsidP="00887304">
    <w:pPr>
      <w:pStyle w:val="Footer"/>
      <w:pBdr>
        <w:top w:val="single" w:sz="4" w:space="8" w:color="999999"/>
      </w:pBdr>
      <w:tabs>
        <w:tab w:val="clear" w:pos="4153"/>
        <w:tab w:val="clear" w:pos="8306"/>
        <w:tab w:val="right" w:pos="9639"/>
      </w:tabs>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1B8D8" w14:textId="77777777" w:rsidR="00A1709A" w:rsidRDefault="00A1709A">
      <w:pPr>
        <w:pStyle w:val="Table-list-number"/>
      </w:pPr>
      <w:r>
        <w:separator/>
      </w:r>
    </w:p>
  </w:footnote>
  <w:footnote w:type="continuationSeparator" w:id="0">
    <w:p w14:paraId="4A01B8D9" w14:textId="77777777" w:rsidR="00A1709A" w:rsidRDefault="00A1709A">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1B8DC" w14:textId="77777777" w:rsidR="00A1709A" w:rsidRPr="00077243" w:rsidRDefault="00A1709A" w:rsidP="00077243">
    <w:pPr>
      <w:pStyle w:val="Header"/>
      <w:jc w:val="center"/>
      <w:rPr>
        <w:caps/>
      </w:rPr>
    </w:pPr>
    <w:r w:rsidRPr="00077243">
      <w:rPr>
        <w:caps/>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A10"/>
    <w:multiLevelType w:val="multilevel"/>
    <w:tmpl w:val="5EC8BC40"/>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44581"/>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375D85"/>
    <w:multiLevelType w:val="hybridMultilevel"/>
    <w:tmpl w:val="A0A6AAD8"/>
    <w:lvl w:ilvl="0" w:tplc="7F402E40">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856708"/>
    <w:multiLevelType w:val="hybridMultilevel"/>
    <w:tmpl w:val="BD005BE8"/>
    <w:lvl w:ilvl="0" w:tplc="03B0FA2A">
      <w:numFmt w:val="bullet"/>
      <w:lvlText w:val="-"/>
      <w:lvlJc w:val="left"/>
      <w:pPr>
        <w:tabs>
          <w:tab w:val="num" w:pos="397"/>
        </w:tabs>
        <w:ind w:left="39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DE6952"/>
    <w:multiLevelType w:val="hybridMultilevel"/>
    <w:tmpl w:val="5BD0A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517EE7"/>
    <w:multiLevelType w:val="hybridMultilevel"/>
    <w:tmpl w:val="540851C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
    <w:nsid w:val="20BF696C"/>
    <w:multiLevelType w:val="hybridMultilevel"/>
    <w:tmpl w:val="44EA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703D64"/>
    <w:multiLevelType w:val="hybridMultilevel"/>
    <w:tmpl w:val="B8AAF53A"/>
    <w:lvl w:ilvl="0" w:tplc="B2806932">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267F0320"/>
    <w:multiLevelType w:val="hybridMultilevel"/>
    <w:tmpl w:val="1FFA3056"/>
    <w:lvl w:ilvl="0" w:tplc="FB4C5DA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A8D1296"/>
    <w:multiLevelType w:val="hybridMultilevel"/>
    <w:tmpl w:val="5EC8BC40"/>
    <w:lvl w:ilvl="0" w:tplc="3F200F0E">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44006C"/>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D2345DD"/>
    <w:multiLevelType w:val="hybridMultilevel"/>
    <w:tmpl w:val="F06E71B4"/>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4">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0C2392D"/>
    <w:multiLevelType w:val="hybridMultilevel"/>
    <w:tmpl w:val="5694FF50"/>
    <w:lvl w:ilvl="0" w:tplc="AF9A3AE6">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7">
    <w:nsid w:val="399A1948"/>
    <w:multiLevelType w:val="hybridMultilevel"/>
    <w:tmpl w:val="0C02F8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C64032D"/>
    <w:multiLevelType w:val="hybridMultilevel"/>
    <w:tmpl w:val="FE4430FC"/>
    <w:lvl w:ilvl="0" w:tplc="EA8229C4">
      <w:numFmt w:val="bullet"/>
      <w:lvlText w:val=""/>
      <w:lvlJc w:val="left"/>
      <w:pPr>
        <w:tabs>
          <w:tab w:val="num" w:pos="720"/>
        </w:tabs>
        <w:ind w:left="720" w:hanging="360"/>
      </w:pPr>
      <w:rPr>
        <w:rFonts w:ascii="Wingdings" w:hAnsi="Wingdings" w:cs="Times New Roman"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FB57E0"/>
    <w:multiLevelType w:val="hybridMultilevel"/>
    <w:tmpl w:val="DA5A372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nsid w:val="48C56684"/>
    <w:multiLevelType w:val="hybridMultilevel"/>
    <w:tmpl w:val="BC8A9B00"/>
    <w:lvl w:ilvl="0" w:tplc="0409000F">
      <w:start w:val="1"/>
      <w:numFmt w:val="decimal"/>
      <w:lvlText w:val="%1."/>
      <w:lvlJc w:val="left"/>
      <w:pPr>
        <w:tabs>
          <w:tab w:val="num" w:pos="720"/>
        </w:tabs>
        <w:ind w:left="720" w:hanging="360"/>
      </w:pPr>
    </w:lvl>
    <w:lvl w:ilvl="1" w:tplc="D3E0EC3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CF6600"/>
    <w:multiLevelType w:val="hybridMultilevel"/>
    <w:tmpl w:val="508449D4"/>
    <w:lvl w:ilvl="0" w:tplc="807EDFA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CF4F7B"/>
    <w:multiLevelType w:val="multilevel"/>
    <w:tmpl w:val="FE4430FC"/>
    <w:lvl w:ilvl="0">
      <w:numFmt w:val="bullet"/>
      <w:lvlText w:val=""/>
      <w:lvlJc w:val="left"/>
      <w:pPr>
        <w:tabs>
          <w:tab w:val="num" w:pos="720"/>
        </w:tabs>
        <w:ind w:left="720" w:hanging="360"/>
      </w:pPr>
      <w:rPr>
        <w:rFonts w:ascii="Wingdings" w:hAnsi="Wingdings" w:cs="Times New Roman" w:hint="default"/>
        <w:b w:val="0"/>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B7E6638"/>
    <w:multiLevelType w:val="hybridMultilevel"/>
    <w:tmpl w:val="CC3243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4A16312"/>
    <w:multiLevelType w:val="hybridMultilevel"/>
    <w:tmpl w:val="0248FFAE"/>
    <w:lvl w:ilvl="0" w:tplc="3C888874">
      <w:numFmt w:val="bullet"/>
      <w:lvlText w:val=""/>
      <w:lvlJc w:val="left"/>
      <w:pPr>
        <w:tabs>
          <w:tab w:val="num" w:pos="717"/>
        </w:tabs>
        <w:ind w:left="717" w:hanging="360"/>
      </w:pPr>
      <w:rPr>
        <w:rFonts w:ascii="Wingdings" w:hAnsi="Wingdings" w:cs="Times New Roman"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990D16"/>
    <w:multiLevelType w:val="multilevel"/>
    <w:tmpl w:val="B8AAF53A"/>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7E65D90"/>
    <w:multiLevelType w:val="hybridMultilevel"/>
    <w:tmpl w:val="56686C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8247B9"/>
    <w:multiLevelType w:val="hybridMultilevel"/>
    <w:tmpl w:val="B4F2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84662D"/>
    <w:multiLevelType w:val="hybridMultilevel"/>
    <w:tmpl w:val="067044BE"/>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641B3406"/>
    <w:multiLevelType w:val="hybridMultilevel"/>
    <w:tmpl w:val="973A3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7457E8C"/>
    <w:multiLevelType w:val="hybridMultilevel"/>
    <w:tmpl w:val="12CEB3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97D395E"/>
    <w:multiLevelType w:val="hybridMultilevel"/>
    <w:tmpl w:val="F0C69608"/>
    <w:lvl w:ilvl="0" w:tplc="234ECC50">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CC66FC"/>
    <w:multiLevelType w:val="multilevel"/>
    <w:tmpl w:val="5694FF50"/>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5">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471930"/>
    <w:multiLevelType w:val="hybridMultilevel"/>
    <w:tmpl w:val="D368F730"/>
    <w:lvl w:ilvl="0" w:tplc="CFB4EBF4">
      <w:numFmt w:val="bullet"/>
      <w:lvlText w:val=""/>
      <w:lvlJc w:val="left"/>
      <w:pPr>
        <w:tabs>
          <w:tab w:val="num" w:pos="284"/>
        </w:tabs>
        <w:ind w:left="284" w:hanging="284"/>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CE4871"/>
    <w:multiLevelType w:val="hybridMultilevel"/>
    <w:tmpl w:val="C44E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20"/>
  </w:num>
  <w:num w:numId="4">
    <w:abstractNumId w:val="14"/>
  </w:num>
  <w:num w:numId="5">
    <w:abstractNumId w:val="34"/>
  </w:num>
  <w:num w:numId="6">
    <w:abstractNumId w:val="35"/>
  </w:num>
  <w:num w:numId="7">
    <w:abstractNumId w:val="1"/>
  </w:num>
  <w:num w:numId="8">
    <w:abstractNumId w:val="28"/>
  </w:num>
  <w:num w:numId="9">
    <w:abstractNumId w:val="3"/>
  </w:num>
  <w:num w:numId="10">
    <w:abstractNumId w:val="34"/>
  </w:num>
  <w:num w:numId="11">
    <w:abstractNumId w:val="34"/>
  </w:num>
  <w:num w:numId="12">
    <w:abstractNumId w:val="9"/>
  </w:num>
  <w:num w:numId="13">
    <w:abstractNumId w:val="20"/>
  </w:num>
  <w:num w:numId="14">
    <w:abstractNumId w:val="14"/>
  </w:num>
  <w:num w:numId="15">
    <w:abstractNumId w:val="14"/>
  </w:num>
  <w:num w:numId="16">
    <w:abstractNumId w:val="34"/>
  </w:num>
  <w:num w:numId="17">
    <w:abstractNumId w:val="35"/>
  </w:num>
  <w:num w:numId="18">
    <w:abstractNumId w:val="1"/>
  </w:num>
  <w:num w:numId="19">
    <w:abstractNumId w:val="2"/>
  </w:num>
  <w:num w:numId="20">
    <w:abstractNumId w:val="15"/>
  </w:num>
  <w:num w:numId="21">
    <w:abstractNumId w:val="33"/>
  </w:num>
  <w:num w:numId="22">
    <w:abstractNumId w:val="11"/>
  </w:num>
  <w:num w:numId="23">
    <w:abstractNumId w:val="0"/>
  </w:num>
  <w:num w:numId="24">
    <w:abstractNumId w:val="8"/>
  </w:num>
  <w:num w:numId="25">
    <w:abstractNumId w:val="26"/>
  </w:num>
  <w:num w:numId="26">
    <w:abstractNumId w:val="18"/>
  </w:num>
  <w:num w:numId="27">
    <w:abstractNumId w:val="12"/>
  </w:num>
  <w:num w:numId="28">
    <w:abstractNumId w:val="25"/>
  </w:num>
  <w:num w:numId="29">
    <w:abstractNumId w:val="23"/>
  </w:num>
  <w:num w:numId="30">
    <w:abstractNumId w:val="32"/>
  </w:num>
  <w:num w:numId="31">
    <w:abstractNumId w:val="27"/>
  </w:num>
  <w:num w:numId="32">
    <w:abstractNumId w:val="13"/>
  </w:num>
  <w:num w:numId="33">
    <w:abstractNumId w:val="24"/>
  </w:num>
  <w:num w:numId="34">
    <w:abstractNumId w:val="21"/>
  </w:num>
  <w:num w:numId="35">
    <w:abstractNumId w:val="16"/>
  </w:num>
  <w:num w:numId="36">
    <w:abstractNumId w:val="4"/>
  </w:num>
  <w:num w:numId="37">
    <w:abstractNumId w:val="37"/>
  </w:num>
  <w:num w:numId="38">
    <w:abstractNumId w:val="30"/>
  </w:num>
  <w:num w:numId="39">
    <w:abstractNumId w:val="5"/>
  </w:num>
  <w:num w:numId="40">
    <w:abstractNumId w:val="6"/>
  </w:num>
  <w:num w:numId="41">
    <w:abstractNumId w:val="7"/>
  </w:num>
  <w:num w:numId="42">
    <w:abstractNumId w:val="17"/>
  </w:num>
  <w:num w:numId="43">
    <w:abstractNumId w:val="19"/>
  </w:num>
  <w:num w:numId="44">
    <w:abstractNumId w:val="22"/>
  </w:num>
  <w:num w:numId="45">
    <w:abstractNumId w:val="31"/>
  </w:num>
  <w:num w:numId="46">
    <w:abstractNumId w:val="29"/>
  </w:num>
  <w:num w:numId="4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5371"/>
    <w:rsid w:val="000163BD"/>
    <w:rsid w:val="000272E0"/>
    <w:rsid w:val="00031779"/>
    <w:rsid w:val="00036209"/>
    <w:rsid w:val="000412DD"/>
    <w:rsid w:val="00051292"/>
    <w:rsid w:val="00052316"/>
    <w:rsid w:val="00054700"/>
    <w:rsid w:val="00062D8B"/>
    <w:rsid w:val="00063CEC"/>
    <w:rsid w:val="00066C64"/>
    <w:rsid w:val="00067C95"/>
    <w:rsid w:val="0007162A"/>
    <w:rsid w:val="00071CEC"/>
    <w:rsid w:val="000728D3"/>
    <w:rsid w:val="000733A7"/>
    <w:rsid w:val="000765F5"/>
    <w:rsid w:val="00077243"/>
    <w:rsid w:val="00080365"/>
    <w:rsid w:val="000815FC"/>
    <w:rsid w:val="00085062"/>
    <w:rsid w:val="000869CE"/>
    <w:rsid w:val="000947EC"/>
    <w:rsid w:val="00094CE2"/>
    <w:rsid w:val="000A77DB"/>
    <w:rsid w:val="000B520A"/>
    <w:rsid w:val="000B7AFD"/>
    <w:rsid w:val="000C4574"/>
    <w:rsid w:val="000D316D"/>
    <w:rsid w:val="000D38AE"/>
    <w:rsid w:val="000E1475"/>
    <w:rsid w:val="000E1958"/>
    <w:rsid w:val="000E7AAF"/>
    <w:rsid w:val="000F51D5"/>
    <w:rsid w:val="000F5FF5"/>
    <w:rsid w:val="0010006D"/>
    <w:rsid w:val="0010051B"/>
    <w:rsid w:val="00102362"/>
    <w:rsid w:val="00104963"/>
    <w:rsid w:val="001077BF"/>
    <w:rsid w:val="001078E5"/>
    <w:rsid w:val="00110597"/>
    <w:rsid w:val="00113C84"/>
    <w:rsid w:val="00116D39"/>
    <w:rsid w:val="00121F43"/>
    <w:rsid w:val="001236CF"/>
    <w:rsid w:val="00123C3E"/>
    <w:rsid w:val="0012582F"/>
    <w:rsid w:val="001270FC"/>
    <w:rsid w:val="00134B6C"/>
    <w:rsid w:val="001378B7"/>
    <w:rsid w:val="00140289"/>
    <w:rsid w:val="00144AF1"/>
    <w:rsid w:val="001461C8"/>
    <w:rsid w:val="001467C6"/>
    <w:rsid w:val="00151891"/>
    <w:rsid w:val="00153831"/>
    <w:rsid w:val="00153F2A"/>
    <w:rsid w:val="001614B0"/>
    <w:rsid w:val="0016457C"/>
    <w:rsid w:val="00173632"/>
    <w:rsid w:val="00175FFC"/>
    <w:rsid w:val="00177345"/>
    <w:rsid w:val="00177AC0"/>
    <w:rsid w:val="00184728"/>
    <w:rsid w:val="001874BC"/>
    <w:rsid w:val="001917F6"/>
    <w:rsid w:val="001B1EE4"/>
    <w:rsid w:val="001B57E3"/>
    <w:rsid w:val="001B5DEE"/>
    <w:rsid w:val="001D7353"/>
    <w:rsid w:val="001E3D24"/>
    <w:rsid w:val="001E4372"/>
    <w:rsid w:val="001E4FCC"/>
    <w:rsid w:val="001F548E"/>
    <w:rsid w:val="00201759"/>
    <w:rsid w:val="00206132"/>
    <w:rsid w:val="00210188"/>
    <w:rsid w:val="0021325A"/>
    <w:rsid w:val="00214F7F"/>
    <w:rsid w:val="00221D53"/>
    <w:rsid w:val="00223581"/>
    <w:rsid w:val="00232239"/>
    <w:rsid w:val="0024131B"/>
    <w:rsid w:val="002425E0"/>
    <w:rsid w:val="00245265"/>
    <w:rsid w:val="00250414"/>
    <w:rsid w:val="00250CB9"/>
    <w:rsid w:val="002524DA"/>
    <w:rsid w:val="002546B7"/>
    <w:rsid w:val="00255DF0"/>
    <w:rsid w:val="00264366"/>
    <w:rsid w:val="00276F45"/>
    <w:rsid w:val="002824B7"/>
    <w:rsid w:val="002839B9"/>
    <w:rsid w:val="0029717D"/>
    <w:rsid w:val="002A089D"/>
    <w:rsid w:val="002B2279"/>
    <w:rsid w:val="002B2BA6"/>
    <w:rsid w:val="002B5216"/>
    <w:rsid w:val="002C16EF"/>
    <w:rsid w:val="002D1173"/>
    <w:rsid w:val="002D4C96"/>
    <w:rsid w:val="002E0EA2"/>
    <w:rsid w:val="002E7065"/>
    <w:rsid w:val="002E7A09"/>
    <w:rsid w:val="002F001E"/>
    <w:rsid w:val="002F13CD"/>
    <w:rsid w:val="002F3803"/>
    <w:rsid w:val="002F4C91"/>
    <w:rsid w:val="0030264B"/>
    <w:rsid w:val="00310523"/>
    <w:rsid w:val="00310FA6"/>
    <w:rsid w:val="00315833"/>
    <w:rsid w:val="00325C94"/>
    <w:rsid w:val="00326D2A"/>
    <w:rsid w:val="00330AFF"/>
    <w:rsid w:val="00334E51"/>
    <w:rsid w:val="00342870"/>
    <w:rsid w:val="00345F77"/>
    <w:rsid w:val="00350917"/>
    <w:rsid w:val="0035724B"/>
    <w:rsid w:val="00367391"/>
    <w:rsid w:val="00367DA3"/>
    <w:rsid w:val="003719DB"/>
    <w:rsid w:val="00371B8D"/>
    <w:rsid w:val="0037366B"/>
    <w:rsid w:val="00373EB2"/>
    <w:rsid w:val="0037535E"/>
    <w:rsid w:val="0039002F"/>
    <w:rsid w:val="00390A59"/>
    <w:rsid w:val="00394C72"/>
    <w:rsid w:val="0039792A"/>
    <w:rsid w:val="00397F85"/>
    <w:rsid w:val="003A09AD"/>
    <w:rsid w:val="003A273C"/>
    <w:rsid w:val="003A36D5"/>
    <w:rsid w:val="003A4D26"/>
    <w:rsid w:val="003B07A6"/>
    <w:rsid w:val="003B518A"/>
    <w:rsid w:val="003C0A67"/>
    <w:rsid w:val="003C24EC"/>
    <w:rsid w:val="003C25ED"/>
    <w:rsid w:val="003D0C24"/>
    <w:rsid w:val="003D236A"/>
    <w:rsid w:val="003D4CAC"/>
    <w:rsid w:val="003D548A"/>
    <w:rsid w:val="003D5CFC"/>
    <w:rsid w:val="003D6E0A"/>
    <w:rsid w:val="003D7317"/>
    <w:rsid w:val="003E0DFE"/>
    <w:rsid w:val="003E1382"/>
    <w:rsid w:val="003E2603"/>
    <w:rsid w:val="003E3E3E"/>
    <w:rsid w:val="003E6561"/>
    <w:rsid w:val="003E7BC4"/>
    <w:rsid w:val="003F0F7E"/>
    <w:rsid w:val="003F2997"/>
    <w:rsid w:val="003F39FD"/>
    <w:rsid w:val="003F43CF"/>
    <w:rsid w:val="003F43F9"/>
    <w:rsid w:val="003F5112"/>
    <w:rsid w:val="003F7C64"/>
    <w:rsid w:val="004032D0"/>
    <w:rsid w:val="00406563"/>
    <w:rsid w:val="00406867"/>
    <w:rsid w:val="00406CD2"/>
    <w:rsid w:val="00406D4E"/>
    <w:rsid w:val="00411862"/>
    <w:rsid w:val="00411F10"/>
    <w:rsid w:val="00416565"/>
    <w:rsid w:val="004221A5"/>
    <w:rsid w:val="00434134"/>
    <w:rsid w:val="00444D45"/>
    <w:rsid w:val="00454766"/>
    <w:rsid w:val="004555E2"/>
    <w:rsid w:val="00455F94"/>
    <w:rsid w:val="00456E9B"/>
    <w:rsid w:val="00461D80"/>
    <w:rsid w:val="00466CDA"/>
    <w:rsid w:val="004678BE"/>
    <w:rsid w:val="004707CB"/>
    <w:rsid w:val="00473AA7"/>
    <w:rsid w:val="00476FDC"/>
    <w:rsid w:val="0047719C"/>
    <w:rsid w:val="004921E3"/>
    <w:rsid w:val="00492AD5"/>
    <w:rsid w:val="00496DB3"/>
    <w:rsid w:val="004A100E"/>
    <w:rsid w:val="004A56A0"/>
    <w:rsid w:val="004C00C0"/>
    <w:rsid w:val="004C429D"/>
    <w:rsid w:val="004C675F"/>
    <w:rsid w:val="004D3454"/>
    <w:rsid w:val="004D3ADA"/>
    <w:rsid w:val="004E0A16"/>
    <w:rsid w:val="004E150A"/>
    <w:rsid w:val="004E37BD"/>
    <w:rsid w:val="004F5F17"/>
    <w:rsid w:val="00504689"/>
    <w:rsid w:val="005077AB"/>
    <w:rsid w:val="005149FE"/>
    <w:rsid w:val="005154F9"/>
    <w:rsid w:val="0052010E"/>
    <w:rsid w:val="00522766"/>
    <w:rsid w:val="00523BBF"/>
    <w:rsid w:val="00530283"/>
    <w:rsid w:val="0054250A"/>
    <w:rsid w:val="00543DB6"/>
    <w:rsid w:val="00545D23"/>
    <w:rsid w:val="005477B9"/>
    <w:rsid w:val="00550825"/>
    <w:rsid w:val="00550E26"/>
    <w:rsid w:val="0055277B"/>
    <w:rsid w:val="005672CB"/>
    <w:rsid w:val="00576EED"/>
    <w:rsid w:val="005829CA"/>
    <w:rsid w:val="00586B72"/>
    <w:rsid w:val="0059065C"/>
    <w:rsid w:val="005928E6"/>
    <w:rsid w:val="00593DB7"/>
    <w:rsid w:val="0059519C"/>
    <w:rsid w:val="00596949"/>
    <w:rsid w:val="00596AF0"/>
    <w:rsid w:val="005A4455"/>
    <w:rsid w:val="005A47C3"/>
    <w:rsid w:val="005A6B4A"/>
    <w:rsid w:val="005A7156"/>
    <w:rsid w:val="005A7776"/>
    <w:rsid w:val="005D008B"/>
    <w:rsid w:val="005D3F4B"/>
    <w:rsid w:val="005E0F91"/>
    <w:rsid w:val="005E3939"/>
    <w:rsid w:val="005F1777"/>
    <w:rsid w:val="00603B13"/>
    <w:rsid w:val="00611E1D"/>
    <w:rsid w:val="0061231E"/>
    <w:rsid w:val="00614E79"/>
    <w:rsid w:val="00614EC8"/>
    <w:rsid w:val="006153BC"/>
    <w:rsid w:val="00615F87"/>
    <w:rsid w:val="006175CE"/>
    <w:rsid w:val="00630522"/>
    <w:rsid w:val="00632714"/>
    <w:rsid w:val="00636F15"/>
    <w:rsid w:val="00642F53"/>
    <w:rsid w:val="00651A6C"/>
    <w:rsid w:val="00654BC0"/>
    <w:rsid w:val="00656E2F"/>
    <w:rsid w:val="00670D9D"/>
    <w:rsid w:val="00674A73"/>
    <w:rsid w:val="00677BF8"/>
    <w:rsid w:val="00681953"/>
    <w:rsid w:val="00681FC6"/>
    <w:rsid w:val="006820A4"/>
    <w:rsid w:val="006837EA"/>
    <w:rsid w:val="00683EB4"/>
    <w:rsid w:val="00691182"/>
    <w:rsid w:val="00696A03"/>
    <w:rsid w:val="006A069A"/>
    <w:rsid w:val="006A33F8"/>
    <w:rsid w:val="006A6864"/>
    <w:rsid w:val="006B0754"/>
    <w:rsid w:val="006B0F3C"/>
    <w:rsid w:val="006B1170"/>
    <w:rsid w:val="006B204D"/>
    <w:rsid w:val="006B4A7A"/>
    <w:rsid w:val="006B5E30"/>
    <w:rsid w:val="006B74F9"/>
    <w:rsid w:val="006B7BFE"/>
    <w:rsid w:val="006C2142"/>
    <w:rsid w:val="006D31BA"/>
    <w:rsid w:val="006D7297"/>
    <w:rsid w:val="006E0843"/>
    <w:rsid w:val="006E08F6"/>
    <w:rsid w:val="006E1925"/>
    <w:rsid w:val="006F08E8"/>
    <w:rsid w:val="00705B62"/>
    <w:rsid w:val="007104C5"/>
    <w:rsid w:val="0072064D"/>
    <w:rsid w:val="00724F8B"/>
    <w:rsid w:val="007336DD"/>
    <w:rsid w:val="00740689"/>
    <w:rsid w:val="00742DC6"/>
    <w:rsid w:val="00743FDA"/>
    <w:rsid w:val="00744139"/>
    <w:rsid w:val="007478C2"/>
    <w:rsid w:val="00747B90"/>
    <w:rsid w:val="00750A67"/>
    <w:rsid w:val="00755ECE"/>
    <w:rsid w:val="007617BD"/>
    <w:rsid w:val="00762F7B"/>
    <w:rsid w:val="00767EB4"/>
    <w:rsid w:val="007717B2"/>
    <w:rsid w:val="0077265D"/>
    <w:rsid w:val="0077790F"/>
    <w:rsid w:val="007801A9"/>
    <w:rsid w:val="007820D0"/>
    <w:rsid w:val="007831EF"/>
    <w:rsid w:val="00783EFE"/>
    <w:rsid w:val="00783F58"/>
    <w:rsid w:val="007A35FF"/>
    <w:rsid w:val="007B042E"/>
    <w:rsid w:val="007B2772"/>
    <w:rsid w:val="007C0E48"/>
    <w:rsid w:val="007C5FAB"/>
    <w:rsid w:val="007D2631"/>
    <w:rsid w:val="007E37A6"/>
    <w:rsid w:val="007E3C0F"/>
    <w:rsid w:val="007E4E22"/>
    <w:rsid w:val="007E4FE8"/>
    <w:rsid w:val="007E60A1"/>
    <w:rsid w:val="007E694D"/>
    <w:rsid w:val="007F3EE5"/>
    <w:rsid w:val="00800236"/>
    <w:rsid w:val="00800650"/>
    <w:rsid w:val="008010C1"/>
    <w:rsid w:val="00802A54"/>
    <w:rsid w:val="00804AEF"/>
    <w:rsid w:val="00804D49"/>
    <w:rsid w:val="00806888"/>
    <w:rsid w:val="00814D47"/>
    <w:rsid w:val="0081654C"/>
    <w:rsid w:val="00816584"/>
    <w:rsid w:val="00817570"/>
    <w:rsid w:val="00831FE2"/>
    <w:rsid w:val="00843412"/>
    <w:rsid w:val="00843D42"/>
    <w:rsid w:val="00845B17"/>
    <w:rsid w:val="00847FA2"/>
    <w:rsid w:val="00864A76"/>
    <w:rsid w:val="0087604D"/>
    <w:rsid w:val="00886689"/>
    <w:rsid w:val="00887304"/>
    <w:rsid w:val="00894472"/>
    <w:rsid w:val="00896128"/>
    <w:rsid w:val="008B084C"/>
    <w:rsid w:val="008B2A6F"/>
    <w:rsid w:val="008B3156"/>
    <w:rsid w:val="008B3DD0"/>
    <w:rsid w:val="008B7666"/>
    <w:rsid w:val="008D105C"/>
    <w:rsid w:val="008D6B75"/>
    <w:rsid w:val="008D716B"/>
    <w:rsid w:val="008D7666"/>
    <w:rsid w:val="008E0C4C"/>
    <w:rsid w:val="008F36C7"/>
    <w:rsid w:val="008F3DAA"/>
    <w:rsid w:val="0091135C"/>
    <w:rsid w:val="00913F5E"/>
    <w:rsid w:val="00921CBF"/>
    <w:rsid w:val="00923B0C"/>
    <w:rsid w:val="009247FD"/>
    <w:rsid w:val="009328B1"/>
    <w:rsid w:val="00933765"/>
    <w:rsid w:val="00936948"/>
    <w:rsid w:val="00944BC2"/>
    <w:rsid w:val="00950A91"/>
    <w:rsid w:val="009526A3"/>
    <w:rsid w:val="00953FAD"/>
    <w:rsid w:val="0095688C"/>
    <w:rsid w:val="00963C76"/>
    <w:rsid w:val="00963FE5"/>
    <w:rsid w:val="00970C8D"/>
    <w:rsid w:val="00975EFF"/>
    <w:rsid w:val="00982318"/>
    <w:rsid w:val="00983442"/>
    <w:rsid w:val="00993D41"/>
    <w:rsid w:val="009A4B0D"/>
    <w:rsid w:val="009B1EDE"/>
    <w:rsid w:val="009B2334"/>
    <w:rsid w:val="009B4B2D"/>
    <w:rsid w:val="009B6244"/>
    <w:rsid w:val="009B6A20"/>
    <w:rsid w:val="009B70B1"/>
    <w:rsid w:val="009C235A"/>
    <w:rsid w:val="009C34DA"/>
    <w:rsid w:val="009C73C2"/>
    <w:rsid w:val="009D0A88"/>
    <w:rsid w:val="009D62FF"/>
    <w:rsid w:val="009D6DE1"/>
    <w:rsid w:val="009D7187"/>
    <w:rsid w:val="009E74C0"/>
    <w:rsid w:val="00A02130"/>
    <w:rsid w:val="00A032B2"/>
    <w:rsid w:val="00A043BE"/>
    <w:rsid w:val="00A04888"/>
    <w:rsid w:val="00A111F1"/>
    <w:rsid w:val="00A1709A"/>
    <w:rsid w:val="00A236A7"/>
    <w:rsid w:val="00A243DF"/>
    <w:rsid w:val="00A2540E"/>
    <w:rsid w:val="00A268C7"/>
    <w:rsid w:val="00A32596"/>
    <w:rsid w:val="00A33696"/>
    <w:rsid w:val="00A36EBD"/>
    <w:rsid w:val="00A435F6"/>
    <w:rsid w:val="00A44E49"/>
    <w:rsid w:val="00A5059C"/>
    <w:rsid w:val="00A519CC"/>
    <w:rsid w:val="00A5273A"/>
    <w:rsid w:val="00A53647"/>
    <w:rsid w:val="00A53836"/>
    <w:rsid w:val="00A558C5"/>
    <w:rsid w:val="00A55C90"/>
    <w:rsid w:val="00A63D5B"/>
    <w:rsid w:val="00A71362"/>
    <w:rsid w:val="00A75B48"/>
    <w:rsid w:val="00A85757"/>
    <w:rsid w:val="00A91D3A"/>
    <w:rsid w:val="00A94B71"/>
    <w:rsid w:val="00AA4991"/>
    <w:rsid w:val="00AB6960"/>
    <w:rsid w:val="00AC3332"/>
    <w:rsid w:val="00AD1B8A"/>
    <w:rsid w:val="00AD5FFB"/>
    <w:rsid w:val="00AE250D"/>
    <w:rsid w:val="00AE52D5"/>
    <w:rsid w:val="00AE5F85"/>
    <w:rsid w:val="00AE7561"/>
    <w:rsid w:val="00AF1433"/>
    <w:rsid w:val="00AF367C"/>
    <w:rsid w:val="00AF4FCA"/>
    <w:rsid w:val="00B008B4"/>
    <w:rsid w:val="00B04101"/>
    <w:rsid w:val="00B045C1"/>
    <w:rsid w:val="00B06A1E"/>
    <w:rsid w:val="00B07AD5"/>
    <w:rsid w:val="00B11A4D"/>
    <w:rsid w:val="00B20827"/>
    <w:rsid w:val="00B2593F"/>
    <w:rsid w:val="00B35F23"/>
    <w:rsid w:val="00B362C7"/>
    <w:rsid w:val="00B366B9"/>
    <w:rsid w:val="00B369D1"/>
    <w:rsid w:val="00B41A17"/>
    <w:rsid w:val="00B432DE"/>
    <w:rsid w:val="00B4437C"/>
    <w:rsid w:val="00B45A12"/>
    <w:rsid w:val="00B67F3E"/>
    <w:rsid w:val="00B75863"/>
    <w:rsid w:val="00B766F4"/>
    <w:rsid w:val="00B8200C"/>
    <w:rsid w:val="00B84249"/>
    <w:rsid w:val="00B854F9"/>
    <w:rsid w:val="00B86E2F"/>
    <w:rsid w:val="00B91940"/>
    <w:rsid w:val="00B93E67"/>
    <w:rsid w:val="00B9551F"/>
    <w:rsid w:val="00BA19E0"/>
    <w:rsid w:val="00BA3C47"/>
    <w:rsid w:val="00BB53D4"/>
    <w:rsid w:val="00BC0190"/>
    <w:rsid w:val="00BC2C84"/>
    <w:rsid w:val="00BC5D5C"/>
    <w:rsid w:val="00BE0D7D"/>
    <w:rsid w:val="00BF07A5"/>
    <w:rsid w:val="00BF3562"/>
    <w:rsid w:val="00BF3735"/>
    <w:rsid w:val="00C00100"/>
    <w:rsid w:val="00C01019"/>
    <w:rsid w:val="00C0509D"/>
    <w:rsid w:val="00C050A5"/>
    <w:rsid w:val="00C0520A"/>
    <w:rsid w:val="00C13229"/>
    <w:rsid w:val="00C16B9D"/>
    <w:rsid w:val="00C20446"/>
    <w:rsid w:val="00C263B2"/>
    <w:rsid w:val="00C32487"/>
    <w:rsid w:val="00C3517A"/>
    <w:rsid w:val="00C42279"/>
    <w:rsid w:val="00C4363D"/>
    <w:rsid w:val="00C441FE"/>
    <w:rsid w:val="00C4776D"/>
    <w:rsid w:val="00C51434"/>
    <w:rsid w:val="00C53398"/>
    <w:rsid w:val="00C55591"/>
    <w:rsid w:val="00C6299D"/>
    <w:rsid w:val="00C64683"/>
    <w:rsid w:val="00C64B11"/>
    <w:rsid w:val="00C65145"/>
    <w:rsid w:val="00C657FB"/>
    <w:rsid w:val="00C65A25"/>
    <w:rsid w:val="00C65DDC"/>
    <w:rsid w:val="00C66DAE"/>
    <w:rsid w:val="00C679C9"/>
    <w:rsid w:val="00C700FD"/>
    <w:rsid w:val="00C76381"/>
    <w:rsid w:val="00C77C7A"/>
    <w:rsid w:val="00C8100B"/>
    <w:rsid w:val="00C8709B"/>
    <w:rsid w:val="00CA2397"/>
    <w:rsid w:val="00CA3980"/>
    <w:rsid w:val="00CA5F98"/>
    <w:rsid w:val="00CB0D9F"/>
    <w:rsid w:val="00CB13C6"/>
    <w:rsid w:val="00CB24A3"/>
    <w:rsid w:val="00CB46BA"/>
    <w:rsid w:val="00CC30D7"/>
    <w:rsid w:val="00CC5199"/>
    <w:rsid w:val="00CC7AE9"/>
    <w:rsid w:val="00CD0227"/>
    <w:rsid w:val="00CD18A5"/>
    <w:rsid w:val="00CE0C47"/>
    <w:rsid w:val="00CF08F0"/>
    <w:rsid w:val="00D02F70"/>
    <w:rsid w:val="00D065A5"/>
    <w:rsid w:val="00D17961"/>
    <w:rsid w:val="00D273CD"/>
    <w:rsid w:val="00D34B08"/>
    <w:rsid w:val="00D35C20"/>
    <w:rsid w:val="00D4711F"/>
    <w:rsid w:val="00D50E57"/>
    <w:rsid w:val="00D60DCD"/>
    <w:rsid w:val="00D66ACD"/>
    <w:rsid w:val="00D709F8"/>
    <w:rsid w:val="00D721A2"/>
    <w:rsid w:val="00D72611"/>
    <w:rsid w:val="00D81AE0"/>
    <w:rsid w:val="00D82FCE"/>
    <w:rsid w:val="00D85E14"/>
    <w:rsid w:val="00D91610"/>
    <w:rsid w:val="00D9527A"/>
    <w:rsid w:val="00D95EB1"/>
    <w:rsid w:val="00D97C41"/>
    <w:rsid w:val="00DB1297"/>
    <w:rsid w:val="00DB20B2"/>
    <w:rsid w:val="00DC06C0"/>
    <w:rsid w:val="00DC4205"/>
    <w:rsid w:val="00DC5878"/>
    <w:rsid w:val="00DC6210"/>
    <w:rsid w:val="00DC73A5"/>
    <w:rsid w:val="00DC7D35"/>
    <w:rsid w:val="00DE11AB"/>
    <w:rsid w:val="00DE2470"/>
    <w:rsid w:val="00DE473C"/>
    <w:rsid w:val="00DE589D"/>
    <w:rsid w:val="00DF0CC0"/>
    <w:rsid w:val="00DF62D0"/>
    <w:rsid w:val="00E10870"/>
    <w:rsid w:val="00E12A1C"/>
    <w:rsid w:val="00E12F7B"/>
    <w:rsid w:val="00E20030"/>
    <w:rsid w:val="00E245E4"/>
    <w:rsid w:val="00E27F4A"/>
    <w:rsid w:val="00E30F79"/>
    <w:rsid w:val="00E33E4E"/>
    <w:rsid w:val="00E36400"/>
    <w:rsid w:val="00E414F7"/>
    <w:rsid w:val="00E44075"/>
    <w:rsid w:val="00E50AA1"/>
    <w:rsid w:val="00E511AE"/>
    <w:rsid w:val="00E5268B"/>
    <w:rsid w:val="00E57B1B"/>
    <w:rsid w:val="00E605EE"/>
    <w:rsid w:val="00E6298A"/>
    <w:rsid w:val="00E67963"/>
    <w:rsid w:val="00E77EAF"/>
    <w:rsid w:val="00E854B4"/>
    <w:rsid w:val="00E86F3D"/>
    <w:rsid w:val="00E879FB"/>
    <w:rsid w:val="00E9095B"/>
    <w:rsid w:val="00E9260F"/>
    <w:rsid w:val="00E92FD0"/>
    <w:rsid w:val="00E93466"/>
    <w:rsid w:val="00E9448D"/>
    <w:rsid w:val="00EA1AA0"/>
    <w:rsid w:val="00EA5124"/>
    <w:rsid w:val="00EA6987"/>
    <w:rsid w:val="00EA6FCD"/>
    <w:rsid w:val="00EB3E0E"/>
    <w:rsid w:val="00EB3F2D"/>
    <w:rsid w:val="00EB74F2"/>
    <w:rsid w:val="00EC262F"/>
    <w:rsid w:val="00EC54C2"/>
    <w:rsid w:val="00EC6A26"/>
    <w:rsid w:val="00EF02B3"/>
    <w:rsid w:val="00EF116F"/>
    <w:rsid w:val="00EF4E0F"/>
    <w:rsid w:val="00EF51DB"/>
    <w:rsid w:val="00F00F21"/>
    <w:rsid w:val="00F01177"/>
    <w:rsid w:val="00F0610B"/>
    <w:rsid w:val="00F13AF9"/>
    <w:rsid w:val="00F22FFA"/>
    <w:rsid w:val="00F31F3B"/>
    <w:rsid w:val="00F36188"/>
    <w:rsid w:val="00F3700D"/>
    <w:rsid w:val="00F37AD0"/>
    <w:rsid w:val="00F37B61"/>
    <w:rsid w:val="00F37DD4"/>
    <w:rsid w:val="00F4330F"/>
    <w:rsid w:val="00F4512D"/>
    <w:rsid w:val="00F52AAB"/>
    <w:rsid w:val="00F52EA1"/>
    <w:rsid w:val="00F570DB"/>
    <w:rsid w:val="00F63B43"/>
    <w:rsid w:val="00F67830"/>
    <w:rsid w:val="00F77C97"/>
    <w:rsid w:val="00F931EC"/>
    <w:rsid w:val="00FA03DC"/>
    <w:rsid w:val="00FA2BD3"/>
    <w:rsid w:val="00FA5AC3"/>
    <w:rsid w:val="00FB4715"/>
    <w:rsid w:val="00FC2E73"/>
    <w:rsid w:val="00FC32FD"/>
    <w:rsid w:val="00FD403E"/>
    <w:rsid w:val="00FE16B3"/>
    <w:rsid w:val="00FE1DDE"/>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4A01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DE5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2B2279"/>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DE5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64E6D9-6DDA-4A37-A73D-7E639461A0F3}"/>
</file>

<file path=customXml/itemProps2.xml><?xml version="1.0" encoding="utf-8"?>
<ds:datastoreItem xmlns:ds="http://schemas.openxmlformats.org/officeDocument/2006/customXml" ds:itemID="{285AEE76-1192-4206-9050-2B5ECF03859F}"/>
</file>

<file path=customXml/itemProps3.xml><?xml version="1.0" encoding="utf-8"?>
<ds:datastoreItem xmlns:ds="http://schemas.openxmlformats.org/officeDocument/2006/customXml" ds:itemID="{B704AB32-C515-4A14-90EC-5BE9E82027D3}"/>
</file>

<file path=docProps/app.xml><?xml version="1.0" encoding="utf-8"?>
<Properties xmlns="http://schemas.openxmlformats.org/officeDocument/2006/extended-properties" xmlns:vt="http://schemas.openxmlformats.org/officeDocument/2006/docPropsVTypes">
  <Template>C497DF23</Template>
  <TotalTime>1</TotalTime>
  <Pages>3</Pages>
  <Words>1111</Words>
  <Characters>6510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TOOL</vt:lpstr>
    </vt:vector>
  </TitlesOfParts>
  <Company>Indigo Spark</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dc:title>
  <dc:subject/>
  <dc:creator>Ann Phillis</dc:creator>
  <cp:keywords/>
  <dc:description/>
  <cp:lastModifiedBy>Yam, Iris</cp:lastModifiedBy>
  <cp:revision>2</cp:revision>
  <cp:lastPrinted>2014-08-12T01:14:00Z</cp:lastPrinted>
  <dcterms:created xsi:type="dcterms:W3CDTF">2016-10-10T06:22:00Z</dcterms:created>
  <dcterms:modified xsi:type="dcterms:W3CDTF">2016-10-10T06:22:00Z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Salvatore Carluccio</vt:lpwstr>
  </property>
  <property fmtid="{D5CDD505-2E9C-101B-9397-08002B2CF9AE}" pid="3" name="display_urn:schemas-microsoft-com:office:office#Author">
    <vt:lpwstr>Alex Knox</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ContentTypeId">
    <vt:lpwstr>0x01010050F19AC2165D2E47A5E6B7F563E4CF00</vt:lpwstr>
  </property>
  <property fmtid="{D5CDD505-2E9C-101B-9397-08002B2CF9AE}" pid="8" name="ContentType">
    <vt:lpwstr>Document</vt:lpwstr>
  </property>
  <property fmtid="{D5CDD505-2E9C-101B-9397-08002B2CF9AE}" pid="9" name="Subject">
    <vt:lpwstr/>
  </property>
  <property fmtid="{D5CDD505-2E9C-101B-9397-08002B2CF9AE}" pid="10" name="Keywords">
    <vt:lpwstr/>
  </property>
  <property fmtid="{D5CDD505-2E9C-101B-9397-08002B2CF9AE}" pid="11" name="_Author">
    <vt:lpwstr>Ann Phillis</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TempID">
    <vt:lpwstr>48</vt:lpwstr>
  </property>
  <property fmtid="{D5CDD505-2E9C-101B-9397-08002B2CF9AE}" pid="18" name="Order">
    <vt:r8>2900</vt:r8>
  </property>
  <property fmtid="{D5CDD505-2E9C-101B-9397-08002B2CF9AE}" pid="19" name="TitusGUID">
    <vt:lpwstr>1541c91a-e66a-4c15-a1ff-60922e21e49b</vt:lpwstr>
  </property>
  <property fmtid="{D5CDD505-2E9C-101B-9397-08002B2CF9AE}" pid="20" name="SEC">
    <vt:lpwstr>UNCLASSIFIED</vt:lpwstr>
  </property>
  <property fmtid="{D5CDD505-2E9C-101B-9397-08002B2CF9AE}" pid="21" name="DLM">
    <vt:lpwstr>No DLM</vt:lpwstr>
  </property>
  <property fmtid="{D5CDD505-2E9C-101B-9397-08002B2CF9AE}" pid="22" name="display_urn">
    <vt:lpwstr>Alex Knox</vt:lpwstr>
  </property>
  <property fmtid="{D5CDD505-2E9C-101B-9397-08002B2CF9AE}" pid="23" name="_SourceUrl">
    <vt:lpwstr/>
  </property>
  <property fmtid="{D5CDD505-2E9C-101B-9397-08002B2CF9AE}" pid="24" name="_SharedFileIndex">
    <vt:lpwstr/>
  </property>
</Properties>
</file>