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2B" w:rsidRPr="00836320" w:rsidRDefault="00F14106" w:rsidP="005F24B6">
      <w:pPr>
        <w:pStyle w:val="Heading1"/>
        <w:spacing w:before="0" w:after="160"/>
        <w:rPr>
          <w:rFonts w:asciiTheme="minorHAnsi" w:hAnsiTheme="minorHAnsi" w:cstheme="minorHAnsi"/>
          <w:b/>
          <w:caps/>
          <w:sz w:val="28"/>
          <w:szCs w:val="28"/>
          <w:lang w:val="en-AU"/>
        </w:rPr>
      </w:pPr>
      <w:r w:rsidRPr="00836320">
        <w:rPr>
          <w:rFonts w:asciiTheme="minorHAnsi" w:hAnsiTheme="minorHAnsi" w:cstheme="minorHAnsi"/>
          <w:b/>
          <w:caps/>
          <w:sz w:val="28"/>
          <w:szCs w:val="28"/>
          <w:lang w:val="en-AU"/>
        </w:rPr>
        <w:t>INTELLECTUAL PROPERTY</w:t>
      </w:r>
      <w:r w:rsidR="003B70CA">
        <w:rPr>
          <w:rFonts w:asciiTheme="minorHAnsi" w:hAnsiTheme="minorHAnsi" w:cstheme="minorHAnsi"/>
          <w:b/>
          <w:caps/>
          <w:sz w:val="28"/>
          <w:szCs w:val="28"/>
          <w:lang w:val="en-AU"/>
        </w:rPr>
        <w:t xml:space="preserve">: </w:t>
      </w:r>
      <w:r w:rsidR="00E8192A">
        <w:rPr>
          <w:rFonts w:asciiTheme="minorHAnsi" w:hAnsiTheme="minorHAnsi" w:cstheme="minorHAnsi"/>
          <w:b/>
          <w:caps/>
          <w:sz w:val="28"/>
          <w:szCs w:val="28"/>
          <w:lang w:val="en-AU"/>
        </w:rPr>
        <w:t>Frequently asked questions (FAQS</w:t>
      </w:r>
      <w:r w:rsidR="003B70CA">
        <w:rPr>
          <w:rFonts w:asciiTheme="minorHAnsi" w:hAnsiTheme="minorHAnsi" w:cstheme="minorHAnsi"/>
          <w:b/>
          <w:caps/>
          <w:sz w:val="28"/>
          <w:szCs w:val="28"/>
          <w:lang w:val="en-AU"/>
        </w:rPr>
        <w:t>)</w:t>
      </w:r>
    </w:p>
    <w:p w:rsidR="00727E2C" w:rsidRDefault="002068EB" w:rsidP="00713023">
      <w:pPr>
        <w:pStyle w:val="NoSpacing"/>
        <w:spacing w:after="120" w:line="264" w:lineRule="auto"/>
        <w:rPr>
          <w:rFonts w:asciiTheme="minorHAnsi" w:hAnsiTheme="minorHAnsi" w:cstheme="minorHAnsi"/>
          <w:color w:val="3D3935" w:themeColor="text2"/>
        </w:rPr>
      </w:pPr>
      <w:r w:rsidRPr="00EF5951">
        <w:rPr>
          <w:rFonts w:asciiTheme="minorHAnsi" w:hAnsiTheme="minorHAnsi" w:cstheme="minorHAnsi"/>
          <w:color w:val="auto"/>
        </w:rPr>
        <w:t xml:space="preserve">The </w:t>
      </w:r>
      <w:r w:rsidR="00C61AFF" w:rsidRPr="00EF5951">
        <w:rPr>
          <w:rFonts w:asciiTheme="minorHAnsi" w:hAnsiTheme="minorHAnsi" w:cstheme="minorHAnsi"/>
          <w:color w:val="auto"/>
        </w:rPr>
        <w:t xml:space="preserve">Trans-Pacific Partnership (TPP) Agreement </w:t>
      </w:r>
      <w:r w:rsidRPr="00EF5951">
        <w:rPr>
          <w:rFonts w:asciiTheme="minorHAnsi" w:hAnsiTheme="minorHAnsi" w:cstheme="minorHAnsi"/>
          <w:color w:val="auto"/>
        </w:rPr>
        <w:t>establishes a common set of rules on intellectual property protection and enforcement</w:t>
      </w:r>
      <w:r w:rsidR="00DB5E8A">
        <w:rPr>
          <w:rFonts w:asciiTheme="minorHAnsi" w:hAnsiTheme="minorHAnsi" w:cstheme="minorHAnsi"/>
          <w:color w:val="auto"/>
        </w:rPr>
        <w:t>,</w:t>
      </w:r>
      <w:r w:rsidRPr="00EF5951">
        <w:rPr>
          <w:rFonts w:asciiTheme="minorHAnsi" w:hAnsiTheme="minorHAnsi" w:cstheme="minorHAnsi"/>
          <w:color w:val="auto"/>
        </w:rPr>
        <w:t xml:space="preserve"> </w:t>
      </w:r>
      <w:r w:rsidR="00352740" w:rsidRPr="00EF5951">
        <w:rPr>
          <w:rFonts w:asciiTheme="minorHAnsi" w:hAnsiTheme="minorHAnsi" w:cstheme="minorHAnsi"/>
          <w:color w:val="auto"/>
        </w:rPr>
        <w:t>which</w:t>
      </w:r>
      <w:r w:rsidRPr="00EF5951">
        <w:rPr>
          <w:rFonts w:asciiTheme="minorHAnsi" w:hAnsiTheme="minorHAnsi" w:cstheme="minorHAnsi"/>
          <w:color w:val="auto"/>
        </w:rPr>
        <w:t xml:space="preserve"> aim to encourage investment in </w:t>
      </w:r>
      <w:r w:rsidR="00B1623D" w:rsidRPr="00EF5951">
        <w:rPr>
          <w:rFonts w:asciiTheme="minorHAnsi" w:hAnsiTheme="minorHAnsi" w:cstheme="minorHAnsi"/>
          <w:color w:val="auto"/>
        </w:rPr>
        <w:t>new ideas</w:t>
      </w:r>
      <w:r w:rsidRPr="00EF5951">
        <w:rPr>
          <w:rFonts w:asciiTheme="minorHAnsi" w:hAnsiTheme="minorHAnsi" w:cstheme="minorHAnsi"/>
          <w:color w:val="auto"/>
        </w:rPr>
        <w:t xml:space="preserve">, </w:t>
      </w:r>
      <w:r w:rsidR="00D2130D" w:rsidRPr="00EF5951">
        <w:rPr>
          <w:rFonts w:asciiTheme="minorHAnsi" w:hAnsiTheme="minorHAnsi" w:cstheme="minorHAnsi"/>
          <w:color w:val="auto"/>
        </w:rPr>
        <w:t>support</w:t>
      </w:r>
      <w:r w:rsidRPr="00EF5951">
        <w:rPr>
          <w:rFonts w:asciiTheme="minorHAnsi" w:hAnsiTheme="minorHAnsi" w:cstheme="minorHAnsi"/>
          <w:color w:val="auto"/>
        </w:rPr>
        <w:t xml:space="preserve"> creative </w:t>
      </w:r>
      <w:r w:rsidR="00523554" w:rsidRPr="00EF5951">
        <w:rPr>
          <w:rFonts w:asciiTheme="minorHAnsi" w:hAnsiTheme="minorHAnsi" w:cstheme="minorHAnsi"/>
          <w:color w:val="auto"/>
        </w:rPr>
        <w:t xml:space="preserve">and innovative </w:t>
      </w:r>
      <w:r w:rsidRPr="00EF5951">
        <w:rPr>
          <w:rFonts w:asciiTheme="minorHAnsi" w:hAnsiTheme="minorHAnsi" w:cstheme="minorHAnsi"/>
          <w:color w:val="auto"/>
        </w:rPr>
        <w:t>industries, address and prevent piracy and counterfeiting</w:t>
      </w:r>
      <w:r w:rsidR="00523554" w:rsidRPr="00EF5951">
        <w:rPr>
          <w:rFonts w:asciiTheme="minorHAnsi" w:hAnsiTheme="minorHAnsi" w:cstheme="minorHAnsi"/>
          <w:color w:val="auto"/>
        </w:rPr>
        <w:t>,</w:t>
      </w:r>
      <w:r w:rsidRPr="00EF5951">
        <w:rPr>
          <w:rFonts w:asciiTheme="minorHAnsi" w:hAnsiTheme="minorHAnsi" w:cstheme="minorHAnsi"/>
          <w:color w:val="auto"/>
        </w:rPr>
        <w:t xml:space="preserve"> and </w:t>
      </w:r>
      <w:r w:rsidR="00D2130D" w:rsidRPr="00EF5951">
        <w:rPr>
          <w:rFonts w:asciiTheme="minorHAnsi" w:hAnsiTheme="minorHAnsi" w:cstheme="minorHAnsi"/>
          <w:color w:val="auto"/>
        </w:rPr>
        <w:t>promote</w:t>
      </w:r>
      <w:r w:rsidR="00523554" w:rsidRPr="00EF5951">
        <w:rPr>
          <w:rFonts w:asciiTheme="minorHAnsi" w:hAnsiTheme="minorHAnsi" w:cstheme="minorHAnsi"/>
          <w:color w:val="auto"/>
        </w:rPr>
        <w:t xml:space="preserve"> </w:t>
      </w:r>
      <w:r w:rsidR="00AF5C3A" w:rsidRPr="00EF5951">
        <w:rPr>
          <w:rFonts w:asciiTheme="minorHAnsi" w:hAnsiTheme="minorHAnsi" w:cstheme="minorHAnsi"/>
          <w:color w:val="auto"/>
        </w:rPr>
        <w:t xml:space="preserve">the </w:t>
      </w:r>
      <w:r w:rsidR="00EF5951">
        <w:rPr>
          <w:rFonts w:asciiTheme="minorHAnsi" w:hAnsiTheme="minorHAnsi" w:cstheme="minorHAnsi"/>
          <w:color w:val="auto"/>
        </w:rPr>
        <w:t>dissemination of</w:t>
      </w:r>
      <w:r w:rsidR="00D36E92" w:rsidRPr="00EF5951">
        <w:rPr>
          <w:rFonts w:asciiTheme="minorHAnsi" w:hAnsiTheme="minorHAnsi" w:cstheme="minorHAnsi"/>
          <w:color w:val="auto"/>
        </w:rPr>
        <w:t xml:space="preserve"> </w:t>
      </w:r>
      <w:r w:rsidR="00AF5C3A" w:rsidRPr="00EF5951">
        <w:rPr>
          <w:rFonts w:asciiTheme="minorHAnsi" w:hAnsiTheme="minorHAnsi" w:cstheme="minorHAnsi"/>
          <w:color w:val="auto"/>
        </w:rPr>
        <w:t>information, knowledge and technology</w:t>
      </w:r>
      <w:r w:rsidR="00727E2C">
        <w:rPr>
          <w:rFonts w:asciiTheme="minorHAnsi" w:hAnsiTheme="minorHAnsi" w:cstheme="minorHAnsi"/>
          <w:color w:val="3D3935" w:themeColor="text2"/>
        </w:rPr>
        <w:t>.</w:t>
      </w:r>
    </w:p>
    <w:p w:rsidR="00727E2C" w:rsidRPr="002068EB" w:rsidRDefault="00727E2C" w:rsidP="00713023">
      <w:pPr>
        <w:spacing w:after="120" w:line="264" w:lineRule="auto"/>
        <w:rPr>
          <w:rFonts w:asciiTheme="majorHAnsi" w:hAnsiTheme="majorHAnsi" w:cstheme="majorHAnsi"/>
          <w:sz w:val="22"/>
        </w:rPr>
      </w:pPr>
      <w:r>
        <w:rPr>
          <w:rFonts w:asciiTheme="minorHAnsi" w:hAnsiTheme="minorHAnsi" w:cstheme="minorHAnsi"/>
          <w:sz w:val="22"/>
        </w:rPr>
        <w:t>The intellectual p</w:t>
      </w:r>
      <w:r w:rsidRPr="00836320">
        <w:rPr>
          <w:rFonts w:asciiTheme="minorHAnsi" w:hAnsiTheme="minorHAnsi" w:cstheme="minorHAnsi"/>
          <w:sz w:val="22"/>
        </w:rPr>
        <w:t xml:space="preserve">roperty </w:t>
      </w:r>
      <w:r>
        <w:rPr>
          <w:rFonts w:asciiTheme="minorHAnsi" w:hAnsiTheme="minorHAnsi" w:cstheme="minorHAnsi"/>
          <w:sz w:val="22"/>
        </w:rPr>
        <w:t>provisions of the TPP affirm and build</w:t>
      </w:r>
      <w:r w:rsidRPr="00836320">
        <w:rPr>
          <w:rFonts w:asciiTheme="minorHAnsi" w:hAnsiTheme="minorHAnsi" w:cstheme="minorHAnsi"/>
          <w:sz w:val="22"/>
        </w:rPr>
        <w:t xml:space="preserve"> on </w:t>
      </w:r>
      <w:r>
        <w:rPr>
          <w:rFonts w:asciiTheme="minorHAnsi" w:hAnsiTheme="minorHAnsi" w:cstheme="minorHAnsi"/>
          <w:sz w:val="22"/>
        </w:rPr>
        <w:t xml:space="preserve">the WTO </w:t>
      </w:r>
      <w:r w:rsidRPr="00836320">
        <w:rPr>
          <w:rFonts w:asciiTheme="minorHAnsi" w:hAnsiTheme="minorHAnsi" w:cstheme="minorHAnsi"/>
          <w:sz w:val="22"/>
        </w:rPr>
        <w:t xml:space="preserve">Agreement on Trade-Related Aspects of Intellectual Property (TRIPS Agreement), </w:t>
      </w:r>
      <w:r>
        <w:rPr>
          <w:rFonts w:asciiTheme="minorHAnsi" w:hAnsiTheme="minorHAnsi" w:cstheme="minorHAnsi"/>
          <w:sz w:val="22"/>
        </w:rPr>
        <w:t>covering</w:t>
      </w:r>
      <w:r w:rsidRPr="00836320">
        <w:rPr>
          <w:rFonts w:asciiTheme="minorHAnsi" w:hAnsiTheme="minorHAnsi" w:cstheme="minorHAnsi"/>
          <w:sz w:val="22"/>
        </w:rPr>
        <w:t xml:space="preserve">: </w:t>
      </w:r>
      <w:r w:rsidRPr="00836320">
        <w:rPr>
          <w:rFonts w:asciiTheme="majorHAnsi" w:hAnsiTheme="majorHAnsi" w:cstheme="majorHAnsi"/>
          <w:sz w:val="22"/>
        </w:rPr>
        <w:t>copyright</w:t>
      </w:r>
      <w:r>
        <w:rPr>
          <w:rFonts w:asciiTheme="majorHAnsi" w:hAnsiTheme="majorHAnsi" w:cstheme="majorHAnsi"/>
          <w:sz w:val="22"/>
        </w:rPr>
        <w:t>,</w:t>
      </w:r>
      <w:r w:rsidRPr="0083632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36320">
        <w:rPr>
          <w:rFonts w:asciiTheme="minorHAnsi" w:hAnsiTheme="minorHAnsi" w:cstheme="minorHAnsi"/>
          <w:sz w:val="22"/>
        </w:rPr>
        <w:t>trade marks</w:t>
      </w:r>
      <w:proofErr w:type="spellEnd"/>
      <w:r w:rsidRPr="00836320">
        <w:rPr>
          <w:rFonts w:asciiTheme="minorHAnsi" w:hAnsiTheme="minorHAnsi" w:cstheme="minorHAnsi"/>
          <w:sz w:val="22"/>
        </w:rPr>
        <w:t>, geographical indications</w:t>
      </w:r>
      <w:r w:rsidRPr="00836320">
        <w:rPr>
          <w:rFonts w:asciiTheme="majorHAnsi" w:hAnsiTheme="majorHAnsi" w:cstheme="majorHAnsi"/>
          <w:sz w:val="22"/>
        </w:rPr>
        <w:t>, patents, industrial designs, confidential information, plant variety protection, and civil, border and criminal enforcement.  The TPP also includes pharmaceutical intellectual property provisions, and covers 21</w:t>
      </w:r>
      <w:r w:rsidRPr="00836320">
        <w:rPr>
          <w:rFonts w:asciiTheme="majorHAnsi" w:hAnsiTheme="majorHAnsi" w:cstheme="majorHAnsi"/>
          <w:sz w:val="22"/>
          <w:vertAlign w:val="superscript"/>
        </w:rPr>
        <w:t>st</w:t>
      </w:r>
      <w:r w:rsidRPr="00836320">
        <w:rPr>
          <w:rFonts w:asciiTheme="majorHAnsi" w:hAnsiTheme="majorHAnsi" w:cstheme="majorHAnsi"/>
          <w:sz w:val="22"/>
        </w:rPr>
        <w:t xml:space="preserve"> century issues such as cybersquatting of domain names, technological protection measures, trade secrets</w:t>
      </w:r>
      <w:r>
        <w:rPr>
          <w:rFonts w:asciiTheme="majorHAnsi" w:hAnsiTheme="majorHAnsi" w:cstheme="majorHAnsi"/>
          <w:sz w:val="22"/>
        </w:rPr>
        <w:t xml:space="preserve"> theft</w:t>
      </w:r>
      <w:r w:rsidRPr="00836320">
        <w:rPr>
          <w:rFonts w:asciiTheme="majorHAnsi" w:hAnsiTheme="majorHAnsi" w:cstheme="majorHAnsi"/>
          <w:sz w:val="22"/>
        </w:rPr>
        <w:t>, protection of satellite and cable signals and internet service provider</w:t>
      </w:r>
      <w:r w:rsidR="00DB5E8A">
        <w:rPr>
          <w:rFonts w:asciiTheme="majorHAnsi" w:hAnsiTheme="majorHAnsi" w:cstheme="majorHAnsi"/>
          <w:sz w:val="22"/>
        </w:rPr>
        <w:t xml:space="preserve"> (ISP)</w:t>
      </w:r>
      <w:r w:rsidRPr="00836320">
        <w:rPr>
          <w:rFonts w:asciiTheme="majorHAnsi" w:hAnsiTheme="majorHAnsi" w:cstheme="majorHAnsi"/>
          <w:sz w:val="22"/>
        </w:rPr>
        <w:t xml:space="preserve"> liability.</w:t>
      </w:r>
    </w:p>
    <w:p w:rsidR="00F14106" w:rsidRPr="00836320" w:rsidRDefault="002068EB" w:rsidP="00713023">
      <w:pPr>
        <w:pStyle w:val="NoSpacing"/>
        <w:spacing w:after="120" w:line="264" w:lineRule="auto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</w:rPr>
        <w:t>This</w:t>
      </w:r>
      <w:r w:rsidR="00A31A50" w:rsidRPr="00836320">
        <w:rPr>
          <w:rFonts w:asciiTheme="minorHAnsi" w:hAnsiTheme="minorHAnsi" w:cstheme="minorHAnsi"/>
          <w:color w:val="auto"/>
        </w:rPr>
        <w:t xml:space="preserve"> document addresses</w:t>
      </w:r>
      <w:r w:rsidR="00F14106" w:rsidRPr="00836320">
        <w:rPr>
          <w:rFonts w:asciiTheme="minorHAnsi" w:hAnsiTheme="minorHAnsi" w:cstheme="minorHAnsi"/>
          <w:color w:val="auto"/>
        </w:rPr>
        <w:t xml:space="preserve"> a number of </w:t>
      </w:r>
      <w:r w:rsidR="005F24B6">
        <w:rPr>
          <w:rFonts w:asciiTheme="minorHAnsi" w:hAnsiTheme="minorHAnsi" w:cstheme="minorHAnsi"/>
          <w:color w:val="auto"/>
        </w:rPr>
        <w:t>common</w:t>
      </w:r>
      <w:r w:rsidR="00C21D78">
        <w:rPr>
          <w:rFonts w:asciiTheme="minorHAnsi" w:hAnsiTheme="minorHAnsi" w:cstheme="minorHAnsi"/>
          <w:color w:val="auto"/>
        </w:rPr>
        <w:t xml:space="preserve"> questions regarding </w:t>
      </w:r>
      <w:r w:rsidR="00F14106" w:rsidRPr="00836320">
        <w:rPr>
          <w:rFonts w:asciiTheme="minorHAnsi" w:hAnsiTheme="minorHAnsi" w:cstheme="minorHAnsi"/>
          <w:color w:val="auto"/>
        </w:rPr>
        <w:t xml:space="preserve">the intellectual property </w:t>
      </w:r>
      <w:r w:rsidR="002018CE">
        <w:rPr>
          <w:rFonts w:asciiTheme="minorHAnsi" w:hAnsiTheme="minorHAnsi" w:cstheme="minorHAnsi"/>
          <w:color w:val="auto"/>
        </w:rPr>
        <w:t xml:space="preserve">provisions </w:t>
      </w:r>
      <w:r w:rsidR="00F00022">
        <w:rPr>
          <w:rFonts w:asciiTheme="minorHAnsi" w:hAnsiTheme="minorHAnsi" w:cstheme="minorHAnsi"/>
          <w:color w:val="auto"/>
        </w:rPr>
        <w:t>in</w:t>
      </w:r>
      <w:r w:rsidR="00F14106" w:rsidRPr="00836320">
        <w:rPr>
          <w:rFonts w:asciiTheme="minorHAnsi" w:hAnsiTheme="minorHAnsi" w:cstheme="minorHAnsi"/>
          <w:color w:val="auto"/>
        </w:rPr>
        <w:t xml:space="preserve"> </w:t>
      </w:r>
      <w:r w:rsidR="00EA0F94">
        <w:rPr>
          <w:rFonts w:asciiTheme="minorHAnsi" w:hAnsiTheme="minorHAnsi" w:cstheme="minorHAnsi"/>
          <w:color w:val="auto"/>
        </w:rPr>
        <w:t>the</w:t>
      </w:r>
      <w:r w:rsidR="0041598E">
        <w:rPr>
          <w:rFonts w:asciiTheme="minorHAnsi" w:hAnsiTheme="minorHAnsi" w:cstheme="minorHAnsi"/>
          <w:color w:val="auto"/>
        </w:rPr>
        <w:t xml:space="preserve"> TPP</w:t>
      </w:r>
      <w:r w:rsidR="00F14106" w:rsidRPr="00836320">
        <w:rPr>
          <w:rFonts w:asciiTheme="minorHAnsi" w:hAnsiTheme="minorHAnsi" w:cstheme="minorHAnsi"/>
          <w:color w:val="auto"/>
        </w:rPr>
        <w:t>.</w:t>
      </w:r>
      <w:r w:rsidR="00BA3129">
        <w:rPr>
          <w:rFonts w:asciiTheme="minorHAnsi" w:hAnsiTheme="minorHAnsi" w:cstheme="minorHAnsi"/>
          <w:color w:val="auto"/>
        </w:rPr>
        <w:t xml:space="preserve"> </w:t>
      </w:r>
    </w:p>
    <w:p w:rsidR="006C35A4" w:rsidRPr="00836320" w:rsidRDefault="006C35A4" w:rsidP="00713023">
      <w:pPr>
        <w:pStyle w:val="Heading1"/>
        <w:spacing w:before="0" w:after="120"/>
        <w:rPr>
          <w:rFonts w:cstheme="majorHAnsi"/>
          <w:sz w:val="22"/>
          <w:szCs w:val="22"/>
          <w:lang w:val="en-AU"/>
        </w:rPr>
      </w:pPr>
      <w:r w:rsidRPr="00836320">
        <w:rPr>
          <w:rFonts w:cstheme="majorHAnsi"/>
          <w:sz w:val="22"/>
          <w:szCs w:val="22"/>
          <w:lang w:val="en-AU"/>
        </w:rPr>
        <w:t>Will Australia have to change any of its intellectual property laws?</w:t>
      </w:r>
    </w:p>
    <w:p w:rsidR="00B15311" w:rsidRPr="00727E2C" w:rsidRDefault="00727E2C" w:rsidP="00713023">
      <w:pPr>
        <w:pStyle w:val="NoSpacing"/>
        <w:spacing w:after="120" w:line="264" w:lineRule="auto"/>
        <w:rPr>
          <w:rFonts w:asciiTheme="majorHAnsi" w:hAnsiTheme="majorHAnsi" w:cstheme="majorHAnsi"/>
          <w:color w:val="auto"/>
        </w:rPr>
      </w:pPr>
      <w:r w:rsidRPr="00727E2C">
        <w:rPr>
          <w:rFonts w:asciiTheme="majorHAnsi" w:hAnsiTheme="majorHAnsi" w:cstheme="majorHAnsi"/>
          <w:color w:val="auto"/>
        </w:rPr>
        <w:t xml:space="preserve">No. </w:t>
      </w:r>
      <w:r w:rsidR="00A31A50" w:rsidRPr="00727E2C">
        <w:rPr>
          <w:rFonts w:asciiTheme="majorHAnsi" w:hAnsiTheme="majorHAnsi" w:cstheme="majorHAnsi"/>
          <w:color w:val="auto"/>
        </w:rPr>
        <w:t xml:space="preserve">The TPP Intellectual Property Chapter </w:t>
      </w:r>
      <w:r w:rsidR="002A6FD4" w:rsidRPr="00727E2C">
        <w:rPr>
          <w:rFonts w:asciiTheme="majorHAnsi" w:hAnsiTheme="majorHAnsi" w:cstheme="majorHAnsi"/>
          <w:color w:val="auto"/>
        </w:rPr>
        <w:t>is consistent with Australia’s existing intellectual property</w:t>
      </w:r>
      <w:r w:rsidR="0051652E" w:rsidRPr="00727E2C">
        <w:rPr>
          <w:rFonts w:asciiTheme="majorHAnsi" w:hAnsiTheme="majorHAnsi" w:cstheme="majorHAnsi"/>
          <w:color w:val="auto"/>
        </w:rPr>
        <w:t xml:space="preserve"> regime</w:t>
      </w:r>
      <w:r w:rsidR="008F7930">
        <w:rPr>
          <w:rFonts w:asciiTheme="minorHAnsi" w:hAnsiTheme="minorHAnsi" w:cstheme="minorHAnsi"/>
          <w:color w:val="auto"/>
        </w:rPr>
        <w:t>.</w:t>
      </w:r>
    </w:p>
    <w:p w:rsidR="00C21D78" w:rsidRPr="00836320" w:rsidRDefault="006247F9" w:rsidP="00713023">
      <w:pPr>
        <w:pStyle w:val="Heading1"/>
        <w:spacing w:before="0" w:after="120"/>
        <w:rPr>
          <w:rFonts w:cstheme="majorHAnsi"/>
          <w:sz w:val="22"/>
          <w:szCs w:val="22"/>
          <w:lang w:val="en-AU"/>
        </w:rPr>
      </w:pPr>
      <w:r>
        <w:rPr>
          <w:rFonts w:cstheme="majorHAnsi"/>
          <w:sz w:val="22"/>
          <w:szCs w:val="22"/>
          <w:lang w:val="en-AU"/>
        </w:rPr>
        <w:t>Will</w:t>
      </w:r>
      <w:r w:rsidR="00C21D78" w:rsidRPr="00836320">
        <w:rPr>
          <w:rFonts w:cstheme="majorHAnsi"/>
          <w:sz w:val="22"/>
          <w:szCs w:val="22"/>
          <w:lang w:val="en-AU"/>
        </w:rPr>
        <w:t xml:space="preserve"> </w:t>
      </w:r>
      <w:r w:rsidR="00727E2C">
        <w:rPr>
          <w:rFonts w:cstheme="majorHAnsi"/>
          <w:sz w:val="22"/>
          <w:szCs w:val="22"/>
          <w:lang w:val="en-AU"/>
        </w:rPr>
        <w:t>the I</w:t>
      </w:r>
      <w:r w:rsidR="00C21D78">
        <w:rPr>
          <w:rFonts w:cstheme="majorHAnsi"/>
          <w:sz w:val="22"/>
          <w:szCs w:val="22"/>
          <w:lang w:val="en-AU"/>
        </w:rPr>
        <w:t>ntellectual</w:t>
      </w:r>
      <w:r>
        <w:rPr>
          <w:rFonts w:cstheme="majorHAnsi"/>
          <w:sz w:val="22"/>
          <w:szCs w:val="22"/>
          <w:lang w:val="en-AU"/>
        </w:rPr>
        <w:t xml:space="preserve"> </w:t>
      </w:r>
      <w:r w:rsidR="00727E2C">
        <w:rPr>
          <w:rFonts w:cstheme="majorHAnsi"/>
          <w:sz w:val="22"/>
          <w:szCs w:val="22"/>
          <w:lang w:val="en-AU"/>
        </w:rPr>
        <w:t>P</w:t>
      </w:r>
      <w:r>
        <w:rPr>
          <w:rFonts w:cstheme="majorHAnsi"/>
          <w:sz w:val="22"/>
          <w:szCs w:val="22"/>
          <w:lang w:val="en-AU"/>
        </w:rPr>
        <w:t xml:space="preserve">roperty </w:t>
      </w:r>
      <w:r w:rsidR="00727E2C">
        <w:rPr>
          <w:rFonts w:cstheme="majorHAnsi"/>
          <w:sz w:val="22"/>
          <w:szCs w:val="22"/>
          <w:lang w:val="en-AU"/>
        </w:rPr>
        <w:t>Chapter</w:t>
      </w:r>
      <w:r>
        <w:rPr>
          <w:rFonts w:cstheme="majorHAnsi"/>
          <w:sz w:val="22"/>
          <w:szCs w:val="22"/>
          <w:lang w:val="en-AU"/>
        </w:rPr>
        <w:t xml:space="preserve"> of the TPP be subject to investor-state dispute settlement</w:t>
      </w:r>
      <w:r w:rsidR="00177DF1">
        <w:rPr>
          <w:rFonts w:cstheme="majorHAnsi"/>
          <w:sz w:val="22"/>
          <w:szCs w:val="22"/>
          <w:lang w:val="en-AU"/>
        </w:rPr>
        <w:t xml:space="preserve"> (ISDS)</w:t>
      </w:r>
      <w:r>
        <w:rPr>
          <w:rFonts w:cstheme="majorHAnsi"/>
          <w:sz w:val="22"/>
          <w:szCs w:val="22"/>
          <w:lang w:val="en-AU"/>
        </w:rPr>
        <w:t xml:space="preserve">?  </w:t>
      </w:r>
    </w:p>
    <w:p w:rsidR="00C21D78" w:rsidRPr="00177DF1" w:rsidRDefault="006247F9" w:rsidP="00713023">
      <w:pPr>
        <w:pStyle w:val="NoSpacing"/>
        <w:spacing w:after="120" w:line="264" w:lineRule="auto"/>
        <w:rPr>
          <w:rFonts w:asciiTheme="majorHAnsi" w:hAnsiTheme="majorHAnsi" w:cstheme="majorHAnsi"/>
          <w:color w:val="auto"/>
        </w:rPr>
      </w:pPr>
      <w:r w:rsidRPr="00177DF1">
        <w:rPr>
          <w:rFonts w:asciiTheme="majorHAnsi" w:hAnsiTheme="majorHAnsi" w:cstheme="majorHAnsi"/>
          <w:color w:val="auto"/>
        </w:rPr>
        <w:t>No.</w:t>
      </w:r>
      <w:r w:rsidR="00177DF1">
        <w:rPr>
          <w:rFonts w:asciiTheme="majorHAnsi" w:hAnsiTheme="majorHAnsi" w:cstheme="majorHAnsi"/>
          <w:color w:val="auto"/>
        </w:rPr>
        <w:t xml:space="preserve">  The Intellectual Property Chapter of the TPP cannot be directly enforced via ISDS.  </w:t>
      </w:r>
      <w:r w:rsidR="00177DF1" w:rsidRPr="00177DF1">
        <w:rPr>
          <w:rFonts w:asciiTheme="majorHAnsi" w:hAnsiTheme="majorHAnsi" w:cstheme="majorHAnsi"/>
          <w:color w:val="auto"/>
        </w:rPr>
        <w:t>An ISDS dispute under the TPP could only be brought in relation to intellectual property where there has been an alleged violation of a commitm</w:t>
      </w:r>
      <w:r w:rsidR="00177DF1">
        <w:rPr>
          <w:rFonts w:asciiTheme="majorHAnsi" w:hAnsiTheme="majorHAnsi" w:cstheme="majorHAnsi"/>
          <w:color w:val="auto"/>
        </w:rPr>
        <w:t>ent in the Investment chapter (see</w:t>
      </w:r>
      <w:r w:rsidR="00177DF1" w:rsidRPr="007B21DD">
        <w:rPr>
          <w:rFonts w:asciiTheme="majorHAnsi" w:hAnsiTheme="majorHAnsi" w:cstheme="majorHAnsi"/>
          <w:color w:val="auto"/>
        </w:rPr>
        <w:t xml:space="preserve"> </w:t>
      </w:r>
      <w:hyperlink r:id="rId9" w:history="1">
        <w:r w:rsidR="00177DF1" w:rsidRPr="007B21DD">
          <w:rPr>
            <w:rStyle w:val="Hyperlink"/>
            <w:rFonts w:asciiTheme="majorHAnsi" w:hAnsiTheme="majorHAnsi" w:cstheme="majorHAnsi"/>
          </w:rPr>
          <w:t>Investment: Outcomes</w:t>
        </w:r>
      </w:hyperlink>
      <w:r w:rsidR="00177DF1">
        <w:rPr>
          <w:rFonts w:asciiTheme="majorHAnsi" w:hAnsiTheme="majorHAnsi" w:cstheme="majorHAnsi"/>
          <w:color w:val="auto"/>
        </w:rPr>
        <w:t>)</w:t>
      </w:r>
      <w:r w:rsidR="00177DF1" w:rsidRPr="00177DF1">
        <w:rPr>
          <w:rFonts w:asciiTheme="majorHAnsi" w:hAnsiTheme="majorHAnsi" w:cstheme="majorHAnsi"/>
          <w:color w:val="auto"/>
        </w:rPr>
        <w:t>.</w:t>
      </w:r>
    </w:p>
    <w:p w:rsidR="002A6FD4" w:rsidRPr="008B572B" w:rsidRDefault="00B15311" w:rsidP="00713023">
      <w:pPr>
        <w:pStyle w:val="Heading1"/>
        <w:spacing w:before="0" w:after="120"/>
        <w:rPr>
          <w:rFonts w:cstheme="majorHAnsi"/>
          <w:sz w:val="22"/>
          <w:szCs w:val="22"/>
          <w:lang w:val="en-AU"/>
        </w:rPr>
      </w:pPr>
      <w:r w:rsidRPr="008B572B">
        <w:rPr>
          <w:rFonts w:cstheme="majorHAnsi"/>
          <w:sz w:val="22"/>
          <w:szCs w:val="22"/>
          <w:lang w:val="en-AU"/>
        </w:rPr>
        <w:t>Copyright</w:t>
      </w:r>
    </w:p>
    <w:p w:rsidR="00B15311" w:rsidRPr="00727E2C" w:rsidRDefault="00974B89" w:rsidP="00713023">
      <w:pPr>
        <w:pStyle w:val="NoSpacing"/>
        <w:spacing w:after="120" w:line="264" w:lineRule="auto"/>
        <w:rPr>
          <w:rFonts w:asciiTheme="majorHAnsi" w:hAnsiTheme="majorHAnsi" w:cstheme="majorHAnsi"/>
          <w:color w:val="auto"/>
        </w:rPr>
      </w:pPr>
      <w:r w:rsidRPr="00BF4C72">
        <w:rPr>
          <w:rFonts w:asciiTheme="majorHAnsi" w:hAnsiTheme="majorHAnsi" w:cstheme="majorHAnsi"/>
          <w:color w:val="auto"/>
          <w:lang w:val="en-AU"/>
        </w:rPr>
        <w:t>T</w:t>
      </w:r>
      <w:r w:rsidRPr="00BF4C72">
        <w:rPr>
          <w:rFonts w:asciiTheme="majorHAnsi" w:hAnsiTheme="majorHAnsi" w:cstheme="majorHAnsi"/>
          <w:color w:val="auto"/>
        </w:rPr>
        <w:t>he TPP will not require an increase in the term of copyright protection in Australia</w:t>
      </w:r>
      <w:r w:rsidR="00D36E92" w:rsidRPr="00BF4C72">
        <w:rPr>
          <w:rFonts w:asciiTheme="majorHAnsi" w:hAnsiTheme="majorHAnsi" w:cstheme="majorHAnsi"/>
          <w:color w:val="auto"/>
        </w:rPr>
        <w:t>,</w:t>
      </w:r>
      <w:r w:rsidR="006E16B6" w:rsidRPr="00BF4C72">
        <w:rPr>
          <w:rFonts w:asciiTheme="majorHAnsi" w:hAnsiTheme="majorHAnsi" w:cstheme="majorHAnsi"/>
          <w:color w:val="auto"/>
        </w:rPr>
        <w:t xml:space="preserve"> </w:t>
      </w:r>
      <w:proofErr w:type="gramStart"/>
      <w:r w:rsidR="00D2130D" w:rsidRPr="00BF4C72">
        <w:rPr>
          <w:rFonts w:asciiTheme="majorHAnsi" w:hAnsiTheme="majorHAnsi" w:cstheme="majorHAnsi"/>
          <w:color w:val="auto"/>
        </w:rPr>
        <w:t>n</w:t>
      </w:r>
      <w:r w:rsidRPr="00BF4C72">
        <w:rPr>
          <w:rFonts w:asciiTheme="majorHAnsi" w:hAnsiTheme="majorHAnsi" w:cstheme="majorHAnsi"/>
          <w:color w:val="auto"/>
        </w:rPr>
        <w:t>or</w:t>
      </w:r>
      <w:proofErr w:type="gramEnd"/>
      <w:r w:rsidRPr="00BF4C72">
        <w:rPr>
          <w:rFonts w:asciiTheme="majorHAnsi" w:hAnsiTheme="majorHAnsi" w:cstheme="majorHAnsi"/>
          <w:color w:val="auto"/>
        </w:rPr>
        <w:t xml:space="preserve"> the introduction of new civil remedies or criminal penalties for copyright infringement. </w:t>
      </w:r>
      <w:r w:rsidR="006E16B6" w:rsidRPr="00BF4C72">
        <w:rPr>
          <w:rFonts w:asciiTheme="majorHAnsi" w:hAnsiTheme="majorHAnsi" w:cstheme="majorHAnsi"/>
          <w:color w:val="auto"/>
        </w:rPr>
        <w:t xml:space="preserve"> </w:t>
      </w:r>
      <w:r w:rsidR="00727E2C" w:rsidRPr="00BF4C72">
        <w:rPr>
          <w:rFonts w:asciiTheme="majorHAnsi" w:hAnsiTheme="majorHAnsi" w:cstheme="majorHAnsi"/>
          <w:color w:val="auto"/>
        </w:rPr>
        <w:t xml:space="preserve">The TPP will not require </w:t>
      </w:r>
      <w:r w:rsidR="00DB5E8A">
        <w:rPr>
          <w:rFonts w:asciiTheme="majorHAnsi" w:hAnsiTheme="majorHAnsi" w:cstheme="majorHAnsi"/>
          <w:color w:val="auto"/>
        </w:rPr>
        <w:t>ISPs</w:t>
      </w:r>
      <w:r w:rsidR="00727E2C" w:rsidRPr="00BF4C72">
        <w:rPr>
          <w:rFonts w:asciiTheme="majorHAnsi" w:hAnsiTheme="majorHAnsi" w:cstheme="majorHAnsi"/>
          <w:color w:val="auto"/>
        </w:rPr>
        <w:t xml:space="preserve"> to </w:t>
      </w:r>
      <w:proofErr w:type="gramStart"/>
      <w:r w:rsidR="00727E2C" w:rsidRPr="00BF4C72">
        <w:rPr>
          <w:rFonts w:asciiTheme="majorHAnsi" w:hAnsiTheme="majorHAnsi" w:cstheme="majorHAnsi"/>
          <w:color w:val="auto"/>
        </w:rPr>
        <w:t>monitor,</w:t>
      </w:r>
      <w:proofErr w:type="gramEnd"/>
      <w:r w:rsidR="00727E2C" w:rsidRPr="00BF4C72">
        <w:rPr>
          <w:rFonts w:asciiTheme="majorHAnsi" w:hAnsiTheme="majorHAnsi" w:cstheme="majorHAnsi"/>
          <w:color w:val="auto"/>
        </w:rPr>
        <w:t xml:space="preserve"> report or </w:t>
      </w:r>
      <w:proofErr w:type="spellStart"/>
      <w:r w:rsidR="00727E2C" w:rsidRPr="00BF4C72">
        <w:rPr>
          <w:rFonts w:asciiTheme="majorHAnsi" w:hAnsiTheme="majorHAnsi" w:cstheme="majorHAnsi"/>
          <w:color w:val="auto"/>
        </w:rPr>
        <w:t>penalise</w:t>
      </w:r>
      <w:proofErr w:type="spellEnd"/>
      <w:r w:rsidR="00727E2C" w:rsidRPr="00BF4C72">
        <w:rPr>
          <w:rFonts w:asciiTheme="majorHAnsi" w:hAnsiTheme="majorHAnsi" w:cstheme="majorHAnsi"/>
          <w:color w:val="auto"/>
        </w:rPr>
        <w:t xml:space="preserve"> copyright infringement. </w:t>
      </w:r>
      <w:r w:rsidR="00DB5E8A">
        <w:rPr>
          <w:rFonts w:asciiTheme="majorHAnsi" w:hAnsiTheme="majorHAnsi" w:cstheme="majorHAnsi"/>
          <w:color w:val="auto"/>
        </w:rPr>
        <w:t xml:space="preserve"> </w:t>
      </w:r>
      <w:r w:rsidR="00727E2C" w:rsidRPr="00BF4C72">
        <w:rPr>
          <w:rFonts w:asciiTheme="majorHAnsi" w:hAnsiTheme="majorHAnsi" w:cstheme="majorHAnsi"/>
          <w:color w:val="auto"/>
        </w:rPr>
        <w:t xml:space="preserve">The TPP </w:t>
      </w:r>
      <w:r w:rsidR="00A97C1D">
        <w:rPr>
          <w:rFonts w:asciiTheme="majorHAnsi" w:hAnsiTheme="majorHAnsi" w:cstheme="majorHAnsi"/>
          <w:color w:val="auto"/>
        </w:rPr>
        <w:t>standard is consistent with</w:t>
      </w:r>
      <w:r w:rsidR="00727E2C" w:rsidRPr="00BF4C72">
        <w:rPr>
          <w:rFonts w:asciiTheme="majorHAnsi" w:hAnsiTheme="majorHAnsi" w:cstheme="majorHAnsi"/>
          <w:color w:val="auto"/>
        </w:rPr>
        <w:t xml:space="preserve"> Australia’s existing ISP liability regime</w:t>
      </w:r>
      <w:r w:rsidR="00727E2C" w:rsidRPr="00727E2C">
        <w:rPr>
          <w:rFonts w:asciiTheme="minorHAnsi" w:hAnsiTheme="minorHAnsi" w:cstheme="minorHAnsi"/>
          <w:color w:val="auto"/>
        </w:rPr>
        <w:t>.</w:t>
      </w:r>
    </w:p>
    <w:p w:rsidR="00B15311" w:rsidRPr="002E6D8A" w:rsidRDefault="00B15311" w:rsidP="00713023">
      <w:pPr>
        <w:pStyle w:val="Heading1"/>
        <w:spacing w:before="0" w:after="120"/>
        <w:rPr>
          <w:rFonts w:cstheme="majorHAnsi"/>
          <w:sz w:val="22"/>
          <w:szCs w:val="22"/>
          <w:lang w:val="en-AU"/>
        </w:rPr>
      </w:pPr>
      <w:r w:rsidRPr="002E6D8A">
        <w:rPr>
          <w:rFonts w:cstheme="majorHAnsi"/>
          <w:sz w:val="22"/>
          <w:szCs w:val="22"/>
          <w:lang w:val="en-AU"/>
        </w:rPr>
        <w:t>Patents</w:t>
      </w:r>
      <w:r w:rsidR="00625AB6" w:rsidRPr="002E6D8A">
        <w:rPr>
          <w:rFonts w:cstheme="majorHAnsi"/>
          <w:sz w:val="22"/>
          <w:szCs w:val="22"/>
          <w:lang w:val="en-AU"/>
        </w:rPr>
        <w:t xml:space="preserve"> and regulatory data protection</w:t>
      </w:r>
      <w:bookmarkStart w:id="0" w:name="_GoBack"/>
      <w:bookmarkEnd w:id="0"/>
    </w:p>
    <w:p w:rsidR="00727E2C" w:rsidRPr="00BA3129" w:rsidRDefault="00E26B00" w:rsidP="00713023">
      <w:pPr>
        <w:pStyle w:val="NoSpacing"/>
        <w:spacing w:after="120" w:line="264" w:lineRule="auto"/>
        <w:rPr>
          <w:rFonts w:asciiTheme="majorHAnsi" w:hAnsiTheme="majorHAnsi" w:cstheme="majorHAnsi"/>
          <w:color w:val="41748D" w:themeColor="accent5"/>
        </w:rPr>
      </w:pPr>
      <w:r w:rsidRPr="002E6D8A">
        <w:rPr>
          <w:rFonts w:asciiTheme="majorHAnsi" w:hAnsiTheme="majorHAnsi" w:cstheme="majorHAnsi"/>
          <w:color w:val="000000"/>
        </w:rPr>
        <w:t>The TPP outcome will not require any changes to Australia’s patent system</w:t>
      </w:r>
      <w:r w:rsidR="00F4346C" w:rsidRPr="002E6D8A">
        <w:rPr>
          <w:rFonts w:asciiTheme="majorHAnsi" w:hAnsiTheme="majorHAnsi" w:cstheme="majorHAnsi"/>
          <w:color w:val="000000"/>
        </w:rPr>
        <w:t xml:space="preserve"> or </w:t>
      </w:r>
      <w:r w:rsidR="00625AB6" w:rsidRPr="002E6D8A">
        <w:rPr>
          <w:rFonts w:asciiTheme="majorHAnsi" w:hAnsiTheme="majorHAnsi" w:cstheme="majorHAnsi"/>
          <w:color w:val="000000"/>
        </w:rPr>
        <w:t xml:space="preserve">regulatory </w:t>
      </w:r>
      <w:r w:rsidR="00F4346C" w:rsidRPr="002E6D8A">
        <w:rPr>
          <w:rFonts w:asciiTheme="majorHAnsi" w:hAnsiTheme="majorHAnsi" w:cstheme="majorHAnsi"/>
          <w:color w:val="000000"/>
        </w:rPr>
        <w:t xml:space="preserve">data protection </w:t>
      </w:r>
      <w:r w:rsidR="00F4346C" w:rsidRPr="00727E2C">
        <w:rPr>
          <w:rFonts w:asciiTheme="majorHAnsi" w:hAnsiTheme="majorHAnsi" w:cstheme="majorHAnsi"/>
          <w:color w:val="auto"/>
        </w:rPr>
        <w:t>arrangements</w:t>
      </w:r>
      <w:r w:rsidRPr="00727E2C">
        <w:rPr>
          <w:rFonts w:asciiTheme="majorHAnsi" w:hAnsiTheme="majorHAnsi" w:cstheme="majorHAnsi"/>
          <w:color w:val="auto"/>
        </w:rPr>
        <w:t>,</w:t>
      </w:r>
      <w:r w:rsidR="00BA3129">
        <w:rPr>
          <w:rFonts w:asciiTheme="majorHAnsi" w:hAnsiTheme="majorHAnsi" w:cstheme="majorHAnsi"/>
          <w:color w:val="auto"/>
        </w:rPr>
        <w:t xml:space="preserve"> </w:t>
      </w:r>
      <w:r w:rsidRPr="00727E2C">
        <w:rPr>
          <w:rFonts w:asciiTheme="majorHAnsi" w:hAnsiTheme="majorHAnsi" w:cstheme="majorHAnsi"/>
          <w:color w:val="auto"/>
        </w:rPr>
        <w:t xml:space="preserve">including </w:t>
      </w:r>
      <w:r w:rsidR="00DD45C0" w:rsidRPr="00727E2C">
        <w:rPr>
          <w:rFonts w:asciiTheme="majorHAnsi" w:hAnsiTheme="majorHAnsi" w:cstheme="majorHAnsi"/>
          <w:color w:val="auto"/>
        </w:rPr>
        <w:t>patent</w:t>
      </w:r>
      <w:r w:rsidR="00F4346C" w:rsidRPr="00727E2C">
        <w:rPr>
          <w:rFonts w:asciiTheme="majorHAnsi" w:hAnsiTheme="majorHAnsi" w:cstheme="majorHAnsi"/>
          <w:color w:val="auto"/>
        </w:rPr>
        <w:t xml:space="preserve"> term</w:t>
      </w:r>
      <w:r w:rsidR="00DD45C0" w:rsidRPr="00727E2C">
        <w:rPr>
          <w:rFonts w:asciiTheme="majorHAnsi" w:hAnsiTheme="majorHAnsi" w:cstheme="majorHAnsi"/>
          <w:color w:val="auto"/>
        </w:rPr>
        <w:t xml:space="preserve"> </w:t>
      </w:r>
      <w:r w:rsidR="00F4346C" w:rsidRPr="00727E2C">
        <w:rPr>
          <w:rFonts w:asciiTheme="majorHAnsi" w:hAnsiTheme="majorHAnsi" w:cstheme="majorHAnsi"/>
          <w:color w:val="auto"/>
        </w:rPr>
        <w:t>and the</w:t>
      </w:r>
      <w:r w:rsidR="00DD45C0" w:rsidRPr="00727E2C">
        <w:rPr>
          <w:rFonts w:asciiTheme="majorHAnsi" w:hAnsiTheme="majorHAnsi" w:cstheme="majorHAnsi"/>
          <w:color w:val="auto"/>
        </w:rPr>
        <w:t xml:space="preserve"> </w:t>
      </w:r>
      <w:r w:rsidR="00F4346C" w:rsidRPr="00727E2C">
        <w:rPr>
          <w:rFonts w:asciiTheme="majorHAnsi" w:hAnsiTheme="majorHAnsi" w:cstheme="majorHAnsi"/>
          <w:color w:val="auto"/>
        </w:rPr>
        <w:t xml:space="preserve">length of </w:t>
      </w:r>
      <w:r w:rsidR="00DD45C0" w:rsidRPr="00727E2C">
        <w:rPr>
          <w:rFonts w:asciiTheme="majorHAnsi" w:hAnsiTheme="majorHAnsi" w:cstheme="majorHAnsi"/>
          <w:color w:val="auto"/>
        </w:rPr>
        <w:t>data protection for</w:t>
      </w:r>
      <w:r w:rsidR="00A967EE" w:rsidRPr="00727E2C">
        <w:rPr>
          <w:rFonts w:asciiTheme="majorHAnsi" w:hAnsiTheme="majorHAnsi" w:cstheme="majorHAnsi"/>
          <w:color w:val="auto"/>
        </w:rPr>
        <w:t xml:space="preserve"> pharmaceutical</w:t>
      </w:r>
      <w:r w:rsidRPr="00727E2C">
        <w:rPr>
          <w:rFonts w:asciiTheme="majorHAnsi" w:hAnsiTheme="majorHAnsi" w:cstheme="majorHAnsi"/>
          <w:color w:val="auto"/>
        </w:rPr>
        <w:t xml:space="preserve"> </w:t>
      </w:r>
      <w:r w:rsidR="00936A16" w:rsidRPr="00727E2C">
        <w:rPr>
          <w:rFonts w:asciiTheme="majorHAnsi" w:hAnsiTheme="majorHAnsi" w:cstheme="majorHAnsi"/>
          <w:color w:val="auto"/>
        </w:rPr>
        <w:t>products</w:t>
      </w:r>
      <w:r w:rsidR="00A97C1D">
        <w:rPr>
          <w:rFonts w:asciiTheme="majorHAnsi" w:hAnsiTheme="majorHAnsi" w:cstheme="majorHAnsi"/>
          <w:color w:val="auto"/>
        </w:rPr>
        <w:t>. The TPP will not</w:t>
      </w:r>
      <w:r w:rsidR="002018CE">
        <w:rPr>
          <w:rFonts w:asciiTheme="majorHAnsi" w:hAnsiTheme="majorHAnsi" w:cstheme="majorHAnsi"/>
          <w:color w:val="auto"/>
        </w:rPr>
        <w:t xml:space="preserve"> have any impact on Australia’s Pharmaceutical Benefits Scheme </w:t>
      </w:r>
      <w:r w:rsidR="00A97C1D">
        <w:rPr>
          <w:rFonts w:asciiTheme="majorHAnsi" w:hAnsiTheme="majorHAnsi" w:cstheme="majorHAnsi"/>
          <w:color w:val="auto"/>
        </w:rPr>
        <w:t>or timely</w:t>
      </w:r>
      <w:r w:rsidR="002018CE">
        <w:rPr>
          <w:rFonts w:asciiTheme="majorHAnsi" w:hAnsiTheme="majorHAnsi" w:cstheme="majorHAnsi"/>
          <w:color w:val="auto"/>
        </w:rPr>
        <w:t xml:space="preserve"> access to affordable medicines</w:t>
      </w:r>
      <w:r w:rsidR="00BA3129">
        <w:rPr>
          <w:rFonts w:asciiTheme="majorHAnsi" w:hAnsiTheme="majorHAnsi" w:cstheme="majorHAnsi"/>
          <w:color w:val="auto"/>
        </w:rPr>
        <w:t xml:space="preserve">.  For more information, see: </w:t>
      </w:r>
      <w:hyperlink r:id="rId10" w:history="1">
        <w:r w:rsidR="00BA3129" w:rsidRPr="007B21DD">
          <w:rPr>
            <w:rStyle w:val="Hyperlink"/>
            <w:rFonts w:asciiTheme="majorHAnsi" w:hAnsiTheme="majorHAnsi" w:cstheme="majorHAnsi"/>
          </w:rPr>
          <w:t>Outcomes:  Biologics</w:t>
        </w:r>
      </w:hyperlink>
      <w:r w:rsidR="00BA3129" w:rsidRPr="007B21DD">
        <w:rPr>
          <w:rFonts w:asciiTheme="majorHAnsi" w:hAnsiTheme="majorHAnsi" w:cstheme="majorHAnsi"/>
          <w:color w:val="auto"/>
        </w:rPr>
        <w:t xml:space="preserve"> and </w:t>
      </w:r>
      <w:hyperlink r:id="rId11" w:history="1">
        <w:r w:rsidR="00BA3129" w:rsidRPr="007B21DD">
          <w:rPr>
            <w:rStyle w:val="Hyperlink"/>
            <w:rFonts w:asciiTheme="majorHAnsi" w:hAnsiTheme="majorHAnsi" w:cstheme="majorHAnsi"/>
          </w:rPr>
          <w:t>Outcomes: Health</w:t>
        </w:r>
      </w:hyperlink>
      <w:r w:rsidR="00BA3129" w:rsidRPr="007B21DD">
        <w:rPr>
          <w:rFonts w:asciiTheme="majorHAnsi" w:hAnsiTheme="majorHAnsi" w:cstheme="majorHAnsi"/>
          <w:color w:val="auto"/>
        </w:rPr>
        <w:t>.</w:t>
      </w:r>
    </w:p>
    <w:p w:rsidR="00727E2C" w:rsidRPr="00974B89" w:rsidRDefault="00727E2C" w:rsidP="00713023">
      <w:pPr>
        <w:pStyle w:val="Heading1"/>
        <w:spacing w:before="0" w:after="120"/>
        <w:rPr>
          <w:rFonts w:cstheme="majorHAnsi"/>
          <w:sz w:val="22"/>
          <w:szCs w:val="22"/>
          <w:lang w:val="en-AU"/>
        </w:rPr>
      </w:pPr>
      <w:r w:rsidRPr="00974B89">
        <w:rPr>
          <w:rFonts w:cstheme="majorHAnsi"/>
          <w:sz w:val="22"/>
          <w:szCs w:val="22"/>
          <w:lang w:val="en-AU"/>
        </w:rPr>
        <w:t xml:space="preserve">Parallel importation </w:t>
      </w:r>
    </w:p>
    <w:p w:rsidR="008F7930" w:rsidRPr="00727E2C" w:rsidRDefault="00727E2C" w:rsidP="00713023">
      <w:pPr>
        <w:pStyle w:val="NoSpacing"/>
        <w:spacing w:after="120" w:line="264" w:lineRule="auto"/>
        <w:rPr>
          <w:rFonts w:asciiTheme="minorHAnsi" w:hAnsiTheme="minorHAnsi" w:cstheme="minorHAnsi"/>
          <w:color w:val="auto"/>
        </w:rPr>
      </w:pPr>
      <w:r w:rsidRPr="00974B89">
        <w:rPr>
          <w:rFonts w:asciiTheme="minorHAnsi" w:hAnsiTheme="minorHAnsi" w:cstheme="minorHAnsi"/>
          <w:color w:val="auto"/>
        </w:rPr>
        <w:t xml:space="preserve">The Intellectual Property Chapter </w:t>
      </w:r>
      <w:r w:rsidR="008F7930" w:rsidRPr="00974B89">
        <w:rPr>
          <w:rFonts w:asciiTheme="minorHAnsi" w:hAnsiTheme="minorHAnsi" w:cstheme="minorHAnsi"/>
          <w:color w:val="auto"/>
        </w:rPr>
        <w:t xml:space="preserve">does not impose any </w:t>
      </w:r>
      <w:r w:rsidR="00B604B5">
        <w:rPr>
          <w:rFonts w:asciiTheme="minorHAnsi" w:hAnsiTheme="minorHAnsi" w:cstheme="minorHAnsi"/>
          <w:color w:val="auto"/>
        </w:rPr>
        <w:t xml:space="preserve">new </w:t>
      </w:r>
      <w:r w:rsidR="008F7930" w:rsidRPr="00974B89">
        <w:rPr>
          <w:rFonts w:asciiTheme="minorHAnsi" w:hAnsiTheme="minorHAnsi" w:cstheme="minorHAnsi"/>
          <w:color w:val="auto"/>
        </w:rPr>
        <w:t>restrictions on Australia’s ability to allow for parallel imports</w:t>
      </w:r>
      <w:r w:rsidR="008F7930" w:rsidRPr="00727E2C">
        <w:rPr>
          <w:rFonts w:asciiTheme="minorHAnsi" w:hAnsiTheme="minorHAnsi" w:cstheme="minorHAnsi"/>
          <w:color w:val="auto"/>
        </w:rPr>
        <w:t>.</w:t>
      </w:r>
      <w:r w:rsidR="00B604B5">
        <w:rPr>
          <w:rFonts w:asciiTheme="minorHAnsi" w:hAnsiTheme="minorHAnsi" w:cstheme="minorHAnsi"/>
          <w:color w:val="auto"/>
        </w:rPr>
        <w:t xml:space="preserve"> </w:t>
      </w:r>
      <w:r w:rsidR="008F7930">
        <w:rPr>
          <w:rFonts w:asciiTheme="minorHAnsi" w:hAnsiTheme="minorHAnsi" w:cstheme="minorHAnsi"/>
          <w:color w:val="auto"/>
        </w:rPr>
        <w:t xml:space="preserve">The TPP </w:t>
      </w:r>
      <w:r w:rsidRPr="00974B89">
        <w:rPr>
          <w:rFonts w:asciiTheme="minorHAnsi" w:hAnsiTheme="minorHAnsi" w:cstheme="minorHAnsi"/>
          <w:color w:val="auto"/>
        </w:rPr>
        <w:t xml:space="preserve">leaves the issue of </w:t>
      </w:r>
      <w:r>
        <w:rPr>
          <w:rFonts w:asciiTheme="minorHAnsi" w:hAnsiTheme="minorHAnsi" w:cstheme="minorHAnsi"/>
          <w:color w:val="auto"/>
        </w:rPr>
        <w:t>‘</w:t>
      </w:r>
      <w:r w:rsidRPr="00974B89">
        <w:rPr>
          <w:rFonts w:asciiTheme="minorHAnsi" w:hAnsiTheme="minorHAnsi" w:cstheme="minorHAnsi"/>
          <w:color w:val="auto"/>
        </w:rPr>
        <w:t>international exhaustion</w:t>
      </w:r>
      <w:r>
        <w:rPr>
          <w:rFonts w:asciiTheme="minorHAnsi" w:hAnsiTheme="minorHAnsi" w:cstheme="minorHAnsi"/>
          <w:color w:val="auto"/>
        </w:rPr>
        <w:t>’</w:t>
      </w:r>
      <w:r w:rsidRPr="00974B8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of intellectual property rights </w:t>
      </w:r>
      <w:r w:rsidRPr="00974B89">
        <w:rPr>
          <w:rFonts w:asciiTheme="minorHAnsi" w:hAnsiTheme="minorHAnsi" w:cstheme="minorHAnsi"/>
          <w:color w:val="auto"/>
        </w:rPr>
        <w:t xml:space="preserve">for </w:t>
      </w:r>
      <w:r>
        <w:rPr>
          <w:rFonts w:asciiTheme="minorHAnsi" w:hAnsiTheme="minorHAnsi" w:cstheme="minorHAnsi"/>
          <w:color w:val="auto"/>
        </w:rPr>
        <w:t>each TPP country</w:t>
      </w:r>
      <w:r w:rsidRPr="00974B89">
        <w:rPr>
          <w:rFonts w:asciiTheme="minorHAnsi" w:hAnsiTheme="minorHAnsi" w:cstheme="minorHAnsi"/>
          <w:color w:val="auto"/>
        </w:rPr>
        <w:t xml:space="preserve"> to determine</w:t>
      </w:r>
      <w:r>
        <w:rPr>
          <w:rFonts w:asciiTheme="minorHAnsi" w:hAnsiTheme="minorHAnsi" w:cstheme="minorHAnsi"/>
          <w:color w:val="auto"/>
        </w:rPr>
        <w:t xml:space="preserve"> for itself</w:t>
      </w:r>
      <w:r w:rsidR="00B604B5">
        <w:rPr>
          <w:rFonts w:asciiTheme="minorHAnsi" w:hAnsiTheme="minorHAnsi" w:cstheme="minorHAnsi"/>
          <w:color w:val="auto"/>
        </w:rPr>
        <w:t>.</w:t>
      </w:r>
      <w:r w:rsidRPr="00974B89">
        <w:rPr>
          <w:rFonts w:asciiTheme="minorHAnsi" w:hAnsiTheme="minorHAnsi" w:cstheme="minorHAnsi"/>
          <w:color w:val="auto"/>
        </w:rPr>
        <w:t xml:space="preserve"> </w:t>
      </w:r>
    </w:p>
    <w:sectPr w:rsidR="008F7930" w:rsidRPr="00727E2C" w:rsidSect="00032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4F" w:rsidRDefault="0088024F" w:rsidP="00E8641D">
      <w:pPr>
        <w:spacing w:line="240" w:lineRule="auto"/>
      </w:pPr>
      <w:r>
        <w:separator/>
      </w:r>
    </w:p>
  </w:endnote>
  <w:endnote w:type="continuationSeparator" w:id="0">
    <w:p w:rsidR="0088024F" w:rsidRDefault="0088024F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2" w:rsidRDefault="002C2102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2102" w:rsidRDefault="002C2102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2" w:rsidRDefault="002C2102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023">
      <w:rPr>
        <w:rStyle w:val="PageNumber"/>
        <w:noProof/>
      </w:rPr>
      <w:t>2</w:t>
    </w:r>
    <w:r>
      <w:rPr>
        <w:rStyle w:val="PageNumber"/>
      </w:rPr>
      <w:fldChar w:fldCharType="end"/>
    </w:r>
  </w:p>
  <w:p w:rsidR="002C2102" w:rsidRDefault="002C2102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7B21DD">
      <w:rPr>
        <w:noProof/>
        <w:lang w:val="en-AU"/>
      </w:rPr>
      <w:t>15.10.2015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2" w:rsidRDefault="002C2102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7B21DD">
      <w:rPr>
        <w:noProof/>
        <w:lang w:val="en-AU"/>
      </w:rPr>
      <w:t>15.10.2015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 xml:space="preserve">http://dfat.gov.au/trade/agreements/tpp/ </w:t>
    </w:r>
    <w:r>
      <w:rPr>
        <w:noProof/>
        <w:lang w:val="en-AU" w:eastAsia="en-AU"/>
      </w:rPr>
      <w:drawing>
        <wp:anchor distT="360045" distB="0" distL="114300" distR="114300" simplePos="0" relativeHeight="251657216" behindDoc="1" locked="0" layoutInCell="1" allowOverlap="1" wp14:anchorId="7C9994F8" wp14:editId="39434CB5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4F" w:rsidRDefault="0088024F" w:rsidP="00E8641D">
      <w:pPr>
        <w:spacing w:line="240" w:lineRule="auto"/>
      </w:pPr>
      <w:r>
        <w:separator/>
      </w:r>
    </w:p>
  </w:footnote>
  <w:footnote w:type="continuationSeparator" w:id="0">
    <w:p w:rsidR="0088024F" w:rsidRDefault="0088024F" w:rsidP="00E86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2" w:rsidRDefault="002C2102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4111892D" wp14:editId="537901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2" w:rsidRDefault="002C2102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6192" behindDoc="1" locked="0" layoutInCell="1" allowOverlap="1" wp14:anchorId="44940E1B" wp14:editId="6DBBEDC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E41A3"/>
    <w:multiLevelType w:val="hybridMultilevel"/>
    <w:tmpl w:val="48903392"/>
    <w:lvl w:ilvl="0" w:tplc="C6A8D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1"/>
    <w:rsid w:val="000279EE"/>
    <w:rsid w:val="00032CE3"/>
    <w:rsid w:val="000374ED"/>
    <w:rsid w:val="00060679"/>
    <w:rsid w:val="000710C7"/>
    <w:rsid w:val="00082F3B"/>
    <w:rsid w:val="0009261C"/>
    <w:rsid w:val="00096A49"/>
    <w:rsid w:val="00177DF1"/>
    <w:rsid w:val="001B06BB"/>
    <w:rsid w:val="001C13A2"/>
    <w:rsid w:val="001F30A4"/>
    <w:rsid w:val="002018CE"/>
    <w:rsid w:val="002068EB"/>
    <w:rsid w:val="00215DE3"/>
    <w:rsid w:val="0022171A"/>
    <w:rsid w:val="00242100"/>
    <w:rsid w:val="002908C3"/>
    <w:rsid w:val="002A6FD4"/>
    <w:rsid w:val="002C2102"/>
    <w:rsid w:val="002E1149"/>
    <w:rsid w:val="002E6D8A"/>
    <w:rsid w:val="002E782E"/>
    <w:rsid w:val="002F219F"/>
    <w:rsid w:val="002F53B1"/>
    <w:rsid w:val="00306851"/>
    <w:rsid w:val="00310F1F"/>
    <w:rsid w:val="00352740"/>
    <w:rsid w:val="00395BC2"/>
    <w:rsid w:val="003A7174"/>
    <w:rsid w:val="003B70CA"/>
    <w:rsid w:val="003B7465"/>
    <w:rsid w:val="003C053D"/>
    <w:rsid w:val="00401E7C"/>
    <w:rsid w:val="0041598E"/>
    <w:rsid w:val="00423641"/>
    <w:rsid w:val="00493973"/>
    <w:rsid w:val="004A5B17"/>
    <w:rsid w:val="004B2171"/>
    <w:rsid w:val="004C0BAB"/>
    <w:rsid w:val="004C1D59"/>
    <w:rsid w:val="004C5EB3"/>
    <w:rsid w:val="004D46C4"/>
    <w:rsid w:val="004E2E07"/>
    <w:rsid w:val="0051652E"/>
    <w:rsid w:val="00523554"/>
    <w:rsid w:val="00524922"/>
    <w:rsid w:val="005258AC"/>
    <w:rsid w:val="00527A72"/>
    <w:rsid w:val="00570813"/>
    <w:rsid w:val="00576FDA"/>
    <w:rsid w:val="005815FC"/>
    <w:rsid w:val="005F24B6"/>
    <w:rsid w:val="006247F9"/>
    <w:rsid w:val="00625AB6"/>
    <w:rsid w:val="00646A34"/>
    <w:rsid w:val="00656A35"/>
    <w:rsid w:val="00657632"/>
    <w:rsid w:val="006929D7"/>
    <w:rsid w:val="006B3695"/>
    <w:rsid w:val="006C35A4"/>
    <w:rsid w:val="006C7DDC"/>
    <w:rsid w:val="006E16B6"/>
    <w:rsid w:val="006F4F7E"/>
    <w:rsid w:val="007074D3"/>
    <w:rsid w:val="00713023"/>
    <w:rsid w:val="00727E2C"/>
    <w:rsid w:val="00734D94"/>
    <w:rsid w:val="00734E00"/>
    <w:rsid w:val="007954F4"/>
    <w:rsid w:val="0079782B"/>
    <w:rsid w:val="007A6F6F"/>
    <w:rsid w:val="007A7F2C"/>
    <w:rsid w:val="007B21DD"/>
    <w:rsid w:val="007C57D5"/>
    <w:rsid w:val="007E5B62"/>
    <w:rsid w:val="00800FFE"/>
    <w:rsid w:val="0083184A"/>
    <w:rsid w:val="00836320"/>
    <w:rsid w:val="0088024F"/>
    <w:rsid w:val="0089567B"/>
    <w:rsid w:val="008971F2"/>
    <w:rsid w:val="008A7C83"/>
    <w:rsid w:val="008B572B"/>
    <w:rsid w:val="008F34D2"/>
    <w:rsid w:val="008F7930"/>
    <w:rsid w:val="00932C30"/>
    <w:rsid w:val="00936A16"/>
    <w:rsid w:val="00944A99"/>
    <w:rsid w:val="00944F40"/>
    <w:rsid w:val="009502C4"/>
    <w:rsid w:val="009606BB"/>
    <w:rsid w:val="009633F2"/>
    <w:rsid w:val="00974327"/>
    <w:rsid w:val="00974B89"/>
    <w:rsid w:val="009920DE"/>
    <w:rsid w:val="00993BF6"/>
    <w:rsid w:val="009A7633"/>
    <w:rsid w:val="009D738E"/>
    <w:rsid w:val="009D7574"/>
    <w:rsid w:val="009E727B"/>
    <w:rsid w:val="009F6392"/>
    <w:rsid w:val="00A21810"/>
    <w:rsid w:val="00A31A50"/>
    <w:rsid w:val="00A967EE"/>
    <w:rsid w:val="00A97C1D"/>
    <w:rsid w:val="00AA709D"/>
    <w:rsid w:val="00AD4C0C"/>
    <w:rsid w:val="00AD50EB"/>
    <w:rsid w:val="00AE2862"/>
    <w:rsid w:val="00AF5C3A"/>
    <w:rsid w:val="00AF6E2A"/>
    <w:rsid w:val="00B02E1F"/>
    <w:rsid w:val="00B06967"/>
    <w:rsid w:val="00B15311"/>
    <w:rsid w:val="00B1623D"/>
    <w:rsid w:val="00B2767F"/>
    <w:rsid w:val="00B43E46"/>
    <w:rsid w:val="00B604B5"/>
    <w:rsid w:val="00B6351E"/>
    <w:rsid w:val="00B829A9"/>
    <w:rsid w:val="00B95C02"/>
    <w:rsid w:val="00BA3129"/>
    <w:rsid w:val="00BF4C72"/>
    <w:rsid w:val="00C14483"/>
    <w:rsid w:val="00C21D78"/>
    <w:rsid w:val="00C61AFF"/>
    <w:rsid w:val="00C81FC7"/>
    <w:rsid w:val="00C926CB"/>
    <w:rsid w:val="00C939D5"/>
    <w:rsid w:val="00CA5B6B"/>
    <w:rsid w:val="00D2130D"/>
    <w:rsid w:val="00D36E92"/>
    <w:rsid w:val="00D71944"/>
    <w:rsid w:val="00DB5E8A"/>
    <w:rsid w:val="00DC5B75"/>
    <w:rsid w:val="00DD45C0"/>
    <w:rsid w:val="00DF0929"/>
    <w:rsid w:val="00E26B00"/>
    <w:rsid w:val="00E3712A"/>
    <w:rsid w:val="00E409A1"/>
    <w:rsid w:val="00E50CAF"/>
    <w:rsid w:val="00E75C7B"/>
    <w:rsid w:val="00E8192A"/>
    <w:rsid w:val="00E8641D"/>
    <w:rsid w:val="00EA0F94"/>
    <w:rsid w:val="00EA1200"/>
    <w:rsid w:val="00EB7E39"/>
    <w:rsid w:val="00EC1CDD"/>
    <w:rsid w:val="00EC62D6"/>
    <w:rsid w:val="00EE7A01"/>
    <w:rsid w:val="00EF5951"/>
    <w:rsid w:val="00EF7D96"/>
    <w:rsid w:val="00F00022"/>
    <w:rsid w:val="00F02EC7"/>
    <w:rsid w:val="00F14106"/>
    <w:rsid w:val="00F14C62"/>
    <w:rsid w:val="00F15FDC"/>
    <w:rsid w:val="00F202F2"/>
    <w:rsid w:val="00F4346C"/>
    <w:rsid w:val="00F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paragraph" w:styleId="NormalWeb">
    <w:name w:val="Normal (Web)"/>
    <w:basedOn w:val="Normal"/>
    <w:uiPriority w:val="99"/>
    <w:semiHidden/>
    <w:unhideWhenUsed/>
    <w:rsid w:val="00A3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SpacingChar">
    <w:name w:val="No Spacing Char"/>
    <w:link w:val="NoSpacing"/>
    <w:uiPriority w:val="1"/>
    <w:locked/>
    <w:rsid w:val="00A31A50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A31A50"/>
    <w:rPr>
      <w:rFonts w:ascii="Calibri" w:hAnsi="Calibri" w:cs="Calibri"/>
    </w:rPr>
  </w:style>
  <w:style w:type="character" w:styleId="CommentReference">
    <w:name w:val="annotation reference"/>
    <w:basedOn w:val="DefaultParagraphFont"/>
    <w:unhideWhenUsed/>
    <w:rsid w:val="00AA70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70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A709D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09D"/>
    <w:rPr>
      <w:b/>
      <w:bCs/>
      <w:color w:val="auto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A709D"/>
    <w:rPr>
      <w:color w:val="auto"/>
      <w:sz w:val="20"/>
    </w:rPr>
  </w:style>
  <w:style w:type="paragraph" w:styleId="Revision">
    <w:name w:val="Revision"/>
    <w:hidden/>
    <w:uiPriority w:val="99"/>
    <w:semiHidden/>
    <w:rsid w:val="00B02E1F"/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paragraph" w:styleId="NormalWeb">
    <w:name w:val="Normal (Web)"/>
    <w:basedOn w:val="Normal"/>
    <w:uiPriority w:val="99"/>
    <w:semiHidden/>
    <w:unhideWhenUsed/>
    <w:rsid w:val="00A3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SpacingChar">
    <w:name w:val="No Spacing Char"/>
    <w:link w:val="NoSpacing"/>
    <w:uiPriority w:val="1"/>
    <w:locked/>
    <w:rsid w:val="00A31A50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A31A50"/>
    <w:rPr>
      <w:rFonts w:ascii="Calibri" w:hAnsi="Calibri" w:cs="Calibri"/>
    </w:rPr>
  </w:style>
  <w:style w:type="character" w:styleId="CommentReference">
    <w:name w:val="annotation reference"/>
    <w:basedOn w:val="DefaultParagraphFont"/>
    <w:unhideWhenUsed/>
    <w:rsid w:val="00AA70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70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A709D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09D"/>
    <w:rPr>
      <w:b/>
      <w:bCs/>
      <w:color w:val="auto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A709D"/>
    <w:rPr>
      <w:color w:val="auto"/>
      <w:sz w:val="20"/>
    </w:rPr>
  </w:style>
  <w:style w:type="paragraph" w:styleId="Revision">
    <w:name w:val="Revision"/>
    <w:hidden/>
    <w:uiPriority w:val="99"/>
    <w:semiHidden/>
    <w:rsid w:val="00B02E1F"/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dfat.gov.au/trade/agreements/tpp/outcomes-documents/Pages/outcomes-health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fat.gov.au/trade/agreements/tpp/outcomes-documents/Pages/outcomes-biologics.aspx" TargetMode="External"/><Relationship Id="rId19" Type="http://schemas.openxmlformats.org/officeDocument/2006/relationships/customXml" Target="../customXml/item1.xml"/><Relationship Id="rId4" Type="http://schemas.microsoft.com/office/2007/relationships/stylesWithEffects" Target="stylesWithEffects.xml"/><Relationship Id="rId9" Type="http://schemas.openxmlformats.org/officeDocument/2006/relationships/hyperlink" Target="http://dfat.gov.au/trade/agreements/tpp/outcomes-documents/Pages/outcomes-investment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80813082BA449F700F2FC292FEFE" ma:contentTypeVersion="1" ma:contentTypeDescription="Create a new document." ma:contentTypeScope="" ma:versionID="950d5fefb929c30c9706547b8cc110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EE985-C61F-43FD-AEE6-617EAB312E6A}"/>
</file>

<file path=customXml/itemProps2.xml><?xml version="1.0" encoding="utf-8"?>
<ds:datastoreItem xmlns:ds="http://schemas.openxmlformats.org/officeDocument/2006/customXml" ds:itemID="{28C5BCF6-44E4-4C45-A139-CA121141A084}"/>
</file>

<file path=customXml/itemProps3.xml><?xml version="1.0" encoding="utf-8"?>
<ds:datastoreItem xmlns:ds="http://schemas.openxmlformats.org/officeDocument/2006/customXml" ds:itemID="{CC4C4F98-8A8D-4032-9216-F6A904FAB2A5}"/>
</file>

<file path=docProps/app.xml><?xml version="1.0" encoding="utf-8"?>
<Properties xmlns="http://schemas.openxmlformats.org/officeDocument/2006/extended-properties" xmlns:vt="http://schemas.openxmlformats.org/officeDocument/2006/docPropsVTypes">
  <Template>64A24FA</Template>
  <TotalTime>2</TotalTime>
  <Pages>1</Pages>
  <Words>431</Words>
  <Characters>2677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Emery</dc:creator>
  <cp:lastModifiedBy>Ffrench, Tom</cp:lastModifiedBy>
  <cp:revision>3</cp:revision>
  <cp:lastPrinted>2015-10-06T07:47:00Z</cp:lastPrinted>
  <dcterms:created xsi:type="dcterms:W3CDTF">2015-10-15T04:08:00Z</dcterms:created>
  <dcterms:modified xsi:type="dcterms:W3CDTF">2015-10-15T04:10:00Z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0x010100B39580813082BA449F700F2FC292FEFE</vt:lpwstr>
  </property>
  <property fmtid="{D5CDD505-2E9C-101B-9397-08002B2CF9AE}" pid="3" name="Order">
    <vt:r8>10900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