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3243C16A" w14:textId="35A8C862" w:rsidR="0010658A" w:rsidRPr="00407E63" w:rsidRDefault="0010658A" w:rsidP="00D23F19">
      <w:pPr>
        <w:pStyle w:val="Heading1"/>
        <w:spacing w:after="120"/>
        <w:rPr>
          <w:sz w:val="32"/>
          <w:szCs w:val="36"/>
        </w:rPr>
      </w:pPr>
      <w:r w:rsidRPr="00407E63">
        <w:rPr>
          <w:sz w:val="32"/>
          <w:szCs w:val="36"/>
        </w:rPr>
        <w:t xml:space="preserve">Indonesia - australia Comprehensive Economic partnership agreement (IA-CEPA):  ECONOMIC COOPERATION PROGRAM </w:t>
      </w:r>
      <w:r w:rsidR="001A718F">
        <w:rPr>
          <w:sz w:val="32"/>
          <w:szCs w:val="36"/>
        </w:rPr>
        <w:t>(ECP)</w:t>
      </w:r>
    </w:p>
    <w:p w14:paraId="350512CA" w14:textId="3E042D51" w:rsidR="002D4DE7" w:rsidRPr="00407E63" w:rsidRDefault="002D4DE7" w:rsidP="002D4DE7">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0"/>
        </w:rPr>
      </w:pPr>
      <w:r w:rsidRPr="00407E63">
        <w:rPr>
          <w:b/>
          <w:sz w:val="20"/>
        </w:rPr>
        <w:t>Investment Design Title:</w:t>
      </w:r>
      <w:r w:rsidR="008B5705">
        <w:rPr>
          <w:b/>
          <w:sz w:val="20"/>
        </w:rPr>
        <w:t xml:space="preserve"> </w:t>
      </w:r>
      <w:r w:rsidR="0010658A" w:rsidRPr="00710C2D">
        <w:rPr>
          <w:sz w:val="20"/>
        </w:rPr>
        <w:t>I</w:t>
      </w:r>
      <w:r w:rsidR="00A17054">
        <w:rPr>
          <w:sz w:val="20"/>
        </w:rPr>
        <w:t>ndonesia-Australia Comprehensive Economic Partnership Agreement (I</w:t>
      </w:r>
      <w:r w:rsidR="0010658A" w:rsidRPr="00710C2D">
        <w:rPr>
          <w:sz w:val="20"/>
        </w:rPr>
        <w:t>A-CEPA</w:t>
      </w:r>
      <w:r w:rsidR="00A17054">
        <w:rPr>
          <w:sz w:val="20"/>
        </w:rPr>
        <w:t>)</w:t>
      </w:r>
      <w:r w:rsidR="0010658A" w:rsidRPr="00710C2D">
        <w:rPr>
          <w:sz w:val="20"/>
        </w:rPr>
        <w:t xml:space="preserve"> Economic Cooperation Program (ECP)</w:t>
      </w:r>
      <w:r w:rsidR="00407E63" w:rsidRPr="00407E63">
        <w:rPr>
          <w:b/>
          <w:sz w:val="20"/>
        </w:rPr>
        <w:tab/>
      </w:r>
      <w:r w:rsidR="00407E63" w:rsidRPr="00407E63">
        <w:rPr>
          <w:b/>
          <w:sz w:val="20"/>
        </w:rPr>
        <w:tab/>
      </w:r>
      <w:r w:rsidR="00407E63" w:rsidRPr="00407E63">
        <w:rPr>
          <w:b/>
          <w:sz w:val="20"/>
        </w:rPr>
        <w:tab/>
      </w:r>
    </w:p>
    <w:p w14:paraId="1EAE9631" w14:textId="52387CF5" w:rsidR="002D4DE7" w:rsidRPr="00407E63" w:rsidRDefault="0010658A" w:rsidP="002D4DE7">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b/>
          <w:sz w:val="20"/>
        </w:rPr>
      </w:pPr>
      <w:r w:rsidRPr="00407E63">
        <w:rPr>
          <w:b/>
          <w:sz w:val="20"/>
        </w:rPr>
        <w:t>Start date:</w:t>
      </w:r>
      <w:r w:rsidR="008B5705">
        <w:rPr>
          <w:b/>
          <w:sz w:val="20"/>
        </w:rPr>
        <w:t xml:space="preserve"> </w:t>
      </w:r>
      <w:r w:rsidRPr="00710C2D">
        <w:rPr>
          <w:sz w:val="20"/>
        </w:rPr>
        <w:t>202</w:t>
      </w:r>
      <w:r w:rsidR="00E57457">
        <w:rPr>
          <w:sz w:val="20"/>
        </w:rPr>
        <w:t>0</w:t>
      </w:r>
      <w:r w:rsidR="00E57457">
        <w:rPr>
          <w:sz w:val="20"/>
        </w:rPr>
        <w:tab/>
      </w:r>
      <w:r w:rsidR="002D4DE7" w:rsidRPr="00407E63">
        <w:rPr>
          <w:b/>
          <w:sz w:val="20"/>
        </w:rPr>
        <w:t>End date:</w:t>
      </w:r>
      <w:r w:rsidR="008B5705">
        <w:rPr>
          <w:b/>
          <w:sz w:val="20"/>
        </w:rPr>
        <w:t xml:space="preserve"> </w:t>
      </w:r>
      <w:r w:rsidRPr="00710C2D">
        <w:rPr>
          <w:sz w:val="20"/>
        </w:rPr>
        <w:t>20</w:t>
      </w:r>
      <w:r w:rsidR="0063202D" w:rsidRPr="00710C2D">
        <w:rPr>
          <w:sz w:val="20"/>
        </w:rPr>
        <w:t>2</w:t>
      </w:r>
      <w:r w:rsidRPr="00710C2D">
        <w:rPr>
          <w:sz w:val="20"/>
        </w:rPr>
        <w:t>5</w:t>
      </w:r>
      <w:r w:rsidR="002D4DE7" w:rsidRPr="00407E63">
        <w:rPr>
          <w:b/>
          <w:sz w:val="20"/>
        </w:rPr>
        <w:tab/>
      </w:r>
      <w:r w:rsidR="002D4DE7" w:rsidRPr="00407E63">
        <w:rPr>
          <w:b/>
          <w:sz w:val="20"/>
        </w:rPr>
        <w:tab/>
      </w:r>
      <w:r w:rsidR="002D4DE7" w:rsidRPr="00407E63">
        <w:rPr>
          <w:b/>
          <w:sz w:val="20"/>
        </w:rPr>
        <w:tab/>
      </w:r>
    </w:p>
    <w:p w14:paraId="5510A650" w14:textId="2FAB2902" w:rsidR="0010658A" w:rsidRPr="00407E63" w:rsidRDefault="002D4DE7" w:rsidP="002D4DE7">
      <w:pPr>
        <w:pStyle w:val="BodyText"/>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between w:val="single" w:sz="4" w:space="1" w:color="677370" w:themeColor="background2" w:themeShade="80"/>
          <w:bar w:val="single" w:sz="4" w:color="677370" w:themeColor="background2" w:themeShade="80"/>
        </w:pBdr>
        <w:shd w:val="clear" w:color="auto" w:fill="C1E7E0" w:themeFill="accent1" w:themeFillTint="66"/>
        <w:rPr>
          <w:sz w:val="20"/>
        </w:rPr>
      </w:pPr>
      <w:r w:rsidRPr="00407E63">
        <w:rPr>
          <w:b/>
          <w:sz w:val="20"/>
        </w:rPr>
        <w:t xml:space="preserve">Total proposed DFAT funding: </w:t>
      </w:r>
      <w:r w:rsidR="0058041D" w:rsidRPr="00A17054">
        <w:rPr>
          <w:sz w:val="20"/>
        </w:rPr>
        <w:t>AUD</w:t>
      </w:r>
      <w:r w:rsidR="0010658A" w:rsidRPr="00407E63">
        <w:rPr>
          <w:sz w:val="20"/>
        </w:rPr>
        <w:t>40 million</w:t>
      </w:r>
      <w:r w:rsidR="00A17054">
        <w:rPr>
          <w:sz w:val="20"/>
        </w:rPr>
        <w:t xml:space="preserve"> in official development assistance (ODA)</w:t>
      </w:r>
    </w:p>
    <w:p w14:paraId="4D6898F8" w14:textId="5558F487" w:rsidR="00777C36" w:rsidRPr="00777C36" w:rsidRDefault="002D4DE7" w:rsidP="00D23F19">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00A01023">
        <w:rPr>
          <w:rFonts w:asciiTheme="majorHAnsi" w:hAnsiTheme="majorHAnsi"/>
          <w:b/>
          <w:szCs w:val="21"/>
        </w:rPr>
        <w:t>Executive Summary</w:t>
      </w:r>
      <w:r w:rsidR="00777C36">
        <w:rPr>
          <w:rFonts w:asciiTheme="majorHAnsi" w:hAnsiTheme="majorHAnsi"/>
          <w:b/>
          <w:szCs w:val="21"/>
        </w:rPr>
        <w:t xml:space="preserve"> </w:t>
      </w:r>
      <w:r w:rsidR="000323AC">
        <w:rPr>
          <w:rFonts w:asciiTheme="majorHAnsi" w:hAnsiTheme="majorHAnsi"/>
          <w:b/>
          <w:szCs w:val="21"/>
        </w:rPr>
        <w:t xml:space="preserve"> </w:t>
      </w:r>
    </w:p>
    <w:p w14:paraId="72895C7C" w14:textId="0C546B11" w:rsidR="00981F7F" w:rsidRPr="007C4ABD" w:rsidRDefault="00A17054" w:rsidP="0094037B">
      <w:pPr>
        <w:spacing w:after="0"/>
        <w:jc w:val="both"/>
        <w:rPr>
          <w:rFonts w:cs="Calibri"/>
          <w:b/>
          <w:sz w:val="21"/>
          <w:szCs w:val="21"/>
        </w:rPr>
      </w:pPr>
      <w:r>
        <w:rPr>
          <w:rFonts w:cs="Calibri"/>
          <w:b/>
          <w:sz w:val="21"/>
          <w:szCs w:val="21"/>
        </w:rPr>
        <w:t>[</w:t>
      </w:r>
      <w:r w:rsidR="00732345" w:rsidRPr="007C4ABD">
        <w:rPr>
          <w:rFonts w:cs="Calibri"/>
          <w:b/>
          <w:sz w:val="21"/>
          <w:szCs w:val="21"/>
        </w:rPr>
        <w:t xml:space="preserve">NOTE: A </w:t>
      </w:r>
      <w:r w:rsidR="0011380B">
        <w:rPr>
          <w:rFonts w:cs="Calibri"/>
          <w:b/>
          <w:sz w:val="21"/>
          <w:szCs w:val="21"/>
        </w:rPr>
        <w:t>s</w:t>
      </w:r>
      <w:r w:rsidR="00732345" w:rsidRPr="007C4ABD">
        <w:rPr>
          <w:rFonts w:cs="Calibri"/>
          <w:b/>
          <w:sz w:val="21"/>
          <w:szCs w:val="21"/>
        </w:rPr>
        <w:t xml:space="preserve">tatement on the impact of the COVID-19 </w:t>
      </w:r>
      <w:r w:rsidR="005A4E59">
        <w:rPr>
          <w:rFonts w:cs="Calibri"/>
          <w:b/>
          <w:sz w:val="21"/>
          <w:szCs w:val="21"/>
        </w:rPr>
        <w:t>p</w:t>
      </w:r>
      <w:r w:rsidR="00732345" w:rsidRPr="007C4ABD">
        <w:rPr>
          <w:rFonts w:cs="Calibri"/>
          <w:b/>
          <w:sz w:val="21"/>
          <w:szCs w:val="21"/>
        </w:rPr>
        <w:t xml:space="preserve">andemic </w:t>
      </w:r>
      <w:r w:rsidR="005A4E59">
        <w:rPr>
          <w:rFonts w:cs="Calibri"/>
          <w:b/>
          <w:sz w:val="21"/>
          <w:szCs w:val="21"/>
        </w:rPr>
        <w:t>is provided</w:t>
      </w:r>
      <w:r w:rsidR="00732345" w:rsidRPr="007C4ABD">
        <w:rPr>
          <w:rFonts w:cs="Calibri"/>
          <w:b/>
          <w:sz w:val="21"/>
          <w:szCs w:val="21"/>
        </w:rPr>
        <w:t xml:space="preserve"> at the end of the Executive Summary</w:t>
      </w:r>
      <w:r>
        <w:rPr>
          <w:rFonts w:cs="Calibri"/>
          <w:b/>
          <w:sz w:val="21"/>
          <w:szCs w:val="21"/>
        </w:rPr>
        <w:t>]</w:t>
      </w:r>
    </w:p>
    <w:p w14:paraId="157230DC" w14:textId="77777777" w:rsidR="00A92587" w:rsidRDefault="00BB2859" w:rsidP="001466ED">
      <w:pPr>
        <w:spacing w:after="0"/>
        <w:jc w:val="both"/>
        <w:rPr>
          <w:rFonts w:eastAsia="Times New Roman" w:cs="Arial"/>
          <w:sz w:val="21"/>
          <w:szCs w:val="21"/>
          <w:lang w:val="en-AU" w:eastAsia="en-AU"/>
        </w:rPr>
      </w:pPr>
      <w:r w:rsidRPr="00BB2859">
        <w:rPr>
          <w:rFonts w:cs="Calibri"/>
          <w:sz w:val="21"/>
          <w:szCs w:val="21"/>
        </w:rPr>
        <w:t xml:space="preserve">The Governments of </w:t>
      </w:r>
      <w:r w:rsidR="005077F2">
        <w:rPr>
          <w:rFonts w:cs="Calibri"/>
          <w:sz w:val="21"/>
          <w:szCs w:val="21"/>
        </w:rPr>
        <w:t xml:space="preserve">Indonesia </w:t>
      </w:r>
      <w:r w:rsidRPr="00BB2859">
        <w:rPr>
          <w:rFonts w:cs="Calibri"/>
          <w:sz w:val="21"/>
          <w:szCs w:val="21"/>
        </w:rPr>
        <w:t xml:space="preserve">and </w:t>
      </w:r>
      <w:r w:rsidR="005077F2">
        <w:rPr>
          <w:rFonts w:cs="Calibri"/>
          <w:sz w:val="21"/>
          <w:szCs w:val="21"/>
        </w:rPr>
        <w:t xml:space="preserve">Australia </w:t>
      </w:r>
      <w:r w:rsidRPr="004D0200">
        <w:rPr>
          <w:rFonts w:cs="Calibri"/>
          <w:sz w:val="21"/>
          <w:szCs w:val="21"/>
        </w:rPr>
        <w:t>have entered into the Indonesia-Australia Comprehensive Economic Partnership Agreement (IA-CEPA)</w:t>
      </w:r>
      <w:r w:rsidR="00D23F19">
        <w:rPr>
          <w:rFonts w:cs="Calibri"/>
          <w:sz w:val="21"/>
          <w:szCs w:val="21"/>
        </w:rPr>
        <w:t xml:space="preserve">, </w:t>
      </w:r>
      <w:r w:rsidR="004D0200" w:rsidRPr="004D0200">
        <w:rPr>
          <w:rFonts w:cs="Calibri"/>
          <w:sz w:val="21"/>
          <w:szCs w:val="21"/>
        </w:rPr>
        <w:t>creat</w:t>
      </w:r>
      <w:r w:rsidR="00D23F19">
        <w:rPr>
          <w:rFonts w:cs="Calibri"/>
          <w:sz w:val="21"/>
          <w:szCs w:val="21"/>
        </w:rPr>
        <w:t>ing</w:t>
      </w:r>
      <w:r w:rsidR="004D0200" w:rsidRPr="004D0200">
        <w:rPr>
          <w:rFonts w:cs="Calibri"/>
          <w:sz w:val="21"/>
          <w:szCs w:val="21"/>
        </w:rPr>
        <w:t xml:space="preserve"> a framework to unlock the vast potential of the bilateral economic</w:t>
      </w:r>
      <w:r w:rsidR="00BE2A06">
        <w:rPr>
          <w:rFonts w:cs="Calibri"/>
          <w:sz w:val="21"/>
          <w:szCs w:val="21"/>
        </w:rPr>
        <w:t xml:space="preserve"> relationship</w:t>
      </w:r>
      <w:r w:rsidR="004D0200" w:rsidRPr="004D0200">
        <w:rPr>
          <w:rFonts w:cs="Calibri"/>
          <w:sz w:val="21"/>
          <w:szCs w:val="21"/>
        </w:rPr>
        <w:t xml:space="preserve">. </w:t>
      </w:r>
      <w:r w:rsidR="0094037B">
        <w:rPr>
          <w:rFonts w:cs="Calibri"/>
          <w:sz w:val="21"/>
          <w:szCs w:val="21"/>
        </w:rPr>
        <w:t xml:space="preserve">To support this ambition, </w:t>
      </w:r>
      <w:r w:rsidR="007E0B98">
        <w:rPr>
          <w:rFonts w:cs="Calibri"/>
          <w:sz w:val="21"/>
          <w:szCs w:val="21"/>
        </w:rPr>
        <w:t xml:space="preserve">the </w:t>
      </w:r>
      <w:r w:rsidR="004D0200" w:rsidRPr="004D0200">
        <w:rPr>
          <w:rFonts w:eastAsia="Times New Roman" w:cs="Arial"/>
          <w:sz w:val="21"/>
          <w:szCs w:val="21"/>
          <w:lang w:val="en-AU" w:eastAsia="en-AU"/>
        </w:rPr>
        <w:t xml:space="preserve">IA-CEPA includes a new </w:t>
      </w:r>
      <w:r w:rsidR="004D0200" w:rsidRPr="001803BC">
        <w:rPr>
          <w:rFonts w:eastAsia="Times New Roman" w:cs="Arial"/>
          <w:b/>
          <w:sz w:val="21"/>
          <w:szCs w:val="21"/>
          <w:lang w:val="en-AU" w:eastAsia="en-AU"/>
        </w:rPr>
        <w:t>Economic Cooperation Program (ECP)</w:t>
      </w:r>
      <w:r w:rsidR="00D23F19">
        <w:rPr>
          <w:rFonts w:eastAsia="Times New Roman" w:cs="Arial"/>
          <w:sz w:val="21"/>
          <w:szCs w:val="21"/>
          <w:lang w:val="en-AU" w:eastAsia="en-AU"/>
        </w:rPr>
        <w:t xml:space="preserve">. </w:t>
      </w:r>
    </w:p>
    <w:p w14:paraId="0BBBDA7A" w14:textId="55145A88" w:rsidR="00A92587" w:rsidRDefault="00460450" w:rsidP="001466ED">
      <w:pPr>
        <w:spacing w:after="0"/>
        <w:jc w:val="both"/>
        <w:rPr>
          <w:rFonts w:eastAsia="Times New Roman" w:cs="Arial"/>
          <w:sz w:val="21"/>
          <w:szCs w:val="21"/>
          <w:lang w:val="en-AU" w:eastAsia="en-AU"/>
        </w:rPr>
      </w:pPr>
      <w:r>
        <w:rPr>
          <w:rFonts w:eastAsia="Times New Roman" w:cs="Arial"/>
          <w:sz w:val="21"/>
          <w:szCs w:val="21"/>
          <w:lang w:val="en-AU" w:eastAsia="en-AU"/>
        </w:rPr>
        <w:t>To be b</w:t>
      </w:r>
      <w:r w:rsidR="00D23F19">
        <w:rPr>
          <w:rFonts w:eastAsia="Times New Roman" w:cs="Arial"/>
          <w:sz w:val="21"/>
          <w:szCs w:val="21"/>
          <w:lang w:val="en-AU" w:eastAsia="en-AU"/>
        </w:rPr>
        <w:t>ased in Jakarta w</w:t>
      </w:r>
      <w:r w:rsidR="0094037B">
        <w:rPr>
          <w:rFonts w:eastAsia="Times New Roman" w:cs="Arial"/>
          <w:sz w:val="21"/>
          <w:szCs w:val="21"/>
          <w:lang w:val="en-AU" w:eastAsia="en-AU"/>
        </w:rPr>
        <w:t>ith a</w:t>
      </w:r>
      <w:r>
        <w:rPr>
          <w:rFonts w:eastAsia="Times New Roman" w:cs="Arial"/>
          <w:sz w:val="21"/>
          <w:szCs w:val="21"/>
          <w:lang w:val="en-AU" w:eastAsia="en-AU"/>
        </w:rPr>
        <w:t>n</w:t>
      </w:r>
      <w:r w:rsidR="0094037B">
        <w:rPr>
          <w:rFonts w:eastAsia="Times New Roman" w:cs="Arial"/>
          <w:sz w:val="21"/>
          <w:szCs w:val="21"/>
          <w:lang w:val="en-AU" w:eastAsia="en-AU"/>
        </w:rPr>
        <w:t xml:space="preserve"> </w:t>
      </w:r>
      <w:r>
        <w:rPr>
          <w:rFonts w:eastAsia="Times New Roman" w:cs="Arial"/>
          <w:sz w:val="21"/>
          <w:szCs w:val="21"/>
          <w:lang w:val="en-AU" w:eastAsia="en-AU"/>
        </w:rPr>
        <w:t xml:space="preserve">initial </w:t>
      </w:r>
      <w:r w:rsidR="0094037B">
        <w:rPr>
          <w:rFonts w:eastAsia="Times New Roman" w:cs="Arial"/>
          <w:sz w:val="21"/>
          <w:szCs w:val="21"/>
          <w:lang w:val="en-AU" w:eastAsia="en-AU"/>
        </w:rPr>
        <w:t xml:space="preserve">budget of </w:t>
      </w:r>
      <w:r w:rsidR="008B5705">
        <w:rPr>
          <w:rFonts w:eastAsia="Times New Roman" w:cs="Arial"/>
          <w:sz w:val="21"/>
          <w:szCs w:val="21"/>
          <w:lang w:val="en-AU" w:eastAsia="en-AU"/>
        </w:rPr>
        <w:t xml:space="preserve">at least </w:t>
      </w:r>
      <w:r w:rsidR="0094037B">
        <w:rPr>
          <w:rFonts w:eastAsia="Times New Roman" w:cs="Arial"/>
          <w:sz w:val="21"/>
          <w:szCs w:val="21"/>
          <w:lang w:val="en-AU" w:eastAsia="en-AU"/>
        </w:rPr>
        <w:t>$40 million</w:t>
      </w:r>
      <w:r w:rsidR="008B5705">
        <w:rPr>
          <w:rFonts w:eastAsia="Times New Roman" w:cs="Arial"/>
          <w:sz w:val="21"/>
          <w:szCs w:val="21"/>
          <w:lang w:val="en-AU" w:eastAsia="en-AU"/>
        </w:rPr>
        <w:t xml:space="preserve"> in official development assistance (ODA)</w:t>
      </w:r>
      <w:r w:rsidR="0094037B">
        <w:rPr>
          <w:rFonts w:eastAsia="Times New Roman" w:cs="Arial"/>
          <w:sz w:val="21"/>
          <w:szCs w:val="21"/>
          <w:lang w:val="en-AU" w:eastAsia="en-AU"/>
        </w:rPr>
        <w:t xml:space="preserve"> over five years</w:t>
      </w:r>
      <w:r w:rsidR="007E0B98">
        <w:rPr>
          <w:rFonts w:eastAsia="Times New Roman" w:cs="Arial"/>
          <w:sz w:val="21"/>
          <w:szCs w:val="21"/>
          <w:lang w:val="en-AU" w:eastAsia="en-AU"/>
        </w:rPr>
        <w:t xml:space="preserve">, </w:t>
      </w:r>
      <w:r w:rsidR="00A92587">
        <w:rPr>
          <w:rFonts w:eastAsia="Times New Roman" w:cs="Arial"/>
          <w:sz w:val="21"/>
          <w:szCs w:val="21"/>
          <w:lang w:val="en-AU" w:eastAsia="en-AU"/>
        </w:rPr>
        <w:t xml:space="preserve">the ECP’s goal is </w:t>
      </w:r>
      <w:r w:rsidR="00A92587" w:rsidRPr="00313254">
        <w:rPr>
          <w:rFonts w:eastAsia="Times New Roman" w:cs="Arial"/>
          <w:b/>
          <w:bCs/>
          <w:sz w:val="21"/>
          <w:szCs w:val="21"/>
          <w:lang w:val="en-AU" w:eastAsia="en-AU"/>
        </w:rPr>
        <w:t xml:space="preserve">to maximise </w:t>
      </w:r>
      <w:r w:rsidR="00A92587">
        <w:rPr>
          <w:rFonts w:eastAsia="Times New Roman" w:cs="Arial"/>
          <w:b/>
          <w:bCs/>
          <w:sz w:val="21"/>
          <w:szCs w:val="21"/>
          <w:lang w:val="en-AU" w:eastAsia="en-AU"/>
        </w:rPr>
        <w:t xml:space="preserve">the </w:t>
      </w:r>
      <w:r w:rsidR="00A92587" w:rsidRPr="00313254">
        <w:rPr>
          <w:rFonts w:eastAsia="Times New Roman" w:cs="Arial"/>
          <w:b/>
          <w:bCs/>
          <w:sz w:val="21"/>
          <w:szCs w:val="21"/>
          <w:lang w:val="en-AU" w:eastAsia="en-AU"/>
        </w:rPr>
        <w:t>benefits</w:t>
      </w:r>
      <w:r w:rsidR="00A92587" w:rsidRPr="000D7938">
        <w:rPr>
          <w:rFonts w:eastAsia="Times New Roman" w:cs="Arial"/>
          <w:b/>
          <w:bCs/>
          <w:sz w:val="21"/>
          <w:szCs w:val="21"/>
          <w:lang w:val="en-AU" w:eastAsia="en-AU"/>
        </w:rPr>
        <w:t xml:space="preserve"> </w:t>
      </w:r>
      <w:r w:rsidR="00A92587">
        <w:rPr>
          <w:rFonts w:eastAsia="Times New Roman" w:cs="Arial"/>
          <w:b/>
          <w:bCs/>
          <w:sz w:val="21"/>
          <w:szCs w:val="21"/>
          <w:lang w:val="en-AU" w:eastAsia="en-AU"/>
        </w:rPr>
        <w:t xml:space="preserve">of </w:t>
      </w:r>
      <w:r w:rsidR="00A92587" w:rsidRPr="0057079D">
        <w:rPr>
          <w:rFonts w:eastAsia="Times New Roman" w:cs="Arial"/>
          <w:b/>
          <w:bCs/>
          <w:sz w:val="21"/>
          <w:szCs w:val="21"/>
          <w:lang w:val="en-AU" w:eastAsia="en-AU"/>
        </w:rPr>
        <w:t>IA-CEPA</w:t>
      </w:r>
      <w:r w:rsidR="00A92587" w:rsidRPr="00313254">
        <w:rPr>
          <w:rFonts w:eastAsia="Times New Roman" w:cs="Arial"/>
          <w:b/>
          <w:bCs/>
          <w:sz w:val="21"/>
          <w:szCs w:val="21"/>
          <w:lang w:val="en-AU" w:eastAsia="en-AU"/>
        </w:rPr>
        <w:t>, support trade and investment, improve market access, and promote inclusive economic growth in Indonesia</w:t>
      </w:r>
      <w:r w:rsidR="00A92587">
        <w:rPr>
          <w:rFonts w:eastAsia="Times New Roman" w:cs="Arial"/>
          <w:sz w:val="21"/>
          <w:szCs w:val="21"/>
          <w:lang w:val="en-AU" w:eastAsia="en-AU"/>
        </w:rPr>
        <w:t xml:space="preserve">. The primary objective is to ensure the </w:t>
      </w:r>
      <w:r w:rsidR="00A92587" w:rsidRPr="008400EF">
        <w:rPr>
          <w:rFonts w:eastAsia="Times New Roman" w:cs="Arial"/>
          <w:sz w:val="21"/>
          <w:szCs w:val="21"/>
          <w:lang w:val="en-AU" w:eastAsia="en-AU"/>
        </w:rPr>
        <w:t>efficient</w:t>
      </w:r>
      <w:r w:rsidR="00A92587">
        <w:rPr>
          <w:rFonts w:eastAsia="Times New Roman" w:cs="Arial"/>
          <w:sz w:val="21"/>
          <w:szCs w:val="21"/>
          <w:lang w:val="en-AU" w:eastAsia="en-AU"/>
        </w:rPr>
        <w:t xml:space="preserve"> and effective implementation of IA-CEPA to increase two-way trade and investment that is broad based and inclusive. </w:t>
      </w:r>
    </w:p>
    <w:p w14:paraId="3D3FB831" w14:textId="6812B276" w:rsidR="004D0200" w:rsidRPr="001466ED" w:rsidRDefault="00716473" w:rsidP="001466ED">
      <w:pPr>
        <w:spacing w:after="0"/>
        <w:jc w:val="both"/>
        <w:rPr>
          <w:rFonts w:cs="Calibri"/>
          <w:sz w:val="21"/>
          <w:szCs w:val="21"/>
        </w:rPr>
      </w:pPr>
      <w:r>
        <w:rPr>
          <w:rFonts w:eastAsia="Times New Roman" w:cs="Arial"/>
          <w:sz w:val="21"/>
          <w:szCs w:val="21"/>
          <w:lang w:val="en-AU" w:eastAsia="en-AU"/>
        </w:rPr>
        <w:t>The</w:t>
      </w:r>
      <w:r w:rsidR="008A2302">
        <w:rPr>
          <w:rFonts w:eastAsia="Times New Roman" w:cs="Arial"/>
          <w:sz w:val="21"/>
          <w:szCs w:val="21"/>
          <w:lang w:val="en-AU" w:eastAsia="en-AU"/>
        </w:rPr>
        <w:t xml:space="preserve"> breadth of activities envisaged for the ECP </w:t>
      </w:r>
      <w:r w:rsidR="00BE2A06">
        <w:rPr>
          <w:rFonts w:eastAsia="Times New Roman" w:cs="Arial"/>
          <w:sz w:val="21"/>
          <w:szCs w:val="21"/>
          <w:lang w:val="en-AU" w:eastAsia="en-AU"/>
        </w:rPr>
        <w:t xml:space="preserve">under </w:t>
      </w:r>
      <w:r w:rsidR="008A2302">
        <w:rPr>
          <w:rFonts w:eastAsia="Times New Roman" w:cs="Arial"/>
          <w:sz w:val="21"/>
          <w:szCs w:val="21"/>
          <w:lang w:val="en-AU" w:eastAsia="en-AU"/>
        </w:rPr>
        <w:t xml:space="preserve">IA-CEPA, </w:t>
      </w:r>
      <w:r w:rsidR="006A0D63">
        <w:rPr>
          <w:rFonts w:eastAsia="Times New Roman" w:cs="Arial"/>
          <w:sz w:val="21"/>
          <w:szCs w:val="21"/>
          <w:lang w:val="en-AU" w:eastAsia="en-AU"/>
        </w:rPr>
        <w:t xml:space="preserve">covering agriculture, manufacturing and services, </w:t>
      </w:r>
      <w:r w:rsidRPr="008400EF">
        <w:rPr>
          <w:rFonts w:eastAsia="Times New Roman" w:cs="Arial"/>
          <w:sz w:val="21"/>
          <w:szCs w:val="21"/>
          <w:lang w:val="en-AU" w:eastAsia="en-AU"/>
        </w:rPr>
        <w:t>requires a</w:t>
      </w:r>
      <w:r w:rsidR="00BE2A06" w:rsidRPr="008400EF">
        <w:rPr>
          <w:rFonts w:eastAsia="Times New Roman" w:cs="Arial"/>
          <w:sz w:val="21"/>
          <w:szCs w:val="21"/>
          <w:lang w:val="en-AU" w:eastAsia="en-AU"/>
        </w:rPr>
        <w:t>n</w:t>
      </w:r>
      <w:r w:rsidRPr="008400EF">
        <w:rPr>
          <w:rFonts w:eastAsia="Times New Roman" w:cs="Arial"/>
          <w:sz w:val="21"/>
          <w:szCs w:val="21"/>
          <w:lang w:val="en-AU" w:eastAsia="en-AU"/>
        </w:rPr>
        <w:t xml:space="preserve"> innovative delivery model</w:t>
      </w:r>
      <w:r>
        <w:rPr>
          <w:rFonts w:eastAsia="Times New Roman" w:cs="Arial"/>
          <w:sz w:val="21"/>
          <w:szCs w:val="21"/>
          <w:lang w:val="en-AU" w:eastAsia="en-AU"/>
        </w:rPr>
        <w:t xml:space="preserve">. </w:t>
      </w:r>
      <w:r w:rsidR="006A0D63" w:rsidRPr="001803BC">
        <w:rPr>
          <w:rFonts w:eastAsia="Times New Roman" w:cs="Arial"/>
          <w:b/>
          <w:sz w:val="21"/>
          <w:szCs w:val="21"/>
          <w:lang w:val="en-AU" w:eastAsia="en-AU"/>
        </w:rPr>
        <w:t>Th</w:t>
      </w:r>
      <w:r w:rsidR="00EF3297" w:rsidRPr="001803BC">
        <w:rPr>
          <w:rFonts w:eastAsia="Times New Roman" w:cs="Arial"/>
          <w:b/>
          <w:sz w:val="21"/>
          <w:szCs w:val="21"/>
          <w:lang w:val="en-AU" w:eastAsia="en-AU"/>
        </w:rPr>
        <w:t>rough a “</w:t>
      </w:r>
      <w:r w:rsidR="006A0D63" w:rsidRPr="008400EF">
        <w:rPr>
          <w:rFonts w:eastAsia="Times New Roman" w:cs="Arial"/>
          <w:b/>
          <w:sz w:val="21"/>
          <w:szCs w:val="21"/>
          <w:lang w:val="en-AU" w:eastAsia="en-AU"/>
        </w:rPr>
        <w:t>Collaborative Hub</w:t>
      </w:r>
      <w:r w:rsidR="00EF3297" w:rsidRPr="001803BC">
        <w:rPr>
          <w:rFonts w:eastAsia="Times New Roman" w:cs="Arial"/>
          <w:b/>
          <w:sz w:val="21"/>
          <w:szCs w:val="21"/>
          <w:lang w:val="en-AU" w:eastAsia="en-AU"/>
        </w:rPr>
        <w:t>”, the ECP</w:t>
      </w:r>
      <w:r w:rsidR="006A0D63" w:rsidRPr="001803BC">
        <w:rPr>
          <w:rFonts w:eastAsia="Times New Roman" w:cs="Arial"/>
          <w:b/>
          <w:sz w:val="21"/>
          <w:szCs w:val="21"/>
          <w:lang w:val="en-AU" w:eastAsia="en-AU"/>
        </w:rPr>
        <w:t xml:space="preserve"> will </w:t>
      </w:r>
      <w:r w:rsidR="00D71A71" w:rsidRPr="001803BC">
        <w:rPr>
          <w:rFonts w:eastAsia="Times New Roman" w:cs="Arial"/>
          <w:b/>
          <w:sz w:val="21"/>
          <w:szCs w:val="21"/>
          <w:lang w:val="en-AU" w:eastAsia="en-AU"/>
        </w:rPr>
        <w:t>leverage</w:t>
      </w:r>
      <w:r w:rsidR="008A2302" w:rsidRPr="001803BC">
        <w:rPr>
          <w:rFonts w:eastAsia="Times New Roman" w:cs="Arial"/>
          <w:b/>
          <w:sz w:val="21"/>
          <w:szCs w:val="21"/>
          <w:lang w:val="en-AU" w:eastAsia="en-AU"/>
        </w:rPr>
        <w:t xml:space="preserve"> existing </w:t>
      </w:r>
      <w:r w:rsidR="008A403A" w:rsidRPr="001803BC">
        <w:rPr>
          <w:rFonts w:eastAsia="Times New Roman" w:cs="Arial"/>
          <w:b/>
          <w:sz w:val="21"/>
          <w:szCs w:val="21"/>
          <w:lang w:val="en-AU" w:eastAsia="en-AU"/>
        </w:rPr>
        <w:t xml:space="preserve">Australian </w:t>
      </w:r>
      <w:r w:rsidR="008A2302" w:rsidRPr="001803BC">
        <w:rPr>
          <w:rFonts w:eastAsia="Times New Roman" w:cs="Arial"/>
          <w:b/>
          <w:sz w:val="21"/>
          <w:szCs w:val="21"/>
          <w:lang w:val="en-AU" w:eastAsia="en-AU"/>
        </w:rPr>
        <w:t>investments</w:t>
      </w:r>
      <w:r w:rsidR="007E639A" w:rsidRPr="001803BC">
        <w:rPr>
          <w:rFonts w:eastAsia="Times New Roman" w:cs="Arial"/>
          <w:b/>
          <w:sz w:val="21"/>
          <w:szCs w:val="21"/>
          <w:lang w:val="en-AU" w:eastAsia="en-AU"/>
        </w:rPr>
        <w:t xml:space="preserve"> </w:t>
      </w:r>
      <w:r w:rsidRPr="001803BC">
        <w:rPr>
          <w:rFonts w:eastAsia="Times New Roman" w:cs="Arial"/>
          <w:b/>
          <w:sz w:val="21"/>
          <w:szCs w:val="21"/>
          <w:lang w:val="en-AU" w:eastAsia="en-AU"/>
        </w:rPr>
        <w:t>in Indonesia</w:t>
      </w:r>
      <w:r>
        <w:rPr>
          <w:rFonts w:eastAsia="Times New Roman" w:cs="Arial"/>
          <w:sz w:val="21"/>
          <w:szCs w:val="21"/>
          <w:lang w:val="en-AU" w:eastAsia="en-AU"/>
        </w:rPr>
        <w:t xml:space="preserve"> </w:t>
      </w:r>
      <w:r w:rsidR="00D71A71">
        <w:rPr>
          <w:rFonts w:eastAsia="Times New Roman" w:cs="Arial"/>
          <w:sz w:val="21"/>
          <w:szCs w:val="21"/>
          <w:lang w:val="en-AU" w:eastAsia="en-AU"/>
        </w:rPr>
        <w:t>by working in</w:t>
      </w:r>
      <w:r w:rsidR="00D71A71" w:rsidRPr="007E0B98">
        <w:rPr>
          <w:rFonts w:eastAsia="Times New Roman" w:cs="Arial"/>
          <w:sz w:val="21"/>
          <w:szCs w:val="21"/>
          <w:lang w:val="en-AU" w:eastAsia="en-AU"/>
        </w:rPr>
        <w:t xml:space="preserve"> </w:t>
      </w:r>
      <w:r w:rsidR="00D71A71">
        <w:rPr>
          <w:rFonts w:eastAsia="Times New Roman" w:cs="Arial"/>
          <w:sz w:val="21"/>
          <w:szCs w:val="21"/>
          <w:lang w:val="en-AU" w:eastAsia="en-AU"/>
        </w:rPr>
        <w:t>partnership with</w:t>
      </w:r>
      <w:r w:rsidR="00114D0F">
        <w:rPr>
          <w:rFonts w:eastAsia="Times New Roman" w:cs="Arial"/>
          <w:sz w:val="21"/>
          <w:szCs w:val="21"/>
          <w:lang w:val="en-AU" w:eastAsia="en-AU"/>
        </w:rPr>
        <w:t xml:space="preserve"> the</w:t>
      </w:r>
      <w:r w:rsidR="00D71A71">
        <w:rPr>
          <w:rFonts w:eastAsia="Times New Roman" w:cs="Arial"/>
          <w:sz w:val="21"/>
          <w:szCs w:val="21"/>
          <w:lang w:val="en-AU" w:eastAsia="en-AU"/>
        </w:rPr>
        <w:t xml:space="preserve"> </w:t>
      </w:r>
      <w:r w:rsidR="00680EAE">
        <w:rPr>
          <w:rFonts w:eastAsia="Times New Roman" w:cs="Arial"/>
          <w:sz w:val="21"/>
          <w:szCs w:val="21"/>
          <w:lang w:val="en-AU" w:eastAsia="en-AU"/>
        </w:rPr>
        <w:t>PROSPERA</w:t>
      </w:r>
      <w:r w:rsidR="00114D0F">
        <w:rPr>
          <w:rFonts w:eastAsia="Times New Roman" w:cs="Arial"/>
          <w:sz w:val="21"/>
          <w:szCs w:val="21"/>
          <w:lang w:val="en-AU" w:eastAsia="en-AU"/>
        </w:rPr>
        <w:t xml:space="preserve"> economic governance facility</w:t>
      </w:r>
      <w:r w:rsidR="00D71A71" w:rsidRPr="007E0B98">
        <w:rPr>
          <w:rFonts w:eastAsia="Times New Roman" w:cs="Arial"/>
          <w:sz w:val="21"/>
          <w:szCs w:val="21"/>
          <w:lang w:val="en-AU" w:eastAsia="en-AU"/>
        </w:rPr>
        <w:t xml:space="preserve">, Australia Awards, </w:t>
      </w:r>
      <w:r w:rsidR="00114D0F">
        <w:rPr>
          <w:rFonts w:eastAsia="Times New Roman" w:cs="Arial"/>
          <w:sz w:val="21"/>
          <w:szCs w:val="21"/>
          <w:lang w:val="en-AU" w:eastAsia="en-AU"/>
        </w:rPr>
        <w:t>the Partnership for Australia-Indonesia Research (PAIR) and</w:t>
      </w:r>
      <w:r w:rsidR="00B21A52">
        <w:rPr>
          <w:rFonts w:eastAsia="Times New Roman" w:cs="Arial"/>
          <w:sz w:val="21"/>
          <w:szCs w:val="21"/>
          <w:lang w:val="en-AU" w:eastAsia="en-AU"/>
        </w:rPr>
        <w:t xml:space="preserve"> </w:t>
      </w:r>
      <w:r w:rsidR="00114D0F">
        <w:rPr>
          <w:rFonts w:eastAsia="Times New Roman" w:cs="Arial"/>
          <w:sz w:val="21"/>
          <w:szCs w:val="21"/>
          <w:lang w:val="en-AU" w:eastAsia="en-AU"/>
        </w:rPr>
        <w:t xml:space="preserve">Investing in Women, whole of government partners such as </w:t>
      </w:r>
      <w:r w:rsidR="00BE2A06">
        <w:rPr>
          <w:rFonts w:eastAsia="Times New Roman" w:cs="Arial"/>
          <w:sz w:val="21"/>
          <w:szCs w:val="21"/>
          <w:lang w:val="en-AU" w:eastAsia="en-AU"/>
        </w:rPr>
        <w:t>Aus</w:t>
      </w:r>
      <w:r w:rsidR="008B0A07">
        <w:rPr>
          <w:rFonts w:eastAsia="Times New Roman" w:cs="Arial"/>
          <w:sz w:val="21"/>
          <w:szCs w:val="21"/>
          <w:lang w:val="en-AU" w:eastAsia="en-AU"/>
        </w:rPr>
        <w:t>t</w:t>
      </w:r>
      <w:r w:rsidR="0020573E">
        <w:rPr>
          <w:rFonts w:eastAsia="Times New Roman" w:cs="Arial"/>
          <w:sz w:val="21"/>
          <w:szCs w:val="21"/>
          <w:lang w:val="en-AU" w:eastAsia="en-AU"/>
        </w:rPr>
        <w:t xml:space="preserve">rade, </w:t>
      </w:r>
      <w:r w:rsidR="0011380B">
        <w:rPr>
          <w:rFonts w:eastAsia="Times New Roman" w:cs="Arial"/>
          <w:sz w:val="21"/>
          <w:szCs w:val="21"/>
          <w:lang w:val="en-AU" w:eastAsia="en-AU"/>
        </w:rPr>
        <w:t xml:space="preserve">and other </w:t>
      </w:r>
      <w:r w:rsidR="0064246C">
        <w:rPr>
          <w:rFonts w:eastAsia="Times New Roman" w:cs="Arial"/>
          <w:sz w:val="21"/>
          <w:szCs w:val="21"/>
          <w:lang w:val="en-AU" w:eastAsia="en-AU"/>
        </w:rPr>
        <w:t>sectoral partners</w:t>
      </w:r>
      <w:r w:rsidR="00114D0F">
        <w:rPr>
          <w:rFonts w:eastAsia="Times New Roman" w:cs="Arial"/>
          <w:sz w:val="21"/>
          <w:szCs w:val="21"/>
          <w:lang w:val="en-AU" w:eastAsia="en-AU"/>
        </w:rPr>
        <w:t>,</w:t>
      </w:r>
      <w:r w:rsidR="0064246C">
        <w:rPr>
          <w:rFonts w:eastAsia="Times New Roman" w:cs="Arial"/>
          <w:sz w:val="21"/>
          <w:szCs w:val="21"/>
          <w:lang w:val="en-AU" w:eastAsia="en-AU"/>
        </w:rPr>
        <w:t xml:space="preserve"> </w:t>
      </w:r>
      <w:r w:rsidR="0011380B">
        <w:rPr>
          <w:rFonts w:eastAsia="Times New Roman" w:cs="Arial"/>
          <w:sz w:val="21"/>
          <w:szCs w:val="21"/>
          <w:lang w:val="en-AU" w:eastAsia="en-AU"/>
        </w:rPr>
        <w:t xml:space="preserve">to deliver </w:t>
      </w:r>
      <w:r w:rsidR="001466ED" w:rsidRPr="008400EF">
        <w:rPr>
          <w:rFonts w:eastAsia="Times New Roman" w:cs="Arial"/>
          <w:sz w:val="21"/>
          <w:szCs w:val="21"/>
          <w:lang w:val="en-AU" w:eastAsia="en-AU"/>
        </w:rPr>
        <w:t xml:space="preserve">new </w:t>
      </w:r>
      <w:r w:rsidRPr="008400EF">
        <w:rPr>
          <w:rFonts w:eastAsia="Times New Roman" w:cs="Arial"/>
          <w:sz w:val="21"/>
          <w:szCs w:val="21"/>
          <w:lang w:val="en-AU" w:eastAsia="en-AU"/>
        </w:rPr>
        <w:t>activities</w:t>
      </w:r>
      <w:r w:rsidR="00D71A71">
        <w:rPr>
          <w:rFonts w:eastAsia="Times New Roman" w:cs="Arial"/>
          <w:sz w:val="21"/>
          <w:szCs w:val="21"/>
          <w:lang w:val="en-AU" w:eastAsia="en-AU"/>
        </w:rPr>
        <w:t xml:space="preserve">. </w:t>
      </w:r>
    </w:p>
    <w:p w14:paraId="13FEADD4" w14:textId="30E9185A" w:rsidR="00114D0F" w:rsidRDefault="004D0200" w:rsidP="00114D0F">
      <w:pPr>
        <w:spacing w:after="0"/>
        <w:jc w:val="both"/>
        <w:rPr>
          <w:rFonts w:eastAsia="Times New Roman" w:cs="Arial"/>
          <w:sz w:val="21"/>
          <w:szCs w:val="21"/>
          <w:lang w:val="en-AU" w:eastAsia="en-AU"/>
        </w:rPr>
      </w:pPr>
      <w:r w:rsidRPr="007C4ABD">
        <w:rPr>
          <w:rFonts w:eastAsia="Times New Roman" w:cs="Arial"/>
          <w:sz w:val="21"/>
          <w:szCs w:val="21"/>
          <w:lang w:val="en-AU" w:eastAsia="en-AU"/>
        </w:rPr>
        <w:t xml:space="preserve">The ECP is </w:t>
      </w:r>
      <w:r w:rsidR="0064246C" w:rsidRPr="007C4ABD">
        <w:rPr>
          <w:rFonts w:eastAsia="Times New Roman" w:cs="Arial"/>
          <w:sz w:val="21"/>
          <w:szCs w:val="21"/>
          <w:lang w:val="en-AU" w:eastAsia="en-AU"/>
        </w:rPr>
        <w:t xml:space="preserve">a </w:t>
      </w:r>
      <w:r w:rsidRPr="007C4ABD">
        <w:rPr>
          <w:rFonts w:eastAsia="Times New Roman" w:cs="Arial"/>
          <w:sz w:val="21"/>
          <w:szCs w:val="21"/>
          <w:lang w:val="en-AU" w:eastAsia="en-AU"/>
        </w:rPr>
        <w:t xml:space="preserve">development program </w:t>
      </w:r>
      <w:r w:rsidR="00785F2F" w:rsidRPr="007C4ABD">
        <w:rPr>
          <w:rFonts w:eastAsia="Times New Roman" w:cs="Arial"/>
          <w:sz w:val="21"/>
          <w:szCs w:val="21"/>
          <w:lang w:val="en-AU" w:eastAsia="en-AU"/>
        </w:rPr>
        <w:t xml:space="preserve">with </w:t>
      </w:r>
      <w:r w:rsidR="0064246C" w:rsidRPr="007C4ABD">
        <w:rPr>
          <w:rFonts w:eastAsia="Times New Roman" w:cs="Arial"/>
          <w:sz w:val="21"/>
          <w:szCs w:val="21"/>
          <w:lang w:val="en-AU" w:eastAsia="en-AU"/>
        </w:rPr>
        <w:t xml:space="preserve">a unique set of </w:t>
      </w:r>
      <w:r w:rsidR="00785F2F" w:rsidRPr="007C4ABD">
        <w:rPr>
          <w:rFonts w:eastAsia="Times New Roman" w:cs="Arial"/>
          <w:sz w:val="21"/>
          <w:szCs w:val="21"/>
          <w:lang w:val="en-AU" w:eastAsia="en-AU"/>
        </w:rPr>
        <w:t>stakeholders</w:t>
      </w:r>
      <w:r w:rsidR="001803BC" w:rsidRPr="007C4ABD">
        <w:rPr>
          <w:rFonts w:eastAsia="Times New Roman" w:cs="Arial"/>
          <w:sz w:val="21"/>
          <w:szCs w:val="21"/>
          <w:lang w:val="en-AU" w:eastAsia="en-AU"/>
        </w:rPr>
        <w:t xml:space="preserve"> and governance arrangements</w:t>
      </w:r>
      <w:r w:rsidR="00785F2F" w:rsidRPr="007C4ABD">
        <w:rPr>
          <w:rFonts w:eastAsia="Times New Roman" w:cs="Arial"/>
          <w:sz w:val="21"/>
          <w:szCs w:val="21"/>
          <w:lang w:val="en-AU" w:eastAsia="en-AU"/>
        </w:rPr>
        <w:t xml:space="preserve">, </w:t>
      </w:r>
      <w:r w:rsidRPr="007C4ABD">
        <w:rPr>
          <w:rFonts w:eastAsia="Times New Roman" w:cs="Arial"/>
          <w:sz w:val="21"/>
          <w:szCs w:val="21"/>
          <w:lang w:val="en-AU" w:eastAsia="en-AU"/>
        </w:rPr>
        <w:t>being tied to a trade agreement.</w:t>
      </w:r>
      <w:r w:rsidR="009D41AF" w:rsidRPr="007C4ABD">
        <w:rPr>
          <w:rFonts w:eastAsia="Times New Roman" w:cs="Arial"/>
          <w:sz w:val="21"/>
          <w:szCs w:val="21"/>
          <w:lang w:val="en-AU" w:eastAsia="en-AU"/>
        </w:rPr>
        <w:t xml:space="preserve"> </w:t>
      </w:r>
      <w:r w:rsidR="009F3789" w:rsidRPr="007C4ABD">
        <w:rPr>
          <w:rFonts w:eastAsia="Times New Roman" w:cs="Arial"/>
          <w:sz w:val="21"/>
          <w:szCs w:val="21"/>
          <w:lang w:val="en-AU" w:eastAsia="en-AU"/>
        </w:rPr>
        <w:t xml:space="preserve">While packages which assist </w:t>
      </w:r>
      <w:r w:rsidR="008A3724" w:rsidRPr="007C4ABD">
        <w:rPr>
          <w:rFonts w:eastAsia="Times New Roman" w:cs="Arial"/>
          <w:sz w:val="21"/>
          <w:szCs w:val="21"/>
          <w:lang w:val="en-AU" w:eastAsia="en-AU"/>
        </w:rPr>
        <w:t xml:space="preserve">trade agreement </w:t>
      </w:r>
      <w:r w:rsidR="009F3789" w:rsidRPr="007C4ABD">
        <w:rPr>
          <w:rFonts w:eastAsia="Times New Roman" w:cs="Arial"/>
          <w:sz w:val="21"/>
          <w:szCs w:val="21"/>
          <w:lang w:val="en-AU" w:eastAsia="en-AU"/>
        </w:rPr>
        <w:t>implementation are not new,</w:t>
      </w:r>
      <w:r w:rsidR="009F3789">
        <w:rPr>
          <w:rFonts w:eastAsia="Times New Roman" w:cs="Arial"/>
          <w:b/>
          <w:sz w:val="21"/>
          <w:szCs w:val="21"/>
          <w:lang w:val="en-AU" w:eastAsia="en-AU"/>
        </w:rPr>
        <w:t xml:space="preserve"> the ECP will differ from other such packages </w:t>
      </w:r>
      <w:r w:rsidR="009F3789" w:rsidRPr="007C4ABD">
        <w:rPr>
          <w:rFonts w:eastAsia="Times New Roman" w:cs="Arial"/>
          <w:b/>
          <w:sz w:val="21"/>
          <w:szCs w:val="21"/>
          <w:lang w:val="en-AU" w:eastAsia="en-AU"/>
        </w:rPr>
        <w:t xml:space="preserve">through </w:t>
      </w:r>
      <w:r w:rsidR="009F3789" w:rsidRPr="008400EF">
        <w:rPr>
          <w:rFonts w:eastAsia="Times New Roman" w:cs="Arial"/>
          <w:b/>
          <w:sz w:val="21"/>
          <w:szCs w:val="21"/>
          <w:lang w:val="en-AU" w:eastAsia="en-AU"/>
        </w:rPr>
        <w:t>a</w:t>
      </w:r>
      <w:r w:rsidR="009F3789" w:rsidRPr="008400EF">
        <w:rPr>
          <w:rFonts w:eastAsia="Times New Roman" w:cs="Arial"/>
          <w:sz w:val="21"/>
          <w:szCs w:val="21"/>
          <w:lang w:val="en-AU" w:eastAsia="en-AU"/>
        </w:rPr>
        <w:t xml:space="preserve"> </w:t>
      </w:r>
      <w:r w:rsidR="009F3789" w:rsidRPr="008400EF">
        <w:rPr>
          <w:rFonts w:eastAsia="Times New Roman" w:cs="Arial"/>
          <w:b/>
          <w:sz w:val="21"/>
          <w:szCs w:val="21"/>
          <w:lang w:val="en-AU" w:eastAsia="en-AU"/>
        </w:rPr>
        <w:t>predominant focus on industry engagement</w:t>
      </w:r>
      <w:r w:rsidR="009F3789" w:rsidRPr="008400EF">
        <w:rPr>
          <w:rFonts w:eastAsia="Times New Roman" w:cs="Arial"/>
          <w:sz w:val="21"/>
          <w:szCs w:val="21"/>
          <w:lang w:val="en-AU" w:eastAsia="en-AU"/>
        </w:rPr>
        <w:t>.</w:t>
      </w:r>
      <w:r w:rsidR="009F3789">
        <w:rPr>
          <w:rFonts w:eastAsia="Times New Roman" w:cs="Arial"/>
          <w:b/>
          <w:sz w:val="21"/>
          <w:szCs w:val="21"/>
          <w:lang w:val="en-AU" w:eastAsia="en-AU"/>
        </w:rPr>
        <w:t xml:space="preserve"> </w:t>
      </w:r>
      <w:r w:rsidR="00EE6C2F" w:rsidRPr="0045451B">
        <w:rPr>
          <w:rFonts w:eastAsia="Times New Roman" w:cs="Arial"/>
          <w:b/>
          <w:sz w:val="21"/>
          <w:szCs w:val="21"/>
          <w:lang w:val="en-AU" w:eastAsia="en-AU"/>
        </w:rPr>
        <w:t xml:space="preserve">The design recognises that new and deeper industry links are </w:t>
      </w:r>
      <w:r w:rsidR="00EE6C2F">
        <w:rPr>
          <w:rFonts w:eastAsia="Times New Roman" w:cs="Arial"/>
          <w:b/>
          <w:sz w:val="21"/>
          <w:szCs w:val="21"/>
          <w:lang w:val="en-AU" w:eastAsia="en-AU"/>
        </w:rPr>
        <w:t xml:space="preserve">critical </w:t>
      </w:r>
      <w:r w:rsidR="00EE6C2F" w:rsidRPr="0045451B">
        <w:rPr>
          <w:rFonts w:eastAsia="Times New Roman" w:cs="Arial"/>
          <w:b/>
          <w:sz w:val="21"/>
          <w:szCs w:val="21"/>
          <w:lang w:val="en-AU" w:eastAsia="en-AU"/>
        </w:rPr>
        <w:t xml:space="preserve">to </w:t>
      </w:r>
      <w:r w:rsidR="00EE6C2F">
        <w:rPr>
          <w:rFonts w:eastAsia="Times New Roman" w:cs="Arial"/>
          <w:b/>
          <w:sz w:val="21"/>
          <w:szCs w:val="21"/>
          <w:lang w:val="en-AU" w:eastAsia="en-AU"/>
        </w:rPr>
        <w:t>foster</w:t>
      </w:r>
      <w:r w:rsidR="000A5B39">
        <w:rPr>
          <w:rFonts w:eastAsia="Times New Roman" w:cs="Arial"/>
          <w:b/>
          <w:sz w:val="21"/>
          <w:szCs w:val="21"/>
          <w:lang w:val="en-AU" w:eastAsia="en-AU"/>
        </w:rPr>
        <w:t>ing</w:t>
      </w:r>
      <w:r w:rsidR="00EE6C2F">
        <w:rPr>
          <w:rFonts w:eastAsia="Times New Roman" w:cs="Arial"/>
          <w:b/>
          <w:sz w:val="21"/>
          <w:szCs w:val="21"/>
          <w:lang w:val="en-AU" w:eastAsia="en-AU"/>
        </w:rPr>
        <w:t xml:space="preserve"> </w:t>
      </w:r>
      <w:r w:rsidR="00EE6C2F" w:rsidRPr="0045451B">
        <w:rPr>
          <w:rFonts w:eastAsia="Times New Roman" w:cs="Arial"/>
          <w:b/>
          <w:sz w:val="21"/>
          <w:szCs w:val="21"/>
          <w:lang w:val="en-AU" w:eastAsia="en-AU"/>
        </w:rPr>
        <w:t>the step change that IA-CEPA seeks.</w:t>
      </w:r>
      <w:r w:rsidR="00EE6C2F">
        <w:rPr>
          <w:rFonts w:eastAsia="Times New Roman" w:cs="Arial"/>
          <w:sz w:val="21"/>
          <w:szCs w:val="21"/>
          <w:lang w:val="en-AU" w:eastAsia="en-AU"/>
        </w:rPr>
        <w:t xml:space="preserve"> The ECP </w:t>
      </w:r>
      <w:r w:rsidR="00763F2A" w:rsidRPr="009F3789">
        <w:rPr>
          <w:rFonts w:eastAsia="Times New Roman" w:cs="Arial"/>
          <w:sz w:val="21"/>
          <w:szCs w:val="21"/>
          <w:lang w:val="en-AU" w:eastAsia="en-AU"/>
        </w:rPr>
        <w:t>combines</w:t>
      </w:r>
      <w:r w:rsidRPr="009F3789">
        <w:rPr>
          <w:rFonts w:eastAsia="Times New Roman" w:cs="Arial"/>
          <w:sz w:val="21"/>
          <w:szCs w:val="21"/>
          <w:lang w:val="en-AU" w:eastAsia="en-AU"/>
        </w:rPr>
        <w:t xml:space="preserve"> sound trade</w:t>
      </w:r>
      <w:r w:rsidR="00F31563" w:rsidRPr="009F3789">
        <w:rPr>
          <w:rFonts w:eastAsia="Times New Roman" w:cs="Arial"/>
          <w:sz w:val="21"/>
          <w:szCs w:val="21"/>
          <w:lang w:val="en-AU" w:eastAsia="en-AU"/>
        </w:rPr>
        <w:t xml:space="preserve"> </w:t>
      </w:r>
      <w:r w:rsidRPr="009F3789">
        <w:rPr>
          <w:rFonts w:eastAsia="Times New Roman" w:cs="Arial"/>
          <w:sz w:val="21"/>
          <w:szCs w:val="21"/>
          <w:lang w:val="en-AU" w:eastAsia="en-AU"/>
        </w:rPr>
        <w:t>and development practice</w:t>
      </w:r>
      <w:r w:rsidR="00F31563" w:rsidRPr="009F3789">
        <w:rPr>
          <w:rFonts w:eastAsia="Times New Roman" w:cs="Arial"/>
          <w:sz w:val="21"/>
          <w:szCs w:val="21"/>
          <w:lang w:val="en-AU" w:eastAsia="en-AU"/>
        </w:rPr>
        <w:t xml:space="preserve"> by</w:t>
      </w:r>
      <w:r w:rsidR="0082403E" w:rsidRPr="009F3789">
        <w:rPr>
          <w:rFonts w:eastAsia="Times New Roman" w:cs="Arial"/>
          <w:sz w:val="21"/>
          <w:szCs w:val="21"/>
          <w:lang w:val="en-AU" w:eastAsia="en-AU"/>
        </w:rPr>
        <w:t xml:space="preserve"> </w:t>
      </w:r>
      <w:r w:rsidR="00F31563" w:rsidRPr="009F3789">
        <w:rPr>
          <w:rFonts w:eastAsia="Times New Roman" w:cs="Arial"/>
          <w:sz w:val="21"/>
          <w:szCs w:val="21"/>
          <w:lang w:val="en-AU" w:eastAsia="en-AU"/>
        </w:rPr>
        <w:t xml:space="preserve">supporting Indonesia to maximise the benefits of IA-CEPA, </w:t>
      </w:r>
      <w:r w:rsidR="00B86490" w:rsidRPr="009F3789">
        <w:rPr>
          <w:rFonts w:eastAsia="Times New Roman" w:cs="Arial"/>
          <w:sz w:val="21"/>
          <w:szCs w:val="21"/>
          <w:lang w:val="en-AU" w:eastAsia="en-AU"/>
        </w:rPr>
        <w:t>address</w:t>
      </w:r>
      <w:r w:rsidR="00F31563" w:rsidRPr="009F3789">
        <w:rPr>
          <w:rFonts w:eastAsia="Times New Roman" w:cs="Arial"/>
          <w:sz w:val="21"/>
          <w:szCs w:val="21"/>
          <w:lang w:val="en-AU" w:eastAsia="en-AU"/>
        </w:rPr>
        <w:t>ing</w:t>
      </w:r>
      <w:r w:rsidR="00B86490" w:rsidRPr="009F3789">
        <w:rPr>
          <w:rFonts w:eastAsia="Times New Roman" w:cs="Arial"/>
          <w:sz w:val="21"/>
          <w:szCs w:val="21"/>
          <w:lang w:val="en-AU" w:eastAsia="en-AU"/>
        </w:rPr>
        <w:t xml:space="preserve"> </w:t>
      </w:r>
      <w:r w:rsidR="002C06D4" w:rsidRPr="009F3789">
        <w:rPr>
          <w:rFonts w:eastAsia="Times New Roman" w:cs="Arial"/>
          <w:sz w:val="21"/>
          <w:szCs w:val="21"/>
          <w:lang w:val="en-AU" w:eastAsia="en-AU"/>
        </w:rPr>
        <w:t xml:space="preserve">regulatory challenges (through </w:t>
      </w:r>
      <w:r w:rsidR="00C64690" w:rsidRPr="009F3789">
        <w:rPr>
          <w:rFonts w:eastAsia="Times New Roman" w:cs="Arial"/>
          <w:sz w:val="21"/>
          <w:szCs w:val="21"/>
          <w:lang w:val="en-AU" w:eastAsia="en-AU"/>
        </w:rPr>
        <w:t>technical assistance</w:t>
      </w:r>
      <w:r w:rsidR="002C06D4" w:rsidRPr="009F3789">
        <w:rPr>
          <w:rFonts w:eastAsia="Times New Roman" w:cs="Arial"/>
          <w:sz w:val="21"/>
          <w:szCs w:val="21"/>
          <w:lang w:val="en-AU" w:eastAsia="en-AU"/>
        </w:rPr>
        <w:t>)</w:t>
      </w:r>
      <w:r w:rsidR="008A3724">
        <w:rPr>
          <w:rFonts w:eastAsia="Times New Roman" w:cs="Arial"/>
          <w:sz w:val="21"/>
          <w:szCs w:val="21"/>
          <w:lang w:val="en-AU" w:eastAsia="en-AU"/>
        </w:rPr>
        <w:t xml:space="preserve">, while </w:t>
      </w:r>
      <w:r w:rsidR="00C64690" w:rsidRPr="009F3789">
        <w:rPr>
          <w:rFonts w:eastAsia="Times New Roman" w:cs="Arial"/>
          <w:sz w:val="21"/>
          <w:szCs w:val="21"/>
          <w:lang w:val="en-AU" w:eastAsia="en-AU"/>
        </w:rPr>
        <w:t xml:space="preserve">resourcing innovative </w:t>
      </w:r>
      <w:r w:rsidR="009F3789">
        <w:rPr>
          <w:rFonts w:eastAsia="Times New Roman" w:cs="Arial"/>
          <w:sz w:val="21"/>
          <w:szCs w:val="21"/>
          <w:lang w:val="en-AU" w:eastAsia="en-AU"/>
        </w:rPr>
        <w:t xml:space="preserve">industry </w:t>
      </w:r>
      <w:r w:rsidR="00C64690" w:rsidRPr="009F3789">
        <w:rPr>
          <w:rFonts w:eastAsia="Times New Roman" w:cs="Arial"/>
          <w:sz w:val="21"/>
          <w:szCs w:val="21"/>
          <w:lang w:val="en-AU" w:eastAsia="en-AU"/>
        </w:rPr>
        <w:t>engagement</w:t>
      </w:r>
      <w:r w:rsidR="00F31563" w:rsidRPr="009F3789">
        <w:rPr>
          <w:rFonts w:eastAsia="Times New Roman" w:cs="Arial"/>
          <w:sz w:val="21"/>
          <w:szCs w:val="21"/>
          <w:lang w:val="en-AU" w:eastAsia="en-AU"/>
        </w:rPr>
        <w:t xml:space="preserve"> </w:t>
      </w:r>
      <w:r w:rsidR="00C87B9C">
        <w:rPr>
          <w:rFonts w:eastAsia="Times New Roman" w:cs="Arial"/>
          <w:sz w:val="21"/>
          <w:szCs w:val="21"/>
          <w:lang w:val="en-AU" w:eastAsia="en-AU"/>
        </w:rPr>
        <w:t>in</w:t>
      </w:r>
      <w:r w:rsidR="00C64690" w:rsidRPr="009F3789">
        <w:rPr>
          <w:rFonts w:eastAsia="Times New Roman" w:cs="Arial"/>
          <w:sz w:val="21"/>
          <w:szCs w:val="21"/>
          <w:lang w:val="en-AU" w:eastAsia="en-AU"/>
        </w:rPr>
        <w:t xml:space="preserve"> sectors of </w:t>
      </w:r>
      <w:r w:rsidR="0072474C" w:rsidRPr="009F3789">
        <w:rPr>
          <w:rFonts w:eastAsia="Times New Roman" w:cs="Arial"/>
          <w:sz w:val="21"/>
          <w:szCs w:val="21"/>
          <w:lang w:val="en-AU" w:eastAsia="en-AU"/>
        </w:rPr>
        <w:t>mutual interest</w:t>
      </w:r>
      <w:r w:rsidR="00EA09DD" w:rsidRPr="009F3789">
        <w:rPr>
          <w:rFonts w:eastAsia="Times New Roman" w:cs="Arial"/>
          <w:sz w:val="21"/>
          <w:szCs w:val="21"/>
          <w:lang w:val="en-AU" w:eastAsia="en-AU"/>
        </w:rPr>
        <w:t xml:space="preserve">, such as </w:t>
      </w:r>
      <w:r w:rsidR="0072474C" w:rsidRPr="009F3789">
        <w:rPr>
          <w:rFonts w:eastAsia="Times New Roman" w:cs="Arial"/>
          <w:sz w:val="21"/>
          <w:szCs w:val="21"/>
          <w:lang w:val="en-AU" w:eastAsia="en-AU"/>
        </w:rPr>
        <w:t xml:space="preserve">in </w:t>
      </w:r>
      <w:r w:rsidR="00EA09DD" w:rsidRPr="009F3789">
        <w:rPr>
          <w:rFonts w:eastAsia="Times New Roman" w:cs="Arial"/>
          <w:sz w:val="21"/>
          <w:szCs w:val="21"/>
          <w:lang w:val="en-AU" w:eastAsia="en-AU"/>
        </w:rPr>
        <w:t>agricultur</w:t>
      </w:r>
      <w:r w:rsidR="0072474C" w:rsidRPr="009F3789">
        <w:rPr>
          <w:rFonts w:eastAsia="Times New Roman" w:cs="Arial"/>
          <w:sz w:val="21"/>
          <w:szCs w:val="21"/>
          <w:lang w:val="en-AU" w:eastAsia="en-AU"/>
        </w:rPr>
        <w:t>e</w:t>
      </w:r>
      <w:r w:rsidR="00EA09DD" w:rsidRPr="009F3789">
        <w:rPr>
          <w:rFonts w:eastAsia="Times New Roman" w:cs="Arial"/>
          <w:sz w:val="21"/>
          <w:szCs w:val="21"/>
          <w:lang w:val="en-AU" w:eastAsia="en-AU"/>
        </w:rPr>
        <w:t xml:space="preserve">; and </w:t>
      </w:r>
      <w:r w:rsidR="005918CA" w:rsidRPr="009F3789">
        <w:rPr>
          <w:rFonts w:eastAsia="Times New Roman" w:cs="Arial"/>
          <w:sz w:val="21"/>
          <w:szCs w:val="21"/>
          <w:lang w:val="en-AU" w:eastAsia="en-AU"/>
        </w:rPr>
        <w:t>by investing in standards</w:t>
      </w:r>
      <w:r w:rsidR="00F31563" w:rsidRPr="009F3789">
        <w:rPr>
          <w:rFonts w:eastAsia="Times New Roman" w:cs="Arial"/>
          <w:sz w:val="21"/>
          <w:szCs w:val="21"/>
          <w:lang w:val="en-AU" w:eastAsia="en-AU"/>
        </w:rPr>
        <w:t xml:space="preserve">, skills </w:t>
      </w:r>
      <w:r w:rsidR="005918CA" w:rsidRPr="009F3789">
        <w:rPr>
          <w:rFonts w:eastAsia="Times New Roman" w:cs="Arial"/>
          <w:sz w:val="21"/>
          <w:szCs w:val="21"/>
          <w:lang w:val="en-AU" w:eastAsia="en-AU"/>
        </w:rPr>
        <w:t xml:space="preserve">and private sector </w:t>
      </w:r>
      <w:r w:rsidR="009F3789" w:rsidRPr="009F3789">
        <w:rPr>
          <w:rFonts w:eastAsia="Times New Roman" w:cs="Arial"/>
          <w:sz w:val="21"/>
          <w:szCs w:val="21"/>
          <w:lang w:val="en-AU" w:eastAsia="en-AU"/>
        </w:rPr>
        <w:t xml:space="preserve">development </w:t>
      </w:r>
      <w:r w:rsidR="00F31563" w:rsidRPr="009F3789">
        <w:rPr>
          <w:rFonts w:eastAsia="Times New Roman" w:cs="Arial"/>
          <w:sz w:val="21"/>
          <w:szCs w:val="21"/>
          <w:lang w:val="en-AU" w:eastAsia="en-AU"/>
        </w:rPr>
        <w:t xml:space="preserve">in new areas </w:t>
      </w:r>
      <w:r w:rsidR="00EA09DD" w:rsidRPr="009F3789">
        <w:rPr>
          <w:rFonts w:eastAsia="Times New Roman" w:cs="Arial"/>
          <w:sz w:val="21"/>
          <w:szCs w:val="21"/>
          <w:lang w:val="en-AU" w:eastAsia="en-AU"/>
        </w:rPr>
        <w:t>(such as digital services and advanced manufacturing)</w:t>
      </w:r>
      <w:r w:rsidR="0082403E" w:rsidRPr="009F3789">
        <w:rPr>
          <w:rFonts w:eastAsia="Times New Roman" w:cs="Arial"/>
          <w:sz w:val="21"/>
          <w:szCs w:val="21"/>
          <w:lang w:val="en-AU" w:eastAsia="en-AU"/>
        </w:rPr>
        <w:t>.</w:t>
      </w:r>
    </w:p>
    <w:p w14:paraId="5563CE91" w14:textId="0AE258AD" w:rsidR="005D1289" w:rsidRPr="00114D0F" w:rsidRDefault="0013247C" w:rsidP="00114D0F">
      <w:pPr>
        <w:spacing w:after="0"/>
        <w:jc w:val="both"/>
        <w:rPr>
          <w:rFonts w:eastAsia="Times New Roman" w:cs="Arial"/>
          <w:b/>
          <w:sz w:val="21"/>
          <w:szCs w:val="21"/>
          <w:lang w:val="en-AU" w:eastAsia="en-AU"/>
        </w:rPr>
      </w:pPr>
      <w:r w:rsidRPr="00F33E66">
        <w:rPr>
          <w:noProof/>
          <w:lang w:val="en-AU" w:eastAsia="en-AU"/>
        </w:rPr>
        <w:drawing>
          <wp:anchor distT="0" distB="0" distL="114300" distR="114300" simplePos="0" relativeHeight="251719680" behindDoc="1" locked="0" layoutInCell="1" allowOverlap="1" wp14:anchorId="30E44288" wp14:editId="70CECB75">
            <wp:simplePos x="0" y="0"/>
            <wp:positionH relativeFrom="column">
              <wp:posOffset>175260</wp:posOffset>
            </wp:positionH>
            <wp:positionV relativeFrom="paragraph">
              <wp:posOffset>687070</wp:posOffset>
            </wp:positionV>
            <wp:extent cx="5897880" cy="1562100"/>
            <wp:effectExtent l="19050" t="19050" r="26670" b="19050"/>
            <wp:wrapSquare wrapText="bothSides"/>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l="1634" r="1634" b="14959"/>
                    <a:stretch/>
                  </pic:blipFill>
                  <pic:spPr bwMode="auto">
                    <a:xfrm>
                      <a:off x="0" y="0"/>
                      <a:ext cx="5897880" cy="156210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45B9F" w:rsidRPr="007C4ABD">
        <w:rPr>
          <w:rFonts w:cs="Calibri"/>
          <w:b/>
          <w:sz w:val="21"/>
          <w:szCs w:val="21"/>
        </w:rPr>
        <w:t>The ECP</w:t>
      </w:r>
      <w:r w:rsidR="00EF3297" w:rsidRPr="007C4ABD">
        <w:rPr>
          <w:rFonts w:cs="Calibri"/>
          <w:b/>
          <w:sz w:val="21"/>
          <w:szCs w:val="21"/>
        </w:rPr>
        <w:t xml:space="preserve"> </w:t>
      </w:r>
      <w:r w:rsidR="00445B9F" w:rsidRPr="007C4ABD">
        <w:rPr>
          <w:rFonts w:cs="Calibri"/>
          <w:b/>
          <w:sz w:val="21"/>
          <w:szCs w:val="21"/>
        </w:rPr>
        <w:t xml:space="preserve">will </w:t>
      </w:r>
      <w:r w:rsidR="00677A0B" w:rsidRPr="007C4ABD">
        <w:rPr>
          <w:rFonts w:cs="Calibri"/>
          <w:b/>
          <w:sz w:val="21"/>
          <w:szCs w:val="21"/>
        </w:rPr>
        <w:t xml:space="preserve">drive multi-year </w:t>
      </w:r>
      <w:r w:rsidR="00445B9F" w:rsidRPr="007C4ABD">
        <w:rPr>
          <w:rFonts w:cs="Calibri"/>
          <w:b/>
          <w:sz w:val="21"/>
          <w:szCs w:val="21"/>
        </w:rPr>
        <w:t>activities around three key outcomes</w:t>
      </w:r>
      <w:r w:rsidR="00A92587" w:rsidRPr="007C4ABD">
        <w:rPr>
          <w:rFonts w:cs="Calibri"/>
          <w:b/>
          <w:sz w:val="21"/>
          <w:szCs w:val="21"/>
        </w:rPr>
        <w:t xml:space="preserve"> across three broad economic sectors, </w:t>
      </w:r>
      <w:r w:rsidR="00A92587" w:rsidRPr="007C4ABD">
        <w:rPr>
          <w:rFonts w:cs="Calibri"/>
          <w:sz w:val="21"/>
          <w:szCs w:val="21"/>
        </w:rPr>
        <w:t>distilling the many and</w:t>
      </w:r>
      <w:r w:rsidR="00A92587" w:rsidRPr="007C4ABD">
        <w:rPr>
          <w:rFonts w:cs="Calibri"/>
          <w:b/>
          <w:sz w:val="21"/>
          <w:szCs w:val="21"/>
        </w:rPr>
        <w:t xml:space="preserve"> </w:t>
      </w:r>
      <w:r w:rsidR="003D3624" w:rsidRPr="00A92587">
        <w:rPr>
          <w:rFonts w:cs="Calibri"/>
          <w:sz w:val="21"/>
          <w:szCs w:val="21"/>
        </w:rPr>
        <w:t xml:space="preserve">varied </w:t>
      </w:r>
      <w:r w:rsidR="007C672E">
        <w:rPr>
          <w:rFonts w:cs="Calibri"/>
          <w:sz w:val="21"/>
          <w:szCs w:val="21"/>
        </w:rPr>
        <w:t xml:space="preserve">priorities identified by </w:t>
      </w:r>
      <w:r w:rsidR="00763F2A" w:rsidRPr="00A92587">
        <w:rPr>
          <w:rFonts w:cs="Calibri"/>
          <w:sz w:val="21"/>
          <w:szCs w:val="21"/>
        </w:rPr>
        <w:t>g</w:t>
      </w:r>
      <w:r w:rsidR="00D814D3" w:rsidRPr="00A92587">
        <w:rPr>
          <w:rFonts w:cs="Calibri"/>
          <w:sz w:val="21"/>
          <w:szCs w:val="21"/>
        </w:rPr>
        <w:t xml:space="preserve">overnment and industry </w:t>
      </w:r>
      <w:r w:rsidR="007C672E">
        <w:rPr>
          <w:rFonts w:cs="Calibri"/>
          <w:sz w:val="21"/>
          <w:szCs w:val="21"/>
        </w:rPr>
        <w:t xml:space="preserve">during </w:t>
      </w:r>
      <w:r w:rsidR="00611370">
        <w:rPr>
          <w:rFonts w:cs="Calibri"/>
          <w:sz w:val="21"/>
          <w:szCs w:val="21"/>
        </w:rPr>
        <w:t>the course of IA-CEPA negotiations</w:t>
      </w:r>
      <w:r w:rsidR="007C672E">
        <w:rPr>
          <w:rFonts w:cs="Calibri"/>
          <w:sz w:val="21"/>
          <w:szCs w:val="21"/>
        </w:rPr>
        <w:t xml:space="preserve"> and through extensive consultations in Australia and Indonesia</w:t>
      </w:r>
      <w:r w:rsidR="00611370">
        <w:rPr>
          <w:rFonts w:cs="Calibri"/>
          <w:sz w:val="21"/>
          <w:szCs w:val="21"/>
        </w:rPr>
        <w:t>, as summarised in the framework below</w:t>
      </w:r>
      <w:r w:rsidR="00EF3297" w:rsidRPr="00763F2A">
        <w:rPr>
          <w:rFonts w:cs="Calibri"/>
          <w:sz w:val="21"/>
          <w:szCs w:val="21"/>
        </w:rPr>
        <w:t>:</w:t>
      </w:r>
    </w:p>
    <w:p w14:paraId="2CF51031" w14:textId="36F827A7" w:rsidR="00525A2A" w:rsidRDefault="00525A2A">
      <w:pPr>
        <w:suppressAutoHyphens w:val="0"/>
        <w:spacing w:before="0" w:after="120" w:line="440" w:lineRule="atLeast"/>
        <w:rPr>
          <w:rFonts w:cs="Calibri"/>
          <w:sz w:val="21"/>
          <w:szCs w:val="21"/>
          <w:highlight w:val="yellow"/>
        </w:rPr>
      </w:pPr>
      <w:r>
        <w:rPr>
          <w:rFonts w:cs="Calibri"/>
          <w:sz w:val="21"/>
          <w:szCs w:val="21"/>
          <w:highlight w:val="yellow"/>
        </w:rPr>
        <w:br w:type="page"/>
      </w:r>
    </w:p>
    <w:p w14:paraId="69160762" w14:textId="77777777" w:rsidR="009B4644" w:rsidRDefault="009B4644" w:rsidP="00C051CE">
      <w:pPr>
        <w:spacing w:before="0" w:after="0"/>
        <w:jc w:val="both"/>
        <w:rPr>
          <w:rFonts w:cs="Calibri"/>
          <w:sz w:val="21"/>
          <w:szCs w:val="21"/>
          <w:highlight w:val="yellow"/>
        </w:rPr>
      </w:pPr>
    </w:p>
    <w:p w14:paraId="1E32269B" w14:textId="21EE3389" w:rsidR="00787ED9" w:rsidRDefault="0064246C" w:rsidP="00C051CE">
      <w:pPr>
        <w:spacing w:before="0" w:after="0"/>
        <w:jc w:val="both"/>
        <w:rPr>
          <w:rFonts w:cs="Calibri"/>
          <w:sz w:val="21"/>
          <w:szCs w:val="21"/>
        </w:rPr>
      </w:pPr>
      <w:r w:rsidRPr="00780BBB">
        <w:rPr>
          <w:rFonts w:cs="Calibri"/>
          <w:b/>
          <w:sz w:val="21"/>
          <w:szCs w:val="21"/>
        </w:rPr>
        <w:t xml:space="preserve">Subject to approval by </w:t>
      </w:r>
      <w:r w:rsidR="007C672E">
        <w:rPr>
          <w:rFonts w:cs="Calibri"/>
          <w:b/>
          <w:sz w:val="21"/>
          <w:szCs w:val="21"/>
        </w:rPr>
        <w:t xml:space="preserve">ECP </w:t>
      </w:r>
      <w:r w:rsidR="003032BD" w:rsidRPr="00780BBB">
        <w:rPr>
          <w:rFonts w:cs="Calibri"/>
          <w:b/>
          <w:sz w:val="21"/>
          <w:szCs w:val="21"/>
        </w:rPr>
        <w:t xml:space="preserve">stakeholders </w:t>
      </w:r>
      <w:r w:rsidR="007305DC" w:rsidRPr="00780BBB">
        <w:rPr>
          <w:rFonts w:cs="Calibri"/>
          <w:b/>
          <w:sz w:val="21"/>
          <w:szCs w:val="21"/>
        </w:rPr>
        <w:t>described below</w:t>
      </w:r>
      <w:r w:rsidRPr="00780BBB">
        <w:rPr>
          <w:rFonts w:cs="Calibri"/>
          <w:sz w:val="21"/>
          <w:szCs w:val="21"/>
        </w:rPr>
        <w:t>, t</w:t>
      </w:r>
      <w:r w:rsidR="00BF1C5D" w:rsidRPr="00780BBB">
        <w:rPr>
          <w:rFonts w:cs="Calibri"/>
          <w:sz w:val="21"/>
          <w:szCs w:val="21"/>
        </w:rPr>
        <w:t xml:space="preserve">he </w:t>
      </w:r>
      <w:r w:rsidR="00D51495" w:rsidRPr="00780BBB">
        <w:rPr>
          <w:rFonts w:cs="Calibri"/>
          <w:sz w:val="21"/>
          <w:szCs w:val="21"/>
        </w:rPr>
        <w:t xml:space="preserve">proposed </w:t>
      </w:r>
      <w:r w:rsidR="00AA538B" w:rsidRPr="00780BBB">
        <w:rPr>
          <w:rFonts w:cs="Calibri"/>
          <w:sz w:val="21"/>
          <w:szCs w:val="21"/>
        </w:rPr>
        <w:t xml:space="preserve">initial </w:t>
      </w:r>
      <w:r w:rsidR="00BF1C5D" w:rsidRPr="00780BBB">
        <w:rPr>
          <w:rFonts w:cs="Calibri"/>
          <w:sz w:val="21"/>
          <w:szCs w:val="21"/>
        </w:rPr>
        <w:t>multi-year activit</w:t>
      </w:r>
      <w:r w:rsidR="00D51495" w:rsidRPr="00780BBB">
        <w:rPr>
          <w:rFonts w:cs="Calibri"/>
          <w:sz w:val="21"/>
          <w:szCs w:val="21"/>
        </w:rPr>
        <w:t>y areas</w:t>
      </w:r>
      <w:r w:rsidR="005C174A" w:rsidRPr="00780BBB">
        <w:rPr>
          <w:rFonts w:cs="Calibri"/>
          <w:sz w:val="21"/>
          <w:szCs w:val="21"/>
        </w:rPr>
        <w:t xml:space="preserve"> </w:t>
      </w:r>
      <w:r w:rsidR="00157CCF" w:rsidRPr="00780BBB">
        <w:rPr>
          <w:rFonts w:cs="Calibri"/>
          <w:sz w:val="21"/>
          <w:szCs w:val="21"/>
        </w:rPr>
        <w:t>are</w:t>
      </w:r>
      <w:r w:rsidR="00D51495" w:rsidRPr="00780BBB">
        <w:rPr>
          <w:rFonts w:cs="Calibri"/>
          <w:sz w:val="21"/>
          <w:szCs w:val="21"/>
        </w:rPr>
        <w:t>:</w:t>
      </w:r>
    </w:p>
    <w:tbl>
      <w:tblPr>
        <w:tblStyle w:val="TableGrid"/>
        <w:tblW w:w="9716" w:type="dxa"/>
        <w:tblInd w:w="-5" w:type="dxa"/>
        <w:tblLook w:val="04A0" w:firstRow="1" w:lastRow="0" w:firstColumn="1" w:lastColumn="0" w:noHBand="0" w:noVBand="1"/>
      </w:tblPr>
      <w:tblGrid>
        <w:gridCol w:w="9716"/>
      </w:tblGrid>
      <w:tr w:rsidR="00BF1C5D" w14:paraId="0FE116A5" w14:textId="77777777" w:rsidTr="007C4ABD">
        <w:trPr>
          <w:trHeight w:val="2049"/>
        </w:trPr>
        <w:tc>
          <w:tcPr>
            <w:tcW w:w="9716" w:type="dxa"/>
          </w:tcPr>
          <w:p w14:paraId="1E8282D0" w14:textId="46A36385" w:rsidR="00BF1C5D" w:rsidRPr="00C051CE" w:rsidRDefault="00D51495">
            <w:pPr>
              <w:spacing w:after="120" w:line="240" w:lineRule="auto"/>
              <w:jc w:val="both"/>
              <w:rPr>
                <w:rFonts w:cs="Calibri"/>
                <w:sz w:val="21"/>
                <w:szCs w:val="21"/>
              </w:rPr>
            </w:pPr>
            <w:r>
              <w:rPr>
                <w:rFonts w:cs="Calibri"/>
                <w:sz w:val="21"/>
                <w:szCs w:val="21"/>
              </w:rPr>
              <w:t xml:space="preserve"> </w:t>
            </w:r>
            <w:r w:rsidR="00BF1C5D" w:rsidRPr="00785F2F">
              <w:rPr>
                <w:rFonts w:cs="Calibri"/>
                <w:b/>
                <w:sz w:val="21"/>
                <w:szCs w:val="21"/>
                <w:u w:val="single"/>
              </w:rPr>
              <w:t>IA-CEPA Implementation</w:t>
            </w:r>
            <w:r w:rsidR="00BF1C5D" w:rsidRPr="00FC64B2">
              <w:rPr>
                <w:rFonts w:cs="Calibri"/>
                <w:sz w:val="21"/>
                <w:szCs w:val="21"/>
              </w:rPr>
              <w:t xml:space="preserve">: </w:t>
            </w:r>
            <w:r w:rsidR="00D80AC9" w:rsidRPr="008400EF">
              <w:rPr>
                <w:rFonts w:cs="Calibri"/>
                <w:sz w:val="21"/>
                <w:szCs w:val="21"/>
              </w:rPr>
              <w:t xml:space="preserve">Implementation </w:t>
            </w:r>
            <w:r w:rsidR="00BF1C5D" w:rsidRPr="008400EF">
              <w:rPr>
                <w:rFonts w:cs="Calibri"/>
                <w:sz w:val="21"/>
                <w:szCs w:val="21"/>
              </w:rPr>
              <w:t>of the IA-CEPA will be the ‘core business’ of the ECP</w:t>
            </w:r>
            <w:r w:rsidR="00BF1C5D" w:rsidRPr="00FC64B2">
              <w:rPr>
                <w:rFonts w:cs="Calibri"/>
                <w:sz w:val="21"/>
                <w:szCs w:val="21"/>
              </w:rPr>
              <w:t xml:space="preserve">. Delivering and sustaining full implementation of IA-CEPA commitments will bolster </w:t>
            </w:r>
            <w:r w:rsidR="0010542F">
              <w:rPr>
                <w:rFonts w:cs="Calibri"/>
                <w:sz w:val="21"/>
                <w:szCs w:val="21"/>
              </w:rPr>
              <w:t xml:space="preserve">Indonesia’s trade and investment </w:t>
            </w:r>
            <w:r w:rsidR="004B3CB3">
              <w:rPr>
                <w:rFonts w:cs="Calibri"/>
                <w:sz w:val="21"/>
                <w:szCs w:val="21"/>
              </w:rPr>
              <w:t xml:space="preserve">and will </w:t>
            </w:r>
            <w:r w:rsidR="00BF1C5D" w:rsidRPr="00FC64B2">
              <w:rPr>
                <w:rFonts w:cs="Calibri"/>
                <w:sz w:val="21"/>
                <w:szCs w:val="21"/>
              </w:rPr>
              <w:t xml:space="preserve">require </w:t>
            </w:r>
            <w:r w:rsidR="00BF1C5D" w:rsidRPr="00380B6A">
              <w:rPr>
                <w:rFonts w:cs="Calibri"/>
                <w:b/>
                <w:sz w:val="21"/>
                <w:szCs w:val="21"/>
              </w:rPr>
              <w:t>sustained engagement with officials, socialisation of outcomes</w:t>
            </w:r>
            <w:r w:rsidR="00A62B2C">
              <w:rPr>
                <w:rFonts w:cs="Calibri"/>
                <w:b/>
                <w:sz w:val="21"/>
                <w:szCs w:val="21"/>
              </w:rPr>
              <w:t>, and assessing potential sectors for deeper engagement over time</w:t>
            </w:r>
            <w:r w:rsidR="00BF1C5D" w:rsidRPr="00FC64B2">
              <w:rPr>
                <w:rFonts w:cs="Calibri"/>
                <w:sz w:val="21"/>
                <w:szCs w:val="21"/>
              </w:rPr>
              <w:t xml:space="preserve">. </w:t>
            </w:r>
            <w:r w:rsidR="00FD2AFE" w:rsidRPr="008400EF">
              <w:rPr>
                <w:rFonts w:cs="Calibri"/>
                <w:sz w:val="21"/>
                <w:szCs w:val="21"/>
              </w:rPr>
              <w:t xml:space="preserve">Anchored around an iterative </w:t>
            </w:r>
            <w:r w:rsidR="00FD2AFE" w:rsidRPr="008400EF">
              <w:rPr>
                <w:rFonts w:cs="Calibri"/>
                <w:b/>
                <w:sz w:val="21"/>
                <w:szCs w:val="21"/>
              </w:rPr>
              <w:t>IA-CEPA Implementation Work Plan</w:t>
            </w:r>
            <w:r w:rsidR="00FD2AFE">
              <w:rPr>
                <w:rFonts w:cs="Calibri"/>
                <w:sz w:val="21"/>
                <w:szCs w:val="21"/>
              </w:rPr>
              <w:t>, t</w:t>
            </w:r>
            <w:r w:rsidR="00BF1C5D" w:rsidRPr="00FC64B2">
              <w:rPr>
                <w:rFonts w:cs="Calibri"/>
                <w:sz w:val="21"/>
                <w:szCs w:val="21"/>
              </w:rPr>
              <w:t>his activity will monitor</w:t>
            </w:r>
            <w:r w:rsidR="004B3CB3">
              <w:rPr>
                <w:rFonts w:cs="Calibri"/>
                <w:sz w:val="21"/>
                <w:szCs w:val="21"/>
              </w:rPr>
              <w:t xml:space="preserve">, </w:t>
            </w:r>
            <w:r w:rsidR="00BF1C5D" w:rsidRPr="00FC64B2">
              <w:rPr>
                <w:rFonts w:cs="Calibri"/>
                <w:sz w:val="21"/>
                <w:szCs w:val="21"/>
              </w:rPr>
              <w:t xml:space="preserve">evaluate </w:t>
            </w:r>
            <w:r w:rsidR="004B3CB3">
              <w:rPr>
                <w:rFonts w:cs="Calibri"/>
                <w:sz w:val="21"/>
                <w:szCs w:val="21"/>
              </w:rPr>
              <w:t xml:space="preserve">and learn from </w:t>
            </w:r>
            <w:r w:rsidR="00BF1C5D" w:rsidRPr="00FC64B2">
              <w:rPr>
                <w:rFonts w:cs="Calibri"/>
                <w:sz w:val="21"/>
                <w:szCs w:val="21"/>
              </w:rPr>
              <w:t>IA-CEPA</w:t>
            </w:r>
            <w:r w:rsidR="00A62B2C">
              <w:rPr>
                <w:rFonts w:cs="Calibri"/>
                <w:sz w:val="21"/>
                <w:szCs w:val="21"/>
              </w:rPr>
              <w:t xml:space="preserve"> utilisation and broader impacts</w:t>
            </w:r>
            <w:r w:rsidR="00BF1C5D" w:rsidRPr="00FC64B2">
              <w:rPr>
                <w:rFonts w:cs="Calibri"/>
                <w:sz w:val="21"/>
                <w:szCs w:val="21"/>
              </w:rPr>
              <w:t>.</w:t>
            </w:r>
            <w:r w:rsidR="007518F3">
              <w:rPr>
                <w:rFonts w:cs="Calibri"/>
                <w:sz w:val="21"/>
                <w:szCs w:val="21"/>
              </w:rPr>
              <w:t xml:space="preserve"> Opportunities to strengthen new areas of partnership between Australia and Indonesia will also be explored through feasibility studies in areas such as strengthening </w:t>
            </w:r>
            <w:r w:rsidR="00877569">
              <w:rPr>
                <w:rFonts w:cs="Calibri"/>
                <w:sz w:val="21"/>
                <w:szCs w:val="21"/>
              </w:rPr>
              <w:t xml:space="preserve">linkages between Indonesian </w:t>
            </w:r>
            <w:r w:rsidR="007518F3">
              <w:rPr>
                <w:rFonts w:cs="Calibri"/>
                <w:sz w:val="21"/>
                <w:szCs w:val="21"/>
              </w:rPr>
              <w:t xml:space="preserve">digital services </w:t>
            </w:r>
            <w:r w:rsidR="00877569">
              <w:rPr>
                <w:rFonts w:cs="Calibri"/>
                <w:sz w:val="21"/>
                <w:szCs w:val="21"/>
              </w:rPr>
              <w:t xml:space="preserve">firms </w:t>
            </w:r>
            <w:r w:rsidR="007518F3">
              <w:rPr>
                <w:rFonts w:cs="Calibri"/>
                <w:sz w:val="21"/>
                <w:szCs w:val="21"/>
              </w:rPr>
              <w:t xml:space="preserve">and </w:t>
            </w:r>
            <w:r w:rsidR="00877569">
              <w:rPr>
                <w:rFonts w:cs="Calibri"/>
                <w:sz w:val="21"/>
                <w:szCs w:val="21"/>
              </w:rPr>
              <w:t xml:space="preserve">Australian </w:t>
            </w:r>
            <w:r w:rsidR="007518F3">
              <w:rPr>
                <w:rFonts w:cs="Calibri"/>
                <w:sz w:val="21"/>
                <w:szCs w:val="21"/>
              </w:rPr>
              <w:t>capital market</w:t>
            </w:r>
            <w:r w:rsidR="00877569">
              <w:rPr>
                <w:rFonts w:cs="Calibri"/>
                <w:sz w:val="21"/>
                <w:szCs w:val="21"/>
              </w:rPr>
              <w:t>s</w:t>
            </w:r>
            <w:r w:rsidR="007518F3">
              <w:rPr>
                <w:rFonts w:cs="Calibri"/>
                <w:sz w:val="21"/>
                <w:szCs w:val="21"/>
              </w:rPr>
              <w:t>.</w:t>
            </w:r>
          </w:p>
        </w:tc>
      </w:tr>
      <w:tr w:rsidR="00BF1C5D" w14:paraId="14B65B3A" w14:textId="77777777" w:rsidTr="007C4ABD">
        <w:trPr>
          <w:trHeight w:val="1366"/>
        </w:trPr>
        <w:tc>
          <w:tcPr>
            <w:tcW w:w="9716" w:type="dxa"/>
          </w:tcPr>
          <w:p w14:paraId="492E6A71" w14:textId="59572DF9" w:rsidR="00BF1C5D" w:rsidRPr="00C051CE" w:rsidRDefault="00BF1C5D" w:rsidP="00B92CF4">
            <w:pPr>
              <w:spacing w:after="120" w:line="240" w:lineRule="auto"/>
              <w:jc w:val="both"/>
              <w:rPr>
                <w:rFonts w:cs="Calibri"/>
                <w:sz w:val="21"/>
                <w:szCs w:val="21"/>
              </w:rPr>
            </w:pPr>
            <w:proofErr w:type="spellStart"/>
            <w:r w:rsidRPr="00785F2F">
              <w:rPr>
                <w:rFonts w:cs="Calibri"/>
                <w:b/>
                <w:sz w:val="21"/>
                <w:szCs w:val="21"/>
                <w:u w:val="single"/>
              </w:rPr>
              <w:t>Agrifood</w:t>
            </w:r>
            <w:proofErr w:type="spellEnd"/>
            <w:r w:rsidRPr="00785F2F">
              <w:rPr>
                <w:rFonts w:cs="Calibri"/>
                <w:b/>
                <w:sz w:val="21"/>
                <w:szCs w:val="21"/>
                <w:u w:val="single"/>
              </w:rPr>
              <w:t xml:space="preserve"> </w:t>
            </w:r>
            <w:r w:rsidR="00B92CF4">
              <w:rPr>
                <w:rFonts w:cs="Calibri"/>
                <w:b/>
                <w:sz w:val="21"/>
                <w:szCs w:val="21"/>
                <w:u w:val="single"/>
              </w:rPr>
              <w:t xml:space="preserve">Innovation </w:t>
            </w:r>
            <w:r w:rsidRPr="00785F2F">
              <w:rPr>
                <w:rFonts w:cs="Calibri"/>
                <w:b/>
                <w:sz w:val="21"/>
                <w:szCs w:val="21"/>
                <w:u w:val="single"/>
              </w:rPr>
              <w:t>Partnerships</w:t>
            </w:r>
            <w:r w:rsidRPr="00FC64B2">
              <w:rPr>
                <w:rFonts w:cs="Calibri"/>
                <w:sz w:val="21"/>
                <w:szCs w:val="21"/>
              </w:rPr>
              <w:t xml:space="preserve">: </w:t>
            </w:r>
            <w:r w:rsidR="00D80AC9">
              <w:rPr>
                <w:rFonts w:cs="Calibri"/>
                <w:sz w:val="21"/>
                <w:szCs w:val="21"/>
              </w:rPr>
              <w:t>C</w:t>
            </w:r>
            <w:r w:rsidR="00D80AC9" w:rsidRPr="00FC64B2">
              <w:rPr>
                <w:rFonts w:cs="Calibri"/>
                <w:sz w:val="21"/>
                <w:szCs w:val="21"/>
              </w:rPr>
              <w:t xml:space="preserve">ommencing </w:t>
            </w:r>
            <w:r w:rsidRPr="00FC64B2">
              <w:rPr>
                <w:rFonts w:cs="Calibri"/>
                <w:sz w:val="21"/>
                <w:szCs w:val="21"/>
              </w:rPr>
              <w:t>with a</w:t>
            </w:r>
            <w:r w:rsidR="00D80AC9">
              <w:rPr>
                <w:rFonts w:cs="Calibri"/>
                <w:sz w:val="21"/>
                <w:szCs w:val="21"/>
              </w:rPr>
              <w:t xml:space="preserve"> new</w:t>
            </w:r>
            <w:r w:rsidRPr="00FC64B2">
              <w:rPr>
                <w:rFonts w:cs="Calibri"/>
                <w:sz w:val="21"/>
                <w:szCs w:val="21"/>
              </w:rPr>
              <w:t xml:space="preserve"> </w:t>
            </w:r>
            <w:r w:rsidR="00D80AC9" w:rsidRPr="00785F2F">
              <w:rPr>
                <w:rFonts w:cs="Calibri"/>
                <w:b/>
                <w:sz w:val="21"/>
                <w:szCs w:val="21"/>
              </w:rPr>
              <w:t>G</w:t>
            </w:r>
            <w:r w:rsidRPr="00785F2F">
              <w:rPr>
                <w:rFonts w:cs="Calibri"/>
                <w:b/>
                <w:sz w:val="21"/>
                <w:szCs w:val="21"/>
              </w:rPr>
              <w:t xml:space="preserve">rains </w:t>
            </w:r>
            <w:r w:rsidR="00D80AC9" w:rsidRPr="00785F2F">
              <w:rPr>
                <w:rFonts w:cs="Calibri"/>
                <w:b/>
                <w:sz w:val="21"/>
                <w:szCs w:val="21"/>
              </w:rPr>
              <w:t>P</w:t>
            </w:r>
            <w:r w:rsidRPr="00785F2F">
              <w:rPr>
                <w:rFonts w:cs="Calibri"/>
                <w:b/>
                <w:sz w:val="21"/>
                <w:szCs w:val="21"/>
              </w:rPr>
              <w:t>artnership</w:t>
            </w:r>
            <w:r w:rsidRPr="00FC64B2">
              <w:rPr>
                <w:rFonts w:cs="Calibri"/>
                <w:sz w:val="21"/>
                <w:szCs w:val="21"/>
              </w:rPr>
              <w:t xml:space="preserve">, the ECP will support deeper industry engagement on </w:t>
            </w:r>
            <w:r w:rsidRPr="00785F2F">
              <w:rPr>
                <w:rFonts w:cs="Calibri"/>
                <w:b/>
                <w:sz w:val="21"/>
                <w:szCs w:val="21"/>
              </w:rPr>
              <w:t>grains for food</w:t>
            </w:r>
            <w:r w:rsidRPr="00FC64B2">
              <w:rPr>
                <w:rFonts w:cs="Calibri"/>
                <w:sz w:val="21"/>
                <w:szCs w:val="21"/>
              </w:rPr>
              <w:t xml:space="preserve"> (with a view to innovation in Indonesia and third markets) and </w:t>
            </w:r>
            <w:r w:rsidRPr="00785F2F">
              <w:rPr>
                <w:rFonts w:cs="Calibri"/>
                <w:b/>
                <w:sz w:val="21"/>
                <w:szCs w:val="21"/>
              </w:rPr>
              <w:t>feed</w:t>
            </w:r>
            <w:r w:rsidRPr="00FC64B2">
              <w:rPr>
                <w:rFonts w:cs="Calibri"/>
                <w:sz w:val="21"/>
                <w:szCs w:val="21"/>
              </w:rPr>
              <w:t xml:space="preserve"> (for </w:t>
            </w:r>
            <w:r w:rsidR="00317469">
              <w:rPr>
                <w:rFonts w:cs="Calibri"/>
                <w:sz w:val="21"/>
                <w:szCs w:val="21"/>
              </w:rPr>
              <w:t xml:space="preserve">a </w:t>
            </w:r>
            <w:r w:rsidRPr="00FC64B2">
              <w:rPr>
                <w:rFonts w:cs="Calibri"/>
                <w:sz w:val="21"/>
                <w:szCs w:val="21"/>
              </w:rPr>
              <w:t>more efficient and productive farming sector</w:t>
            </w:r>
            <w:r w:rsidR="00317469">
              <w:rPr>
                <w:rFonts w:cs="Calibri"/>
                <w:sz w:val="21"/>
                <w:szCs w:val="21"/>
              </w:rPr>
              <w:t xml:space="preserve"> in Indonesia</w:t>
            </w:r>
            <w:r w:rsidR="00785F2F">
              <w:rPr>
                <w:rFonts w:cs="Calibri"/>
                <w:sz w:val="21"/>
                <w:szCs w:val="21"/>
              </w:rPr>
              <w:t xml:space="preserve">, with enhanced </w:t>
            </w:r>
            <w:r w:rsidR="00785F2F" w:rsidRPr="00785F2F">
              <w:rPr>
                <w:rFonts w:cs="Calibri"/>
                <w:sz w:val="21"/>
                <w:szCs w:val="21"/>
              </w:rPr>
              <w:t>animal health outcomes</w:t>
            </w:r>
            <w:r w:rsidRPr="00FC64B2">
              <w:rPr>
                <w:rFonts w:cs="Calibri"/>
                <w:sz w:val="21"/>
                <w:szCs w:val="21"/>
              </w:rPr>
              <w:t xml:space="preserve">). </w:t>
            </w:r>
            <w:r w:rsidR="00D80AC9">
              <w:rPr>
                <w:rFonts w:cs="Calibri"/>
                <w:sz w:val="21"/>
                <w:szCs w:val="21"/>
              </w:rPr>
              <w:t xml:space="preserve">Further </w:t>
            </w:r>
            <w:r w:rsidR="00D07C6A">
              <w:rPr>
                <w:rFonts w:cs="Calibri"/>
                <w:sz w:val="21"/>
                <w:szCs w:val="21"/>
              </w:rPr>
              <w:t xml:space="preserve">sectoral </w:t>
            </w:r>
            <w:proofErr w:type="spellStart"/>
            <w:r w:rsidR="00D80AC9">
              <w:rPr>
                <w:rFonts w:cs="Calibri"/>
                <w:sz w:val="21"/>
                <w:szCs w:val="21"/>
              </w:rPr>
              <w:t>Agrifood</w:t>
            </w:r>
            <w:proofErr w:type="spellEnd"/>
            <w:r w:rsidR="00D80AC9">
              <w:rPr>
                <w:rFonts w:cs="Calibri"/>
                <w:sz w:val="21"/>
                <w:szCs w:val="21"/>
              </w:rPr>
              <w:t xml:space="preserve"> </w:t>
            </w:r>
            <w:r w:rsidR="003B726C">
              <w:rPr>
                <w:rFonts w:cs="Calibri"/>
                <w:sz w:val="21"/>
                <w:szCs w:val="21"/>
              </w:rPr>
              <w:t xml:space="preserve">Innovation </w:t>
            </w:r>
            <w:r w:rsidR="00D80AC9">
              <w:rPr>
                <w:rFonts w:cs="Calibri"/>
                <w:sz w:val="21"/>
                <w:szCs w:val="21"/>
              </w:rPr>
              <w:t xml:space="preserve">Partnerships are planned as part of ECP in future years, including in other sectors where significant opportunities exist such as horticulture. </w:t>
            </w:r>
          </w:p>
        </w:tc>
      </w:tr>
      <w:tr w:rsidR="00BF1C5D" w14:paraId="6A51DA0D" w14:textId="77777777" w:rsidTr="007C4ABD">
        <w:trPr>
          <w:trHeight w:val="1366"/>
        </w:trPr>
        <w:tc>
          <w:tcPr>
            <w:tcW w:w="9716" w:type="dxa"/>
          </w:tcPr>
          <w:p w14:paraId="32D6824F" w14:textId="11F07722" w:rsidR="00BF1C5D" w:rsidRPr="00C051CE" w:rsidRDefault="00BF1C5D" w:rsidP="001B66A4">
            <w:pPr>
              <w:spacing w:after="120" w:line="240" w:lineRule="auto"/>
              <w:jc w:val="both"/>
              <w:rPr>
                <w:rFonts w:cs="Calibri"/>
                <w:sz w:val="21"/>
                <w:szCs w:val="21"/>
              </w:rPr>
            </w:pPr>
            <w:r w:rsidRPr="00785F2F">
              <w:rPr>
                <w:rFonts w:cs="Calibri"/>
                <w:b/>
                <w:sz w:val="21"/>
                <w:szCs w:val="21"/>
                <w:u w:val="single"/>
              </w:rPr>
              <w:t>Powering Advanced Manufacturing</w:t>
            </w:r>
            <w:r w:rsidRPr="00FC64B2">
              <w:rPr>
                <w:rFonts w:cs="Calibri"/>
                <w:sz w:val="21"/>
                <w:szCs w:val="21"/>
              </w:rPr>
              <w:t xml:space="preserve">: </w:t>
            </w:r>
            <w:r w:rsidR="001B1A2F">
              <w:rPr>
                <w:rFonts w:cs="Calibri"/>
                <w:sz w:val="21"/>
                <w:szCs w:val="21"/>
              </w:rPr>
              <w:t>W</w:t>
            </w:r>
            <w:r w:rsidRPr="00FC64B2">
              <w:rPr>
                <w:rFonts w:cs="Calibri"/>
                <w:sz w:val="21"/>
                <w:szCs w:val="21"/>
              </w:rPr>
              <w:t xml:space="preserve">ith an early focus on </w:t>
            </w:r>
            <w:r w:rsidRPr="00785F2F">
              <w:rPr>
                <w:rFonts w:cs="Calibri"/>
                <w:b/>
                <w:sz w:val="21"/>
                <w:szCs w:val="21"/>
              </w:rPr>
              <w:t xml:space="preserve">electric batteries </w:t>
            </w:r>
            <w:r w:rsidR="0005402F">
              <w:rPr>
                <w:rFonts w:cs="Calibri"/>
                <w:b/>
                <w:sz w:val="21"/>
                <w:szCs w:val="21"/>
              </w:rPr>
              <w:t xml:space="preserve">and resource inputs </w:t>
            </w:r>
            <w:r w:rsidRPr="00785F2F">
              <w:rPr>
                <w:rFonts w:cs="Calibri"/>
                <w:b/>
                <w:sz w:val="21"/>
                <w:szCs w:val="21"/>
              </w:rPr>
              <w:t>to power Indonesia’s planned electric vehicle program</w:t>
            </w:r>
            <w:r w:rsidRPr="00FC64B2">
              <w:rPr>
                <w:rFonts w:cs="Calibri"/>
                <w:sz w:val="21"/>
                <w:szCs w:val="21"/>
              </w:rPr>
              <w:t>, the ECP will</w:t>
            </w:r>
            <w:r w:rsidR="001B1A2F">
              <w:rPr>
                <w:rFonts w:cs="Calibri"/>
                <w:sz w:val="21"/>
                <w:szCs w:val="21"/>
              </w:rPr>
              <w:t xml:space="preserve"> support closer collaboration and new opportunities for partnership between Australia and Indonesia in advanced manufacturing. This will be pursued through </w:t>
            </w:r>
            <w:r w:rsidRPr="00FC64B2">
              <w:rPr>
                <w:rFonts w:cs="Calibri"/>
                <w:sz w:val="21"/>
                <w:szCs w:val="21"/>
              </w:rPr>
              <w:t xml:space="preserve">a </w:t>
            </w:r>
            <w:r w:rsidR="001B1A2F">
              <w:rPr>
                <w:rFonts w:cs="Calibri"/>
                <w:sz w:val="21"/>
                <w:szCs w:val="21"/>
              </w:rPr>
              <w:t xml:space="preserve">new </w:t>
            </w:r>
            <w:r w:rsidR="002D2766">
              <w:rPr>
                <w:rFonts w:cs="Calibri"/>
                <w:sz w:val="21"/>
                <w:szCs w:val="21"/>
              </w:rPr>
              <w:t xml:space="preserve">mechanism </w:t>
            </w:r>
            <w:r w:rsidRPr="00FC64B2">
              <w:rPr>
                <w:rFonts w:cs="Calibri"/>
                <w:sz w:val="21"/>
                <w:szCs w:val="21"/>
              </w:rPr>
              <w:t xml:space="preserve">for engagement between peak bodies, leading firms and </w:t>
            </w:r>
            <w:r w:rsidR="001653CE">
              <w:rPr>
                <w:rFonts w:cs="Calibri"/>
                <w:sz w:val="21"/>
                <w:szCs w:val="21"/>
              </w:rPr>
              <w:t>g</w:t>
            </w:r>
            <w:r w:rsidRPr="00FC64B2">
              <w:rPr>
                <w:rFonts w:cs="Calibri"/>
                <w:sz w:val="21"/>
                <w:szCs w:val="21"/>
              </w:rPr>
              <w:t>overnment agencies</w:t>
            </w:r>
            <w:r w:rsidR="00317469">
              <w:rPr>
                <w:rFonts w:cs="Calibri"/>
                <w:sz w:val="21"/>
                <w:szCs w:val="21"/>
              </w:rPr>
              <w:t xml:space="preserve"> to scope opportunities and sup</w:t>
            </w:r>
            <w:r w:rsidR="0010542F">
              <w:rPr>
                <w:rFonts w:cs="Calibri"/>
                <w:sz w:val="21"/>
                <w:szCs w:val="21"/>
              </w:rPr>
              <w:t>port the standards</w:t>
            </w:r>
            <w:r w:rsidR="0005402F">
              <w:rPr>
                <w:rFonts w:cs="Calibri"/>
                <w:sz w:val="21"/>
                <w:szCs w:val="21"/>
              </w:rPr>
              <w:t xml:space="preserve"> and conformance</w:t>
            </w:r>
            <w:r w:rsidR="0010542F">
              <w:rPr>
                <w:rFonts w:cs="Calibri"/>
                <w:sz w:val="21"/>
                <w:szCs w:val="21"/>
              </w:rPr>
              <w:t xml:space="preserve"> ecosystem in</w:t>
            </w:r>
            <w:r w:rsidR="00317469">
              <w:rPr>
                <w:rFonts w:cs="Calibri"/>
                <w:sz w:val="21"/>
                <w:szCs w:val="21"/>
              </w:rPr>
              <w:t xml:space="preserve"> advanced manufacturing.</w:t>
            </w:r>
          </w:p>
        </w:tc>
      </w:tr>
      <w:tr w:rsidR="00BF1C5D" w14:paraId="36993A2F" w14:textId="77777777" w:rsidTr="007C4ABD">
        <w:trPr>
          <w:trHeight w:val="2049"/>
        </w:trPr>
        <w:tc>
          <w:tcPr>
            <w:tcW w:w="9716" w:type="dxa"/>
          </w:tcPr>
          <w:p w14:paraId="5B2BB3AF" w14:textId="3EBB37F6" w:rsidR="00BF1C5D" w:rsidRPr="00C051CE" w:rsidRDefault="00BF1C5D" w:rsidP="0058041D">
            <w:pPr>
              <w:spacing w:after="120" w:line="240" w:lineRule="auto"/>
              <w:jc w:val="both"/>
              <w:rPr>
                <w:rFonts w:cs="Calibri"/>
                <w:sz w:val="21"/>
                <w:szCs w:val="21"/>
              </w:rPr>
            </w:pPr>
            <w:r w:rsidRPr="00785F2F">
              <w:rPr>
                <w:rFonts w:cs="Calibri"/>
                <w:b/>
                <w:sz w:val="21"/>
                <w:szCs w:val="21"/>
                <w:u w:val="single"/>
              </w:rPr>
              <w:t>Co-investing in Skills and Training</w:t>
            </w:r>
            <w:r w:rsidRPr="00FC64B2">
              <w:rPr>
                <w:rFonts w:cs="Calibri"/>
                <w:sz w:val="21"/>
                <w:szCs w:val="21"/>
              </w:rPr>
              <w:t xml:space="preserve">: </w:t>
            </w:r>
            <w:r w:rsidR="00E30CCB">
              <w:rPr>
                <w:rFonts w:cs="Calibri"/>
                <w:sz w:val="21"/>
                <w:szCs w:val="21"/>
              </w:rPr>
              <w:t>S</w:t>
            </w:r>
            <w:r w:rsidR="00317469">
              <w:rPr>
                <w:rFonts w:cs="Calibri"/>
                <w:sz w:val="21"/>
                <w:szCs w:val="21"/>
              </w:rPr>
              <w:t>upporting</w:t>
            </w:r>
            <w:r w:rsidRPr="00FC64B2">
              <w:rPr>
                <w:rFonts w:cs="Calibri"/>
                <w:sz w:val="21"/>
                <w:szCs w:val="21"/>
              </w:rPr>
              <w:t xml:space="preserve"> </w:t>
            </w:r>
            <w:r w:rsidR="00317469">
              <w:rPr>
                <w:rFonts w:cs="Calibri"/>
                <w:sz w:val="21"/>
                <w:szCs w:val="21"/>
              </w:rPr>
              <w:t>closer economic partnership</w:t>
            </w:r>
            <w:r w:rsidRPr="00FC64B2">
              <w:rPr>
                <w:rFonts w:cs="Calibri"/>
                <w:sz w:val="21"/>
                <w:szCs w:val="21"/>
              </w:rPr>
              <w:t xml:space="preserve"> between Indonesian industry </w:t>
            </w:r>
            <w:r w:rsidR="00317469">
              <w:rPr>
                <w:rFonts w:cs="Calibri"/>
                <w:sz w:val="21"/>
                <w:szCs w:val="21"/>
              </w:rPr>
              <w:t>and</w:t>
            </w:r>
            <w:r w:rsidRPr="00FC64B2">
              <w:rPr>
                <w:rFonts w:cs="Calibri"/>
                <w:sz w:val="21"/>
                <w:szCs w:val="21"/>
              </w:rPr>
              <w:t xml:space="preserve"> Australian TVET providers through </w:t>
            </w:r>
            <w:r w:rsidR="0058041D">
              <w:rPr>
                <w:rFonts w:cs="Calibri"/>
                <w:sz w:val="21"/>
                <w:szCs w:val="21"/>
              </w:rPr>
              <w:t>Industry Committees in priority skills sector</w:t>
            </w:r>
            <w:r w:rsidR="00095345">
              <w:rPr>
                <w:rFonts w:cs="Calibri"/>
                <w:sz w:val="21"/>
                <w:szCs w:val="21"/>
              </w:rPr>
              <w:t>s</w:t>
            </w:r>
            <w:r w:rsidR="0058041D">
              <w:rPr>
                <w:rFonts w:cs="Calibri"/>
                <w:sz w:val="21"/>
                <w:szCs w:val="21"/>
              </w:rPr>
              <w:t xml:space="preserve"> and a skills </w:t>
            </w:r>
            <w:r w:rsidR="001C2B18">
              <w:rPr>
                <w:rFonts w:cs="Calibri"/>
                <w:sz w:val="21"/>
                <w:szCs w:val="21"/>
              </w:rPr>
              <w:t>‘clearinghouse’ mechanism</w:t>
            </w:r>
            <w:r w:rsidR="0058041D">
              <w:rPr>
                <w:rFonts w:cs="Calibri"/>
                <w:sz w:val="21"/>
                <w:szCs w:val="21"/>
              </w:rPr>
              <w:t xml:space="preserve">. The activity will support a range of training delivery models </w:t>
            </w:r>
            <w:r w:rsidRPr="00FC64B2">
              <w:rPr>
                <w:rFonts w:cs="Calibri"/>
                <w:sz w:val="21"/>
                <w:szCs w:val="21"/>
              </w:rPr>
              <w:t>(</w:t>
            </w:r>
            <w:r w:rsidRPr="00B77266">
              <w:rPr>
                <w:rFonts w:cs="Calibri"/>
                <w:b/>
                <w:sz w:val="21"/>
                <w:szCs w:val="21"/>
              </w:rPr>
              <w:t>blended online-offline, train-the-trainer and online</w:t>
            </w:r>
            <w:r w:rsidR="00317469" w:rsidRPr="00B77266">
              <w:rPr>
                <w:rFonts w:cs="Calibri"/>
                <w:b/>
                <w:sz w:val="21"/>
                <w:szCs w:val="21"/>
              </w:rPr>
              <w:t xml:space="preserve"> training</w:t>
            </w:r>
            <w:r w:rsidRPr="00FC64B2">
              <w:rPr>
                <w:rFonts w:cs="Calibri"/>
                <w:sz w:val="21"/>
                <w:szCs w:val="21"/>
              </w:rPr>
              <w:t xml:space="preserve">) </w:t>
            </w:r>
            <w:r w:rsidR="00CA434E" w:rsidRPr="008400EF">
              <w:rPr>
                <w:rFonts w:cs="Calibri"/>
                <w:sz w:val="21"/>
                <w:szCs w:val="21"/>
              </w:rPr>
              <w:t xml:space="preserve">driven </w:t>
            </w:r>
            <w:r w:rsidRPr="008400EF">
              <w:rPr>
                <w:rFonts w:cs="Calibri"/>
                <w:sz w:val="21"/>
                <w:szCs w:val="21"/>
              </w:rPr>
              <w:t xml:space="preserve">by </w:t>
            </w:r>
            <w:r w:rsidR="00087429" w:rsidRPr="008400EF">
              <w:rPr>
                <w:rFonts w:cs="Calibri"/>
                <w:sz w:val="21"/>
                <w:szCs w:val="21"/>
              </w:rPr>
              <w:t>I</w:t>
            </w:r>
            <w:r w:rsidRPr="008400EF">
              <w:rPr>
                <w:rFonts w:cs="Calibri"/>
                <w:sz w:val="21"/>
                <w:szCs w:val="21"/>
              </w:rPr>
              <w:t xml:space="preserve">ndustry </w:t>
            </w:r>
            <w:r w:rsidR="00CA434E" w:rsidRPr="008400EF">
              <w:rPr>
                <w:rFonts w:cs="Calibri"/>
                <w:sz w:val="21"/>
                <w:szCs w:val="21"/>
              </w:rPr>
              <w:t>Committees</w:t>
            </w:r>
            <w:r w:rsidR="0058041D">
              <w:rPr>
                <w:rFonts w:cs="Calibri"/>
                <w:sz w:val="21"/>
                <w:szCs w:val="21"/>
              </w:rPr>
              <w:t xml:space="preserve">, </w:t>
            </w:r>
            <w:r w:rsidRPr="00FC64B2">
              <w:rPr>
                <w:rFonts w:cs="Calibri"/>
                <w:sz w:val="21"/>
                <w:szCs w:val="21"/>
              </w:rPr>
              <w:t>commencing with tourism, agriculture and digital services</w:t>
            </w:r>
            <w:r w:rsidR="00087429">
              <w:rPr>
                <w:rFonts w:cs="Calibri"/>
                <w:sz w:val="21"/>
                <w:szCs w:val="21"/>
              </w:rPr>
              <w:t>, with later potential expansion into health professionals</w:t>
            </w:r>
            <w:r w:rsidR="00EA6671" w:rsidRPr="00EA6671">
              <w:rPr>
                <w:rFonts w:cs="Calibri"/>
                <w:sz w:val="21"/>
                <w:szCs w:val="21"/>
              </w:rPr>
              <w:t xml:space="preserve">, </w:t>
            </w:r>
            <w:r w:rsidR="00EA6671" w:rsidRPr="00EA6671">
              <w:rPr>
                <w:rStyle w:val="CommentReference"/>
                <w:sz w:val="21"/>
                <w:szCs w:val="21"/>
              </w:rPr>
              <w:t xml:space="preserve">advanced manufacturing, construction, creative economy and social services subject to available resources and </w:t>
            </w:r>
            <w:r w:rsidR="00981F7F" w:rsidRPr="00EA6671">
              <w:rPr>
                <w:rStyle w:val="CommentReference"/>
                <w:sz w:val="21"/>
                <w:szCs w:val="21"/>
              </w:rPr>
              <w:t>commercial</w:t>
            </w:r>
            <w:r w:rsidR="00981F7F">
              <w:rPr>
                <w:rStyle w:val="CommentReference"/>
                <w:sz w:val="21"/>
                <w:szCs w:val="21"/>
              </w:rPr>
              <w:t>ly</w:t>
            </w:r>
            <w:r w:rsidR="00CA434E">
              <w:rPr>
                <w:rStyle w:val="CommentReference"/>
                <w:sz w:val="21"/>
                <w:szCs w:val="21"/>
              </w:rPr>
              <w:t xml:space="preserve"> viable </w:t>
            </w:r>
            <w:r w:rsidR="00EA6671" w:rsidRPr="00EA6671">
              <w:rPr>
                <w:rStyle w:val="CommentReference"/>
                <w:sz w:val="21"/>
                <w:szCs w:val="21"/>
              </w:rPr>
              <w:t>training opportunities.</w:t>
            </w:r>
            <w:r w:rsidR="00CA434E">
              <w:rPr>
                <w:rStyle w:val="CommentReference"/>
                <w:sz w:val="21"/>
                <w:szCs w:val="21"/>
              </w:rPr>
              <w:t xml:space="preserve"> </w:t>
            </w:r>
            <w:r w:rsidRPr="00FC64B2">
              <w:rPr>
                <w:rFonts w:cs="Calibri"/>
                <w:sz w:val="21"/>
                <w:szCs w:val="21"/>
              </w:rPr>
              <w:t xml:space="preserve">A partnership to </w:t>
            </w:r>
            <w:r w:rsidRPr="00B77266">
              <w:rPr>
                <w:rFonts w:cs="Calibri"/>
                <w:b/>
                <w:sz w:val="21"/>
                <w:szCs w:val="21"/>
              </w:rPr>
              <w:t>bolster the participation of women in TVET in Indonesia</w:t>
            </w:r>
            <w:r w:rsidRPr="00FC64B2">
              <w:rPr>
                <w:rFonts w:cs="Calibri"/>
                <w:sz w:val="21"/>
                <w:szCs w:val="21"/>
              </w:rPr>
              <w:t xml:space="preserve"> will </w:t>
            </w:r>
            <w:r w:rsidR="00E30CCB">
              <w:rPr>
                <w:rFonts w:cs="Calibri"/>
                <w:sz w:val="21"/>
                <w:szCs w:val="21"/>
              </w:rPr>
              <w:t xml:space="preserve">also support </w:t>
            </w:r>
            <w:r w:rsidRPr="00FC64B2">
              <w:rPr>
                <w:rFonts w:cs="Calibri"/>
                <w:sz w:val="21"/>
                <w:szCs w:val="21"/>
              </w:rPr>
              <w:t>female workforce participation</w:t>
            </w:r>
            <w:r w:rsidR="0058041D">
              <w:rPr>
                <w:rFonts w:cs="Calibri"/>
                <w:sz w:val="21"/>
                <w:szCs w:val="21"/>
              </w:rPr>
              <w:t>.</w:t>
            </w:r>
          </w:p>
        </w:tc>
      </w:tr>
    </w:tbl>
    <w:p w14:paraId="542128E5" w14:textId="7EBF0E73" w:rsidR="00143907" w:rsidRPr="0063504E" w:rsidRDefault="00A17296" w:rsidP="004037BC">
      <w:pPr>
        <w:spacing w:before="240" w:after="0"/>
        <w:jc w:val="both"/>
        <w:rPr>
          <w:rFonts w:cs="Calibri"/>
          <w:sz w:val="21"/>
          <w:szCs w:val="21"/>
        </w:rPr>
      </w:pPr>
      <w:r w:rsidRPr="00F527F1">
        <w:rPr>
          <w:rFonts w:cs="Calibri"/>
          <w:b/>
          <w:i/>
          <w:sz w:val="21"/>
          <w:szCs w:val="21"/>
        </w:rPr>
        <w:t xml:space="preserve">The </w:t>
      </w:r>
      <w:r w:rsidR="00787ED9">
        <w:rPr>
          <w:rFonts w:cs="Calibri"/>
          <w:b/>
          <w:i/>
          <w:sz w:val="21"/>
          <w:szCs w:val="21"/>
        </w:rPr>
        <w:t>g</w:t>
      </w:r>
      <w:r w:rsidRPr="00F527F1">
        <w:rPr>
          <w:rFonts w:cs="Calibri"/>
          <w:b/>
          <w:i/>
          <w:sz w:val="21"/>
          <w:szCs w:val="21"/>
        </w:rPr>
        <w:t xml:space="preserve">overnance </w:t>
      </w:r>
      <w:r w:rsidR="00787ED9">
        <w:rPr>
          <w:rFonts w:cs="Calibri"/>
          <w:b/>
          <w:i/>
          <w:sz w:val="21"/>
          <w:szCs w:val="21"/>
        </w:rPr>
        <w:t>s</w:t>
      </w:r>
      <w:r w:rsidRPr="00F527F1">
        <w:rPr>
          <w:rFonts w:cs="Calibri"/>
          <w:b/>
          <w:i/>
          <w:sz w:val="21"/>
          <w:szCs w:val="21"/>
        </w:rPr>
        <w:t xml:space="preserve">tructure of the ECP </w:t>
      </w:r>
      <w:r w:rsidRPr="008400EF">
        <w:rPr>
          <w:rFonts w:cs="Calibri"/>
          <w:b/>
          <w:i/>
          <w:sz w:val="21"/>
          <w:szCs w:val="21"/>
        </w:rPr>
        <w:t>responds</w:t>
      </w:r>
      <w:r w:rsidRPr="00F527F1">
        <w:rPr>
          <w:rFonts w:cs="Calibri"/>
          <w:b/>
          <w:i/>
          <w:sz w:val="21"/>
          <w:szCs w:val="21"/>
        </w:rPr>
        <w:t xml:space="preserve"> to </w:t>
      </w:r>
      <w:r>
        <w:rPr>
          <w:rFonts w:cs="Calibri"/>
          <w:b/>
          <w:i/>
          <w:sz w:val="21"/>
          <w:szCs w:val="21"/>
        </w:rPr>
        <w:t xml:space="preserve">IA-CEPA </w:t>
      </w:r>
      <w:r w:rsidRPr="00F527F1">
        <w:rPr>
          <w:rFonts w:cs="Calibri"/>
          <w:b/>
          <w:i/>
          <w:sz w:val="21"/>
          <w:szCs w:val="21"/>
        </w:rPr>
        <w:t>commitments and learnings from previous programs</w:t>
      </w:r>
      <w:r w:rsidR="004037BC">
        <w:rPr>
          <w:rFonts w:cs="Calibri"/>
          <w:b/>
          <w:i/>
          <w:sz w:val="21"/>
          <w:szCs w:val="21"/>
        </w:rPr>
        <w:t>.</w:t>
      </w:r>
      <w:r>
        <w:rPr>
          <w:rFonts w:cs="Calibri"/>
          <w:sz w:val="21"/>
          <w:szCs w:val="21"/>
        </w:rPr>
        <w:t xml:space="preserve"> </w:t>
      </w:r>
      <w:r w:rsidR="00777175">
        <w:rPr>
          <w:rFonts w:cs="Calibri"/>
          <w:sz w:val="21"/>
          <w:szCs w:val="21"/>
        </w:rPr>
        <w:t xml:space="preserve"> </w:t>
      </w:r>
      <w:r w:rsidR="00143907">
        <w:rPr>
          <w:rFonts w:cs="Calibri"/>
          <w:sz w:val="21"/>
          <w:szCs w:val="21"/>
        </w:rPr>
        <w:t xml:space="preserve">As set out in the IA-CEPA, </w:t>
      </w:r>
      <w:r w:rsidR="00143907" w:rsidRPr="007305DC">
        <w:rPr>
          <w:rFonts w:cs="Calibri"/>
          <w:b/>
          <w:sz w:val="21"/>
          <w:szCs w:val="21"/>
        </w:rPr>
        <w:t xml:space="preserve">all ECP activities will be subject to </w:t>
      </w:r>
      <w:r w:rsidR="001C2B18">
        <w:rPr>
          <w:rFonts w:cs="Calibri"/>
          <w:b/>
          <w:sz w:val="21"/>
          <w:szCs w:val="21"/>
        </w:rPr>
        <w:t xml:space="preserve">consideration </w:t>
      </w:r>
      <w:r w:rsidR="00143907" w:rsidRPr="007305DC">
        <w:rPr>
          <w:rFonts w:cs="Calibri"/>
          <w:b/>
          <w:sz w:val="21"/>
          <w:szCs w:val="21"/>
        </w:rPr>
        <w:t>of the Economic Cooperation Committee (ECC)</w:t>
      </w:r>
      <w:r w:rsidR="00FE2970">
        <w:rPr>
          <w:rFonts w:cs="Calibri"/>
          <w:b/>
          <w:sz w:val="21"/>
          <w:szCs w:val="21"/>
        </w:rPr>
        <w:t>, with representation from the Indonesian and Australian governments discussed further below,</w:t>
      </w:r>
      <w:r w:rsidR="00143907" w:rsidRPr="007305DC">
        <w:rPr>
          <w:rFonts w:cs="Calibri"/>
          <w:b/>
          <w:sz w:val="21"/>
          <w:szCs w:val="21"/>
        </w:rPr>
        <w:t xml:space="preserve"> through its adoption of an </w:t>
      </w:r>
      <w:r w:rsidR="00460450" w:rsidRPr="008400EF">
        <w:rPr>
          <w:rFonts w:cs="Calibri"/>
          <w:b/>
          <w:sz w:val="21"/>
          <w:szCs w:val="21"/>
        </w:rPr>
        <w:t>a</w:t>
      </w:r>
      <w:r w:rsidR="00143907" w:rsidRPr="008400EF">
        <w:rPr>
          <w:rFonts w:cs="Calibri"/>
          <w:b/>
          <w:sz w:val="21"/>
          <w:szCs w:val="21"/>
        </w:rPr>
        <w:t xml:space="preserve">nnual </w:t>
      </w:r>
      <w:r w:rsidR="0063504E" w:rsidRPr="008400EF">
        <w:rPr>
          <w:rFonts w:cs="Calibri"/>
          <w:b/>
          <w:sz w:val="21"/>
          <w:szCs w:val="21"/>
        </w:rPr>
        <w:t>w</w:t>
      </w:r>
      <w:r w:rsidR="00143907" w:rsidRPr="008400EF">
        <w:rPr>
          <w:rFonts w:cs="Calibri"/>
          <w:b/>
          <w:sz w:val="21"/>
          <w:szCs w:val="21"/>
        </w:rPr>
        <w:t>ork</w:t>
      </w:r>
      <w:r w:rsidR="0063504E" w:rsidRPr="008400EF">
        <w:rPr>
          <w:rFonts w:cs="Calibri"/>
          <w:b/>
          <w:sz w:val="21"/>
          <w:szCs w:val="21"/>
        </w:rPr>
        <w:t xml:space="preserve"> </w:t>
      </w:r>
      <w:r w:rsidR="00143907" w:rsidRPr="008400EF">
        <w:rPr>
          <w:rFonts w:cs="Calibri"/>
          <w:b/>
          <w:sz w:val="21"/>
          <w:szCs w:val="21"/>
        </w:rPr>
        <w:t>plan</w:t>
      </w:r>
      <w:r w:rsidR="001C2B18" w:rsidRPr="008400EF">
        <w:rPr>
          <w:rFonts w:cs="Calibri"/>
          <w:b/>
          <w:sz w:val="21"/>
          <w:szCs w:val="21"/>
        </w:rPr>
        <w:t xml:space="preserve">, for approval by the IA-CEPA Joint </w:t>
      </w:r>
      <w:r w:rsidR="000F30B3" w:rsidRPr="008400EF">
        <w:rPr>
          <w:rFonts w:cs="Calibri"/>
          <w:b/>
          <w:sz w:val="21"/>
          <w:szCs w:val="21"/>
        </w:rPr>
        <w:t>Committee</w:t>
      </w:r>
      <w:r w:rsidR="00143907" w:rsidRPr="007305DC">
        <w:rPr>
          <w:rFonts w:cs="Calibri"/>
          <w:b/>
          <w:sz w:val="21"/>
          <w:szCs w:val="21"/>
        </w:rPr>
        <w:t>.</w:t>
      </w:r>
      <w:r w:rsidR="00143907">
        <w:rPr>
          <w:rFonts w:cs="Calibri"/>
          <w:sz w:val="21"/>
          <w:szCs w:val="21"/>
        </w:rPr>
        <w:t xml:space="preserve"> </w:t>
      </w:r>
      <w:r w:rsidR="00143907" w:rsidRPr="0063504E">
        <w:rPr>
          <w:rFonts w:cs="Calibri"/>
          <w:sz w:val="21"/>
          <w:szCs w:val="21"/>
        </w:rPr>
        <w:t xml:space="preserve">The </w:t>
      </w:r>
      <w:r w:rsidR="001C2B18">
        <w:rPr>
          <w:rFonts w:cs="Calibri"/>
          <w:sz w:val="21"/>
          <w:szCs w:val="21"/>
        </w:rPr>
        <w:t>Collaborative Hub</w:t>
      </w:r>
      <w:r w:rsidR="00143907" w:rsidRPr="0063504E">
        <w:rPr>
          <w:rFonts w:cs="Calibri"/>
          <w:sz w:val="21"/>
          <w:szCs w:val="21"/>
        </w:rPr>
        <w:t xml:space="preserve"> will support the work of the ECC, </w:t>
      </w:r>
      <w:r w:rsidR="0063504E">
        <w:rPr>
          <w:rFonts w:cs="Calibri"/>
          <w:sz w:val="21"/>
          <w:szCs w:val="21"/>
        </w:rPr>
        <w:t xml:space="preserve">preparing </w:t>
      </w:r>
      <w:r w:rsidR="00C45AB7">
        <w:rPr>
          <w:rFonts w:cs="Calibri"/>
          <w:sz w:val="21"/>
          <w:szCs w:val="21"/>
        </w:rPr>
        <w:t xml:space="preserve">the annual work plan </w:t>
      </w:r>
      <w:r w:rsidR="0063504E">
        <w:rPr>
          <w:rFonts w:cs="Calibri"/>
          <w:sz w:val="21"/>
          <w:szCs w:val="21"/>
        </w:rPr>
        <w:t xml:space="preserve">and </w:t>
      </w:r>
      <w:r w:rsidR="00143907" w:rsidRPr="0063504E">
        <w:rPr>
          <w:rFonts w:cs="Calibri"/>
          <w:sz w:val="21"/>
          <w:szCs w:val="21"/>
        </w:rPr>
        <w:t>providing monitoring</w:t>
      </w:r>
      <w:r w:rsidR="0063504E">
        <w:rPr>
          <w:rFonts w:cs="Calibri"/>
          <w:sz w:val="21"/>
          <w:szCs w:val="21"/>
        </w:rPr>
        <w:t>, evaluation and learning (MEL) to support</w:t>
      </w:r>
      <w:r w:rsidR="00143907">
        <w:rPr>
          <w:rFonts w:cs="Calibri"/>
          <w:sz w:val="21"/>
          <w:szCs w:val="21"/>
        </w:rPr>
        <w:t xml:space="preserve"> informed decision-making</w:t>
      </w:r>
      <w:r w:rsidR="00C45AB7">
        <w:rPr>
          <w:rFonts w:cs="Calibri"/>
          <w:sz w:val="21"/>
          <w:szCs w:val="21"/>
        </w:rPr>
        <w:t xml:space="preserve">. </w:t>
      </w:r>
      <w:r w:rsidR="00143907" w:rsidRPr="0063504E">
        <w:rPr>
          <w:rFonts w:cs="Calibri"/>
          <w:sz w:val="21"/>
          <w:szCs w:val="21"/>
        </w:rPr>
        <w:t xml:space="preserve">The </w:t>
      </w:r>
      <w:r w:rsidR="001C2B18">
        <w:rPr>
          <w:rFonts w:cs="Calibri"/>
          <w:sz w:val="21"/>
          <w:szCs w:val="21"/>
        </w:rPr>
        <w:t>Collaborative Hub</w:t>
      </w:r>
      <w:r w:rsidR="00AB766B" w:rsidRPr="0063504E">
        <w:rPr>
          <w:rFonts w:cs="Calibri"/>
          <w:sz w:val="21"/>
          <w:szCs w:val="21"/>
        </w:rPr>
        <w:t xml:space="preserve"> will </w:t>
      </w:r>
      <w:r w:rsidR="00143907" w:rsidRPr="0063504E">
        <w:rPr>
          <w:rFonts w:cs="Calibri"/>
          <w:sz w:val="21"/>
          <w:szCs w:val="21"/>
        </w:rPr>
        <w:t xml:space="preserve">also </w:t>
      </w:r>
      <w:r w:rsidR="00AB766B" w:rsidRPr="0063504E">
        <w:rPr>
          <w:rFonts w:cs="Calibri"/>
          <w:sz w:val="21"/>
          <w:szCs w:val="21"/>
        </w:rPr>
        <w:t>a</w:t>
      </w:r>
      <w:r w:rsidR="00AB766B" w:rsidRPr="008400EF">
        <w:rPr>
          <w:rFonts w:cs="Calibri"/>
          <w:sz w:val="21"/>
          <w:szCs w:val="21"/>
        </w:rPr>
        <w:t xml:space="preserve">ddress </w:t>
      </w:r>
      <w:r w:rsidR="00143907" w:rsidRPr="008400EF">
        <w:rPr>
          <w:rFonts w:cs="Calibri"/>
          <w:sz w:val="21"/>
          <w:szCs w:val="21"/>
        </w:rPr>
        <w:t xml:space="preserve">challenges </w:t>
      </w:r>
      <w:r w:rsidR="007305DC" w:rsidRPr="008400EF">
        <w:rPr>
          <w:rFonts w:cs="Calibri"/>
          <w:sz w:val="21"/>
          <w:szCs w:val="21"/>
        </w:rPr>
        <w:t xml:space="preserve">identified </w:t>
      </w:r>
      <w:r w:rsidR="00143907" w:rsidRPr="008400EF">
        <w:rPr>
          <w:rFonts w:cs="Calibri"/>
          <w:sz w:val="21"/>
          <w:szCs w:val="21"/>
        </w:rPr>
        <w:t xml:space="preserve">in </w:t>
      </w:r>
      <w:r w:rsidR="007305DC" w:rsidRPr="008400EF">
        <w:rPr>
          <w:rFonts w:cs="Calibri"/>
          <w:sz w:val="21"/>
          <w:szCs w:val="21"/>
        </w:rPr>
        <w:t xml:space="preserve">previous </w:t>
      </w:r>
      <w:r w:rsidR="00143907" w:rsidRPr="008400EF">
        <w:rPr>
          <w:rFonts w:cs="Calibri"/>
          <w:sz w:val="21"/>
          <w:szCs w:val="21"/>
        </w:rPr>
        <w:t xml:space="preserve">development assistance </w:t>
      </w:r>
      <w:r w:rsidR="007305DC" w:rsidRPr="008400EF">
        <w:rPr>
          <w:rFonts w:cs="Calibri"/>
          <w:sz w:val="21"/>
          <w:szCs w:val="21"/>
        </w:rPr>
        <w:t xml:space="preserve">programs </w:t>
      </w:r>
      <w:r w:rsidR="00143907" w:rsidRPr="008400EF">
        <w:rPr>
          <w:rFonts w:cs="Calibri"/>
          <w:sz w:val="21"/>
          <w:szCs w:val="21"/>
        </w:rPr>
        <w:t>activities through the committee structure of trade agreements</w:t>
      </w:r>
      <w:r w:rsidR="00AB766B" w:rsidRPr="0063504E">
        <w:rPr>
          <w:rFonts w:cs="Calibri"/>
          <w:sz w:val="21"/>
          <w:szCs w:val="21"/>
        </w:rPr>
        <w:t xml:space="preserve">, by </w:t>
      </w:r>
      <w:r w:rsidR="00AB766B" w:rsidRPr="00B77266">
        <w:rPr>
          <w:rFonts w:cs="Calibri"/>
          <w:b/>
          <w:sz w:val="21"/>
          <w:szCs w:val="21"/>
        </w:rPr>
        <w:t xml:space="preserve">coordinating between the ECC, the </w:t>
      </w:r>
      <w:r w:rsidR="0063504E" w:rsidRPr="00B77266">
        <w:rPr>
          <w:rFonts w:cs="Calibri"/>
          <w:b/>
          <w:sz w:val="21"/>
          <w:szCs w:val="21"/>
        </w:rPr>
        <w:t xml:space="preserve">overarching IA-CEPA </w:t>
      </w:r>
      <w:r w:rsidR="00AB766B" w:rsidRPr="00B77266">
        <w:rPr>
          <w:rFonts w:cs="Calibri"/>
          <w:b/>
          <w:sz w:val="21"/>
          <w:szCs w:val="21"/>
        </w:rPr>
        <w:t>Joint Committee</w:t>
      </w:r>
      <w:r w:rsidR="00AB766B" w:rsidRPr="0063504E">
        <w:rPr>
          <w:rFonts w:cs="Calibri"/>
          <w:sz w:val="21"/>
          <w:szCs w:val="21"/>
        </w:rPr>
        <w:t xml:space="preserve"> and other sub</w:t>
      </w:r>
      <w:r w:rsidR="00C45AB7">
        <w:rPr>
          <w:rFonts w:cs="Calibri"/>
          <w:sz w:val="21"/>
          <w:szCs w:val="21"/>
        </w:rPr>
        <w:t>-</w:t>
      </w:r>
      <w:r w:rsidR="00AB766B" w:rsidRPr="0063504E">
        <w:rPr>
          <w:rFonts w:cs="Calibri"/>
          <w:sz w:val="21"/>
          <w:szCs w:val="21"/>
        </w:rPr>
        <w:t xml:space="preserve">committees. </w:t>
      </w:r>
      <w:r w:rsidR="00C765D6">
        <w:rPr>
          <w:rFonts w:cs="Calibri"/>
          <w:sz w:val="21"/>
          <w:szCs w:val="21"/>
        </w:rPr>
        <w:t>This overall structure responds to lessons learned from analysis of previous programs with similar features (</w:t>
      </w:r>
      <w:r w:rsidR="00777175">
        <w:rPr>
          <w:rFonts w:cs="Calibri"/>
          <w:sz w:val="21"/>
          <w:szCs w:val="21"/>
        </w:rPr>
        <w:t xml:space="preserve">see </w:t>
      </w:r>
      <w:r w:rsidR="00C765D6" w:rsidRPr="00572F16">
        <w:rPr>
          <w:rFonts w:cs="Calibri"/>
          <w:sz w:val="21"/>
          <w:szCs w:val="21"/>
          <w:u w:val="single"/>
        </w:rPr>
        <w:t xml:space="preserve">Annex </w:t>
      </w:r>
      <w:r w:rsidR="00622562">
        <w:rPr>
          <w:rFonts w:cs="Calibri"/>
          <w:sz w:val="21"/>
          <w:szCs w:val="21"/>
          <w:u w:val="single"/>
        </w:rPr>
        <w:t>7</w:t>
      </w:r>
      <w:r w:rsidR="00C765D6">
        <w:rPr>
          <w:rFonts w:cs="Calibri"/>
          <w:sz w:val="21"/>
          <w:szCs w:val="21"/>
        </w:rPr>
        <w:t xml:space="preserve">). </w:t>
      </w:r>
    </w:p>
    <w:p w14:paraId="172AB223" w14:textId="61FFE36C" w:rsidR="00143907" w:rsidRPr="00EE48F2" w:rsidRDefault="0046001A">
      <w:pPr>
        <w:spacing w:after="0"/>
        <w:jc w:val="both"/>
        <w:rPr>
          <w:rFonts w:cs="Calibri"/>
          <w:sz w:val="21"/>
          <w:szCs w:val="21"/>
        </w:rPr>
      </w:pPr>
      <w:r w:rsidRPr="00EE48F2">
        <w:rPr>
          <w:rFonts w:cs="Calibri"/>
          <w:sz w:val="21"/>
          <w:szCs w:val="21"/>
        </w:rPr>
        <w:t xml:space="preserve">The </w:t>
      </w:r>
      <w:r w:rsidR="001C2B18">
        <w:rPr>
          <w:rFonts w:cs="Calibri"/>
          <w:sz w:val="21"/>
          <w:szCs w:val="21"/>
        </w:rPr>
        <w:t>Collaborative Hub</w:t>
      </w:r>
      <w:r w:rsidRPr="00EE48F2">
        <w:rPr>
          <w:rFonts w:cs="Calibri"/>
          <w:sz w:val="21"/>
          <w:szCs w:val="21"/>
        </w:rPr>
        <w:t>’s relationship</w:t>
      </w:r>
      <w:r w:rsidR="00C87B9C">
        <w:rPr>
          <w:rFonts w:cs="Calibri"/>
          <w:sz w:val="21"/>
          <w:szCs w:val="21"/>
        </w:rPr>
        <w:t xml:space="preserve"> </w:t>
      </w:r>
      <w:r w:rsidRPr="00EE48F2">
        <w:rPr>
          <w:rFonts w:cs="Calibri"/>
          <w:sz w:val="21"/>
          <w:szCs w:val="21"/>
        </w:rPr>
        <w:t xml:space="preserve">with DFAT </w:t>
      </w:r>
      <w:r w:rsidR="00F50F07" w:rsidRPr="00EE48F2">
        <w:rPr>
          <w:rFonts w:cs="Calibri"/>
          <w:sz w:val="21"/>
          <w:szCs w:val="21"/>
        </w:rPr>
        <w:t>and Jakarta Post</w:t>
      </w:r>
      <w:r w:rsidR="00C87B9C">
        <w:rPr>
          <w:rFonts w:cs="Calibri"/>
          <w:sz w:val="21"/>
          <w:szCs w:val="21"/>
        </w:rPr>
        <w:t>, as well as its capacity to build productive working relationships with Indonesian agencies and stakeholders,</w:t>
      </w:r>
      <w:r w:rsidR="00F50F07" w:rsidRPr="00EE48F2">
        <w:rPr>
          <w:rFonts w:cs="Calibri"/>
          <w:sz w:val="21"/>
          <w:szCs w:val="21"/>
        </w:rPr>
        <w:t xml:space="preserve"> </w:t>
      </w:r>
      <w:r w:rsidRPr="00EE48F2">
        <w:rPr>
          <w:rFonts w:cs="Calibri"/>
          <w:sz w:val="21"/>
          <w:szCs w:val="21"/>
        </w:rPr>
        <w:t xml:space="preserve">will be a key to success. </w:t>
      </w:r>
      <w:r w:rsidR="000E7A9D" w:rsidRPr="00EE48F2">
        <w:rPr>
          <w:rFonts w:cs="Calibri"/>
          <w:sz w:val="21"/>
          <w:szCs w:val="21"/>
        </w:rPr>
        <w:t xml:space="preserve">Australia’s oversight of the </w:t>
      </w:r>
      <w:r w:rsidR="00710C2D">
        <w:rPr>
          <w:rFonts w:cs="Calibri"/>
          <w:sz w:val="21"/>
          <w:szCs w:val="21"/>
        </w:rPr>
        <w:t xml:space="preserve">Collaborative </w:t>
      </w:r>
      <w:r w:rsidR="000E7A9D" w:rsidRPr="00EE48F2">
        <w:rPr>
          <w:rFonts w:cs="Calibri"/>
          <w:sz w:val="21"/>
          <w:szCs w:val="21"/>
        </w:rPr>
        <w:t xml:space="preserve">Hub’s work will be coordinated through a </w:t>
      </w:r>
      <w:r w:rsidR="000E7A9D" w:rsidRPr="00E869FD">
        <w:rPr>
          <w:rFonts w:cs="Calibri"/>
          <w:b/>
          <w:sz w:val="21"/>
          <w:szCs w:val="21"/>
        </w:rPr>
        <w:t>Senior Responsible Officer</w:t>
      </w:r>
      <w:r w:rsidR="00F50F07" w:rsidRPr="00E869FD">
        <w:rPr>
          <w:rFonts w:cs="Calibri"/>
          <w:b/>
          <w:sz w:val="21"/>
          <w:szCs w:val="21"/>
        </w:rPr>
        <w:t xml:space="preserve"> (SRO)</w:t>
      </w:r>
      <w:r w:rsidR="000E7A9D" w:rsidRPr="00E869FD">
        <w:rPr>
          <w:rFonts w:cs="Calibri"/>
          <w:b/>
          <w:sz w:val="21"/>
          <w:szCs w:val="21"/>
        </w:rPr>
        <w:t xml:space="preserve"> from DFAT</w:t>
      </w:r>
      <w:r w:rsidR="00460450">
        <w:rPr>
          <w:rFonts w:cs="Calibri"/>
          <w:b/>
          <w:sz w:val="21"/>
          <w:szCs w:val="21"/>
        </w:rPr>
        <w:t xml:space="preserve"> at Jakarta Post</w:t>
      </w:r>
      <w:r w:rsidR="00F50F07" w:rsidRPr="00EE48F2">
        <w:rPr>
          <w:rFonts w:cs="Calibri"/>
          <w:sz w:val="21"/>
          <w:szCs w:val="21"/>
        </w:rPr>
        <w:t xml:space="preserve">. </w:t>
      </w:r>
      <w:r w:rsidR="007F49B4" w:rsidRPr="00EE48F2">
        <w:rPr>
          <w:rFonts w:cs="Calibri"/>
          <w:sz w:val="21"/>
          <w:szCs w:val="21"/>
        </w:rPr>
        <w:t xml:space="preserve">The SRO will coordinate Australian Government views into a single voice regarding the operation of the </w:t>
      </w:r>
      <w:r w:rsidR="00710C2D">
        <w:rPr>
          <w:rFonts w:cs="Calibri"/>
          <w:sz w:val="21"/>
          <w:szCs w:val="21"/>
        </w:rPr>
        <w:t xml:space="preserve">Collaborative </w:t>
      </w:r>
      <w:r w:rsidR="007F49B4" w:rsidRPr="00EE48F2">
        <w:rPr>
          <w:rFonts w:cs="Calibri"/>
          <w:sz w:val="21"/>
          <w:szCs w:val="21"/>
        </w:rPr>
        <w:t>Hub.</w:t>
      </w:r>
      <w:r w:rsidR="00F50F07" w:rsidRPr="00EE48F2">
        <w:rPr>
          <w:rFonts w:cs="Calibri"/>
          <w:sz w:val="21"/>
          <w:szCs w:val="21"/>
        </w:rPr>
        <w:t xml:space="preserve"> </w:t>
      </w:r>
      <w:r w:rsidR="00CA32F6">
        <w:rPr>
          <w:rFonts w:cs="Calibri"/>
          <w:sz w:val="21"/>
          <w:szCs w:val="21"/>
        </w:rPr>
        <w:t xml:space="preserve">The Government of Indonesia will select its representative (likely, from </w:t>
      </w:r>
      <w:proofErr w:type="spellStart"/>
      <w:r w:rsidR="00C45AB7">
        <w:rPr>
          <w:rFonts w:cs="Calibri"/>
          <w:sz w:val="21"/>
          <w:szCs w:val="21"/>
        </w:rPr>
        <w:t>Bappenas</w:t>
      </w:r>
      <w:proofErr w:type="spellEnd"/>
      <w:r w:rsidR="00CA32F6">
        <w:rPr>
          <w:rFonts w:cs="Calibri"/>
          <w:sz w:val="21"/>
          <w:szCs w:val="21"/>
        </w:rPr>
        <w:t>)</w:t>
      </w:r>
      <w:r w:rsidR="00C45AB7">
        <w:rPr>
          <w:rFonts w:cs="Calibri"/>
          <w:sz w:val="21"/>
          <w:szCs w:val="21"/>
        </w:rPr>
        <w:t xml:space="preserve"> </w:t>
      </w:r>
      <w:r w:rsidR="00CA32F6">
        <w:rPr>
          <w:rFonts w:cs="Calibri"/>
          <w:sz w:val="21"/>
          <w:szCs w:val="21"/>
        </w:rPr>
        <w:t xml:space="preserve">to </w:t>
      </w:r>
      <w:r w:rsidR="00C45AB7">
        <w:rPr>
          <w:rFonts w:cs="Calibri"/>
          <w:sz w:val="21"/>
          <w:szCs w:val="21"/>
        </w:rPr>
        <w:t xml:space="preserve">co-chair the ECC and support coordination of ECP activities with relevant Indonesian </w:t>
      </w:r>
      <w:r w:rsidR="001653CE">
        <w:rPr>
          <w:rFonts w:cs="Calibri"/>
          <w:sz w:val="21"/>
          <w:szCs w:val="21"/>
        </w:rPr>
        <w:t>G</w:t>
      </w:r>
      <w:r w:rsidR="00C45AB7">
        <w:rPr>
          <w:rFonts w:cs="Calibri"/>
          <w:sz w:val="21"/>
          <w:szCs w:val="21"/>
        </w:rPr>
        <w:t xml:space="preserve">overnment agencies. </w:t>
      </w:r>
    </w:p>
    <w:p w14:paraId="319BE2A7" w14:textId="49F273E9" w:rsidR="004A2B7D" w:rsidRDefault="00C45AB7">
      <w:pPr>
        <w:spacing w:after="0"/>
        <w:jc w:val="both"/>
        <w:rPr>
          <w:rFonts w:cs="Calibri"/>
          <w:sz w:val="21"/>
          <w:szCs w:val="21"/>
        </w:rPr>
      </w:pPr>
      <w:r w:rsidRPr="008400EF">
        <w:rPr>
          <w:rFonts w:cs="Calibri"/>
          <w:sz w:val="21"/>
          <w:szCs w:val="21"/>
        </w:rPr>
        <w:t xml:space="preserve">A managing contractor, selected by competitive tender, will deliver the </w:t>
      </w:r>
      <w:r w:rsidR="00710C2D" w:rsidRPr="008400EF">
        <w:rPr>
          <w:rFonts w:cs="Calibri"/>
          <w:sz w:val="21"/>
          <w:szCs w:val="21"/>
        </w:rPr>
        <w:t xml:space="preserve">ECP through the </w:t>
      </w:r>
      <w:r w:rsidR="001C2B18" w:rsidRPr="008400EF">
        <w:rPr>
          <w:rFonts w:cs="Calibri"/>
          <w:sz w:val="21"/>
          <w:szCs w:val="21"/>
        </w:rPr>
        <w:t>Collaborative Hub</w:t>
      </w:r>
      <w:r w:rsidR="004A2B7D" w:rsidRPr="008400EF">
        <w:rPr>
          <w:rFonts w:cs="Calibri"/>
          <w:sz w:val="21"/>
          <w:szCs w:val="21"/>
        </w:rPr>
        <w:t>. Its resourcing will represent best practice in minimising duplication with existing investments and maximise value for money through</w:t>
      </w:r>
      <w:r w:rsidR="004A2B7D" w:rsidRPr="008400EF">
        <w:rPr>
          <w:rFonts w:cs="Calibri"/>
          <w:b/>
          <w:sz w:val="21"/>
          <w:szCs w:val="21"/>
        </w:rPr>
        <w:t xml:space="preserve"> a new shared services model. </w:t>
      </w:r>
      <w:r w:rsidR="004A2B7D" w:rsidRPr="008400EF">
        <w:rPr>
          <w:rFonts w:cs="Calibri"/>
          <w:sz w:val="21"/>
          <w:szCs w:val="21"/>
        </w:rPr>
        <w:t xml:space="preserve">The model will </w:t>
      </w:r>
      <w:r w:rsidR="005E5CFC" w:rsidRPr="008400EF">
        <w:rPr>
          <w:rFonts w:cs="Calibri"/>
          <w:sz w:val="21"/>
          <w:szCs w:val="21"/>
        </w:rPr>
        <w:t>look for opportunities to comple</w:t>
      </w:r>
      <w:r w:rsidR="004A2B7D" w:rsidRPr="008400EF">
        <w:rPr>
          <w:rFonts w:cs="Calibri"/>
          <w:sz w:val="21"/>
          <w:szCs w:val="21"/>
        </w:rPr>
        <w:t>ment and fully utilise operational functions in existing DFAT investments</w:t>
      </w:r>
      <w:r w:rsidR="00E869FD" w:rsidRPr="008400EF">
        <w:rPr>
          <w:rFonts w:cs="Calibri"/>
          <w:sz w:val="21"/>
          <w:szCs w:val="21"/>
        </w:rPr>
        <w:t xml:space="preserve">, </w:t>
      </w:r>
      <w:r w:rsidR="005331B6" w:rsidRPr="008400EF">
        <w:rPr>
          <w:rFonts w:cs="Calibri"/>
          <w:sz w:val="21"/>
          <w:szCs w:val="21"/>
        </w:rPr>
        <w:t xml:space="preserve">while engaging with expert partners for specific sectoral </w:t>
      </w:r>
      <w:r w:rsidR="005E5CFC" w:rsidRPr="008400EF">
        <w:rPr>
          <w:rFonts w:cs="Calibri"/>
          <w:sz w:val="21"/>
          <w:szCs w:val="21"/>
        </w:rPr>
        <w:t>activities</w:t>
      </w:r>
      <w:r w:rsidR="004A2B7D" w:rsidRPr="008400EF">
        <w:rPr>
          <w:rFonts w:cs="Calibri"/>
          <w:sz w:val="21"/>
          <w:szCs w:val="21"/>
        </w:rPr>
        <w:t xml:space="preserve">. </w:t>
      </w:r>
      <w:r w:rsidR="004A2B7D" w:rsidRPr="008400EF">
        <w:rPr>
          <w:b/>
          <w:sz w:val="21"/>
          <w:szCs w:val="21"/>
        </w:rPr>
        <w:t>This approach is lean and ensures activities are able to commence</w:t>
      </w:r>
      <w:r w:rsidR="00C87B9C" w:rsidRPr="008400EF">
        <w:rPr>
          <w:b/>
          <w:sz w:val="21"/>
          <w:szCs w:val="21"/>
        </w:rPr>
        <w:t xml:space="preserve"> relatively</w:t>
      </w:r>
      <w:r w:rsidR="004A2B7D" w:rsidRPr="008400EF">
        <w:rPr>
          <w:b/>
          <w:sz w:val="21"/>
          <w:szCs w:val="21"/>
        </w:rPr>
        <w:t xml:space="preserve"> quickly</w:t>
      </w:r>
      <w:r w:rsidR="004A2B7D" w:rsidRPr="008400EF">
        <w:rPr>
          <w:sz w:val="21"/>
          <w:szCs w:val="21"/>
        </w:rPr>
        <w:t>, in line with expectations of IA-CEPA parties.</w:t>
      </w:r>
    </w:p>
    <w:p w14:paraId="5AB33683" w14:textId="029A50A3" w:rsidR="00143907" w:rsidRDefault="00D85206" w:rsidP="00143907">
      <w:pPr>
        <w:suppressAutoHyphens w:val="0"/>
        <w:spacing w:after="120"/>
        <w:jc w:val="both"/>
        <w:rPr>
          <w:rFonts w:eastAsia="Times New Roman" w:cs="Arial"/>
          <w:sz w:val="21"/>
          <w:szCs w:val="21"/>
          <w:lang w:val="en-AU" w:eastAsia="en-AU"/>
        </w:rPr>
      </w:pPr>
      <w:r>
        <w:rPr>
          <w:rFonts w:eastAsia="Times New Roman" w:cs="Arial"/>
          <w:sz w:val="21"/>
          <w:szCs w:val="21"/>
          <w:lang w:val="en-AU" w:eastAsia="en-AU"/>
        </w:rPr>
        <w:t>It is expected that Indonesia (</w:t>
      </w:r>
      <w:r w:rsidR="003E61FA">
        <w:rPr>
          <w:rFonts w:eastAsia="Times New Roman" w:cs="Arial"/>
          <w:sz w:val="21"/>
          <w:szCs w:val="21"/>
          <w:lang w:val="en-AU" w:eastAsia="en-AU"/>
        </w:rPr>
        <w:t>G</w:t>
      </w:r>
      <w:r>
        <w:rPr>
          <w:rFonts w:eastAsia="Times New Roman" w:cs="Arial"/>
          <w:sz w:val="21"/>
          <w:szCs w:val="21"/>
          <w:lang w:val="en-AU" w:eastAsia="en-AU"/>
        </w:rPr>
        <w:t xml:space="preserve">overnment and/or private sector) and the Australian private sector will </w:t>
      </w:r>
      <w:r w:rsidR="00777175">
        <w:rPr>
          <w:rFonts w:eastAsia="Times New Roman" w:cs="Arial"/>
          <w:sz w:val="21"/>
          <w:szCs w:val="21"/>
          <w:lang w:val="en-AU" w:eastAsia="en-AU"/>
        </w:rPr>
        <w:t xml:space="preserve">also </w:t>
      </w:r>
      <w:r>
        <w:rPr>
          <w:rFonts w:eastAsia="Times New Roman" w:cs="Arial"/>
          <w:sz w:val="21"/>
          <w:szCs w:val="21"/>
          <w:lang w:val="en-AU" w:eastAsia="en-AU"/>
        </w:rPr>
        <w:t xml:space="preserve">contribute financially and in-kind to the ECP. </w:t>
      </w:r>
      <w:r w:rsidR="00143907" w:rsidRPr="00C45AB7">
        <w:rPr>
          <w:rFonts w:eastAsia="Times New Roman" w:cs="Arial"/>
          <w:sz w:val="21"/>
          <w:szCs w:val="21"/>
          <w:lang w:val="en-AU" w:eastAsia="en-AU"/>
        </w:rPr>
        <w:t xml:space="preserve">The </w:t>
      </w:r>
      <w:r w:rsidR="00710C2D">
        <w:rPr>
          <w:rFonts w:eastAsia="Times New Roman" w:cs="Arial"/>
          <w:sz w:val="21"/>
          <w:szCs w:val="21"/>
          <w:lang w:val="en-AU" w:eastAsia="en-AU"/>
        </w:rPr>
        <w:t xml:space="preserve">Collaborative </w:t>
      </w:r>
      <w:r w:rsidR="00143907" w:rsidRPr="00C45AB7">
        <w:rPr>
          <w:rFonts w:eastAsia="Times New Roman" w:cs="Arial"/>
          <w:sz w:val="21"/>
          <w:szCs w:val="21"/>
          <w:lang w:val="en-AU" w:eastAsia="en-AU"/>
        </w:rPr>
        <w:t xml:space="preserve">Hub will </w:t>
      </w:r>
      <w:r>
        <w:rPr>
          <w:rFonts w:eastAsia="Times New Roman" w:cs="Arial"/>
          <w:sz w:val="21"/>
          <w:szCs w:val="21"/>
          <w:lang w:val="en-AU" w:eastAsia="en-AU"/>
        </w:rPr>
        <w:t xml:space="preserve">therefore </w:t>
      </w:r>
      <w:r w:rsidR="00143907" w:rsidRPr="00C45AB7">
        <w:rPr>
          <w:rFonts w:eastAsia="Times New Roman" w:cs="Arial"/>
          <w:sz w:val="21"/>
          <w:szCs w:val="21"/>
          <w:lang w:val="en-AU" w:eastAsia="en-AU"/>
        </w:rPr>
        <w:t xml:space="preserve">have scope to accept </w:t>
      </w:r>
      <w:r w:rsidR="00143907" w:rsidRPr="00E869FD">
        <w:rPr>
          <w:rFonts w:eastAsia="Times New Roman" w:cs="Arial"/>
          <w:b/>
          <w:sz w:val="21"/>
          <w:szCs w:val="21"/>
          <w:lang w:val="en-AU" w:eastAsia="en-AU"/>
        </w:rPr>
        <w:t xml:space="preserve">both official </w:t>
      </w:r>
      <w:r w:rsidR="00143907" w:rsidRPr="00E869FD">
        <w:rPr>
          <w:rFonts w:eastAsia="Times New Roman" w:cs="Arial"/>
          <w:b/>
          <w:sz w:val="21"/>
          <w:szCs w:val="21"/>
          <w:lang w:val="en-AU" w:eastAsia="en-AU"/>
        </w:rPr>
        <w:lastRenderedPageBreak/>
        <w:t>development assistance (ODA) and potential non-ODA funding</w:t>
      </w:r>
      <w:r w:rsidR="00964A63">
        <w:rPr>
          <w:rFonts w:eastAsia="Times New Roman" w:cs="Arial"/>
          <w:b/>
          <w:sz w:val="21"/>
          <w:szCs w:val="21"/>
          <w:lang w:val="en-AU" w:eastAsia="en-AU"/>
        </w:rPr>
        <w:t xml:space="preserve"> </w:t>
      </w:r>
      <w:r w:rsidR="00C87B9C" w:rsidRPr="00C87B9C">
        <w:rPr>
          <w:rFonts w:eastAsia="Times New Roman" w:cs="Arial"/>
          <w:sz w:val="21"/>
          <w:szCs w:val="21"/>
          <w:lang w:val="en-AU" w:eastAsia="en-AU"/>
        </w:rPr>
        <w:t>or in-kind contributions</w:t>
      </w:r>
      <w:r w:rsidR="00C87B9C">
        <w:rPr>
          <w:rFonts w:eastAsia="Times New Roman" w:cs="Arial"/>
          <w:b/>
          <w:sz w:val="21"/>
          <w:szCs w:val="21"/>
          <w:lang w:val="en-AU" w:eastAsia="en-AU"/>
        </w:rPr>
        <w:t xml:space="preserve"> </w:t>
      </w:r>
      <w:r w:rsidR="00964A63" w:rsidRPr="00F5504F">
        <w:rPr>
          <w:rFonts w:eastAsia="Times New Roman" w:cs="Arial"/>
          <w:sz w:val="21"/>
          <w:szCs w:val="21"/>
          <w:lang w:val="en-AU" w:eastAsia="en-AU"/>
        </w:rPr>
        <w:t xml:space="preserve">(refer </w:t>
      </w:r>
      <w:r w:rsidR="00572F16" w:rsidRPr="00F5504F">
        <w:rPr>
          <w:rFonts w:eastAsia="Times New Roman" w:cs="Arial"/>
          <w:sz w:val="21"/>
          <w:szCs w:val="21"/>
          <w:lang w:val="en-AU" w:eastAsia="en-AU"/>
        </w:rPr>
        <w:t xml:space="preserve">to </w:t>
      </w:r>
      <w:r w:rsidR="00964A63" w:rsidRPr="00F5504F">
        <w:rPr>
          <w:rFonts w:eastAsia="Times New Roman" w:cs="Arial"/>
          <w:sz w:val="21"/>
          <w:szCs w:val="21"/>
          <w:lang w:val="en-AU" w:eastAsia="en-AU"/>
        </w:rPr>
        <w:t xml:space="preserve">further details </w:t>
      </w:r>
      <w:r w:rsidR="00572F16" w:rsidRPr="00F5504F">
        <w:rPr>
          <w:rFonts w:eastAsia="Times New Roman" w:cs="Arial"/>
          <w:sz w:val="21"/>
          <w:szCs w:val="21"/>
          <w:lang w:val="en-AU" w:eastAsia="en-AU"/>
        </w:rPr>
        <w:t>at</w:t>
      </w:r>
      <w:r w:rsidR="00964A63" w:rsidRPr="00F5504F">
        <w:rPr>
          <w:rFonts w:eastAsia="Times New Roman" w:cs="Arial"/>
          <w:sz w:val="21"/>
          <w:szCs w:val="21"/>
          <w:lang w:val="en-AU" w:eastAsia="en-AU"/>
        </w:rPr>
        <w:t xml:space="preserve"> </w:t>
      </w:r>
      <w:r w:rsidR="00964A63" w:rsidRPr="00F5504F">
        <w:rPr>
          <w:rFonts w:eastAsia="Times New Roman" w:cs="Arial"/>
          <w:sz w:val="21"/>
          <w:szCs w:val="21"/>
          <w:u w:val="single"/>
          <w:lang w:val="en-AU" w:eastAsia="en-AU"/>
        </w:rPr>
        <w:t xml:space="preserve">Annex </w:t>
      </w:r>
      <w:r w:rsidR="00622562">
        <w:rPr>
          <w:rFonts w:eastAsia="Times New Roman" w:cs="Arial"/>
          <w:sz w:val="21"/>
          <w:szCs w:val="21"/>
          <w:u w:val="single"/>
          <w:lang w:val="en-AU" w:eastAsia="en-AU"/>
        </w:rPr>
        <w:t>8</w:t>
      </w:r>
      <w:r w:rsidR="00964A63" w:rsidRPr="00F5504F">
        <w:rPr>
          <w:rFonts w:eastAsia="Times New Roman" w:cs="Arial"/>
          <w:sz w:val="21"/>
          <w:szCs w:val="21"/>
          <w:lang w:val="en-AU" w:eastAsia="en-AU"/>
        </w:rPr>
        <w:t>)</w:t>
      </w:r>
      <w:r w:rsidR="00143907" w:rsidRPr="00F5504F">
        <w:rPr>
          <w:rFonts w:eastAsia="Times New Roman" w:cs="Arial"/>
          <w:sz w:val="21"/>
          <w:szCs w:val="21"/>
          <w:lang w:val="en-AU" w:eastAsia="en-AU"/>
        </w:rPr>
        <w:t>.</w:t>
      </w:r>
      <w:r w:rsidR="008B03D8">
        <w:rPr>
          <w:rFonts w:eastAsia="Times New Roman" w:cs="Arial"/>
          <w:sz w:val="21"/>
          <w:szCs w:val="21"/>
          <w:lang w:val="en-AU" w:eastAsia="en-AU"/>
        </w:rPr>
        <w:t xml:space="preserve"> </w:t>
      </w:r>
      <w:r w:rsidR="004204BA">
        <w:rPr>
          <w:rFonts w:eastAsia="Times New Roman" w:cs="Arial"/>
          <w:sz w:val="21"/>
          <w:szCs w:val="21"/>
          <w:lang w:val="en-AU" w:eastAsia="en-AU"/>
        </w:rPr>
        <w:t>Consultations by the design team have identified a number of activities for which priv</w:t>
      </w:r>
      <w:r w:rsidR="00EB45BE">
        <w:rPr>
          <w:rFonts w:eastAsia="Times New Roman" w:cs="Arial"/>
          <w:sz w:val="21"/>
          <w:szCs w:val="21"/>
          <w:lang w:val="en-AU" w:eastAsia="en-AU"/>
        </w:rPr>
        <w:t xml:space="preserve">ate funding may be forthcoming. </w:t>
      </w:r>
      <w:r w:rsidR="008B03D8">
        <w:rPr>
          <w:rFonts w:eastAsia="Times New Roman" w:cs="Arial"/>
          <w:sz w:val="21"/>
          <w:szCs w:val="21"/>
          <w:lang w:val="en-AU" w:eastAsia="en-AU"/>
        </w:rPr>
        <w:t xml:space="preserve">The </w:t>
      </w:r>
      <w:r w:rsidR="00710C2D">
        <w:rPr>
          <w:rFonts w:eastAsia="Times New Roman" w:cs="Arial"/>
          <w:sz w:val="21"/>
          <w:szCs w:val="21"/>
          <w:lang w:val="en-AU" w:eastAsia="en-AU"/>
        </w:rPr>
        <w:t xml:space="preserve">Collaborative </w:t>
      </w:r>
      <w:r w:rsidR="008B03D8">
        <w:rPr>
          <w:rFonts w:eastAsia="Times New Roman" w:cs="Arial"/>
          <w:sz w:val="21"/>
          <w:szCs w:val="21"/>
          <w:lang w:val="en-AU" w:eastAsia="en-AU"/>
        </w:rPr>
        <w:t xml:space="preserve">Hub will maintain appropriate accounting </w:t>
      </w:r>
      <w:r w:rsidR="00EB45BE">
        <w:rPr>
          <w:rFonts w:eastAsia="Times New Roman" w:cs="Arial"/>
          <w:sz w:val="21"/>
          <w:szCs w:val="21"/>
          <w:lang w:val="en-AU" w:eastAsia="en-AU"/>
        </w:rPr>
        <w:t xml:space="preserve">and governance arrangements for the </w:t>
      </w:r>
      <w:r w:rsidR="008A6D77">
        <w:rPr>
          <w:rFonts w:eastAsia="Times New Roman" w:cs="Arial"/>
          <w:sz w:val="21"/>
          <w:szCs w:val="21"/>
          <w:lang w:val="en-AU" w:eastAsia="en-AU"/>
        </w:rPr>
        <w:t xml:space="preserve">handling and acquittal </w:t>
      </w:r>
      <w:r w:rsidR="00EB45BE">
        <w:rPr>
          <w:rFonts w:eastAsia="Times New Roman" w:cs="Arial"/>
          <w:sz w:val="21"/>
          <w:szCs w:val="21"/>
          <w:lang w:val="en-AU" w:eastAsia="en-AU"/>
        </w:rPr>
        <w:t xml:space="preserve">of ODA and non-ODA funding. </w:t>
      </w:r>
      <w:r w:rsidR="008B03D8">
        <w:rPr>
          <w:rFonts w:eastAsia="Times New Roman" w:cs="Arial"/>
          <w:sz w:val="21"/>
          <w:szCs w:val="21"/>
          <w:lang w:val="en-AU" w:eastAsia="en-AU"/>
        </w:rPr>
        <w:t xml:space="preserve"> </w:t>
      </w:r>
    </w:p>
    <w:p w14:paraId="28CEF0AD" w14:textId="59D00826" w:rsidR="00067255" w:rsidRPr="00C45AB7" w:rsidRDefault="00067255" w:rsidP="00067255">
      <w:pPr>
        <w:tabs>
          <w:tab w:val="left" w:pos="284"/>
        </w:tabs>
        <w:spacing w:after="120"/>
        <w:jc w:val="both"/>
        <w:rPr>
          <w:rFonts w:eastAsia="Times New Roman" w:cs="Arial"/>
          <w:sz w:val="21"/>
          <w:szCs w:val="21"/>
          <w:lang w:val="en-AU" w:eastAsia="en-AU"/>
        </w:rPr>
      </w:pPr>
      <w:r w:rsidRPr="00C45AB7">
        <w:rPr>
          <w:rFonts w:eastAsia="Times New Roman" w:cs="Arial"/>
          <w:sz w:val="21"/>
          <w:szCs w:val="21"/>
          <w:lang w:val="en-AU" w:eastAsia="en-AU"/>
        </w:rPr>
        <w:t xml:space="preserve">A </w:t>
      </w:r>
      <w:r w:rsidRPr="00E869FD">
        <w:rPr>
          <w:rFonts w:eastAsia="Times New Roman" w:cs="Arial"/>
          <w:b/>
          <w:sz w:val="21"/>
          <w:szCs w:val="21"/>
          <w:lang w:val="en-AU" w:eastAsia="en-AU"/>
        </w:rPr>
        <w:t>detailed M</w:t>
      </w:r>
      <w:r w:rsidR="00C45AB7" w:rsidRPr="00E869FD">
        <w:rPr>
          <w:rFonts w:eastAsia="Times New Roman" w:cs="Arial"/>
          <w:b/>
          <w:sz w:val="21"/>
          <w:szCs w:val="21"/>
          <w:lang w:val="en-AU" w:eastAsia="en-AU"/>
        </w:rPr>
        <w:t>EL</w:t>
      </w:r>
      <w:r w:rsidRPr="00E869FD">
        <w:rPr>
          <w:rFonts w:eastAsia="Times New Roman" w:cs="Arial"/>
          <w:b/>
          <w:sz w:val="21"/>
          <w:szCs w:val="21"/>
          <w:lang w:val="en-AU" w:eastAsia="en-AU"/>
        </w:rPr>
        <w:t xml:space="preserve"> system</w:t>
      </w:r>
      <w:r w:rsidRPr="00C45AB7">
        <w:rPr>
          <w:rFonts w:eastAsia="Times New Roman" w:cs="Arial"/>
          <w:sz w:val="21"/>
          <w:szCs w:val="21"/>
          <w:lang w:val="en-AU" w:eastAsia="en-AU"/>
        </w:rPr>
        <w:t>, including a Results Framework and Key Evaluation Questions, has been developed to continually assess achievement of ECP outcomes and to feed ‘live’ insights into the decision-making process for selection of activities by the ECC.</w:t>
      </w:r>
      <w:r w:rsidR="00777175">
        <w:rPr>
          <w:rFonts w:eastAsia="Times New Roman" w:cs="Arial"/>
          <w:sz w:val="21"/>
          <w:szCs w:val="21"/>
          <w:lang w:val="en-AU" w:eastAsia="en-AU"/>
        </w:rPr>
        <w:t xml:space="preserve"> T</w:t>
      </w:r>
      <w:r w:rsidRPr="00E869FD">
        <w:rPr>
          <w:rFonts w:eastAsia="Times New Roman" w:cs="Arial"/>
          <w:b/>
          <w:sz w:val="21"/>
          <w:szCs w:val="21"/>
          <w:lang w:val="en-AU" w:eastAsia="en-AU"/>
        </w:rPr>
        <w:t xml:space="preserve">he ECP will be resourced with </w:t>
      </w:r>
      <w:r w:rsidR="000356EC">
        <w:rPr>
          <w:rFonts w:eastAsia="Times New Roman" w:cs="Arial"/>
          <w:b/>
          <w:sz w:val="21"/>
          <w:szCs w:val="21"/>
          <w:lang w:val="en-AU" w:eastAsia="en-AU"/>
        </w:rPr>
        <w:t>MEL</w:t>
      </w:r>
      <w:r w:rsidRPr="00E869FD">
        <w:rPr>
          <w:rFonts w:eastAsia="Times New Roman" w:cs="Arial"/>
          <w:b/>
          <w:sz w:val="21"/>
          <w:szCs w:val="21"/>
          <w:lang w:val="en-AU" w:eastAsia="en-AU"/>
        </w:rPr>
        <w:t xml:space="preserve"> specialists – including with trade and investment experience</w:t>
      </w:r>
      <w:r w:rsidRPr="00A83067">
        <w:rPr>
          <w:rFonts w:eastAsia="Times New Roman" w:cs="Arial"/>
          <w:sz w:val="21"/>
          <w:szCs w:val="21"/>
          <w:lang w:val="en-AU" w:eastAsia="en-AU"/>
        </w:rPr>
        <w:t xml:space="preserve"> – to </w:t>
      </w:r>
      <w:r w:rsidR="00D51EFB" w:rsidRPr="00A83067">
        <w:rPr>
          <w:rFonts w:eastAsia="Times New Roman" w:cs="Arial"/>
          <w:sz w:val="21"/>
          <w:szCs w:val="21"/>
          <w:lang w:val="en-AU" w:eastAsia="en-AU"/>
        </w:rPr>
        <w:t xml:space="preserve">assess and </w:t>
      </w:r>
      <w:r w:rsidRPr="00A83067">
        <w:rPr>
          <w:rFonts w:eastAsia="Times New Roman" w:cs="Arial"/>
          <w:sz w:val="21"/>
          <w:szCs w:val="21"/>
          <w:lang w:val="en-AU" w:eastAsia="en-AU"/>
        </w:rPr>
        <w:t>report on economic and broader impacts of the IA-CEPA</w:t>
      </w:r>
      <w:r w:rsidRPr="00C45AB7">
        <w:rPr>
          <w:rFonts w:eastAsia="Times New Roman" w:cs="Arial"/>
          <w:sz w:val="21"/>
          <w:szCs w:val="21"/>
          <w:lang w:val="en-AU" w:eastAsia="en-AU"/>
        </w:rPr>
        <w:t xml:space="preserve">. </w:t>
      </w:r>
    </w:p>
    <w:p w14:paraId="649F122C" w14:textId="57AF65C1" w:rsidR="00D409A6" w:rsidRDefault="008619C7" w:rsidP="00C051CE">
      <w:pPr>
        <w:suppressAutoHyphens w:val="0"/>
        <w:spacing w:after="120"/>
        <w:jc w:val="both"/>
        <w:rPr>
          <w:rFonts w:eastAsia="Times New Roman" w:cs="Arial"/>
          <w:sz w:val="21"/>
          <w:szCs w:val="21"/>
          <w:lang w:val="en-AU" w:eastAsia="en-AU"/>
        </w:rPr>
      </w:pPr>
      <w:r w:rsidRPr="00E869FD">
        <w:rPr>
          <w:rFonts w:eastAsia="Times New Roman" w:cs="Arial"/>
          <w:b/>
          <w:sz w:val="21"/>
          <w:szCs w:val="21"/>
          <w:lang w:val="en-AU" w:eastAsia="en-AU"/>
        </w:rPr>
        <w:t xml:space="preserve">Gender and inclusion has been embedded in every activity under the ECP and in the leadership of the </w:t>
      </w:r>
      <w:r w:rsidR="001C2B18">
        <w:rPr>
          <w:rFonts w:eastAsia="Times New Roman" w:cs="Arial"/>
          <w:b/>
          <w:sz w:val="21"/>
          <w:szCs w:val="21"/>
          <w:lang w:val="en-AU" w:eastAsia="en-AU"/>
        </w:rPr>
        <w:t>Collaborative Hub</w:t>
      </w:r>
      <w:r w:rsidR="00317469" w:rsidRPr="00E869FD">
        <w:rPr>
          <w:rFonts w:eastAsia="Times New Roman" w:cs="Arial"/>
          <w:b/>
          <w:sz w:val="21"/>
          <w:szCs w:val="21"/>
          <w:lang w:val="en-AU" w:eastAsia="en-AU"/>
        </w:rPr>
        <w:t xml:space="preserve">. </w:t>
      </w:r>
      <w:r w:rsidRPr="00A83067">
        <w:rPr>
          <w:rFonts w:eastAsia="Times New Roman" w:cs="Arial"/>
          <w:sz w:val="21"/>
          <w:szCs w:val="21"/>
          <w:lang w:val="en-AU" w:eastAsia="en-AU"/>
        </w:rPr>
        <w:t xml:space="preserve">All training, exchanges and industry events will seek participation of female-led firms and require at least 50% female participants in training and as speakers at events. </w:t>
      </w:r>
      <w:r w:rsidR="002B6C5A" w:rsidRPr="00CA7F92">
        <w:rPr>
          <w:rFonts w:eastAsia="Times New Roman" w:cs="Arial"/>
          <w:sz w:val="21"/>
          <w:szCs w:val="21"/>
          <w:u w:val="single"/>
          <w:lang w:val="en-AU" w:eastAsia="en-AU"/>
        </w:rPr>
        <w:t>Section G</w:t>
      </w:r>
      <w:r w:rsidR="002B6C5A" w:rsidRPr="00A83067">
        <w:rPr>
          <w:rFonts w:eastAsia="Times New Roman" w:cs="Arial"/>
          <w:sz w:val="21"/>
          <w:szCs w:val="21"/>
          <w:lang w:val="en-AU" w:eastAsia="en-AU"/>
        </w:rPr>
        <w:t xml:space="preserve"> sets out the ways in which activities will be specifically adapted to maximise outcomes for female-led entrepreneurs, </w:t>
      </w:r>
      <w:r w:rsidR="00317469" w:rsidRPr="00A83067">
        <w:rPr>
          <w:rFonts w:eastAsia="Times New Roman" w:cs="Arial"/>
          <w:sz w:val="21"/>
          <w:szCs w:val="21"/>
          <w:lang w:val="en-AU" w:eastAsia="en-AU"/>
        </w:rPr>
        <w:t>support trade in female-dominated industries and remove barriers to trade and investment for women and other excluded groups.</w:t>
      </w:r>
      <w:r w:rsidR="002B6C5A" w:rsidRPr="00A83067">
        <w:rPr>
          <w:rFonts w:eastAsia="Times New Roman" w:cs="Arial"/>
          <w:sz w:val="21"/>
          <w:szCs w:val="21"/>
          <w:lang w:val="en-AU" w:eastAsia="en-AU"/>
        </w:rPr>
        <w:t xml:space="preserve"> </w:t>
      </w:r>
    </w:p>
    <w:p w14:paraId="6C053551" w14:textId="6AC7584D" w:rsidR="00732345" w:rsidRPr="007C4ABD" w:rsidRDefault="00732345" w:rsidP="007C4ABD">
      <w:pPr>
        <w:pBdr>
          <w:top w:val="single" w:sz="4" w:space="1" w:color="auto"/>
          <w:left w:val="single" w:sz="4" w:space="4" w:color="auto"/>
          <w:bottom w:val="single" w:sz="4" w:space="1" w:color="auto"/>
          <w:right w:val="single" w:sz="4" w:space="4" w:color="auto"/>
        </w:pBdr>
        <w:tabs>
          <w:tab w:val="left" w:pos="284"/>
        </w:tabs>
        <w:suppressAutoHyphens w:val="0"/>
        <w:spacing w:after="120"/>
        <w:jc w:val="both"/>
        <w:rPr>
          <w:rFonts w:eastAsia="Times New Roman" w:cs="Arial"/>
          <w:b/>
          <w:sz w:val="21"/>
          <w:szCs w:val="21"/>
          <w:lang w:val="en-AU" w:eastAsia="en-AU"/>
        </w:rPr>
      </w:pPr>
      <w:r w:rsidRPr="007C4ABD">
        <w:rPr>
          <w:rFonts w:eastAsia="Times New Roman" w:cs="Arial"/>
          <w:b/>
          <w:sz w:val="21"/>
          <w:szCs w:val="21"/>
          <w:lang w:val="en-AU" w:eastAsia="en-AU"/>
        </w:rPr>
        <w:t>Statement on the impact of the COVID-19 pandemic</w:t>
      </w:r>
    </w:p>
    <w:p w14:paraId="6DB0A218" w14:textId="28709913" w:rsidR="00732345" w:rsidRDefault="00732345" w:rsidP="007C4ABD">
      <w:pPr>
        <w:pBdr>
          <w:top w:val="single" w:sz="4" w:space="1" w:color="auto"/>
          <w:left w:val="single" w:sz="4" w:space="4" w:color="auto"/>
          <w:bottom w:val="single" w:sz="4" w:space="1" w:color="auto"/>
          <w:right w:val="single" w:sz="4" w:space="4" w:color="auto"/>
        </w:pBdr>
        <w:tabs>
          <w:tab w:val="left" w:pos="284"/>
        </w:tabs>
        <w:suppressAutoHyphens w:val="0"/>
        <w:spacing w:after="120"/>
        <w:jc w:val="both"/>
        <w:rPr>
          <w:rFonts w:eastAsia="Times New Roman" w:cs="Arial"/>
          <w:sz w:val="21"/>
          <w:szCs w:val="21"/>
          <w:lang w:val="en-AU" w:eastAsia="en-AU"/>
        </w:rPr>
      </w:pPr>
      <w:r>
        <w:rPr>
          <w:rFonts w:eastAsia="Times New Roman" w:cs="Arial"/>
          <w:sz w:val="21"/>
          <w:szCs w:val="21"/>
          <w:lang w:val="en-AU" w:eastAsia="en-AU"/>
        </w:rPr>
        <w:t xml:space="preserve">The COVID-19 pandemic will likely have a substantial impact on, at least, the first 12 months of </w:t>
      </w:r>
      <w:r w:rsidRPr="008400EF">
        <w:rPr>
          <w:rFonts w:eastAsia="Times New Roman" w:cs="Arial"/>
          <w:sz w:val="21"/>
          <w:szCs w:val="21"/>
          <w:lang w:val="en-AU" w:eastAsia="en-AU"/>
        </w:rPr>
        <w:t>the ECP</w:t>
      </w:r>
      <w:r>
        <w:rPr>
          <w:rFonts w:eastAsia="Times New Roman" w:cs="Arial"/>
          <w:sz w:val="21"/>
          <w:szCs w:val="21"/>
          <w:lang w:val="en-AU" w:eastAsia="en-AU"/>
        </w:rPr>
        <w:t xml:space="preserve">. This is due to probable reallocation of resources by Governments and industry for pandemic response, bilateral (and global) supply chain and trade disruption, and ongoing limitations on social distancing and travel.  </w:t>
      </w:r>
    </w:p>
    <w:p w14:paraId="7D9ECA2F" w14:textId="4A5E8FF3" w:rsidR="00732345" w:rsidRDefault="00732345" w:rsidP="007C4ABD">
      <w:pPr>
        <w:pBdr>
          <w:top w:val="single" w:sz="4" w:space="1" w:color="auto"/>
          <w:left w:val="single" w:sz="4" w:space="4" w:color="auto"/>
          <w:bottom w:val="single" w:sz="4" w:space="1" w:color="auto"/>
          <w:right w:val="single" w:sz="4" w:space="4" w:color="auto"/>
        </w:pBdr>
        <w:tabs>
          <w:tab w:val="left" w:pos="284"/>
        </w:tabs>
        <w:suppressAutoHyphens w:val="0"/>
        <w:spacing w:after="120"/>
        <w:jc w:val="both"/>
        <w:rPr>
          <w:rFonts w:eastAsia="Times New Roman" w:cs="Arial"/>
          <w:sz w:val="21"/>
          <w:szCs w:val="21"/>
          <w:lang w:val="en-AU" w:eastAsia="en-AU"/>
        </w:rPr>
      </w:pPr>
      <w:r>
        <w:rPr>
          <w:rFonts w:ascii="Calibri Light" w:hAnsi="Calibri Light" w:cs="Arial"/>
          <w:sz w:val="21"/>
          <w:szCs w:val="21"/>
        </w:rPr>
        <w:t xml:space="preserve">COVID-19 </w:t>
      </w:r>
      <w:r w:rsidR="002D2766">
        <w:rPr>
          <w:rFonts w:ascii="Calibri Light" w:hAnsi="Calibri Light" w:cs="Arial"/>
          <w:sz w:val="21"/>
          <w:szCs w:val="21"/>
        </w:rPr>
        <w:t xml:space="preserve">will likely </w:t>
      </w:r>
      <w:r>
        <w:rPr>
          <w:rFonts w:ascii="Calibri Light" w:hAnsi="Calibri Light" w:cs="Arial"/>
          <w:sz w:val="21"/>
          <w:szCs w:val="21"/>
        </w:rPr>
        <w:t xml:space="preserve">have a </w:t>
      </w:r>
      <w:r w:rsidR="002D2766">
        <w:rPr>
          <w:rFonts w:ascii="Calibri Light" w:hAnsi="Calibri Light" w:cs="Arial"/>
          <w:sz w:val="21"/>
          <w:szCs w:val="21"/>
        </w:rPr>
        <w:t xml:space="preserve">negative </w:t>
      </w:r>
      <w:r>
        <w:rPr>
          <w:rFonts w:ascii="Calibri Light" w:hAnsi="Calibri Light" w:cs="Arial"/>
          <w:sz w:val="21"/>
          <w:szCs w:val="21"/>
        </w:rPr>
        <w:t>impact on bilateral trade and investment between Indonesia and Australia. Subject to consultations, the ECP may be well placed to facilitate – as its first priority – a four phase response: (</w:t>
      </w:r>
      <w:proofErr w:type="spellStart"/>
      <w:r>
        <w:rPr>
          <w:rFonts w:ascii="Calibri Light" w:hAnsi="Calibri Light" w:cs="Arial"/>
          <w:sz w:val="21"/>
          <w:szCs w:val="21"/>
        </w:rPr>
        <w:t>i</w:t>
      </w:r>
      <w:proofErr w:type="spellEnd"/>
      <w:r>
        <w:rPr>
          <w:rFonts w:ascii="Calibri Light" w:hAnsi="Calibri Light" w:cs="Arial"/>
          <w:sz w:val="21"/>
          <w:szCs w:val="21"/>
        </w:rPr>
        <w:t xml:space="preserve">) </w:t>
      </w:r>
      <w:r w:rsidRPr="0045451B">
        <w:rPr>
          <w:rFonts w:ascii="Calibri Light" w:hAnsi="Calibri Light" w:cs="Arial"/>
          <w:b/>
          <w:sz w:val="21"/>
          <w:szCs w:val="21"/>
        </w:rPr>
        <w:t>assessment</w:t>
      </w:r>
      <w:r>
        <w:rPr>
          <w:rFonts w:ascii="Calibri Light" w:hAnsi="Calibri Light" w:cs="Arial"/>
          <w:sz w:val="21"/>
          <w:szCs w:val="21"/>
        </w:rPr>
        <w:t xml:space="preserve"> of impact, (ii) recommendations for </w:t>
      </w:r>
      <w:r w:rsidRPr="0045451B">
        <w:rPr>
          <w:rFonts w:ascii="Calibri Light" w:hAnsi="Calibri Light" w:cs="Arial"/>
          <w:b/>
          <w:sz w:val="21"/>
          <w:szCs w:val="21"/>
        </w:rPr>
        <w:t>mitigation</w:t>
      </w:r>
      <w:r>
        <w:rPr>
          <w:rFonts w:ascii="Calibri Light" w:hAnsi="Calibri Light" w:cs="Arial"/>
          <w:sz w:val="21"/>
          <w:szCs w:val="21"/>
        </w:rPr>
        <w:t xml:space="preserve"> of impact, (iii) guidance on </w:t>
      </w:r>
      <w:r w:rsidRPr="0045451B">
        <w:rPr>
          <w:rFonts w:ascii="Calibri Light" w:hAnsi="Calibri Light" w:cs="Arial"/>
          <w:b/>
          <w:sz w:val="21"/>
          <w:szCs w:val="21"/>
        </w:rPr>
        <w:t>restoration</w:t>
      </w:r>
      <w:r>
        <w:rPr>
          <w:rFonts w:ascii="Calibri Light" w:hAnsi="Calibri Light" w:cs="Arial"/>
          <w:sz w:val="21"/>
          <w:szCs w:val="21"/>
        </w:rPr>
        <w:t xml:space="preserve"> of status quo ante</w:t>
      </w:r>
      <w:r w:rsidR="005A4E59">
        <w:rPr>
          <w:rFonts w:ascii="Calibri Light" w:hAnsi="Calibri Light" w:cs="Arial"/>
          <w:sz w:val="21"/>
          <w:szCs w:val="21"/>
        </w:rPr>
        <w:t xml:space="preserve"> trade and investment, and (iv)</w:t>
      </w:r>
      <w:r w:rsidR="00154518">
        <w:rPr>
          <w:rFonts w:ascii="Calibri Light" w:hAnsi="Calibri Light" w:cs="Arial"/>
          <w:sz w:val="21"/>
          <w:szCs w:val="21"/>
        </w:rPr>
        <w:t xml:space="preserve"> </w:t>
      </w:r>
      <w:r>
        <w:rPr>
          <w:rFonts w:ascii="Calibri Light" w:hAnsi="Calibri Light" w:cs="Arial"/>
          <w:sz w:val="21"/>
          <w:szCs w:val="21"/>
        </w:rPr>
        <w:t xml:space="preserve">setting objectives for post-pandemic </w:t>
      </w:r>
      <w:r w:rsidRPr="0045451B">
        <w:rPr>
          <w:rFonts w:ascii="Calibri Light" w:hAnsi="Calibri Light" w:cs="Arial"/>
          <w:b/>
          <w:sz w:val="21"/>
          <w:szCs w:val="21"/>
        </w:rPr>
        <w:t>growth</w:t>
      </w:r>
      <w:r>
        <w:rPr>
          <w:rFonts w:ascii="Calibri Light" w:hAnsi="Calibri Light" w:cs="Arial"/>
          <w:sz w:val="21"/>
          <w:szCs w:val="21"/>
        </w:rPr>
        <w:t xml:space="preserve">. </w:t>
      </w:r>
      <w:r w:rsidR="007C672E">
        <w:rPr>
          <w:rFonts w:eastAsia="Times New Roman" w:cs="Arial"/>
          <w:sz w:val="21"/>
          <w:szCs w:val="21"/>
          <w:lang w:val="en-AU" w:eastAsia="en-AU"/>
        </w:rPr>
        <w:t xml:space="preserve">Our proposed budget maintains flexibility to support this initial ‘pivot’ to address COVID-19 impacts. </w:t>
      </w:r>
    </w:p>
    <w:p w14:paraId="3AEE68E1" w14:textId="3C8F20B8" w:rsidR="00732345" w:rsidRDefault="00732345" w:rsidP="007C4ABD">
      <w:pPr>
        <w:pBdr>
          <w:top w:val="single" w:sz="4" w:space="1" w:color="auto"/>
          <w:left w:val="single" w:sz="4" w:space="4" w:color="auto"/>
          <w:bottom w:val="single" w:sz="4" w:space="1" w:color="auto"/>
          <w:right w:val="single" w:sz="4" w:space="4" w:color="auto"/>
        </w:pBdr>
        <w:tabs>
          <w:tab w:val="left" w:pos="284"/>
        </w:tabs>
        <w:suppressAutoHyphens w:val="0"/>
        <w:spacing w:after="120"/>
        <w:jc w:val="both"/>
        <w:rPr>
          <w:rFonts w:eastAsia="Times New Roman" w:cs="Arial"/>
          <w:sz w:val="21"/>
          <w:szCs w:val="21"/>
          <w:lang w:val="en-AU" w:eastAsia="en-AU"/>
        </w:rPr>
      </w:pPr>
      <w:r>
        <w:rPr>
          <w:rFonts w:eastAsia="Times New Roman" w:cs="Arial"/>
          <w:sz w:val="21"/>
          <w:szCs w:val="21"/>
          <w:lang w:val="en-AU" w:eastAsia="en-AU"/>
        </w:rPr>
        <w:t>Where relevant, COVID-19 response support and risk mitigation strategies</w:t>
      </w:r>
      <w:r w:rsidR="007A46B3">
        <w:rPr>
          <w:rFonts w:eastAsia="Times New Roman" w:cs="Arial"/>
          <w:sz w:val="21"/>
          <w:szCs w:val="21"/>
          <w:lang w:val="en-AU" w:eastAsia="en-AU"/>
        </w:rPr>
        <w:t xml:space="preserve"> have been incorporated</w:t>
      </w:r>
      <w:r>
        <w:rPr>
          <w:rFonts w:eastAsia="Times New Roman" w:cs="Arial"/>
          <w:sz w:val="21"/>
          <w:szCs w:val="21"/>
          <w:lang w:val="en-AU" w:eastAsia="en-AU"/>
        </w:rPr>
        <w:t xml:space="preserve"> in this Investment Design, including in the First Annual Work Plan. </w:t>
      </w:r>
    </w:p>
    <w:p w14:paraId="465FEF2C" w14:textId="05F23F02" w:rsidR="00777C36" w:rsidRPr="006701C0" w:rsidRDefault="002D4DE7" w:rsidP="00856784">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006701C0">
        <w:rPr>
          <w:rFonts w:asciiTheme="majorHAnsi" w:hAnsiTheme="majorHAnsi"/>
          <w:b/>
          <w:szCs w:val="21"/>
        </w:rPr>
        <w:t>Development Context</w:t>
      </w:r>
      <w:r w:rsidR="008A2ECD" w:rsidRPr="006701C0">
        <w:rPr>
          <w:rFonts w:asciiTheme="majorHAnsi" w:hAnsiTheme="majorHAnsi"/>
          <w:b/>
          <w:szCs w:val="21"/>
        </w:rPr>
        <w:t xml:space="preserve"> (What problem are we addressing?)</w:t>
      </w:r>
      <w:r w:rsidR="000323AC" w:rsidRPr="006701C0">
        <w:rPr>
          <w:rFonts w:asciiTheme="majorHAnsi" w:hAnsiTheme="majorHAnsi"/>
          <w:b/>
          <w:szCs w:val="21"/>
        </w:rPr>
        <w:t xml:space="preserve"> </w:t>
      </w:r>
    </w:p>
    <w:p w14:paraId="4F098679" w14:textId="2E8310B2" w:rsidR="006A47F2" w:rsidRPr="006A47F2" w:rsidRDefault="006A47F2" w:rsidP="00932E17">
      <w:pPr>
        <w:tabs>
          <w:tab w:val="left" w:pos="0"/>
          <w:tab w:val="left" w:pos="284"/>
        </w:tabs>
        <w:suppressAutoHyphens w:val="0"/>
        <w:spacing w:after="0"/>
        <w:jc w:val="both"/>
        <w:rPr>
          <w:rFonts w:eastAsia="Times New Roman" w:cs="Arial"/>
          <w:b/>
          <w:i/>
          <w:sz w:val="21"/>
          <w:szCs w:val="21"/>
          <w:lang w:val="en-AU" w:eastAsia="en-AU"/>
        </w:rPr>
      </w:pPr>
      <w:r w:rsidRPr="006A47F2">
        <w:rPr>
          <w:rFonts w:eastAsia="Times New Roman" w:cs="Arial"/>
          <w:b/>
          <w:i/>
          <w:sz w:val="21"/>
          <w:szCs w:val="21"/>
          <w:lang w:val="en-AU" w:eastAsia="en-AU"/>
        </w:rPr>
        <w:t xml:space="preserve">IA-CEPA will help Indonesia drive economic growth and development </w:t>
      </w:r>
    </w:p>
    <w:p w14:paraId="4ED16FFD" w14:textId="271C3291" w:rsidR="003D3567" w:rsidRDefault="004134F1" w:rsidP="00932E17">
      <w:pPr>
        <w:tabs>
          <w:tab w:val="left" w:pos="0"/>
          <w:tab w:val="left" w:pos="284"/>
        </w:tabs>
        <w:suppressAutoHyphens w:val="0"/>
        <w:spacing w:after="0"/>
        <w:jc w:val="both"/>
        <w:rPr>
          <w:rFonts w:eastAsia="Times New Roman" w:cs="Arial"/>
          <w:sz w:val="21"/>
          <w:szCs w:val="21"/>
          <w:lang w:val="en-AU" w:eastAsia="en-AU"/>
        </w:rPr>
      </w:pPr>
      <w:r>
        <w:rPr>
          <w:rFonts w:eastAsia="Times New Roman" w:cs="Arial"/>
          <w:sz w:val="21"/>
          <w:szCs w:val="21"/>
          <w:lang w:val="en-AU" w:eastAsia="en-AU"/>
        </w:rPr>
        <w:t>The need for trade and investment reform</w:t>
      </w:r>
      <w:r w:rsidR="000545C3">
        <w:rPr>
          <w:rFonts w:eastAsia="Times New Roman" w:cs="Arial"/>
          <w:sz w:val="21"/>
          <w:szCs w:val="21"/>
          <w:lang w:val="en-AU" w:eastAsia="en-AU"/>
        </w:rPr>
        <w:t>s sits</w:t>
      </w:r>
      <w:r>
        <w:rPr>
          <w:rFonts w:eastAsia="Times New Roman" w:cs="Arial"/>
          <w:sz w:val="21"/>
          <w:szCs w:val="21"/>
          <w:lang w:val="en-AU" w:eastAsia="en-AU"/>
        </w:rPr>
        <w:t xml:space="preserve"> at the heart of Indonesia’s </w:t>
      </w:r>
      <w:r w:rsidR="00213CF1">
        <w:rPr>
          <w:rFonts w:eastAsia="Times New Roman" w:cs="Arial"/>
          <w:sz w:val="21"/>
          <w:szCs w:val="21"/>
          <w:lang w:val="en-AU" w:eastAsia="en-AU"/>
        </w:rPr>
        <w:t xml:space="preserve">drive </w:t>
      </w:r>
      <w:r>
        <w:rPr>
          <w:rFonts w:eastAsia="Times New Roman" w:cs="Arial"/>
          <w:sz w:val="21"/>
          <w:szCs w:val="21"/>
          <w:lang w:val="en-AU" w:eastAsia="en-AU"/>
        </w:rPr>
        <w:t>for economic growth and development on its way to emergence as a top 10 global economy by 2030.</w:t>
      </w:r>
      <w:r w:rsidRPr="004037BC">
        <w:rPr>
          <w:rStyle w:val="Style"/>
        </w:rPr>
        <w:footnoteReference w:id="1"/>
      </w:r>
      <w:r>
        <w:rPr>
          <w:rFonts w:eastAsia="Times New Roman" w:cs="Arial"/>
          <w:sz w:val="21"/>
          <w:szCs w:val="21"/>
          <w:lang w:val="en-AU" w:eastAsia="en-AU"/>
        </w:rPr>
        <w:t xml:space="preserve"> </w:t>
      </w:r>
      <w:r w:rsidR="000545C3">
        <w:rPr>
          <w:rFonts w:eastAsia="Times New Roman" w:cs="Arial"/>
          <w:sz w:val="21"/>
          <w:szCs w:val="21"/>
          <w:lang w:val="en-AU" w:eastAsia="en-AU"/>
        </w:rPr>
        <w:t xml:space="preserve">The prevailing average annual growth rate of </w:t>
      </w:r>
      <w:r w:rsidR="00E4610E">
        <w:rPr>
          <w:rFonts w:eastAsia="Times New Roman" w:cs="Arial"/>
          <w:sz w:val="21"/>
          <w:szCs w:val="21"/>
          <w:lang w:val="en-AU" w:eastAsia="en-AU"/>
        </w:rPr>
        <w:t xml:space="preserve">around </w:t>
      </w:r>
      <w:r w:rsidR="000545C3">
        <w:rPr>
          <w:rFonts w:eastAsia="Times New Roman" w:cs="Arial"/>
          <w:sz w:val="21"/>
          <w:szCs w:val="21"/>
          <w:lang w:val="en-AU" w:eastAsia="en-AU"/>
        </w:rPr>
        <w:t>5 per cent may not be sufficient to realise the potential of the Indonesian economy over this period.</w:t>
      </w:r>
      <w:r w:rsidR="000545C3" w:rsidRPr="004037BC">
        <w:rPr>
          <w:rStyle w:val="Style"/>
        </w:rPr>
        <w:footnoteReference w:id="2"/>
      </w:r>
      <w:r w:rsidR="000545C3">
        <w:rPr>
          <w:rFonts w:eastAsia="Times New Roman" w:cs="Arial"/>
          <w:sz w:val="21"/>
          <w:szCs w:val="21"/>
          <w:lang w:val="en-AU" w:eastAsia="en-AU"/>
        </w:rPr>
        <w:t xml:space="preserve"> </w:t>
      </w:r>
    </w:p>
    <w:p w14:paraId="699388F9" w14:textId="3388D7DE" w:rsidR="00932E17" w:rsidRPr="00932E17" w:rsidRDefault="00932E17" w:rsidP="00932E17">
      <w:pPr>
        <w:tabs>
          <w:tab w:val="left" w:pos="0"/>
          <w:tab w:val="left" w:pos="284"/>
        </w:tabs>
        <w:suppressAutoHyphens w:val="0"/>
        <w:spacing w:after="0"/>
        <w:jc w:val="both"/>
        <w:rPr>
          <w:rFonts w:eastAsia="Times New Roman" w:cs="Arial"/>
          <w:sz w:val="21"/>
          <w:szCs w:val="21"/>
          <w:lang w:val="en-AU" w:eastAsia="en-AU"/>
        </w:rPr>
      </w:pPr>
      <w:r w:rsidRPr="00932E17">
        <w:rPr>
          <w:rFonts w:eastAsia="Times New Roman" w:cs="Arial"/>
          <w:sz w:val="21"/>
          <w:szCs w:val="21"/>
          <w:lang w:val="en-AU" w:eastAsia="en-AU"/>
        </w:rPr>
        <w:t xml:space="preserve">The Government of Indonesia has set out an ambitious plan to advance Indonesia’s </w:t>
      </w:r>
      <w:r w:rsidR="00F26FD8">
        <w:rPr>
          <w:rFonts w:eastAsia="Times New Roman" w:cs="Arial"/>
          <w:sz w:val="21"/>
          <w:szCs w:val="21"/>
          <w:lang w:val="en-AU" w:eastAsia="en-AU"/>
        </w:rPr>
        <w:t xml:space="preserve">economic </w:t>
      </w:r>
      <w:r w:rsidRPr="00932E17">
        <w:rPr>
          <w:rFonts w:eastAsia="Times New Roman" w:cs="Arial"/>
          <w:sz w:val="21"/>
          <w:szCs w:val="21"/>
          <w:lang w:val="en-AU" w:eastAsia="en-AU"/>
        </w:rPr>
        <w:t>growth and development, including through investing in human capital. President Joko Widodo is looking for Australia’s support for these efforts; seeking “leaps, not steps” to advance Indonesia’s economic stability and development.</w:t>
      </w:r>
      <w:r w:rsidRPr="004037BC">
        <w:rPr>
          <w:rStyle w:val="Style"/>
        </w:rPr>
        <w:footnoteReference w:id="3"/>
      </w:r>
      <w:r w:rsidRPr="00932E17">
        <w:rPr>
          <w:rFonts w:eastAsia="Times New Roman" w:cs="Arial"/>
          <w:sz w:val="21"/>
          <w:szCs w:val="21"/>
          <w:lang w:val="en-AU" w:eastAsia="en-AU"/>
        </w:rPr>
        <w:t xml:space="preserve"> </w:t>
      </w:r>
    </w:p>
    <w:p w14:paraId="3048AC9E" w14:textId="77777777" w:rsidR="00A17054" w:rsidRDefault="00B57755" w:rsidP="005402B6">
      <w:pPr>
        <w:spacing w:after="0"/>
        <w:jc w:val="both"/>
        <w:rPr>
          <w:rFonts w:eastAsia="Times New Roman" w:cs="Arial"/>
          <w:sz w:val="21"/>
          <w:szCs w:val="21"/>
          <w:lang w:val="en-AU" w:eastAsia="en-AU"/>
        </w:rPr>
      </w:pPr>
      <w:r w:rsidRPr="006701C0">
        <w:rPr>
          <w:rFonts w:eastAsia="Times New Roman" w:cs="Arial"/>
          <w:b/>
          <w:sz w:val="21"/>
          <w:szCs w:val="21"/>
          <w:lang w:val="en-AU" w:eastAsia="en-AU"/>
        </w:rPr>
        <w:t>T</w:t>
      </w:r>
      <w:r w:rsidR="00615C1E" w:rsidRPr="006701C0">
        <w:rPr>
          <w:rFonts w:eastAsia="Times New Roman" w:cs="Arial"/>
          <w:b/>
          <w:sz w:val="21"/>
          <w:szCs w:val="21"/>
          <w:lang w:val="en-AU" w:eastAsia="en-AU"/>
        </w:rPr>
        <w:t xml:space="preserve">rade agreements have emerged as a favoured tool to tackle </w:t>
      </w:r>
      <w:r w:rsidRPr="006701C0">
        <w:rPr>
          <w:rFonts w:eastAsia="Times New Roman" w:cs="Arial"/>
          <w:b/>
          <w:sz w:val="21"/>
          <w:szCs w:val="21"/>
          <w:lang w:val="en-AU" w:eastAsia="en-AU"/>
        </w:rPr>
        <w:t>Indonesia’s cross-border challenges</w:t>
      </w:r>
      <w:r>
        <w:rPr>
          <w:rFonts w:eastAsia="Times New Roman" w:cs="Arial"/>
          <w:sz w:val="21"/>
          <w:szCs w:val="21"/>
          <w:lang w:val="en-AU" w:eastAsia="en-AU"/>
        </w:rPr>
        <w:t xml:space="preserve">. While most activity has occurred through its membership of ASEAN, Indonesia is also pushing forward with bilateral trade agreements with </w:t>
      </w:r>
      <w:r w:rsidR="00496821">
        <w:rPr>
          <w:rFonts w:eastAsia="Times New Roman" w:cs="Arial"/>
          <w:sz w:val="21"/>
          <w:szCs w:val="21"/>
          <w:lang w:val="en-AU" w:eastAsia="en-AU"/>
        </w:rPr>
        <w:t xml:space="preserve">Australia, </w:t>
      </w:r>
      <w:r>
        <w:rPr>
          <w:rFonts w:eastAsia="Times New Roman" w:cs="Arial"/>
          <w:sz w:val="21"/>
          <w:szCs w:val="21"/>
          <w:lang w:val="en-AU" w:eastAsia="en-AU"/>
        </w:rPr>
        <w:t xml:space="preserve">Canada, Republic of Korea, the European Free Trade Association and others.  </w:t>
      </w:r>
    </w:p>
    <w:p w14:paraId="3B4FC3B5" w14:textId="6CDCC356" w:rsidR="005402B6" w:rsidRPr="00AD10EB" w:rsidRDefault="007A3A1A" w:rsidP="005402B6">
      <w:pPr>
        <w:spacing w:after="0"/>
        <w:jc w:val="both"/>
        <w:rPr>
          <w:rFonts w:eastAsia="Times New Roman" w:cs="Arial"/>
          <w:sz w:val="21"/>
          <w:szCs w:val="21"/>
          <w:lang w:val="en-AU" w:eastAsia="en-AU"/>
        </w:rPr>
      </w:pPr>
      <w:r>
        <w:rPr>
          <w:rFonts w:eastAsia="Times New Roman" w:cs="Arial"/>
          <w:sz w:val="21"/>
          <w:szCs w:val="21"/>
          <w:lang w:val="en-AU" w:eastAsia="en-AU"/>
        </w:rPr>
        <w:t>T</w:t>
      </w:r>
      <w:r w:rsidR="00B57755">
        <w:rPr>
          <w:rFonts w:eastAsia="Times New Roman" w:cs="Arial"/>
          <w:sz w:val="21"/>
          <w:szCs w:val="21"/>
          <w:lang w:val="en-AU" w:eastAsia="en-AU"/>
        </w:rPr>
        <w:t xml:space="preserve">he IA-CEPA </w:t>
      </w:r>
      <w:r>
        <w:rPr>
          <w:rFonts w:eastAsia="Times New Roman" w:cs="Arial"/>
          <w:sz w:val="21"/>
          <w:szCs w:val="21"/>
          <w:lang w:val="en-AU" w:eastAsia="en-AU"/>
        </w:rPr>
        <w:t xml:space="preserve">has been signed and ratified against this backdrop, with the </w:t>
      </w:r>
      <w:r w:rsidR="00213CF1">
        <w:rPr>
          <w:rFonts w:eastAsia="Times New Roman" w:cs="Arial"/>
          <w:sz w:val="21"/>
          <w:szCs w:val="21"/>
          <w:lang w:val="en-AU" w:eastAsia="en-AU"/>
        </w:rPr>
        <w:t xml:space="preserve">specific </w:t>
      </w:r>
      <w:r>
        <w:rPr>
          <w:rFonts w:eastAsia="Times New Roman" w:cs="Arial"/>
          <w:sz w:val="21"/>
          <w:szCs w:val="21"/>
          <w:lang w:val="en-AU" w:eastAsia="en-AU"/>
        </w:rPr>
        <w:t>ambition to realise the potential of the bilateral economic relationship (see Section C)</w:t>
      </w:r>
      <w:r w:rsidR="005402B6">
        <w:rPr>
          <w:rFonts w:eastAsia="Times New Roman" w:cs="Arial"/>
          <w:sz w:val="21"/>
          <w:szCs w:val="21"/>
          <w:lang w:val="en-AU" w:eastAsia="en-AU"/>
        </w:rPr>
        <w:t xml:space="preserve"> and thereby contribute to the objectives for Indonesia’s economic growth and development</w:t>
      </w:r>
      <w:r>
        <w:rPr>
          <w:rFonts w:eastAsia="Times New Roman" w:cs="Arial"/>
          <w:sz w:val="21"/>
          <w:szCs w:val="21"/>
          <w:lang w:val="en-AU" w:eastAsia="en-AU"/>
        </w:rPr>
        <w:t xml:space="preserve">. </w:t>
      </w:r>
      <w:r w:rsidRPr="00AD10EB">
        <w:rPr>
          <w:rFonts w:eastAsia="Times New Roman" w:cs="Arial"/>
          <w:sz w:val="21"/>
          <w:szCs w:val="21"/>
          <w:lang w:val="en-AU" w:eastAsia="en-AU"/>
        </w:rPr>
        <w:t xml:space="preserve">However, </w:t>
      </w:r>
      <w:r w:rsidRPr="006701C0">
        <w:rPr>
          <w:rFonts w:eastAsia="Times New Roman" w:cs="Arial"/>
          <w:b/>
          <w:sz w:val="21"/>
          <w:szCs w:val="21"/>
          <w:lang w:val="en-AU" w:eastAsia="en-AU"/>
        </w:rPr>
        <w:t xml:space="preserve">IA-CEPA ratification does not itself ensure full and </w:t>
      </w:r>
      <w:r w:rsidR="00E901E3">
        <w:rPr>
          <w:rFonts w:eastAsia="Times New Roman" w:cs="Arial"/>
          <w:b/>
          <w:sz w:val="21"/>
          <w:szCs w:val="21"/>
          <w:lang w:val="en-AU" w:eastAsia="en-AU"/>
        </w:rPr>
        <w:t xml:space="preserve">sustained </w:t>
      </w:r>
      <w:r w:rsidRPr="006701C0">
        <w:rPr>
          <w:rFonts w:eastAsia="Times New Roman" w:cs="Arial"/>
          <w:b/>
          <w:sz w:val="21"/>
          <w:szCs w:val="21"/>
          <w:lang w:val="en-AU" w:eastAsia="en-AU"/>
        </w:rPr>
        <w:t>implementation of the liberalising measures contained in the agreement</w:t>
      </w:r>
      <w:r w:rsidR="00E901E3">
        <w:rPr>
          <w:rFonts w:eastAsia="Times New Roman" w:cs="Arial"/>
          <w:b/>
          <w:sz w:val="21"/>
          <w:szCs w:val="21"/>
          <w:lang w:val="en-AU" w:eastAsia="en-AU"/>
        </w:rPr>
        <w:t>, nor an automatic step change in the bilateral economic relationship between Australia and Indonesia</w:t>
      </w:r>
      <w:r w:rsidRPr="006701C0">
        <w:rPr>
          <w:rFonts w:eastAsia="Times New Roman" w:cs="Arial"/>
          <w:b/>
          <w:sz w:val="21"/>
          <w:szCs w:val="21"/>
          <w:lang w:val="en-AU" w:eastAsia="en-AU"/>
        </w:rPr>
        <w:t>.</w:t>
      </w:r>
      <w:r>
        <w:rPr>
          <w:rFonts w:eastAsia="Times New Roman" w:cs="Arial"/>
          <w:sz w:val="21"/>
          <w:szCs w:val="21"/>
          <w:lang w:val="en-AU" w:eastAsia="en-AU"/>
        </w:rPr>
        <w:t xml:space="preserve"> </w:t>
      </w:r>
      <w:r w:rsidR="00E901E3">
        <w:rPr>
          <w:rFonts w:eastAsia="Times New Roman" w:cs="Arial"/>
          <w:sz w:val="21"/>
          <w:szCs w:val="21"/>
          <w:lang w:val="en-AU" w:eastAsia="en-AU"/>
        </w:rPr>
        <w:t xml:space="preserve">Indonesia’s </w:t>
      </w:r>
      <w:r w:rsidR="005402B6" w:rsidRPr="00AD10EB">
        <w:rPr>
          <w:rFonts w:eastAsia="Times New Roman" w:cs="Arial"/>
          <w:sz w:val="21"/>
          <w:szCs w:val="21"/>
          <w:lang w:val="en-AU" w:eastAsia="en-AU"/>
        </w:rPr>
        <w:t xml:space="preserve">complex </w:t>
      </w:r>
      <w:r w:rsidR="005402B6">
        <w:rPr>
          <w:rFonts w:eastAsia="Times New Roman" w:cs="Arial"/>
          <w:sz w:val="21"/>
          <w:szCs w:val="21"/>
          <w:lang w:val="en-AU" w:eastAsia="en-AU"/>
        </w:rPr>
        <w:t xml:space="preserve">regulatory environment for </w:t>
      </w:r>
      <w:r w:rsidR="005402B6" w:rsidRPr="00AD10EB">
        <w:rPr>
          <w:rFonts w:eastAsia="Times New Roman" w:cs="Arial"/>
          <w:sz w:val="21"/>
          <w:szCs w:val="21"/>
          <w:lang w:val="en-AU" w:eastAsia="en-AU"/>
        </w:rPr>
        <w:t>trade and inve</w:t>
      </w:r>
      <w:r w:rsidR="005402B6" w:rsidRPr="00B524CE">
        <w:rPr>
          <w:rFonts w:eastAsia="Times New Roman" w:cs="Arial"/>
          <w:sz w:val="21"/>
          <w:szCs w:val="21"/>
          <w:lang w:val="en-AU" w:eastAsia="en-AU"/>
        </w:rPr>
        <w:t>stment</w:t>
      </w:r>
      <w:r w:rsidR="00525A2A">
        <w:rPr>
          <w:rFonts w:eastAsia="Times New Roman" w:cs="Arial"/>
          <w:sz w:val="21"/>
          <w:szCs w:val="21"/>
          <w:lang w:val="en-AU" w:eastAsia="en-AU"/>
        </w:rPr>
        <w:t xml:space="preserve"> </w:t>
      </w:r>
      <w:r w:rsidR="005402B6">
        <w:rPr>
          <w:rFonts w:eastAsia="Times New Roman" w:cs="Arial"/>
          <w:sz w:val="21"/>
          <w:szCs w:val="21"/>
          <w:lang w:val="en-AU" w:eastAsia="en-AU"/>
        </w:rPr>
        <w:t>and</w:t>
      </w:r>
      <w:r w:rsidR="005402B6" w:rsidRPr="00B524CE">
        <w:rPr>
          <w:rFonts w:eastAsia="Times New Roman" w:cs="Arial"/>
          <w:sz w:val="21"/>
          <w:szCs w:val="21"/>
          <w:lang w:val="en-AU" w:eastAsia="en-AU"/>
        </w:rPr>
        <w:t xml:space="preserve"> the relatively limited experience of the Australian</w:t>
      </w:r>
      <w:r w:rsidR="005402B6">
        <w:rPr>
          <w:rFonts w:eastAsia="Times New Roman" w:cs="Arial"/>
          <w:sz w:val="21"/>
          <w:szCs w:val="21"/>
          <w:lang w:val="en-AU" w:eastAsia="en-AU"/>
        </w:rPr>
        <w:t xml:space="preserve"> and Indonesian private sectors in </w:t>
      </w:r>
      <w:r w:rsidR="005402B6" w:rsidRPr="00B524CE">
        <w:rPr>
          <w:rFonts w:eastAsia="Times New Roman" w:cs="Arial"/>
          <w:sz w:val="21"/>
          <w:szCs w:val="21"/>
          <w:lang w:val="en-AU" w:eastAsia="en-AU"/>
        </w:rPr>
        <w:t>working together</w:t>
      </w:r>
      <w:r w:rsidR="005402B6">
        <w:rPr>
          <w:rFonts w:eastAsia="Times New Roman" w:cs="Arial"/>
          <w:sz w:val="21"/>
          <w:szCs w:val="21"/>
          <w:lang w:val="en-AU" w:eastAsia="en-AU"/>
        </w:rPr>
        <w:t xml:space="preserve">, along with </w:t>
      </w:r>
      <w:r w:rsidR="005402B6" w:rsidRPr="00B524CE">
        <w:rPr>
          <w:rFonts w:eastAsia="Times New Roman" w:cs="Arial"/>
          <w:sz w:val="21"/>
          <w:szCs w:val="21"/>
          <w:lang w:val="en-AU" w:eastAsia="en-AU"/>
        </w:rPr>
        <w:t>language and other barriers</w:t>
      </w:r>
      <w:r w:rsidR="005402B6">
        <w:rPr>
          <w:rFonts w:eastAsia="Times New Roman" w:cs="Arial"/>
          <w:sz w:val="21"/>
          <w:szCs w:val="21"/>
          <w:lang w:val="en-AU" w:eastAsia="en-AU"/>
        </w:rPr>
        <w:t xml:space="preserve"> </w:t>
      </w:r>
      <w:r w:rsidR="005402B6" w:rsidRPr="00B524CE">
        <w:rPr>
          <w:rFonts w:eastAsia="Times New Roman" w:cs="Arial"/>
          <w:sz w:val="21"/>
          <w:szCs w:val="21"/>
          <w:lang w:val="en-AU" w:eastAsia="en-AU"/>
        </w:rPr>
        <w:t>will continue to present challenges to trade and investment</w:t>
      </w:r>
      <w:r w:rsidR="005402B6">
        <w:rPr>
          <w:rFonts w:eastAsia="Times New Roman" w:cs="Arial"/>
          <w:sz w:val="21"/>
          <w:szCs w:val="21"/>
          <w:lang w:val="en-AU" w:eastAsia="en-AU"/>
        </w:rPr>
        <w:t xml:space="preserve">. </w:t>
      </w:r>
    </w:p>
    <w:p w14:paraId="0C6C0BA7" w14:textId="1EB67318" w:rsidR="00D9418D" w:rsidRDefault="006A47F2" w:rsidP="00540618">
      <w:pPr>
        <w:spacing w:after="0"/>
        <w:jc w:val="both"/>
        <w:rPr>
          <w:rFonts w:eastAsia="Times New Roman" w:cs="Arial"/>
          <w:sz w:val="21"/>
          <w:szCs w:val="21"/>
          <w:lang w:val="en-AU" w:eastAsia="en-AU"/>
        </w:rPr>
      </w:pPr>
      <w:r w:rsidRPr="006A47F2">
        <w:rPr>
          <w:rFonts w:eastAsia="Times New Roman" w:cs="Arial"/>
          <w:b/>
          <w:i/>
          <w:sz w:val="21"/>
          <w:szCs w:val="21"/>
          <w:lang w:val="en-AU" w:eastAsia="en-AU"/>
        </w:rPr>
        <w:lastRenderedPageBreak/>
        <w:t xml:space="preserve">The Economic Cooperation Program will help maximise the </w:t>
      </w:r>
      <w:r w:rsidR="00213CF1">
        <w:rPr>
          <w:rFonts w:eastAsia="Times New Roman" w:cs="Arial"/>
          <w:b/>
          <w:i/>
          <w:sz w:val="21"/>
          <w:szCs w:val="21"/>
          <w:lang w:val="en-AU" w:eastAsia="en-AU"/>
        </w:rPr>
        <w:t xml:space="preserve">benefits </w:t>
      </w:r>
      <w:r w:rsidRPr="006A47F2">
        <w:rPr>
          <w:rFonts w:eastAsia="Times New Roman" w:cs="Arial"/>
          <w:b/>
          <w:i/>
          <w:sz w:val="21"/>
          <w:szCs w:val="21"/>
          <w:lang w:val="en-AU" w:eastAsia="en-AU"/>
        </w:rPr>
        <w:t>from IA-CEPA</w:t>
      </w:r>
      <w:r w:rsidR="00473B66">
        <w:rPr>
          <w:rFonts w:eastAsia="Times New Roman" w:cs="Arial"/>
          <w:sz w:val="21"/>
          <w:szCs w:val="21"/>
          <w:lang w:val="en-AU" w:eastAsia="en-AU"/>
        </w:rPr>
        <w:t xml:space="preserve">. </w:t>
      </w:r>
      <w:r w:rsidR="00E901E3">
        <w:rPr>
          <w:rFonts w:eastAsia="Times New Roman" w:cs="Arial"/>
          <w:sz w:val="21"/>
          <w:szCs w:val="21"/>
          <w:lang w:val="en-AU" w:eastAsia="en-AU"/>
        </w:rPr>
        <w:t xml:space="preserve">To </w:t>
      </w:r>
      <w:r w:rsidR="00540618">
        <w:rPr>
          <w:rFonts w:eastAsia="Times New Roman" w:cs="Arial"/>
          <w:sz w:val="21"/>
          <w:szCs w:val="21"/>
          <w:lang w:val="en-AU" w:eastAsia="en-AU"/>
        </w:rPr>
        <w:t xml:space="preserve">implement </w:t>
      </w:r>
      <w:r w:rsidR="00B956BA" w:rsidRPr="00AD10EB">
        <w:rPr>
          <w:rFonts w:eastAsia="Times New Roman" w:cs="Arial"/>
          <w:sz w:val="21"/>
          <w:szCs w:val="21"/>
          <w:lang w:val="en-AU" w:eastAsia="en-AU"/>
        </w:rPr>
        <w:t>IA-CEPA</w:t>
      </w:r>
      <w:r w:rsidR="00540618">
        <w:rPr>
          <w:rFonts w:eastAsia="Times New Roman" w:cs="Arial"/>
          <w:sz w:val="21"/>
          <w:szCs w:val="21"/>
          <w:lang w:val="en-AU" w:eastAsia="en-AU"/>
        </w:rPr>
        <w:t xml:space="preserve">’s </w:t>
      </w:r>
      <w:r w:rsidR="00EF5B66">
        <w:rPr>
          <w:rFonts w:eastAsia="Times New Roman" w:cs="Arial"/>
          <w:sz w:val="21"/>
          <w:szCs w:val="21"/>
          <w:lang w:val="en-AU" w:eastAsia="en-AU"/>
        </w:rPr>
        <w:t xml:space="preserve">liberalising reforms </w:t>
      </w:r>
      <w:r w:rsidR="00540618">
        <w:rPr>
          <w:rFonts w:eastAsia="Times New Roman" w:cs="Arial"/>
          <w:sz w:val="21"/>
          <w:szCs w:val="21"/>
          <w:lang w:val="en-AU" w:eastAsia="en-AU"/>
        </w:rPr>
        <w:t xml:space="preserve">and maximise the scope for </w:t>
      </w:r>
      <w:r w:rsidR="00EF5B66">
        <w:rPr>
          <w:rFonts w:eastAsia="Times New Roman" w:cs="Arial"/>
          <w:sz w:val="21"/>
          <w:szCs w:val="21"/>
          <w:lang w:val="en-AU" w:eastAsia="en-AU"/>
        </w:rPr>
        <w:t>Indonesia’s (and Australia’s) trade and investment growth</w:t>
      </w:r>
      <w:r w:rsidR="007A3A1A" w:rsidRPr="00AD10EB">
        <w:rPr>
          <w:rFonts w:eastAsia="Times New Roman" w:cs="Arial"/>
          <w:sz w:val="21"/>
          <w:szCs w:val="21"/>
          <w:lang w:val="en-AU" w:eastAsia="en-AU"/>
        </w:rPr>
        <w:t xml:space="preserve">, IA-CEPA </w:t>
      </w:r>
      <w:r w:rsidR="007A3A1A" w:rsidRPr="00B524CE">
        <w:rPr>
          <w:rFonts w:eastAsia="Times New Roman" w:cs="Arial"/>
          <w:sz w:val="21"/>
          <w:szCs w:val="21"/>
          <w:lang w:val="en-AU" w:eastAsia="en-AU"/>
        </w:rPr>
        <w:t xml:space="preserve">enshrines in its Treaty text the framework for an </w:t>
      </w:r>
      <w:r w:rsidR="007A3A1A" w:rsidRPr="00C051CE">
        <w:rPr>
          <w:rFonts w:eastAsia="Times New Roman" w:cs="Arial"/>
          <w:b/>
          <w:sz w:val="21"/>
          <w:szCs w:val="21"/>
          <w:lang w:val="en-AU" w:eastAsia="en-AU"/>
        </w:rPr>
        <w:t>Economic Cooperation Program (ECP)</w:t>
      </w:r>
      <w:r w:rsidR="007A3A1A" w:rsidRPr="00A83067">
        <w:rPr>
          <w:rFonts w:eastAsia="Times New Roman" w:cs="Arial"/>
          <w:sz w:val="21"/>
          <w:szCs w:val="21"/>
          <w:lang w:val="en-AU" w:eastAsia="en-AU"/>
        </w:rPr>
        <w:t>.</w:t>
      </w:r>
      <w:r w:rsidR="007A3A1A" w:rsidRPr="004037BC">
        <w:rPr>
          <w:rStyle w:val="Style"/>
        </w:rPr>
        <w:footnoteReference w:id="4"/>
      </w:r>
      <w:r w:rsidR="007A3A1A" w:rsidRPr="00475BF4">
        <w:rPr>
          <w:rFonts w:eastAsia="Times New Roman" w:cs="Arial"/>
          <w:sz w:val="21"/>
          <w:szCs w:val="21"/>
          <w:lang w:val="en-AU" w:eastAsia="en-AU"/>
        </w:rPr>
        <w:t xml:space="preserve"> </w:t>
      </w:r>
      <w:r w:rsidR="00D53E6B">
        <w:rPr>
          <w:rFonts w:eastAsia="Times New Roman" w:cs="Arial"/>
          <w:sz w:val="21"/>
          <w:szCs w:val="21"/>
          <w:lang w:val="en-AU" w:eastAsia="en-AU"/>
        </w:rPr>
        <w:t>The IA-CEPA’s inclusion of an economic cooperation package reflects an emerging feature of Indonesia’s trade agreements in the regional setting and bilaterally with developed country partners.</w:t>
      </w:r>
      <w:r w:rsidR="00D53E6B" w:rsidRPr="004037BC">
        <w:rPr>
          <w:rStyle w:val="Style"/>
        </w:rPr>
        <w:footnoteReference w:id="5"/>
      </w:r>
      <w:r w:rsidR="00D9418D" w:rsidDel="00540618">
        <w:rPr>
          <w:rFonts w:eastAsia="Times New Roman" w:cs="Arial"/>
          <w:sz w:val="21"/>
          <w:szCs w:val="21"/>
          <w:lang w:val="en-AU" w:eastAsia="en-AU"/>
        </w:rPr>
        <w:t xml:space="preserve"> </w:t>
      </w:r>
    </w:p>
    <w:p w14:paraId="33300524" w14:textId="42638F7F" w:rsidR="00FB1553" w:rsidRPr="007C4ABD" w:rsidRDefault="00540618" w:rsidP="00540618">
      <w:pPr>
        <w:spacing w:after="0"/>
        <w:jc w:val="both"/>
        <w:rPr>
          <w:rFonts w:eastAsia="Times New Roman" w:cs="Arial"/>
          <w:b/>
          <w:sz w:val="21"/>
          <w:szCs w:val="21"/>
          <w:lang w:val="en-AU" w:eastAsia="en-AU"/>
        </w:rPr>
      </w:pPr>
      <w:r w:rsidRPr="007C4ABD">
        <w:rPr>
          <w:rFonts w:eastAsia="Times New Roman" w:cs="Arial"/>
          <w:b/>
          <w:sz w:val="21"/>
          <w:szCs w:val="21"/>
          <w:lang w:val="en-AU" w:eastAsia="en-AU"/>
        </w:rPr>
        <w:t xml:space="preserve">The ECP </w:t>
      </w:r>
      <w:r w:rsidR="00AD5D2D" w:rsidRPr="007C4ABD">
        <w:rPr>
          <w:rFonts w:eastAsia="Times New Roman" w:cs="Arial"/>
          <w:b/>
          <w:sz w:val="21"/>
          <w:szCs w:val="21"/>
          <w:lang w:val="en-AU" w:eastAsia="en-AU"/>
        </w:rPr>
        <w:t>is</w:t>
      </w:r>
      <w:r w:rsidR="00FB713D" w:rsidRPr="007C4ABD">
        <w:rPr>
          <w:rFonts w:eastAsia="Times New Roman" w:cs="Arial"/>
          <w:b/>
          <w:sz w:val="21"/>
          <w:szCs w:val="21"/>
          <w:lang w:val="en-AU" w:eastAsia="en-AU"/>
        </w:rPr>
        <w:t xml:space="preserve"> a</w:t>
      </w:r>
      <w:r w:rsidR="00AD5D2D" w:rsidRPr="007C4ABD">
        <w:rPr>
          <w:rFonts w:eastAsia="Times New Roman" w:cs="Arial"/>
          <w:b/>
          <w:sz w:val="21"/>
          <w:szCs w:val="21"/>
          <w:lang w:val="en-AU" w:eastAsia="en-AU"/>
        </w:rPr>
        <w:t xml:space="preserve"> highly targeted investment</w:t>
      </w:r>
      <w:r w:rsidR="003C1AF9" w:rsidRPr="007C4ABD">
        <w:rPr>
          <w:rFonts w:eastAsia="Times New Roman" w:cs="Arial"/>
          <w:b/>
          <w:sz w:val="21"/>
          <w:szCs w:val="21"/>
          <w:lang w:val="en-AU" w:eastAsia="en-AU"/>
        </w:rPr>
        <w:t xml:space="preserve">, </w:t>
      </w:r>
      <w:r w:rsidR="004D336C" w:rsidRPr="007C4ABD">
        <w:rPr>
          <w:rFonts w:eastAsia="Times New Roman" w:cs="Arial"/>
          <w:b/>
          <w:sz w:val="21"/>
          <w:szCs w:val="21"/>
          <w:lang w:val="en-AU" w:eastAsia="en-AU"/>
        </w:rPr>
        <w:t xml:space="preserve">with a predominant focus on engagement with the private sector, strengthening its role as a </w:t>
      </w:r>
      <w:r w:rsidR="00A56DCF" w:rsidRPr="007C4ABD">
        <w:rPr>
          <w:rFonts w:eastAsia="Times New Roman" w:cs="Arial"/>
          <w:b/>
          <w:i/>
          <w:sz w:val="21"/>
          <w:szCs w:val="21"/>
          <w:lang w:val="en-AU" w:eastAsia="en-AU"/>
        </w:rPr>
        <w:t>demander</w:t>
      </w:r>
      <w:r w:rsidR="004D336C" w:rsidRPr="007C4ABD">
        <w:rPr>
          <w:rFonts w:eastAsia="Times New Roman" w:cs="Arial"/>
          <w:b/>
          <w:sz w:val="21"/>
          <w:szCs w:val="21"/>
          <w:lang w:val="en-AU" w:eastAsia="en-AU"/>
        </w:rPr>
        <w:t xml:space="preserve"> of economic reform, and as the driver of the potential step-change in two-way trade and investment.</w:t>
      </w:r>
      <w:r w:rsidR="004D336C">
        <w:rPr>
          <w:rFonts w:eastAsia="Times New Roman" w:cs="Arial"/>
          <w:b/>
          <w:sz w:val="21"/>
          <w:szCs w:val="21"/>
          <w:lang w:val="en-AU" w:eastAsia="en-AU"/>
        </w:rPr>
        <w:t xml:space="preserve"> </w:t>
      </w:r>
      <w:r w:rsidR="004D336C">
        <w:rPr>
          <w:rFonts w:eastAsia="Times New Roman" w:cs="Arial"/>
          <w:sz w:val="21"/>
          <w:szCs w:val="21"/>
          <w:lang w:val="en-AU" w:eastAsia="en-AU"/>
        </w:rPr>
        <w:t xml:space="preserve">It will </w:t>
      </w:r>
      <w:r w:rsidR="00AD5D2D">
        <w:rPr>
          <w:rFonts w:eastAsia="Times New Roman" w:cs="Arial"/>
          <w:sz w:val="21"/>
          <w:szCs w:val="21"/>
          <w:lang w:val="en-AU" w:eastAsia="en-AU"/>
        </w:rPr>
        <w:t>sit alongside (and not duplicate) Australia’s existing, highly regarded long term bilateral development program</w:t>
      </w:r>
      <w:r w:rsidR="004D336C">
        <w:rPr>
          <w:rFonts w:eastAsia="Times New Roman" w:cs="Arial"/>
          <w:sz w:val="21"/>
          <w:szCs w:val="21"/>
          <w:lang w:val="en-AU" w:eastAsia="en-AU"/>
        </w:rPr>
        <w:t>s</w:t>
      </w:r>
      <w:r w:rsidR="00AD5D2D">
        <w:rPr>
          <w:rFonts w:eastAsia="Times New Roman" w:cs="Arial"/>
          <w:sz w:val="21"/>
          <w:szCs w:val="21"/>
          <w:lang w:val="en-AU" w:eastAsia="en-AU"/>
        </w:rPr>
        <w:t xml:space="preserve"> –</w:t>
      </w:r>
      <w:r w:rsidR="00072802">
        <w:rPr>
          <w:rFonts w:eastAsia="Times New Roman" w:cs="Arial"/>
          <w:sz w:val="21"/>
          <w:szCs w:val="21"/>
          <w:lang w:val="en-AU" w:eastAsia="en-AU"/>
        </w:rPr>
        <w:t xml:space="preserve"> </w:t>
      </w:r>
      <w:r w:rsidR="00AD5D2D">
        <w:rPr>
          <w:rFonts w:eastAsia="Times New Roman" w:cs="Arial"/>
          <w:sz w:val="21"/>
          <w:szCs w:val="21"/>
          <w:lang w:val="en-AU" w:eastAsia="en-AU"/>
        </w:rPr>
        <w:t xml:space="preserve">including </w:t>
      </w:r>
      <w:r w:rsidR="00680EAE">
        <w:rPr>
          <w:rFonts w:eastAsia="Times New Roman" w:cs="Arial"/>
          <w:sz w:val="21"/>
          <w:szCs w:val="21"/>
          <w:lang w:val="en-AU" w:eastAsia="en-AU"/>
        </w:rPr>
        <w:t>PROSPERA</w:t>
      </w:r>
      <w:r w:rsidR="00AD5D2D">
        <w:rPr>
          <w:rFonts w:eastAsia="Times New Roman" w:cs="Arial"/>
          <w:sz w:val="21"/>
          <w:szCs w:val="21"/>
          <w:lang w:val="en-AU" w:eastAsia="en-AU"/>
        </w:rPr>
        <w:t xml:space="preserve">, the </w:t>
      </w:r>
      <w:r w:rsidR="003C1AF9">
        <w:rPr>
          <w:rFonts w:eastAsia="Times New Roman" w:cs="Arial"/>
          <w:sz w:val="21"/>
          <w:szCs w:val="21"/>
          <w:lang w:val="en-AU" w:eastAsia="en-AU"/>
        </w:rPr>
        <w:t xml:space="preserve">flagship </w:t>
      </w:r>
      <w:r w:rsidR="00AD5D2D">
        <w:rPr>
          <w:rFonts w:eastAsia="Times New Roman" w:cs="Arial"/>
          <w:sz w:val="21"/>
          <w:szCs w:val="21"/>
          <w:lang w:val="en-AU" w:eastAsia="en-AU"/>
        </w:rPr>
        <w:t xml:space="preserve">Australia-Indonesia Partnership for Economic Development. </w:t>
      </w:r>
      <w:r w:rsidR="00BE2E69">
        <w:rPr>
          <w:rFonts w:eastAsia="Times New Roman" w:cs="Arial"/>
          <w:sz w:val="21"/>
          <w:szCs w:val="21"/>
          <w:lang w:val="en-AU" w:eastAsia="en-AU"/>
        </w:rPr>
        <w:t xml:space="preserve">The ECP will complement </w:t>
      </w:r>
      <w:r w:rsidR="00072802">
        <w:rPr>
          <w:rFonts w:eastAsia="Times New Roman" w:cs="Arial"/>
          <w:sz w:val="21"/>
          <w:szCs w:val="21"/>
          <w:lang w:val="en-AU" w:eastAsia="en-AU"/>
        </w:rPr>
        <w:t>PROSPERA</w:t>
      </w:r>
      <w:r w:rsidR="00BE2E69">
        <w:rPr>
          <w:rFonts w:eastAsia="Times New Roman" w:cs="Arial"/>
          <w:sz w:val="21"/>
          <w:szCs w:val="21"/>
          <w:lang w:val="en-AU" w:eastAsia="en-AU"/>
        </w:rPr>
        <w:t>’s</w:t>
      </w:r>
      <w:r w:rsidR="00072802">
        <w:rPr>
          <w:rFonts w:eastAsia="Times New Roman" w:cs="Arial"/>
          <w:sz w:val="21"/>
          <w:szCs w:val="21"/>
          <w:lang w:val="en-AU" w:eastAsia="en-AU"/>
        </w:rPr>
        <w:t xml:space="preserve"> continue</w:t>
      </w:r>
      <w:r w:rsidR="00BE2E69">
        <w:rPr>
          <w:rFonts w:eastAsia="Times New Roman" w:cs="Arial"/>
          <w:sz w:val="21"/>
          <w:szCs w:val="21"/>
          <w:lang w:val="en-AU" w:eastAsia="en-AU"/>
        </w:rPr>
        <w:t>d</w:t>
      </w:r>
      <w:r w:rsidR="00072802">
        <w:rPr>
          <w:rFonts w:eastAsia="Times New Roman" w:cs="Arial"/>
          <w:sz w:val="21"/>
          <w:szCs w:val="21"/>
          <w:lang w:val="en-AU" w:eastAsia="en-AU"/>
        </w:rPr>
        <w:t xml:space="preserve"> developmental support to </w:t>
      </w:r>
      <w:r w:rsidR="00C96D05">
        <w:rPr>
          <w:rFonts w:eastAsia="Times New Roman" w:cs="Arial"/>
          <w:sz w:val="21"/>
          <w:szCs w:val="21"/>
          <w:lang w:val="en-AU" w:eastAsia="en-AU"/>
        </w:rPr>
        <w:t>the Government of Indonesia</w:t>
      </w:r>
      <w:r w:rsidR="00023E79">
        <w:rPr>
          <w:rFonts w:eastAsia="Times New Roman" w:cs="Arial"/>
          <w:sz w:val="21"/>
          <w:szCs w:val="21"/>
          <w:lang w:val="en-AU" w:eastAsia="en-AU"/>
        </w:rPr>
        <w:t xml:space="preserve"> which is</w:t>
      </w:r>
      <w:r w:rsidR="00072802">
        <w:rPr>
          <w:rFonts w:eastAsia="Times New Roman" w:cs="Arial"/>
          <w:sz w:val="21"/>
          <w:szCs w:val="21"/>
          <w:lang w:val="en-AU" w:eastAsia="en-AU"/>
        </w:rPr>
        <w:t xml:space="preserve"> guided by </w:t>
      </w:r>
      <w:r w:rsidR="00023E79">
        <w:rPr>
          <w:rFonts w:eastAsia="Times New Roman" w:cs="Arial"/>
          <w:sz w:val="21"/>
          <w:szCs w:val="21"/>
          <w:lang w:val="en-AU" w:eastAsia="en-AU"/>
        </w:rPr>
        <w:t xml:space="preserve">its </w:t>
      </w:r>
      <w:r w:rsidR="00072802">
        <w:rPr>
          <w:rFonts w:eastAsia="Times New Roman" w:cs="Arial"/>
          <w:sz w:val="21"/>
          <w:szCs w:val="21"/>
          <w:lang w:val="en-AU" w:eastAsia="en-AU"/>
        </w:rPr>
        <w:t xml:space="preserve">goal of strong, sustainable and inclusive economic growth in Indonesia. </w:t>
      </w:r>
    </w:p>
    <w:p w14:paraId="2C905A8F" w14:textId="0084DC19" w:rsidR="00AD5D2D" w:rsidRDefault="00FB1553" w:rsidP="00540618">
      <w:pPr>
        <w:spacing w:after="0"/>
        <w:jc w:val="both"/>
        <w:rPr>
          <w:rFonts w:eastAsia="Times New Roman" w:cs="Arial"/>
          <w:sz w:val="21"/>
          <w:szCs w:val="21"/>
          <w:lang w:val="en-AU" w:eastAsia="en-AU"/>
        </w:rPr>
      </w:pPr>
      <w:r w:rsidRPr="00475BF4">
        <w:rPr>
          <w:rFonts w:eastAsia="Times New Roman" w:cs="Arial"/>
          <w:sz w:val="21"/>
          <w:szCs w:val="21"/>
          <w:lang w:val="en-AU" w:eastAsia="en-AU"/>
        </w:rPr>
        <w:t xml:space="preserve">The rationale for the ECP strongly aligns with Australia’s Aid for Trade priority areas </w:t>
      </w:r>
      <w:r w:rsidR="00C96D05">
        <w:rPr>
          <w:rFonts w:eastAsia="Times New Roman" w:cs="Arial"/>
          <w:sz w:val="21"/>
          <w:szCs w:val="21"/>
          <w:lang w:val="en-AU" w:eastAsia="en-AU"/>
        </w:rPr>
        <w:t xml:space="preserve">— </w:t>
      </w:r>
      <w:r w:rsidRPr="00475BF4">
        <w:rPr>
          <w:rFonts w:eastAsia="Times New Roman" w:cs="Arial"/>
          <w:sz w:val="21"/>
          <w:szCs w:val="21"/>
          <w:lang w:val="en-AU" w:eastAsia="en-AU"/>
        </w:rPr>
        <w:t>in particular in improving the regulatory environment in Indonesia and in improving the productive capacity of the private sector in Indonesia.</w:t>
      </w:r>
      <w:r w:rsidR="00D9418D" w:rsidRPr="004037BC">
        <w:rPr>
          <w:rStyle w:val="Style"/>
        </w:rPr>
        <w:footnoteReference w:id="6"/>
      </w:r>
      <w:r w:rsidR="00213CF1">
        <w:rPr>
          <w:rFonts w:eastAsia="Times New Roman" w:cs="Arial"/>
          <w:sz w:val="21"/>
          <w:szCs w:val="21"/>
          <w:lang w:val="en-AU" w:eastAsia="en-AU"/>
        </w:rPr>
        <w:t xml:space="preserve"> </w:t>
      </w:r>
      <w:r w:rsidRPr="006701C0">
        <w:rPr>
          <w:rFonts w:eastAsia="Times New Roman" w:cs="Arial"/>
          <w:sz w:val="21"/>
          <w:szCs w:val="21"/>
          <w:lang w:val="en-AU" w:eastAsia="en-AU"/>
        </w:rPr>
        <w:t xml:space="preserve">It </w:t>
      </w:r>
      <w:r w:rsidR="00213CF1" w:rsidRPr="006701C0">
        <w:rPr>
          <w:rFonts w:eastAsia="Times New Roman" w:cs="Arial"/>
          <w:sz w:val="21"/>
          <w:szCs w:val="21"/>
          <w:lang w:val="en-AU" w:eastAsia="en-AU"/>
        </w:rPr>
        <w:t xml:space="preserve">will </w:t>
      </w:r>
      <w:r w:rsidRPr="006701C0">
        <w:rPr>
          <w:rFonts w:eastAsia="Times New Roman" w:cs="Arial"/>
          <w:sz w:val="21"/>
          <w:szCs w:val="21"/>
          <w:lang w:val="en-AU" w:eastAsia="en-AU"/>
        </w:rPr>
        <w:t>combin</w:t>
      </w:r>
      <w:r w:rsidR="00213CF1" w:rsidRPr="006701C0">
        <w:rPr>
          <w:rFonts w:eastAsia="Times New Roman" w:cs="Arial"/>
          <w:sz w:val="21"/>
          <w:szCs w:val="21"/>
          <w:lang w:val="en-AU" w:eastAsia="en-AU"/>
        </w:rPr>
        <w:t>e</w:t>
      </w:r>
      <w:r w:rsidRPr="006701C0">
        <w:rPr>
          <w:rFonts w:eastAsia="Times New Roman" w:cs="Arial"/>
          <w:sz w:val="21"/>
          <w:szCs w:val="21"/>
          <w:lang w:val="en-AU" w:eastAsia="en-AU"/>
        </w:rPr>
        <w:t xml:space="preserve"> sound trade, invest</w:t>
      </w:r>
      <w:r w:rsidR="00C87B9C">
        <w:rPr>
          <w:rFonts w:eastAsia="Times New Roman" w:cs="Arial"/>
          <w:sz w:val="21"/>
          <w:szCs w:val="21"/>
          <w:lang w:val="en-AU" w:eastAsia="en-AU"/>
        </w:rPr>
        <w:t xml:space="preserve">ment and development practice. </w:t>
      </w:r>
      <w:r w:rsidRPr="006701C0">
        <w:rPr>
          <w:rFonts w:eastAsia="Times New Roman" w:cs="Arial"/>
          <w:sz w:val="21"/>
          <w:szCs w:val="21"/>
          <w:lang w:val="en-AU" w:eastAsia="en-AU"/>
        </w:rPr>
        <w:t xml:space="preserve">To promote greater sustainability and effectiveness in Australia’s official development assistance, it is proposed that the ECP adopt </w:t>
      </w:r>
      <w:r w:rsidRPr="006701C0">
        <w:rPr>
          <w:rFonts w:eastAsia="Times New Roman" w:cs="Arial"/>
          <w:b/>
          <w:sz w:val="21"/>
          <w:szCs w:val="21"/>
          <w:lang w:val="en-AU" w:eastAsia="en-AU"/>
        </w:rPr>
        <w:t>leading practices in private sector led development, work on the basis of equal partnership and pursue the mutual interest between Australia and Indonesia</w:t>
      </w:r>
      <w:r w:rsidRPr="006701C0">
        <w:rPr>
          <w:rFonts w:eastAsia="Times New Roman" w:cs="Arial"/>
          <w:sz w:val="21"/>
          <w:szCs w:val="21"/>
          <w:lang w:val="en-AU" w:eastAsia="en-AU"/>
        </w:rPr>
        <w:t xml:space="preserve"> to promote trade, investment and economic partnership.</w:t>
      </w:r>
      <w:r w:rsidRPr="00CE5AAF">
        <w:rPr>
          <w:rFonts w:eastAsia="Times New Roman" w:cs="Arial"/>
          <w:sz w:val="21"/>
          <w:szCs w:val="21"/>
          <w:lang w:val="en-AU" w:eastAsia="en-AU"/>
        </w:rPr>
        <w:t xml:space="preserve"> </w:t>
      </w:r>
    </w:p>
    <w:p w14:paraId="32A90F67" w14:textId="43148A0C" w:rsidR="00EC79AE" w:rsidRDefault="00EC79AE" w:rsidP="00EC79AE">
      <w:pPr>
        <w:spacing w:after="0"/>
        <w:jc w:val="both"/>
        <w:rPr>
          <w:rFonts w:eastAsia="Times New Roman" w:cs="Arial"/>
          <w:sz w:val="21"/>
          <w:szCs w:val="21"/>
          <w:lang w:val="en-AU" w:eastAsia="en-AU"/>
        </w:rPr>
      </w:pPr>
      <w:r w:rsidRPr="00171163">
        <w:rPr>
          <w:rFonts w:eastAsia="Times New Roman" w:cs="Arial"/>
          <w:b/>
          <w:sz w:val="21"/>
          <w:szCs w:val="21"/>
          <w:lang w:val="en-AU" w:eastAsia="en-AU"/>
        </w:rPr>
        <w:t xml:space="preserve">The ECP will seek to support the Australian and Indonesian </w:t>
      </w:r>
      <w:r w:rsidR="00FB713D">
        <w:rPr>
          <w:rFonts w:eastAsia="Times New Roman" w:cs="Arial"/>
          <w:b/>
          <w:sz w:val="21"/>
          <w:szCs w:val="21"/>
          <w:lang w:val="en-AU" w:eastAsia="en-AU"/>
        </w:rPr>
        <w:t>G</w:t>
      </w:r>
      <w:r w:rsidRPr="00171163">
        <w:rPr>
          <w:rFonts w:eastAsia="Times New Roman" w:cs="Arial"/>
          <w:b/>
          <w:sz w:val="21"/>
          <w:szCs w:val="21"/>
          <w:lang w:val="en-AU" w:eastAsia="en-AU"/>
        </w:rPr>
        <w:t>overnments</w:t>
      </w:r>
      <w:r w:rsidR="00FB713D">
        <w:rPr>
          <w:rFonts w:eastAsia="Times New Roman" w:cs="Arial"/>
          <w:b/>
          <w:sz w:val="21"/>
          <w:szCs w:val="21"/>
          <w:lang w:val="en-AU" w:eastAsia="en-AU"/>
        </w:rPr>
        <w:t>’</w:t>
      </w:r>
      <w:r w:rsidRPr="00171163">
        <w:rPr>
          <w:rFonts w:eastAsia="Times New Roman" w:cs="Arial"/>
          <w:b/>
          <w:sz w:val="21"/>
          <w:szCs w:val="21"/>
          <w:lang w:val="en-AU" w:eastAsia="en-AU"/>
        </w:rPr>
        <w:t xml:space="preserve"> mutual interest</w:t>
      </w:r>
      <w:r w:rsidR="00C96D05">
        <w:rPr>
          <w:rFonts w:eastAsia="Times New Roman" w:cs="Arial"/>
          <w:b/>
          <w:sz w:val="21"/>
          <w:szCs w:val="21"/>
          <w:lang w:val="en-AU" w:eastAsia="en-AU"/>
        </w:rPr>
        <w:t>s</w:t>
      </w:r>
      <w:r w:rsidRPr="00171163">
        <w:rPr>
          <w:rFonts w:eastAsia="Times New Roman" w:cs="Arial"/>
          <w:b/>
          <w:sz w:val="21"/>
          <w:szCs w:val="21"/>
          <w:lang w:val="en-AU" w:eastAsia="en-AU"/>
        </w:rPr>
        <w:t xml:space="preserve"> in a more inclusive society.</w:t>
      </w:r>
      <w:r>
        <w:rPr>
          <w:rFonts w:eastAsia="Times New Roman" w:cs="Arial"/>
          <w:sz w:val="21"/>
          <w:szCs w:val="21"/>
          <w:lang w:val="en-AU" w:eastAsia="en-AU"/>
        </w:rPr>
        <w:t xml:space="preserve"> Support for women’s economic empowerment, greater disability inclusion, support for other minorities and geographical inclusion remain challenges in Indonesia. </w:t>
      </w:r>
      <w:r w:rsidR="00BE2E69">
        <w:rPr>
          <w:rFonts w:eastAsia="Times New Roman" w:cs="Arial"/>
          <w:sz w:val="21"/>
          <w:szCs w:val="21"/>
          <w:lang w:val="en-AU" w:eastAsia="en-AU"/>
        </w:rPr>
        <w:t xml:space="preserve">The design responds to these challenges by integrating a focus on inclusive society and growth in each activity, and including a broad set of diverse partners for activity implementation. </w:t>
      </w:r>
    </w:p>
    <w:p w14:paraId="1BFFFA94" w14:textId="241DD35B" w:rsidR="002D4DE7" w:rsidRPr="00A01023" w:rsidRDefault="002D4DE7" w:rsidP="00856784">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00A01023">
        <w:rPr>
          <w:rFonts w:asciiTheme="majorHAnsi" w:hAnsiTheme="majorHAnsi"/>
          <w:b/>
          <w:szCs w:val="21"/>
        </w:rPr>
        <w:t>Strategic Intent and Rationale (Why?)</w:t>
      </w:r>
      <w:r w:rsidR="000323AC">
        <w:rPr>
          <w:rFonts w:asciiTheme="majorHAnsi" w:hAnsiTheme="majorHAnsi"/>
          <w:b/>
          <w:szCs w:val="21"/>
        </w:rPr>
        <w:t xml:space="preserve"> </w:t>
      </w:r>
    </w:p>
    <w:p w14:paraId="59164315" w14:textId="547D965F" w:rsidR="00473B66" w:rsidRDefault="000C5DDD" w:rsidP="00296365">
      <w:pPr>
        <w:spacing w:after="0"/>
        <w:jc w:val="both"/>
        <w:rPr>
          <w:rFonts w:cs="Calibri"/>
          <w:b/>
          <w:i/>
        </w:rPr>
      </w:pPr>
      <w:r w:rsidRPr="00296365">
        <w:rPr>
          <w:rFonts w:cs="Calibri"/>
          <w:b/>
          <w:i/>
        </w:rPr>
        <w:t xml:space="preserve">Fulfilling the potential of the Australia-Indonesia Economic Relationship </w:t>
      </w:r>
    </w:p>
    <w:p w14:paraId="1AC74FBA" w14:textId="27DBE066" w:rsidR="001B5DE9" w:rsidRPr="00473B66" w:rsidRDefault="00D43153" w:rsidP="007C4ABD">
      <w:pPr>
        <w:spacing w:after="0"/>
        <w:jc w:val="both"/>
        <w:rPr>
          <w:rFonts w:cs="Calibri"/>
          <w:i/>
          <w:sz w:val="21"/>
          <w:szCs w:val="21"/>
        </w:rPr>
      </w:pPr>
      <w:r w:rsidRPr="00473B66">
        <w:rPr>
          <w:rFonts w:cs="Calibri"/>
          <w:sz w:val="21"/>
          <w:szCs w:val="21"/>
        </w:rPr>
        <w:t xml:space="preserve">Australia </w:t>
      </w:r>
      <w:r w:rsidR="001B5DE9" w:rsidRPr="00473B66">
        <w:rPr>
          <w:rFonts w:cs="Calibri"/>
          <w:sz w:val="21"/>
          <w:szCs w:val="21"/>
        </w:rPr>
        <w:t xml:space="preserve">and </w:t>
      </w:r>
      <w:r w:rsidRPr="00473B66">
        <w:rPr>
          <w:rFonts w:cs="Calibri"/>
          <w:sz w:val="21"/>
          <w:szCs w:val="21"/>
        </w:rPr>
        <w:t>Indonesia</w:t>
      </w:r>
      <w:r w:rsidR="001B5DE9" w:rsidRPr="00473B66">
        <w:rPr>
          <w:rFonts w:cs="Calibri"/>
          <w:sz w:val="21"/>
          <w:szCs w:val="21"/>
        </w:rPr>
        <w:t>’s</w:t>
      </w:r>
      <w:r w:rsidRPr="00473B66">
        <w:rPr>
          <w:rFonts w:cs="Calibri"/>
          <w:sz w:val="21"/>
          <w:szCs w:val="21"/>
        </w:rPr>
        <w:t xml:space="preserve"> strategic interest in enhancing their economic and development partnership is </w:t>
      </w:r>
      <w:r w:rsidR="001B5DE9" w:rsidRPr="00473B66">
        <w:rPr>
          <w:rFonts w:cs="Calibri"/>
          <w:sz w:val="21"/>
          <w:szCs w:val="21"/>
        </w:rPr>
        <w:t xml:space="preserve">reflected </w:t>
      </w:r>
      <w:r w:rsidRPr="00473B66">
        <w:rPr>
          <w:rFonts w:cs="Calibri"/>
          <w:sz w:val="21"/>
          <w:szCs w:val="21"/>
        </w:rPr>
        <w:t xml:space="preserve">in the first pillar </w:t>
      </w:r>
      <w:r w:rsidR="000135D2" w:rsidRPr="00473B66">
        <w:rPr>
          <w:rFonts w:cs="Calibri"/>
          <w:sz w:val="21"/>
          <w:szCs w:val="21"/>
        </w:rPr>
        <w:t xml:space="preserve">of the </w:t>
      </w:r>
      <w:r w:rsidR="00B25EDE">
        <w:rPr>
          <w:rFonts w:cs="Calibri"/>
          <w:sz w:val="21"/>
          <w:szCs w:val="21"/>
        </w:rPr>
        <w:t xml:space="preserve">Joint Declaration of a Comprehensive Strategic Partnership </w:t>
      </w:r>
      <w:r w:rsidR="001B5DE9" w:rsidRPr="00473B66">
        <w:rPr>
          <w:rFonts w:cs="Calibri"/>
          <w:sz w:val="21"/>
          <w:szCs w:val="21"/>
        </w:rPr>
        <w:t>concluded in August 2018</w:t>
      </w:r>
      <w:r w:rsidR="00D9418D" w:rsidRPr="004037BC">
        <w:rPr>
          <w:rStyle w:val="Style"/>
        </w:rPr>
        <w:footnoteReference w:id="7"/>
      </w:r>
      <w:r w:rsidR="001B5DE9" w:rsidRPr="00473B66">
        <w:rPr>
          <w:rFonts w:cs="Calibri"/>
          <w:sz w:val="21"/>
          <w:szCs w:val="21"/>
        </w:rPr>
        <w:t xml:space="preserve">, as follows: </w:t>
      </w:r>
      <w:r w:rsidR="000135D2" w:rsidRPr="00473B66">
        <w:rPr>
          <w:rFonts w:cs="Calibri"/>
          <w:i/>
          <w:sz w:val="21"/>
          <w:szCs w:val="21"/>
        </w:rPr>
        <w:t>“</w:t>
      </w:r>
      <w:r w:rsidR="001B5DE9" w:rsidRPr="00473B66">
        <w:rPr>
          <w:rFonts w:cs="Calibri"/>
          <w:i/>
          <w:sz w:val="21"/>
          <w:szCs w:val="21"/>
        </w:rPr>
        <w:t>We acknowledge that IA-CEPA is a valuable step towards further advancing open markets and trade facilitation and that it provides a pathway for future inclusive regional economic integration.</w:t>
      </w:r>
      <w:r w:rsidR="000135D2" w:rsidRPr="00473B66">
        <w:rPr>
          <w:rFonts w:cs="Calibri"/>
          <w:i/>
          <w:sz w:val="21"/>
          <w:szCs w:val="21"/>
        </w:rPr>
        <w:t>”</w:t>
      </w:r>
    </w:p>
    <w:p w14:paraId="66E651CD" w14:textId="305A89B3" w:rsidR="000135D2" w:rsidRPr="00A67563" w:rsidRDefault="000135D2" w:rsidP="000135D2">
      <w:pPr>
        <w:spacing w:after="0"/>
        <w:jc w:val="both"/>
        <w:rPr>
          <w:rFonts w:cs="Calibri"/>
          <w:sz w:val="21"/>
          <w:szCs w:val="21"/>
        </w:rPr>
      </w:pPr>
      <w:r w:rsidRPr="00A67563">
        <w:rPr>
          <w:rFonts w:cs="Calibri"/>
          <w:sz w:val="21"/>
          <w:szCs w:val="21"/>
        </w:rPr>
        <w:t>IA-CEPA creates a framework for Australia and Indonesia to unlock the vast potential of the bilateral economic partnership</w:t>
      </w:r>
      <w:r w:rsidR="00C87B9C">
        <w:rPr>
          <w:rFonts w:cs="Calibri"/>
          <w:sz w:val="21"/>
          <w:szCs w:val="21"/>
        </w:rPr>
        <w:t>, including to leverage trade with the region and beyond (in third markets)</w:t>
      </w:r>
      <w:r w:rsidRPr="00A67563">
        <w:rPr>
          <w:rFonts w:cs="Calibri"/>
          <w:sz w:val="21"/>
          <w:szCs w:val="21"/>
        </w:rPr>
        <w:t xml:space="preserve">. In 2018, total two-way trade in goods and services with Indonesia was </w:t>
      </w:r>
      <w:r>
        <w:rPr>
          <w:rFonts w:cs="Calibri"/>
          <w:sz w:val="21"/>
          <w:szCs w:val="21"/>
        </w:rPr>
        <w:t>$</w:t>
      </w:r>
      <w:r w:rsidRPr="00A67563">
        <w:rPr>
          <w:rFonts w:cs="Calibri"/>
          <w:sz w:val="21"/>
          <w:szCs w:val="21"/>
        </w:rPr>
        <w:t>17.6 billion, making Indonesia</w:t>
      </w:r>
      <w:r w:rsidR="00D40A6A">
        <w:rPr>
          <w:rFonts w:cs="Calibri"/>
          <w:sz w:val="21"/>
          <w:szCs w:val="21"/>
        </w:rPr>
        <w:t xml:space="preserve"> and Australia</w:t>
      </w:r>
      <w:r w:rsidRPr="00A67563">
        <w:rPr>
          <w:rFonts w:cs="Calibri"/>
          <w:sz w:val="21"/>
          <w:szCs w:val="21"/>
        </w:rPr>
        <w:t xml:space="preserve"> only </w:t>
      </w:r>
      <w:r w:rsidR="00D40A6A">
        <w:rPr>
          <w:rFonts w:cs="Calibri"/>
          <w:sz w:val="21"/>
          <w:szCs w:val="21"/>
        </w:rPr>
        <w:t xml:space="preserve">each other’s </w:t>
      </w:r>
      <w:r w:rsidRPr="00A67563">
        <w:rPr>
          <w:rFonts w:cs="Calibri"/>
          <w:sz w:val="21"/>
          <w:szCs w:val="21"/>
        </w:rPr>
        <w:t>1</w:t>
      </w:r>
      <w:r>
        <w:rPr>
          <w:rFonts w:cs="Calibri"/>
          <w:sz w:val="21"/>
          <w:szCs w:val="21"/>
        </w:rPr>
        <w:t>3</w:t>
      </w:r>
      <w:r w:rsidRPr="00A67563">
        <w:rPr>
          <w:rFonts w:cs="Calibri"/>
          <w:sz w:val="21"/>
          <w:szCs w:val="21"/>
        </w:rPr>
        <w:t>th largest trading partner.</w:t>
      </w:r>
      <w:r w:rsidR="00D40A6A" w:rsidRPr="004037BC">
        <w:rPr>
          <w:rStyle w:val="Style"/>
        </w:rPr>
        <w:footnoteReference w:id="8"/>
      </w:r>
      <w:r w:rsidRPr="00A67563">
        <w:rPr>
          <w:rFonts w:cs="Calibri"/>
          <w:sz w:val="21"/>
          <w:szCs w:val="21"/>
        </w:rPr>
        <w:t xml:space="preserve"> This is despite close geographical proximity and complementary industries between the two countries. The potential of the Australia-Indonesia economic relationship has been characterised as ‘underutilised’ or ‘</w:t>
      </w:r>
      <w:r w:rsidR="00D40A6A">
        <w:rPr>
          <w:rFonts w:cs="Calibri"/>
          <w:sz w:val="21"/>
          <w:szCs w:val="21"/>
        </w:rPr>
        <w:t xml:space="preserve">underdone’ </w:t>
      </w:r>
      <w:r w:rsidRPr="00A67563">
        <w:rPr>
          <w:rFonts w:cs="Calibri"/>
          <w:sz w:val="21"/>
          <w:szCs w:val="21"/>
        </w:rPr>
        <w:t>for some time.</w:t>
      </w:r>
      <w:r w:rsidRPr="004037BC">
        <w:rPr>
          <w:rStyle w:val="Style"/>
        </w:rPr>
        <w:footnoteReference w:id="9"/>
      </w:r>
      <w:r w:rsidRPr="00A67563">
        <w:rPr>
          <w:rFonts w:cs="Calibri"/>
          <w:sz w:val="21"/>
          <w:szCs w:val="21"/>
        </w:rPr>
        <w:t xml:space="preserve"> IA-CEPA provides Australian and Indonesian businesses with an opportunity to expand and diversify this economic partnership.</w:t>
      </w:r>
    </w:p>
    <w:p w14:paraId="22FAF3C6" w14:textId="3F71DD46" w:rsidR="000135D2" w:rsidRPr="00296365" w:rsidRDefault="00D40A6A" w:rsidP="00D43153">
      <w:pPr>
        <w:tabs>
          <w:tab w:val="left" w:pos="0"/>
          <w:tab w:val="left" w:pos="284"/>
        </w:tabs>
        <w:suppressAutoHyphens w:val="0"/>
        <w:spacing w:after="0" w:line="240" w:lineRule="atLeast"/>
        <w:jc w:val="both"/>
        <w:rPr>
          <w:rFonts w:eastAsia="Times New Roman" w:cstheme="minorHAnsi"/>
          <w:b/>
          <w:i/>
          <w:sz w:val="21"/>
          <w:szCs w:val="21"/>
          <w:lang w:val="en-AU" w:eastAsia="en-AU"/>
        </w:rPr>
      </w:pPr>
      <w:r>
        <w:rPr>
          <w:rFonts w:eastAsia="Times New Roman" w:cstheme="minorHAnsi"/>
          <w:b/>
          <w:i/>
          <w:sz w:val="21"/>
          <w:szCs w:val="21"/>
          <w:lang w:val="en-AU" w:eastAsia="en-AU"/>
        </w:rPr>
        <w:t>The ECP will help secure and sustain outcomes of the IA-CEPA</w:t>
      </w:r>
    </w:p>
    <w:p w14:paraId="0E402274" w14:textId="0D99D198" w:rsidR="00D40A6A" w:rsidRPr="00296365" w:rsidRDefault="00D43153" w:rsidP="00296365">
      <w:pPr>
        <w:tabs>
          <w:tab w:val="left" w:pos="0"/>
          <w:tab w:val="left" w:pos="284"/>
        </w:tabs>
        <w:suppressAutoHyphens w:val="0"/>
        <w:spacing w:after="0" w:line="240" w:lineRule="atLeast"/>
        <w:jc w:val="both"/>
        <w:rPr>
          <w:rFonts w:eastAsia="Times New Roman" w:cstheme="minorHAnsi"/>
          <w:sz w:val="21"/>
          <w:szCs w:val="21"/>
          <w:lang w:val="en-AU" w:eastAsia="en-AU"/>
        </w:rPr>
      </w:pPr>
      <w:r w:rsidRPr="00296365">
        <w:rPr>
          <w:rFonts w:eastAsia="Times New Roman" w:cstheme="minorHAnsi"/>
          <w:sz w:val="21"/>
          <w:szCs w:val="21"/>
          <w:lang w:val="en-AU" w:eastAsia="en-AU"/>
        </w:rPr>
        <w:t>The ECP is an important mechanism for maximising the potential of IA-CEPA</w:t>
      </w:r>
      <w:r w:rsidR="000135D2">
        <w:rPr>
          <w:rFonts w:eastAsia="Times New Roman" w:cstheme="minorHAnsi"/>
          <w:sz w:val="21"/>
          <w:szCs w:val="21"/>
          <w:lang w:val="en-AU" w:eastAsia="en-AU"/>
        </w:rPr>
        <w:t xml:space="preserve"> and the bilateral economic relationship</w:t>
      </w:r>
      <w:r w:rsidRPr="00296365">
        <w:rPr>
          <w:rFonts w:eastAsia="Times New Roman" w:cstheme="minorHAnsi"/>
          <w:sz w:val="21"/>
          <w:szCs w:val="21"/>
          <w:lang w:val="en-AU" w:eastAsia="en-AU"/>
        </w:rPr>
        <w:t>.</w:t>
      </w:r>
      <w:r w:rsidR="00D40A6A" w:rsidRPr="00296365">
        <w:rPr>
          <w:rFonts w:eastAsia="Times New Roman" w:cstheme="minorHAnsi"/>
          <w:sz w:val="21"/>
          <w:szCs w:val="21"/>
          <w:lang w:val="en-AU" w:eastAsia="en-AU"/>
        </w:rPr>
        <w:t xml:space="preserve"> </w:t>
      </w:r>
      <w:r w:rsidR="00D40A6A">
        <w:rPr>
          <w:rFonts w:eastAsia="Times New Roman" w:cs="Arial"/>
          <w:sz w:val="21"/>
          <w:szCs w:val="21"/>
          <w:lang w:val="en-AU" w:eastAsia="en-AU"/>
        </w:rPr>
        <w:t xml:space="preserve">The framework for the ECP is enshrined in the treaty text of IA-CEPA, with Article 15.1 of the IA-CEPA stating: </w:t>
      </w:r>
    </w:p>
    <w:p w14:paraId="4D7680ED" w14:textId="77777777" w:rsidR="00D40A6A" w:rsidRPr="00A83067" w:rsidRDefault="00D40A6A" w:rsidP="00D40A6A">
      <w:pPr>
        <w:tabs>
          <w:tab w:val="left" w:pos="0"/>
          <w:tab w:val="left" w:pos="284"/>
        </w:tabs>
        <w:suppressAutoHyphens w:val="0"/>
        <w:spacing w:after="0"/>
        <w:ind w:left="284"/>
        <w:jc w:val="both"/>
        <w:rPr>
          <w:rFonts w:eastAsia="Times New Roman" w:cs="Arial"/>
          <w:i/>
          <w:sz w:val="21"/>
          <w:szCs w:val="21"/>
          <w:lang w:val="en-AU" w:eastAsia="en-AU"/>
        </w:rPr>
      </w:pPr>
      <w:r w:rsidRPr="00A83067">
        <w:rPr>
          <w:rFonts w:eastAsia="Times New Roman" w:cs="Arial"/>
          <w:i/>
          <w:sz w:val="21"/>
          <w:szCs w:val="21"/>
          <w:lang w:val="en-AU" w:eastAsia="en-AU"/>
        </w:rPr>
        <w:lastRenderedPageBreak/>
        <w:t xml:space="preserve">“Economic cooperation under this Chapter shall be built upon a common understanding between the Parties to </w:t>
      </w:r>
      <w:r w:rsidRPr="00A83067">
        <w:rPr>
          <w:rFonts w:eastAsia="Times New Roman" w:cs="Arial"/>
          <w:i/>
          <w:sz w:val="21"/>
          <w:szCs w:val="21"/>
          <w:u w:val="single"/>
          <w:lang w:val="en-AU" w:eastAsia="en-AU"/>
        </w:rPr>
        <w:t>support the implementation of this Agreement</w:t>
      </w:r>
      <w:r w:rsidRPr="00A83067">
        <w:rPr>
          <w:rFonts w:eastAsia="Times New Roman" w:cs="Arial"/>
          <w:i/>
          <w:sz w:val="21"/>
          <w:szCs w:val="21"/>
          <w:lang w:val="en-AU" w:eastAsia="en-AU"/>
        </w:rPr>
        <w:t xml:space="preserve">, with the objective of </w:t>
      </w:r>
      <w:r w:rsidRPr="00A83067">
        <w:rPr>
          <w:rFonts w:eastAsia="Times New Roman" w:cs="Arial"/>
          <w:i/>
          <w:sz w:val="21"/>
          <w:szCs w:val="21"/>
          <w:u w:val="single"/>
          <w:lang w:val="en-AU" w:eastAsia="en-AU"/>
        </w:rPr>
        <w:t>maximising its benefits</w:t>
      </w:r>
      <w:r w:rsidRPr="00A83067">
        <w:rPr>
          <w:rFonts w:eastAsia="Times New Roman" w:cs="Arial"/>
          <w:i/>
          <w:sz w:val="21"/>
          <w:szCs w:val="21"/>
          <w:lang w:val="en-AU" w:eastAsia="en-AU"/>
        </w:rPr>
        <w:t xml:space="preserve">, supporting pathways to </w:t>
      </w:r>
      <w:r w:rsidRPr="00A83067">
        <w:rPr>
          <w:rFonts w:eastAsia="Times New Roman" w:cs="Arial"/>
          <w:i/>
          <w:sz w:val="21"/>
          <w:szCs w:val="21"/>
          <w:u w:val="single"/>
          <w:lang w:val="en-AU" w:eastAsia="en-AU"/>
        </w:rPr>
        <w:t>trade and investment facilitation</w:t>
      </w:r>
      <w:r w:rsidRPr="00A83067">
        <w:rPr>
          <w:rFonts w:eastAsia="Times New Roman" w:cs="Arial"/>
          <w:i/>
          <w:sz w:val="21"/>
          <w:szCs w:val="21"/>
          <w:lang w:val="en-AU" w:eastAsia="en-AU"/>
        </w:rPr>
        <w:t xml:space="preserve">, and </w:t>
      </w:r>
      <w:r w:rsidRPr="00A83067">
        <w:rPr>
          <w:rFonts w:eastAsia="Times New Roman" w:cs="Arial"/>
          <w:i/>
          <w:sz w:val="21"/>
          <w:szCs w:val="21"/>
          <w:u w:val="single"/>
          <w:lang w:val="en-AU" w:eastAsia="en-AU"/>
        </w:rPr>
        <w:t>further improving market access and openness</w:t>
      </w:r>
      <w:r w:rsidRPr="00A83067">
        <w:rPr>
          <w:rFonts w:eastAsia="Times New Roman" w:cs="Arial"/>
          <w:i/>
          <w:sz w:val="21"/>
          <w:szCs w:val="21"/>
          <w:lang w:val="en-AU" w:eastAsia="en-AU"/>
        </w:rPr>
        <w:t xml:space="preserve"> to contribute to the </w:t>
      </w:r>
      <w:r w:rsidRPr="00A83067">
        <w:rPr>
          <w:rFonts w:eastAsia="Times New Roman" w:cs="Arial"/>
          <w:i/>
          <w:sz w:val="21"/>
          <w:szCs w:val="21"/>
          <w:u w:val="single"/>
          <w:lang w:val="en-AU" w:eastAsia="en-AU"/>
        </w:rPr>
        <w:t>sustainable inclusive economic growth and prosperity of the Parties</w:t>
      </w:r>
      <w:r w:rsidRPr="00A83067">
        <w:rPr>
          <w:rFonts w:eastAsia="Times New Roman" w:cs="Arial"/>
          <w:i/>
          <w:sz w:val="21"/>
          <w:szCs w:val="21"/>
          <w:lang w:val="en-AU" w:eastAsia="en-AU"/>
        </w:rPr>
        <w:t>.”</w:t>
      </w:r>
    </w:p>
    <w:p w14:paraId="563CD432" w14:textId="77777777" w:rsidR="00D40A6A" w:rsidRDefault="00D40A6A" w:rsidP="00D40A6A">
      <w:pPr>
        <w:tabs>
          <w:tab w:val="left" w:pos="0"/>
          <w:tab w:val="left" w:pos="284"/>
        </w:tabs>
        <w:suppressAutoHyphens w:val="0"/>
        <w:spacing w:after="0"/>
        <w:jc w:val="both"/>
        <w:rPr>
          <w:rFonts w:eastAsia="Times New Roman" w:cs="Arial"/>
          <w:sz w:val="21"/>
          <w:szCs w:val="21"/>
          <w:lang w:val="en-AU" w:eastAsia="en-AU"/>
        </w:rPr>
      </w:pPr>
      <w:r>
        <w:rPr>
          <w:rFonts w:eastAsia="Times New Roman" w:cs="Arial"/>
          <w:sz w:val="21"/>
          <w:szCs w:val="21"/>
          <w:lang w:val="en-AU" w:eastAsia="en-AU"/>
        </w:rPr>
        <w:t>Each of the ECP’s activities are to be agreed by a Joint Committee under the IA-CEPA, and are to:</w:t>
      </w:r>
      <w:r w:rsidRPr="004037BC">
        <w:rPr>
          <w:rStyle w:val="Style"/>
        </w:rPr>
        <w:footnoteReference w:id="10"/>
      </w:r>
      <w:r>
        <w:rPr>
          <w:rFonts w:eastAsia="Times New Roman" w:cs="Arial"/>
          <w:sz w:val="21"/>
          <w:szCs w:val="21"/>
          <w:lang w:val="en-AU" w:eastAsia="en-AU"/>
        </w:rPr>
        <w:t xml:space="preserve"> </w:t>
      </w:r>
    </w:p>
    <w:p w14:paraId="76A562AB" w14:textId="77777777" w:rsidR="00D40A6A" w:rsidRPr="00C051CE" w:rsidRDefault="00D40A6A" w:rsidP="009D3124">
      <w:pPr>
        <w:pStyle w:val="ListParagraph"/>
        <w:numPr>
          <w:ilvl w:val="0"/>
          <w:numId w:val="30"/>
        </w:numPr>
        <w:tabs>
          <w:tab w:val="left" w:pos="0"/>
          <w:tab w:val="left" w:pos="284"/>
        </w:tabs>
        <w:suppressAutoHyphens w:val="0"/>
        <w:spacing w:after="0"/>
        <w:jc w:val="both"/>
        <w:rPr>
          <w:rFonts w:eastAsia="Times New Roman" w:cs="Arial"/>
          <w:sz w:val="21"/>
          <w:szCs w:val="21"/>
          <w:lang w:val="en-AU" w:eastAsia="en-AU"/>
        </w:rPr>
      </w:pPr>
      <w:r w:rsidRPr="00C051CE">
        <w:rPr>
          <w:rFonts w:eastAsia="Times New Roman" w:cs="Arial"/>
          <w:sz w:val="21"/>
          <w:szCs w:val="21"/>
          <w:lang w:val="en-AU" w:eastAsia="en-AU"/>
        </w:rPr>
        <w:t>be guided by the medium-term objectives</w:t>
      </w:r>
      <w:r>
        <w:rPr>
          <w:rFonts w:eastAsia="Times New Roman" w:cs="Arial"/>
          <w:sz w:val="21"/>
          <w:szCs w:val="21"/>
          <w:lang w:val="en-AU" w:eastAsia="en-AU"/>
        </w:rPr>
        <w:t xml:space="preserve"> [as determined by Indonesia and Australia];</w:t>
      </w:r>
    </w:p>
    <w:p w14:paraId="41C73886" w14:textId="77777777" w:rsidR="00D40A6A" w:rsidRPr="00C051CE" w:rsidRDefault="00D40A6A" w:rsidP="009D3124">
      <w:pPr>
        <w:pStyle w:val="ListParagraph"/>
        <w:numPr>
          <w:ilvl w:val="0"/>
          <w:numId w:val="30"/>
        </w:numPr>
        <w:tabs>
          <w:tab w:val="left" w:pos="0"/>
          <w:tab w:val="left" w:pos="284"/>
        </w:tabs>
        <w:suppressAutoHyphens w:val="0"/>
        <w:spacing w:after="0"/>
        <w:jc w:val="both"/>
        <w:rPr>
          <w:rFonts w:eastAsia="Times New Roman" w:cs="Arial"/>
          <w:sz w:val="21"/>
          <w:szCs w:val="21"/>
          <w:lang w:val="en-AU" w:eastAsia="en-AU"/>
        </w:rPr>
      </w:pPr>
      <w:r w:rsidRPr="00C051CE">
        <w:rPr>
          <w:rFonts w:eastAsia="Times New Roman" w:cs="Arial"/>
          <w:sz w:val="21"/>
          <w:szCs w:val="21"/>
          <w:lang w:val="en-AU" w:eastAsia="en-AU"/>
        </w:rPr>
        <w:t xml:space="preserve">be related to trade or investment and support the implementation of </w:t>
      </w:r>
      <w:r>
        <w:rPr>
          <w:rFonts w:eastAsia="Times New Roman" w:cs="Arial"/>
          <w:sz w:val="21"/>
          <w:szCs w:val="21"/>
          <w:lang w:val="en-AU" w:eastAsia="en-AU"/>
        </w:rPr>
        <w:t>[the IA-CEPA]</w:t>
      </w:r>
      <w:r w:rsidRPr="00C051CE">
        <w:rPr>
          <w:rFonts w:eastAsia="Times New Roman" w:cs="Arial"/>
          <w:sz w:val="21"/>
          <w:szCs w:val="21"/>
          <w:lang w:val="en-AU" w:eastAsia="en-AU"/>
        </w:rPr>
        <w:t>;</w:t>
      </w:r>
    </w:p>
    <w:p w14:paraId="12D05702" w14:textId="77777777" w:rsidR="00D40A6A" w:rsidRPr="00C051CE" w:rsidRDefault="00D40A6A" w:rsidP="009D3124">
      <w:pPr>
        <w:pStyle w:val="ListParagraph"/>
        <w:numPr>
          <w:ilvl w:val="0"/>
          <w:numId w:val="30"/>
        </w:numPr>
        <w:tabs>
          <w:tab w:val="left" w:pos="0"/>
          <w:tab w:val="left" w:pos="284"/>
        </w:tabs>
        <w:suppressAutoHyphens w:val="0"/>
        <w:spacing w:after="0"/>
        <w:jc w:val="both"/>
        <w:rPr>
          <w:rFonts w:eastAsia="Times New Roman" w:cs="Arial"/>
          <w:sz w:val="21"/>
          <w:szCs w:val="21"/>
          <w:lang w:val="en-AU" w:eastAsia="en-AU"/>
        </w:rPr>
      </w:pPr>
      <w:r w:rsidRPr="00C051CE">
        <w:rPr>
          <w:rFonts w:eastAsia="Times New Roman" w:cs="Arial"/>
          <w:sz w:val="21"/>
          <w:szCs w:val="21"/>
          <w:lang w:val="en-AU" w:eastAsia="en-AU"/>
        </w:rPr>
        <w:t xml:space="preserve">involve both </w:t>
      </w:r>
      <w:r>
        <w:rPr>
          <w:rFonts w:eastAsia="Times New Roman" w:cs="Arial"/>
          <w:sz w:val="21"/>
          <w:szCs w:val="21"/>
          <w:lang w:val="en-AU" w:eastAsia="en-AU"/>
        </w:rPr>
        <w:t>[Australia and Indonesia]</w:t>
      </w:r>
      <w:r w:rsidRPr="00C051CE">
        <w:rPr>
          <w:rFonts w:eastAsia="Times New Roman" w:cs="Arial"/>
          <w:sz w:val="21"/>
          <w:szCs w:val="21"/>
          <w:lang w:val="en-AU" w:eastAsia="en-AU"/>
        </w:rPr>
        <w:t>;</w:t>
      </w:r>
    </w:p>
    <w:p w14:paraId="5DA69189" w14:textId="77777777" w:rsidR="00D40A6A" w:rsidRPr="00C051CE" w:rsidRDefault="00D40A6A" w:rsidP="009D3124">
      <w:pPr>
        <w:pStyle w:val="ListParagraph"/>
        <w:numPr>
          <w:ilvl w:val="0"/>
          <w:numId w:val="30"/>
        </w:numPr>
        <w:tabs>
          <w:tab w:val="left" w:pos="0"/>
          <w:tab w:val="left" w:pos="284"/>
        </w:tabs>
        <w:suppressAutoHyphens w:val="0"/>
        <w:spacing w:after="0"/>
        <w:jc w:val="both"/>
        <w:rPr>
          <w:rFonts w:eastAsia="Times New Roman" w:cs="Arial"/>
          <w:sz w:val="21"/>
          <w:szCs w:val="21"/>
          <w:lang w:val="en-AU" w:eastAsia="en-AU"/>
        </w:rPr>
      </w:pPr>
      <w:r w:rsidRPr="00C051CE">
        <w:rPr>
          <w:rFonts w:eastAsia="Times New Roman" w:cs="Arial"/>
          <w:sz w:val="21"/>
          <w:szCs w:val="21"/>
          <w:lang w:val="en-AU" w:eastAsia="en-AU"/>
        </w:rPr>
        <w:t xml:space="preserve">address the mutual priorities of </w:t>
      </w:r>
      <w:r>
        <w:rPr>
          <w:rFonts w:eastAsia="Times New Roman" w:cs="Arial"/>
          <w:sz w:val="21"/>
          <w:szCs w:val="21"/>
          <w:lang w:val="en-AU" w:eastAsia="en-AU"/>
        </w:rPr>
        <w:t>[Indonesia and Australia]</w:t>
      </w:r>
      <w:r w:rsidRPr="00C051CE">
        <w:rPr>
          <w:rFonts w:eastAsia="Times New Roman" w:cs="Arial"/>
          <w:sz w:val="21"/>
          <w:szCs w:val="21"/>
          <w:lang w:val="en-AU" w:eastAsia="en-AU"/>
        </w:rPr>
        <w:t>;</w:t>
      </w:r>
    </w:p>
    <w:p w14:paraId="2B9DE32B" w14:textId="760E315F" w:rsidR="00A04A80" w:rsidRDefault="00A04A80" w:rsidP="009D3124">
      <w:pPr>
        <w:pStyle w:val="ListParagraph"/>
        <w:numPr>
          <w:ilvl w:val="0"/>
          <w:numId w:val="30"/>
        </w:numPr>
        <w:tabs>
          <w:tab w:val="left" w:pos="0"/>
          <w:tab w:val="left" w:pos="284"/>
        </w:tabs>
        <w:suppressAutoHyphens w:val="0"/>
        <w:spacing w:after="0"/>
        <w:jc w:val="both"/>
        <w:rPr>
          <w:rFonts w:eastAsia="Times New Roman" w:cs="Arial"/>
          <w:sz w:val="21"/>
          <w:szCs w:val="21"/>
          <w:lang w:val="en-AU" w:eastAsia="en-AU"/>
        </w:rPr>
      </w:pPr>
      <w:r w:rsidRPr="00C051CE">
        <w:rPr>
          <w:rFonts w:eastAsia="Times New Roman" w:cs="Arial"/>
          <w:sz w:val="21"/>
          <w:szCs w:val="21"/>
          <w:lang w:val="en-AU" w:eastAsia="en-AU"/>
        </w:rPr>
        <w:t xml:space="preserve">take into consideration the economic cooperation needs as proposed and identified by other </w:t>
      </w:r>
      <w:r>
        <w:rPr>
          <w:rFonts w:eastAsia="Times New Roman" w:cs="Arial"/>
          <w:sz w:val="21"/>
          <w:szCs w:val="21"/>
          <w:lang w:val="en-AU" w:eastAsia="en-AU"/>
        </w:rPr>
        <w:t>[committees under the IA-CEPA]; and</w:t>
      </w:r>
    </w:p>
    <w:p w14:paraId="1C8A70CF" w14:textId="3AAC47B8" w:rsidR="00D40A6A" w:rsidRPr="00EC4B13" w:rsidRDefault="00D40A6A" w:rsidP="009D3124">
      <w:pPr>
        <w:pStyle w:val="ListParagraph"/>
        <w:numPr>
          <w:ilvl w:val="0"/>
          <w:numId w:val="30"/>
        </w:numPr>
        <w:tabs>
          <w:tab w:val="left" w:pos="0"/>
          <w:tab w:val="left" w:pos="284"/>
        </w:tabs>
        <w:suppressAutoHyphens w:val="0"/>
        <w:spacing w:after="0"/>
        <w:jc w:val="both"/>
        <w:rPr>
          <w:rFonts w:eastAsia="Times New Roman" w:cs="Arial"/>
          <w:sz w:val="21"/>
          <w:szCs w:val="21"/>
          <w:lang w:val="en-AU" w:eastAsia="en-AU"/>
        </w:rPr>
      </w:pPr>
      <w:r w:rsidRPr="00C051CE">
        <w:rPr>
          <w:rFonts w:eastAsia="Times New Roman" w:cs="Arial"/>
          <w:sz w:val="21"/>
          <w:szCs w:val="21"/>
          <w:lang w:val="en-AU" w:eastAsia="en-AU"/>
        </w:rPr>
        <w:t>avoid duplicating existing economic cooperation activities</w:t>
      </w:r>
      <w:r w:rsidR="00A04A80">
        <w:rPr>
          <w:rFonts w:eastAsia="Times New Roman" w:cs="Arial"/>
          <w:sz w:val="21"/>
          <w:szCs w:val="21"/>
          <w:lang w:val="en-AU" w:eastAsia="en-AU"/>
        </w:rPr>
        <w:t>.</w:t>
      </w:r>
    </w:p>
    <w:p w14:paraId="06167976" w14:textId="0403A2C8" w:rsidR="00D40A6A" w:rsidRDefault="001E5161" w:rsidP="00D40A6A">
      <w:pPr>
        <w:tabs>
          <w:tab w:val="left" w:pos="0"/>
          <w:tab w:val="left" w:pos="284"/>
        </w:tabs>
        <w:suppressAutoHyphens w:val="0"/>
        <w:spacing w:after="0"/>
        <w:jc w:val="both"/>
        <w:rPr>
          <w:rFonts w:eastAsia="Times New Roman" w:cs="Arial"/>
          <w:sz w:val="21"/>
          <w:szCs w:val="21"/>
          <w:lang w:val="en-AU" w:eastAsia="en-AU"/>
        </w:rPr>
      </w:pPr>
      <w:r>
        <w:rPr>
          <w:rFonts w:eastAsia="Times New Roman" w:cs="Arial"/>
          <w:sz w:val="21"/>
          <w:szCs w:val="21"/>
          <w:lang w:val="en-AU" w:eastAsia="en-AU"/>
        </w:rPr>
        <w:t>The ECP is part of Australia and Indonesia’s</w:t>
      </w:r>
      <w:r w:rsidRPr="00AD2EBB">
        <w:rPr>
          <w:rFonts w:eastAsia="Times New Roman" w:cs="Arial"/>
          <w:sz w:val="21"/>
          <w:szCs w:val="21"/>
          <w:lang w:val="en-AU" w:eastAsia="en-AU"/>
        </w:rPr>
        <w:t xml:space="preserve"> </w:t>
      </w:r>
      <w:r>
        <w:rPr>
          <w:rFonts w:eastAsia="Times New Roman" w:cs="Arial"/>
          <w:sz w:val="21"/>
          <w:szCs w:val="21"/>
          <w:lang w:val="en-AU" w:eastAsia="en-AU"/>
        </w:rPr>
        <w:t>evolving</w:t>
      </w:r>
      <w:r w:rsidRPr="00AD2EBB">
        <w:rPr>
          <w:rFonts w:eastAsia="Times New Roman" w:cs="Arial"/>
          <w:sz w:val="21"/>
          <w:szCs w:val="21"/>
          <w:lang w:val="en-AU" w:eastAsia="en-AU"/>
        </w:rPr>
        <w:t xml:space="preserve"> </w:t>
      </w:r>
      <w:r>
        <w:rPr>
          <w:rFonts w:eastAsia="Times New Roman" w:cs="Arial"/>
          <w:sz w:val="21"/>
          <w:szCs w:val="21"/>
          <w:lang w:val="en-AU" w:eastAsia="en-AU"/>
        </w:rPr>
        <w:t xml:space="preserve">bilateral </w:t>
      </w:r>
      <w:r w:rsidRPr="00AD2EBB">
        <w:rPr>
          <w:rFonts w:eastAsia="Times New Roman" w:cs="Arial"/>
          <w:sz w:val="21"/>
          <w:szCs w:val="21"/>
          <w:lang w:val="en-AU" w:eastAsia="en-AU"/>
        </w:rPr>
        <w:t>relationship</w:t>
      </w:r>
      <w:r>
        <w:rPr>
          <w:rFonts w:eastAsia="Times New Roman" w:cs="Arial"/>
          <w:sz w:val="21"/>
          <w:szCs w:val="21"/>
          <w:lang w:val="en-AU" w:eastAsia="en-AU"/>
        </w:rPr>
        <w:t>,</w:t>
      </w:r>
      <w:r w:rsidRPr="00AD2EBB">
        <w:rPr>
          <w:rFonts w:eastAsia="Times New Roman" w:cs="Arial"/>
          <w:sz w:val="21"/>
          <w:szCs w:val="21"/>
          <w:lang w:val="en-AU" w:eastAsia="en-AU"/>
        </w:rPr>
        <w:t xml:space="preserve"> </w:t>
      </w:r>
      <w:r>
        <w:rPr>
          <w:rFonts w:eastAsia="Times New Roman" w:cs="Arial"/>
          <w:sz w:val="21"/>
          <w:szCs w:val="21"/>
          <w:lang w:val="en-AU" w:eastAsia="en-AU"/>
        </w:rPr>
        <w:t>b</w:t>
      </w:r>
      <w:r w:rsidR="00D40A6A" w:rsidRPr="00AD2EBB">
        <w:rPr>
          <w:rFonts w:eastAsia="Times New Roman" w:cs="Arial"/>
          <w:sz w:val="21"/>
          <w:szCs w:val="21"/>
          <w:lang w:val="en-AU" w:eastAsia="en-AU"/>
        </w:rPr>
        <w:t>y moving from a predominantly development partnership to a closer economic partnership</w:t>
      </w:r>
      <w:r w:rsidR="00C96D05">
        <w:rPr>
          <w:rFonts w:eastAsia="Times New Roman" w:cs="Arial"/>
          <w:sz w:val="21"/>
          <w:szCs w:val="21"/>
          <w:lang w:val="en-AU" w:eastAsia="en-AU"/>
        </w:rPr>
        <w:t>.</w:t>
      </w:r>
      <w:r w:rsidR="00D40A6A" w:rsidRPr="00AD2EBB">
        <w:rPr>
          <w:rFonts w:eastAsia="Times New Roman" w:cs="Arial"/>
          <w:sz w:val="21"/>
          <w:szCs w:val="21"/>
          <w:lang w:val="en-AU" w:eastAsia="en-AU"/>
        </w:rPr>
        <w:t xml:space="preserve"> </w:t>
      </w:r>
      <w:r w:rsidR="00D40A6A">
        <w:rPr>
          <w:rFonts w:eastAsia="Times New Roman" w:cs="Arial"/>
          <w:sz w:val="21"/>
          <w:szCs w:val="21"/>
          <w:lang w:val="en-AU" w:eastAsia="en-AU"/>
        </w:rPr>
        <w:t>Further, a</w:t>
      </w:r>
      <w:r w:rsidR="00D40A6A" w:rsidRPr="00AD2EBB">
        <w:rPr>
          <w:rFonts w:eastAsia="Times New Roman" w:cs="Arial"/>
          <w:sz w:val="21"/>
          <w:szCs w:val="21"/>
          <w:lang w:val="en-AU" w:eastAsia="en-AU"/>
        </w:rPr>
        <w:t>s Indonesia continues to grow and assume an even greater leadership role in the region, this partnership will be critical to Aust</w:t>
      </w:r>
      <w:r w:rsidR="00D40A6A">
        <w:rPr>
          <w:rFonts w:eastAsia="Times New Roman" w:cs="Arial"/>
          <w:sz w:val="21"/>
          <w:szCs w:val="21"/>
          <w:lang w:val="en-AU" w:eastAsia="en-AU"/>
        </w:rPr>
        <w:t xml:space="preserve">ralia’s future economic growth, security and relationship with Asia. </w:t>
      </w:r>
    </w:p>
    <w:p w14:paraId="1F5B9230" w14:textId="1D8D7B70" w:rsidR="00F015D2" w:rsidRPr="003E4BC5" w:rsidRDefault="00F015D2" w:rsidP="003E4BC5">
      <w:pPr>
        <w:tabs>
          <w:tab w:val="left" w:pos="0"/>
          <w:tab w:val="left" w:pos="284"/>
        </w:tabs>
        <w:suppressAutoHyphens w:val="0"/>
        <w:spacing w:after="0"/>
        <w:jc w:val="both"/>
        <w:rPr>
          <w:rFonts w:eastAsia="Times New Roman" w:cs="Arial"/>
          <w:sz w:val="21"/>
          <w:szCs w:val="21"/>
          <w:lang w:val="en-AU" w:eastAsia="en-AU"/>
        </w:rPr>
      </w:pPr>
      <w:r w:rsidRPr="003E4BC5">
        <w:rPr>
          <w:rFonts w:eastAsia="Times New Roman" w:cs="Arial"/>
          <w:sz w:val="21"/>
          <w:szCs w:val="21"/>
          <w:lang w:val="en-AU" w:eastAsia="en-AU"/>
        </w:rPr>
        <w:t>IA-CEPA envisages closer economic partnership across a range of sectors, including agriculture, horticulture, advanced manufacturing, food processing, creative industries, skills, tourism, health, and professional and financial services. Building deeper partnerships requires a sustained investment in relationships involving government, the private sector, civil society, academia and the public more generally. The restrictive environment across many of these sectors in Indonesia has contributed to Indonesia’s high trading costs, and dampened its ambitions to increase participation in Global Value Chains.</w:t>
      </w:r>
      <w:r w:rsidR="003E4BC5" w:rsidRPr="004037BC">
        <w:rPr>
          <w:rStyle w:val="Style"/>
        </w:rPr>
        <w:footnoteReference w:id="11"/>
      </w:r>
      <w:r w:rsidR="003E4BC5">
        <w:rPr>
          <w:rFonts w:eastAsia="Times New Roman" w:cs="Arial"/>
          <w:sz w:val="21"/>
          <w:szCs w:val="21"/>
          <w:lang w:val="en-AU" w:eastAsia="en-AU"/>
        </w:rPr>
        <w:t xml:space="preserve"> </w:t>
      </w:r>
      <w:r w:rsidRPr="007C4ABD">
        <w:rPr>
          <w:rFonts w:eastAsia="Times New Roman" w:cs="Arial"/>
          <w:b/>
          <w:sz w:val="21"/>
          <w:szCs w:val="21"/>
          <w:lang w:val="en-AU" w:eastAsia="en-AU"/>
        </w:rPr>
        <w:t>By investing in activities designed to deepen sectoral partnerships, alongside liberalising regulatory initiatives linked to IA-CEPA, the ECP will contribute to private sector development and a more trade-facilitative regulatory environment.</w:t>
      </w:r>
      <w:r w:rsidRPr="003E4BC5">
        <w:rPr>
          <w:rFonts w:eastAsia="Times New Roman" w:cs="Arial"/>
          <w:sz w:val="21"/>
          <w:szCs w:val="21"/>
          <w:lang w:val="en-AU" w:eastAsia="en-AU"/>
        </w:rPr>
        <w:t xml:space="preserve"> </w:t>
      </w:r>
    </w:p>
    <w:p w14:paraId="4A8A917E" w14:textId="09D502AD" w:rsidR="000C5DDD" w:rsidRPr="00296365" w:rsidRDefault="000C5DDD" w:rsidP="00296365">
      <w:pPr>
        <w:spacing w:after="0"/>
        <w:jc w:val="both"/>
        <w:rPr>
          <w:rFonts w:cs="Calibri"/>
          <w:sz w:val="21"/>
          <w:szCs w:val="21"/>
        </w:rPr>
      </w:pPr>
      <w:r w:rsidRPr="00296365">
        <w:rPr>
          <w:rFonts w:cs="Calibri"/>
          <w:sz w:val="21"/>
          <w:szCs w:val="21"/>
        </w:rPr>
        <w:t xml:space="preserve">These activities, across varied sectors of the Indonesian economy, will require technical assistance, capacity building and on-going official and business exchanges. The ECP will support the Indonesian </w:t>
      </w:r>
      <w:r w:rsidR="003E61FA">
        <w:rPr>
          <w:rFonts w:cs="Calibri"/>
          <w:sz w:val="21"/>
          <w:szCs w:val="21"/>
        </w:rPr>
        <w:t>G</w:t>
      </w:r>
      <w:r w:rsidRPr="00296365">
        <w:rPr>
          <w:rFonts w:cs="Calibri"/>
          <w:sz w:val="21"/>
          <w:szCs w:val="21"/>
        </w:rPr>
        <w:t xml:space="preserve">overnment to reap the full potential of IA-CEPA through greater trade and investment, private sector development and partnership, and enabling skills development. </w:t>
      </w:r>
    </w:p>
    <w:p w14:paraId="2E5D1FAC" w14:textId="021FBF04" w:rsidR="000C5DDD" w:rsidRPr="00296365" w:rsidRDefault="000C5DDD" w:rsidP="00296365">
      <w:pPr>
        <w:spacing w:after="0"/>
        <w:jc w:val="both"/>
        <w:rPr>
          <w:rFonts w:eastAsia="Times New Roman" w:cs="Arial"/>
          <w:sz w:val="21"/>
          <w:szCs w:val="21"/>
          <w:lang w:val="en-AU" w:eastAsia="en-AU"/>
        </w:rPr>
      </w:pPr>
      <w:r w:rsidRPr="008400EF">
        <w:rPr>
          <w:rFonts w:cs="Calibri"/>
          <w:sz w:val="21"/>
          <w:szCs w:val="21"/>
        </w:rPr>
        <w:t>There is currently no single program or facility able to deliver support across the full scope of the economic partnership envisaged. While a number of existing DFAT facilities work in the areas covered by IA-CEPA, the ECP will coordinate with those existing efforts and cover activities not currently delivered, to provide coordinated support for IA-CEPA commitments.</w:t>
      </w:r>
      <w:r w:rsidRPr="00296365">
        <w:rPr>
          <w:rFonts w:cs="Calibri"/>
          <w:sz w:val="21"/>
          <w:szCs w:val="21"/>
        </w:rPr>
        <w:t xml:space="preserve"> </w:t>
      </w:r>
      <w:r w:rsidRPr="00296365">
        <w:rPr>
          <w:rFonts w:eastAsia="Times New Roman" w:cs="Arial"/>
          <w:sz w:val="21"/>
          <w:szCs w:val="21"/>
          <w:lang w:val="en-AU" w:eastAsia="en-AU"/>
        </w:rPr>
        <w:t xml:space="preserve">The design of the ECP as a Collaborative Hub connecting with other DFAT investments and implementing partners, enables the ECP to leverage existing investments and achieve value for money. There is potential for ECP to partner with </w:t>
      </w:r>
      <w:r w:rsidR="00680EAE">
        <w:rPr>
          <w:rFonts w:eastAsia="Times New Roman" w:cs="Arial"/>
          <w:sz w:val="21"/>
          <w:szCs w:val="21"/>
          <w:lang w:val="en-AU" w:eastAsia="en-AU"/>
        </w:rPr>
        <w:t>PROSPERA</w:t>
      </w:r>
      <w:r w:rsidRPr="00296365">
        <w:rPr>
          <w:rFonts w:eastAsia="Times New Roman" w:cs="Arial"/>
          <w:sz w:val="21"/>
          <w:szCs w:val="21"/>
          <w:lang w:val="en-AU" w:eastAsia="en-AU"/>
        </w:rPr>
        <w:t xml:space="preserve">, </w:t>
      </w:r>
      <w:r w:rsidR="00C87B9C">
        <w:rPr>
          <w:rFonts w:eastAsia="Times New Roman" w:cs="Arial"/>
          <w:sz w:val="21"/>
          <w:szCs w:val="21"/>
          <w:lang w:eastAsia="en-AU"/>
        </w:rPr>
        <w:t>t</w:t>
      </w:r>
      <w:r w:rsidR="009B49EB" w:rsidRPr="009B49EB">
        <w:rPr>
          <w:rFonts w:eastAsia="Times New Roman" w:cs="Arial"/>
          <w:sz w:val="21"/>
          <w:szCs w:val="21"/>
          <w:lang w:eastAsia="en-AU"/>
        </w:rPr>
        <w:t xml:space="preserve">he Australia-Indonesia Partnership for Promoting </w:t>
      </w:r>
      <w:r w:rsidR="009B49EB" w:rsidRPr="009B49EB">
        <w:rPr>
          <w:rFonts w:eastAsia="Times New Roman" w:cs="Arial"/>
          <w:bCs/>
          <w:sz w:val="21"/>
          <w:szCs w:val="21"/>
          <w:lang w:eastAsia="en-AU"/>
        </w:rPr>
        <w:t>Rural</w:t>
      </w:r>
      <w:r w:rsidR="009B49EB" w:rsidRPr="009B49EB">
        <w:rPr>
          <w:rFonts w:eastAsia="Times New Roman" w:cs="Arial"/>
          <w:sz w:val="21"/>
          <w:szCs w:val="21"/>
          <w:lang w:eastAsia="en-AU"/>
        </w:rPr>
        <w:t xml:space="preserve"> Incomes through Support for Markets in Agriculture (</w:t>
      </w:r>
      <w:r w:rsidR="009B49EB" w:rsidRPr="009B49EB">
        <w:rPr>
          <w:rFonts w:eastAsia="Times New Roman" w:cs="Arial"/>
          <w:bCs/>
          <w:sz w:val="21"/>
          <w:szCs w:val="21"/>
          <w:lang w:eastAsia="en-AU"/>
        </w:rPr>
        <w:t>PRISMA</w:t>
      </w:r>
      <w:r w:rsidR="009B49EB" w:rsidRPr="009B49EB">
        <w:rPr>
          <w:rFonts w:eastAsia="Times New Roman" w:cs="Arial"/>
          <w:sz w:val="21"/>
          <w:szCs w:val="21"/>
          <w:lang w:eastAsia="en-AU"/>
        </w:rPr>
        <w:t>)</w:t>
      </w:r>
      <w:r w:rsidRPr="009B49EB">
        <w:rPr>
          <w:rFonts w:eastAsia="Times New Roman" w:cs="Arial"/>
          <w:sz w:val="21"/>
          <w:szCs w:val="21"/>
          <w:lang w:val="en-AU" w:eastAsia="en-AU"/>
        </w:rPr>
        <w:t>,</w:t>
      </w:r>
      <w:r w:rsidRPr="00296365">
        <w:rPr>
          <w:rFonts w:eastAsia="Times New Roman" w:cs="Arial"/>
          <w:sz w:val="21"/>
          <w:szCs w:val="21"/>
          <w:lang w:val="en-AU" w:eastAsia="en-AU"/>
        </w:rPr>
        <w:t xml:space="preserve"> Australia Awards</w:t>
      </w:r>
      <w:r w:rsidR="009B49EB">
        <w:rPr>
          <w:rFonts w:eastAsia="Times New Roman" w:cs="Arial"/>
          <w:sz w:val="21"/>
          <w:szCs w:val="21"/>
          <w:lang w:val="en-AU" w:eastAsia="en-AU"/>
        </w:rPr>
        <w:t xml:space="preserve">, </w:t>
      </w:r>
      <w:r w:rsidRPr="00296365">
        <w:rPr>
          <w:rFonts w:eastAsia="Times New Roman" w:cs="Arial"/>
          <w:sz w:val="21"/>
          <w:szCs w:val="21"/>
          <w:lang w:val="en-AU" w:eastAsia="en-AU"/>
        </w:rPr>
        <w:t xml:space="preserve">PAIR, the Australia-Indonesia Centre and Austrade, amongst others (see </w:t>
      </w:r>
      <w:r w:rsidRPr="00572F16">
        <w:rPr>
          <w:rFonts w:eastAsia="Times New Roman" w:cs="Arial"/>
          <w:sz w:val="21"/>
          <w:szCs w:val="21"/>
          <w:u w:val="single"/>
          <w:lang w:val="en-AU" w:eastAsia="en-AU"/>
        </w:rPr>
        <w:t xml:space="preserve">Annex </w:t>
      </w:r>
      <w:r w:rsidR="00622562">
        <w:rPr>
          <w:rFonts w:eastAsia="Times New Roman" w:cs="Arial"/>
          <w:sz w:val="21"/>
          <w:szCs w:val="21"/>
          <w:u w:val="single"/>
          <w:lang w:val="en-AU" w:eastAsia="en-AU"/>
        </w:rPr>
        <w:t>4</w:t>
      </w:r>
      <w:r w:rsidR="00622562" w:rsidRPr="00296365">
        <w:rPr>
          <w:rFonts w:eastAsia="Times New Roman" w:cs="Arial"/>
          <w:sz w:val="21"/>
          <w:szCs w:val="21"/>
          <w:lang w:val="en-AU" w:eastAsia="en-AU"/>
        </w:rPr>
        <w:t xml:space="preserve"> </w:t>
      </w:r>
      <w:r w:rsidRPr="00296365">
        <w:rPr>
          <w:rFonts w:eastAsia="Times New Roman" w:cs="Arial"/>
          <w:sz w:val="21"/>
          <w:szCs w:val="21"/>
          <w:lang w:val="en-AU" w:eastAsia="en-AU"/>
        </w:rPr>
        <w:t>for a brief description of existing facilities and programs with which the ECP is expected to collaborate).</w:t>
      </w:r>
    </w:p>
    <w:p w14:paraId="3ADCB307" w14:textId="77777777" w:rsidR="00FB1553" w:rsidRPr="00BC35BB" w:rsidRDefault="00FB1553" w:rsidP="00FB1553">
      <w:pPr>
        <w:tabs>
          <w:tab w:val="left" w:pos="0"/>
          <w:tab w:val="left" w:pos="284"/>
        </w:tabs>
        <w:suppressAutoHyphens w:val="0"/>
        <w:spacing w:after="0"/>
        <w:jc w:val="both"/>
        <w:rPr>
          <w:rFonts w:eastAsia="Times New Roman" w:cs="Arial"/>
          <w:b/>
          <w:i/>
          <w:sz w:val="21"/>
          <w:szCs w:val="21"/>
          <w:lang w:val="en-AU" w:eastAsia="en-AU"/>
        </w:rPr>
      </w:pPr>
      <w:r w:rsidRPr="00BC35BB">
        <w:rPr>
          <w:rFonts w:eastAsia="Times New Roman" w:cs="Arial"/>
          <w:b/>
          <w:i/>
          <w:sz w:val="21"/>
          <w:szCs w:val="21"/>
          <w:lang w:val="en-AU" w:eastAsia="en-AU"/>
        </w:rPr>
        <w:t xml:space="preserve">The ECP aligns with Australian Government policy objectives </w:t>
      </w:r>
    </w:p>
    <w:p w14:paraId="3FCCF0E7" w14:textId="55E6D44C" w:rsidR="00FB1553" w:rsidRPr="00AD2EBB" w:rsidRDefault="00FB1553" w:rsidP="00FB1553">
      <w:pPr>
        <w:tabs>
          <w:tab w:val="left" w:pos="0"/>
          <w:tab w:val="left" w:pos="284"/>
        </w:tabs>
        <w:suppressAutoHyphens w:val="0"/>
        <w:spacing w:after="0"/>
        <w:jc w:val="both"/>
        <w:rPr>
          <w:rFonts w:eastAsia="Times New Roman" w:cs="Arial"/>
          <w:sz w:val="21"/>
          <w:szCs w:val="21"/>
          <w:lang w:val="en-AU" w:eastAsia="en-AU"/>
        </w:rPr>
      </w:pPr>
      <w:r w:rsidRPr="00AD2EBB">
        <w:rPr>
          <w:rFonts w:eastAsia="Times New Roman" w:cs="Arial"/>
          <w:sz w:val="21"/>
          <w:szCs w:val="21"/>
          <w:lang w:val="en-AU" w:eastAsia="en-AU"/>
        </w:rPr>
        <w:t xml:space="preserve">The ECP aligns </w:t>
      </w:r>
      <w:r>
        <w:rPr>
          <w:rFonts w:eastAsia="Times New Roman" w:cs="Arial"/>
          <w:sz w:val="21"/>
          <w:szCs w:val="21"/>
          <w:lang w:val="en-AU" w:eastAsia="en-AU"/>
        </w:rPr>
        <w:t xml:space="preserve">and furthers the Australian Government’s </w:t>
      </w:r>
      <w:r w:rsidRPr="00AD2EBB">
        <w:rPr>
          <w:rFonts w:eastAsia="Times New Roman" w:cs="Arial"/>
          <w:sz w:val="21"/>
          <w:szCs w:val="21"/>
          <w:lang w:val="en-AU" w:eastAsia="en-AU"/>
        </w:rPr>
        <w:t>policy objectives as set out in the Foreign Policy White Paper, Aid Investment Plan,</w:t>
      </w:r>
      <w:r>
        <w:rPr>
          <w:rFonts w:eastAsia="Times New Roman" w:cs="Arial"/>
          <w:sz w:val="21"/>
          <w:szCs w:val="21"/>
          <w:lang w:val="en-AU" w:eastAsia="en-AU"/>
        </w:rPr>
        <w:t xml:space="preserve"> Aid for Trade Strategy,</w:t>
      </w:r>
      <w:r w:rsidRPr="00AD2EBB">
        <w:rPr>
          <w:rFonts w:eastAsia="Times New Roman" w:cs="Arial"/>
          <w:sz w:val="21"/>
          <w:szCs w:val="21"/>
          <w:lang w:val="en-AU" w:eastAsia="en-AU"/>
        </w:rPr>
        <w:t xml:space="preserve"> Private Sector Development Stra</w:t>
      </w:r>
      <w:r>
        <w:rPr>
          <w:rFonts w:eastAsia="Times New Roman" w:cs="Arial"/>
          <w:sz w:val="21"/>
          <w:szCs w:val="21"/>
          <w:lang w:val="en-AU" w:eastAsia="en-AU"/>
        </w:rPr>
        <w:t>tegy, Gender Equality Strategy and the Sustainable Development Goals.</w:t>
      </w:r>
      <w:r w:rsidR="00E07442" w:rsidRPr="004037BC">
        <w:rPr>
          <w:rStyle w:val="Style"/>
        </w:rPr>
        <w:footnoteReference w:id="12"/>
      </w:r>
    </w:p>
    <w:p w14:paraId="3442B432" w14:textId="77777777" w:rsidR="00FB1553" w:rsidRPr="0067317B" w:rsidRDefault="00FB1553" w:rsidP="00FB1553">
      <w:pPr>
        <w:tabs>
          <w:tab w:val="left" w:pos="0"/>
          <w:tab w:val="left" w:pos="284"/>
        </w:tabs>
        <w:suppressAutoHyphens w:val="0"/>
        <w:spacing w:after="0"/>
        <w:jc w:val="both"/>
        <w:rPr>
          <w:rFonts w:eastAsia="Times New Roman" w:cs="Arial"/>
          <w:sz w:val="21"/>
          <w:szCs w:val="21"/>
          <w:lang w:val="en-AU" w:eastAsia="en-AU"/>
        </w:rPr>
      </w:pPr>
      <w:r w:rsidRPr="00AD2EBB">
        <w:rPr>
          <w:rFonts w:eastAsia="Times New Roman" w:cs="Arial"/>
          <w:sz w:val="21"/>
          <w:szCs w:val="21"/>
          <w:lang w:val="en-AU" w:eastAsia="en-AU"/>
        </w:rPr>
        <w:t>The</w:t>
      </w:r>
      <w:r>
        <w:rPr>
          <w:rFonts w:eastAsia="Times New Roman" w:cs="Arial"/>
          <w:sz w:val="21"/>
          <w:szCs w:val="21"/>
          <w:lang w:val="en-AU" w:eastAsia="en-AU"/>
        </w:rPr>
        <w:t xml:space="preserve"> </w:t>
      </w:r>
      <w:r w:rsidRPr="00F46375">
        <w:rPr>
          <w:rFonts w:eastAsia="Times New Roman" w:cs="Arial"/>
          <w:sz w:val="21"/>
          <w:szCs w:val="21"/>
          <w:lang w:val="en-AU" w:eastAsia="en-AU"/>
        </w:rPr>
        <w:t>2017 Foreign Policy White Paper</w:t>
      </w:r>
      <w:r w:rsidRPr="00AD2EBB">
        <w:rPr>
          <w:rFonts w:eastAsia="Times New Roman" w:cs="Arial"/>
          <w:sz w:val="21"/>
          <w:szCs w:val="21"/>
          <w:lang w:val="en-AU" w:eastAsia="en-AU"/>
        </w:rPr>
        <w:t xml:space="preserve"> </w:t>
      </w:r>
      <w:r>
        <w:rPr>
          <w:rFonts w:eastAsia="Times New Roman" w:cs="Arial"/>
          <w:sz w:val="21"/>
          <w:szCs w:val="21"/>
          <w:lang w:val="en-AU" w:eastAsia="en-AU"/>
        </w:rPr>
        <w:t>identifies</w:t>
      </w:r>
      <w:r w:rsidRPr="0067317B">
        <w:rPr>
          <w:rFonts w:eastAsia="Times New Roman" w:cs="Arial"/>
          <w:sz w:val="21"/>
          <w:szCs w:val="21"/>
          <w:lang w:val="en-AU" w:eastAsia="en-AU"/>
        </w:rPr>
        <w:t xml:space="preserve"> objectives of fundamental importance to Austr</w:t>
      </w:r>
      <w:r>
        <w:rPr>
          <w:rFonts w:eastAsia="Times New Roman" w:cs="Arial"/>
          <w:sz w:val="21"/>
          <w:szCs w:val="21"/>
          <w:lang w:val="en-AU" w:eastAsia="en-AU"/>
        </w:rPr>
        <w:t>alia’s security and prosperity. The ECP will work to support each of these:</w:t>
      </w:r>
    </w:p>
    <w:p w14:paraId="7E07B9AD" w14:textId="68DC909B" w:rsidR="00FB1553" w:rsidRPr="00C051CE" w:rsidRDefault="00FB1553" w:rsidP="009D3124">
      <w:pPr>
        <w:pStyle w:val="ListParagraph"/>
        <w:numPr>
          <w:ilvl w:val="0"/>
          <w:numId w:val="29"/>
        </w:numPr>
        <w:tabs>
          <w:tab w:val="left" w:pos="0"/>
          <w:tab w:val="left" w:pos="284"/>
        </w:tabs>
        <w:suppressAutoHyphens w:val="0"/>
        <w:spacing w:after="0"/>
        <w:jc w:val="both"/>
        <w:rPr>
          <w:rFonts w:eastAsia="Times New Roman" w:cs="Arial"/>
          <w:sz w:val="21"/>
          <w:szCs w:val="21"/>
          <w:lang w:val="en-AU" w:eastAsia="en-AU"/>
        </w:rPr>
      </w:pPr>
      <w:r w:rsidRPr="00C051CE">
        <w:rPr>
          <w:rFonts w:eastAsia="Times New Roman" w:cs="Arial"/>
          <w:sz w:val="21"/>
          <w:szCs w:val="21"/>
          <w:lang w:val="en-AU" w:eastAsia="en-AU"/>
        </w:rPr>
        <w:t>Promote an open, inclusive and prosperous Indo–Pacific region in which the rights of all states are respected</w:t>
      </w:r>
      <w:r w:rsidR="009B49EB">
        <w:rPr>
          <w:rFonts w:eastAsia="Times New Roman" w:cs="Arial"/>
          <w:sz w:val="21"/>
          <w:szCs w:val="21"/>
          <w:lang w:val="en-AU" w:eastAsia="en-AU"/>
        </w:rPr>
        <w:t>.</w:t>
      </w:r>
    </w:p>
    <w:p w14:paraId="096B280C" w14:textId="25536577" w:rsidR="00FB1553" w:rsidRPr="00C051CE" w:rsidRDefault="00FB1553" w:rsidP="009D3124">
      <w:pPr>
        <w:pStyle w:val="ListParagraph"/>
        <w:numPr>
          <w:ilvl w:val="0"/>
          <w:numId w:val="29"/>
        </w:numPr>
        <w:tabs>
          <w:tab w:val="left" w:pos="0"/>
          <w:tab w:val="left" w:pos="284"/>
        </w:tabs>
        <w:suppressAutoHyphens w:val="0"/>
        <w:spacing w:after="0"/>
        <w:jc w:val="both"/>
        <w:rPr>
          <w:rFonts w:eastAsia="Times New Roman" w:cs="Arial"/>
          <w:sz w:val="21"/>
          <w:szCs w:val="21"/>
          <w:lang w:val="en-AU" w:eastAsia="en-AU"/>
        </w:rPr>
      </w:pPr>
      <w:r w:rsidRPr="00C051CE">
        <w:rPr>
          <w:rFonts w:eastAsia="Times New Roman" w:cs="Arial"/>
          <w:sz w:val="21"/>
          <w:szCs w:val="21"/>
          <w:lang w:val="en-AU" w:eastAsia="en-AU"/>
        </w:rPr>
        <w:t>Deliver more opportunities for our businesses globally and stand against protectionism</w:t>
      </w:r>
      <w:r w:rsidR="009B49EB">
        <w:rPr>
          <w:rFonts w:eastAsia="Times New Roman" w:cs="Arial"/>
          <w:sz w:val="21"/>
          <w:szCs w:val="21"/>
          <w:lang w:val="en-AU" w:eastAsia="en-AU"/>
        </w:rPr>
        <w:t>.</w:t>
      </w:r>
    </w:p>
    <w:p w14:paraId="6EEC141F" w14:textId="36C76D67" w:rsidR="00FB1553" w:rsidRPr="00C051CE" w:rsidRDefault="00FB1553" w:rsidP="009D3124">
      <w:pPr>
        <w:pStyle w:val="ListParagraph"/>
        <w:numPr>
          <w:ilvl w:val="0"/>
          <w:numId w:val="29"/>
        </w:numPr>
        <w:tabs>
          <w:tab w:val="left" w:pos="0"/>
          <w:tab w:val="left" w:pos="284"/>
        </w:tabs>
        <w:suppressAutoHyphens w:val="0"/>
        <w:spacing w:after="0"/>
        <w:jc w:val="both"/>
        <w:rPr>
          <w:rFonts w:eastAsia="Times New Roman" w:cs="Arial"/>
          <w:sz w:val="21"/>
          <w:szCs w:val="21"/>
          <w:lang w:val="en-AU" w:eastAsia="en-AU"/>
        </w:rPr>
      </w:pPr>
      <w:r w:rsidRPr="00C051CE">
        <w:rPr>
          <w:rFonts w:eastAsia="Times New Roman" w:cs="Arial"/>
          <w:sz w:val="21"/>
          <w:szCs w:val="21"/>
          <w:lang w:val="en-AU" w:eastAsia="en-AU"/>
        </w:rPr>
        <w:t>Ensure Australians remain safe, secure and free in the face of threats such as terrorism</w:t>
      </w:r>
      <w:r w:rsidR="009B49EB">
        <w:rPr>
          <w:rFonts w:eastAsia="Times New Roman" w:cs="Arial"/>
          <w:sz w:val="21"/>
          <w:szCs w:val="21"/>
          <w:lang w:val="en-AU" w:eastAsia="en-AU"/>
        </w:rPr>
        <w:t>.</w:t>
      </w:r>
    </w:p>
    <w:p w14:paraId="71CCD934" w14:textId="77777777" w:rsidR="00FB1553" w:rsidRPr="00C051CE" w:rsidRDefault="00FB1553" w:rsidP="009D3124">
      <w:pPr>
        <w:pStyle w:val="ListParagraph"/>
        <w:numPr>
          <w:ilvl w:val="0"/>
          <w:numId w:val="29"/>
        </w:numPr>
        <w:tabs>
          <w:tab w:val="left" w:pos="0"/>
          <w:tab w:val="left" w:pos="284"/>
        </w:tabs>
        <w:suppressAutoHyphens w:val="0"/>
        <w:spacing w:after="0"/>
        <w:jc w:val="both"/>
        <w:rPr>
          <w:rFonts w:eastAsia="Times New Roman" w:cs="Arial"/>
          <w:sz w:val="21"/>
          <w:szCs w:val="21"/>
          <w:lang w:val="en-AU" w:eastAsia="en-AU"/>
        </w:rPr>
      </w:pPr>
      <w:r w:rsidRPr="00C051CE">
        <w:rPr>
          <w:rFonts w:eastAsia="Times New Roman" w:cs="Arial"/>
          <w:sz w:val="21"/>
          <w:szCs w:val="21"/>
          <w:lang w:val="en-AU" w:eastAsia="en-AU"/>
        </w:rPr>
        <w:lastRenderedPageBreak/>
        <w:t>Promote and protect the international rules that support stability and prosperity and enable cooperation to tackle global challenges.</w:t>
      </w:r>
    </w:p>
    <w:p w14:paraId="5AB5881D" w14:textId="2446AD03" w:rsidR="00FB1553" w:rsidRDefault="00C87B9C" w:rsidP="00FB1553">
      <w:pPr>
        <w:tabs>
          <w:tab w:val="left" w:pos="0"/>
          <w:tab w:val="left" w:pos="284"/>
        </w:tabs>
        <w:suppressAutoHyphens w:val="0"/>
        <w:spacing w:after="0"/>
        <w:jc w:val="both"/>
        <w:rPr>
          <w:rFonts w:eastAsia="Times New Roman" w:cs="Arial"/>
          <w:sz w:val="21"/>
          <w:szCs w:val="21"/>
          <w:lang w:val="en-AU" w:eastAsia="en-AU"/>
        </w:rPr>
      </w:pPr>
      <w:r>
        <w:rPr>
          <w:rFonts w:eastAsia="Times New Roman" w:cs="Arial"/>
          <w:sz w:val="21"/>
          <w:szCs w:val="21"/>
          <w:lang w:val="en-AU" w:eastAsia="en-AU"/>
        </w:rPr>
        <w:t>Australia’s</w:t>
      </w:r>
      <w:r w:rsidR="00FB1553">
        <w:rPr>
          <w:rFonts w:eastAsia="Times New Roman" w:cs="Arial"/>
          <w:sz w:val="21"/>
          <w:szCs w:val="21"/>
          <w:lang w:val="en-AU" w:eastAsia="en-AU"/>
        </w:rPr>
        <w:t xml:space="preserve"> relationship with Indonesia is considered central to achieving the above objectives.</w:t>
      </w:r>
      <w:r w:rsidR="00FB1553" w:rsidRPr="004037BC">
        <w:rPr>
          <w:rStyle w:val="Style"/>
        </w:rPr>
        <w:footnoteReference w:id="13"/>
      </w:r>
      <w:r w:rsidR="00FB1553">
        <w:rPr>
          <w:rFonts w:eastAsia="Times New Roman" w:cs="Arial"/>
          <w:sz w:val="21"/>
          <w:szCs w:val="21"/>
          <w:lang w:val="en-AU" w:eastAsia="en-AU"/>
        </w:rPr>
        <w:t xml:space="preserve"> In a period of significant change in international relations and global uncertainties, </w:t>
      </w:r>
      <w:r w:rsidR="002D2807" w:rsidRPr="002D2807">
        <w:rPr>
          <w:rFonts w:eastAsia="Times New Roman" w:cs="Arial"/>
          <w:sz w:val="21"/>
          <w:szCs w:val="21"/>
          <w:lang w:val="en-AU" w:eastAsia="en-AU"/>
        </w:rPr>
        <w:t>a</w:t>
      </w:r>
      <w:r w:rsidR="002D2807">
        <w:rPr>
          <w:rFonts w:eastAsia="Times New Roman" w:cs="Arial"/>
          <w:b/>
          <w:sz w:val="21"/>
          <w:szCs w:val="21"/>
          <w:lang w:val="en-AU" w:eastAsia="en-AU"/>
        </w:rPr>
        <w:t xml:space="preserve"> </w:t>
      </w:r>
      <w:r w:rsidR="00FB1553" w:rsidRPr="00F52186">
        <w:rPr>
          <w:rFonts w:eastAsia="Times New Roman" w:cs="Arial"/>
          <w:b/>
          <w:sz w:val="21"/>
          <w:szCs w:val="21"/>
          <w:lang w:val="en-AU" w:eastAsia="en-AU"/>
        </w:rPr>
        <w:t xml:space="preserve">closer partnership between Australia and Indonesia presents substantial opportunities in terms of economic potential and regional leadership.  </w:t>
      </w:r>
      <w:r w:rsidR="00FB1553">
        <w:rPr>
          <w:rFonts w:eastAsia="Times New Roman" w:cs="Arial"/>
          <w:sz w:val="21"/>
          <w:szCs w:val="21"/>
          <w:lang w:val="en-AU" w:eastAsia="en-AU"/>
        </w:rPr>
        <w:t xml:space="preserve">At the same time, Indonesia is looking for partners to boost productivity in critical sectors like agriculture, adopt advances in manufacturing and support the growth of services through deeper financial markets and skills. </w:t>
      </w:r>
    </w:p>
    <w:p w14:paraId="0133B3DB" w14:textId="36A00267" w:rsidR="00FB1553" w:rsidRDefault="00FB1553" w:rsidP="00FB1553">
      <w:pPr>
        <w:tabs>
          <w:tab w:val="left" w:pos="0"/>
          <w:tab w:val="left" w:pos="284"/>
        </w:tabs>
        <w:suppressAutoHyphens w:val="0"/>
        <w:spacing w:after="0"/>
        <w:jc w:val="both"/>
        <w:rPr>
          <w:rFonts w:eastAsia="Times New Roman" w:cs="Arial"/>
          <w:sz w:val="21"/>
          <w:szCs w:val="21"/>
          <w:lang w:val="en-AU" w:eastAsia="en-AU"/>
        </w:rPr>
      </w:pPr>
      <w:r>
        <w:rPr>
          <w:rFonts w:eastAsia="Times New Roman" w:cs="Arial"/>
          <w:sz w:val="21"/>
          <w:szCs w:val="21"/>
          <w:lang w:val="en-AU" w:eastAsia="en-AU"/>
        </w:rPr>
        <w:t xml:space="preserve">The ECP will pursue opportunities to benefit from the complementarity of the Australian and Indonesian economies. It will harness new sources of economic growth including the digital economy. Further, </w:t>
      </w:r>
      <w:r w:rsidRPr="00A67563">
        <w:rPr>
          <w:rFonts w:eastAsia="Times New Roman" w:cs="Arial"/>
          <w:b/>
          <w:sz w:val="21"/>
          <w:szCs w:val="21"/>
          <w:lang w:val="en-AU" w:eastAsia="en-AU"/>
        </w:rPr>
        <w:t>the ECP will support an enhanced model of economic partnership with Indonesia that</w:t>
      </w:r>
      <w:r w:rsidR="00F015D2">
        <w:rPr>
          <w:rFonts w:eastAsia="Times New Roman" w:cs="Arial"/>
          <w:b/>
          <w:sz w:val="21"/>
          <w:szCs w:val="21"/>
          <w:lang w:val="en-AU" w:eastAsia="en-AU"/>
        </w:rPr>
        <w:t xml:space="preserve"> supports Australia and the region’s long</w:t>
      </w:r>
      <w:r w:rsidR="0058041D">
        <w:rPr>
          <w:rFonts w:eastAsia="Times New Roman" w:cs="Arial"/>
          <w:b/>
          <w:sz w:val="21"/>
          <w:szCs w:val="21"/>
          <w:lang w:val="en-AU" w:eastAsia="en-AU"/>
        </w:rPr>
        <w:t>-</w:t>
      </w:r>
      <w:r w:rsidR="00F015D2">
        <w:rPr>
          <w:rFonts w:eastAsia="Times New Roman" w:cs="Arial"/>
          <w:b/>
          <w:sz w:val="21"/>
          <w:szCs w:val="21"/>
          <w:lang w:val="en-AU" w:eastAsia="en-AU"/>
        </w:rPr>
        <w:t>term interests</w:t>
      </w:r>
      <w:r w:rsidRPr="00A67563">
        <w:rPr>
          <w:rFonts w:eastAsia="Times New Roman" w:cs="Arial"/>
          <w:b/>
          <w:sz w:val="21"/>
          <w:szCs w:val="21"/>
          <w:lang w:val="en-AU" w:eastAsia="en-AU"/>
        </w:rPr>
        <w:t>.</w:t>
      </w:r>
      <w:r>
        <w:rPr>
          <w:rFonts w:eastAsia="Times New Roman" w:cs="Arial"/>
          <w:sz w:val="21"/>
          <w:szCs w:val="21"/>
          <w:lang w:val="en-AU" w:eastAsia="en-AU"/>
        </w:rPr>
        <w:t xml:space="preserve">  The ECP will </w:t>
      </w:r>
      <w:r w:rsidR="009B49EB">
        <w:rPr>
          <w:rFonts w:eastAsia="Times New Roman" w:cs="Arial"/>
          <w:sz w:val="21"/>
          <w:szCs w:val="21"/>
          <w:lang w:val="en-AU" w:eastAsia="en-AU"/>
        </w:rPr>
        <w:t>utilise</w:t>
      </w:r>
      <w:r>
        <w:rPr>
          <w:rFonts w:eastAsia="Times New Roman" w:cs="Arial"/>
          <w:sz w:val="21"/>
          <w:szCs w:val="21"/>
          <w:lang w:val="en-AU" w:eastAsia="en-AU"/>
        </w:rPr>
        <w:t xml:space="preserve"> Australia’s soft power assets, improving how Australia’s commercial, educational and cultural credentials are positioned in one of the world’s most rapidly growing markets, through a range of industries identified as priorities through IA-CEPA.</w:t>
      </w:r>
      <w:r w:rsidRPr="004037BC">
        <w:rPr>
          <w:rStyle w:val="Style"/>
        </w:rPr>
        <w:footnoteReference w:id="14"/>
      </w:r>
    </w:p>
    <w:p w14:paraId="37877A94" w14:textId="25CF82B0" w:rsidR="00FB1553" w:rsidRDefault="00FB1553" w:rsidP="00FB1553">
      <w:pPr>
        <w:tabs>
          <w:tab w:val="left" w:pos="0"/>
          <w:tab w:val="left" w:pos="284"/>
        </w:tabs>
        <w:suppressAutoHyphens w:val="0"/>
        <w:spacing w:after="0"/>
        <w:jc w:val="both"/>
        <w:rPr>
          <w:rFonts w:eastAsia="Times New Roman" w:cs="Arial"/>
          <w:sz w:val="21"/>
          <w:szCs w:val="21"/>
          <w:lang w:val="en-AU" w:eastAsia="en-AU"/>
        </w:rPr>
      </w:pPr>
      <w:r w:rsidRPr="00EB0026">
        <w:rPr>
          <w:rFonts w:eastAsia="Times New Roman" w:cs="Arial"/>
          <w:sz w:val="21"/>
          <w:szCs w:val="21"/>
          <w:lang w:val="en-AU" w:eastAsia="en-AU"/>
        </w:rPr>
        <w:t xml:space="preserve">The </w:t>
      </w:r>
      <w:r w:rsidR="00522469" w:rsidRPr="00EB0026">
        <w:rPr>
          <w:rFonts w:eastAsia="Times New Roman" w:cs="Arial"/>
          <w:sz w:val="21"/>
          <w:szCs w:val="21"/>
          <w:lang w:val="en-AU" w:eastAsia="en-AU"/>
        </w:rPr>
        <w:t xml:space="preserve">current </w:t>
      </w:r>
      <w:r w:rsidRPr="00EB0026">
        <w:rPr>
          <w:rFonts w:eastAsia="Times New Roman" w:cs="Arial"/>
          <w:b/>
          <w:sz w:val="21"/>
          <w:szCs w:val="21"/>
          <w:lang w:val="en-AU" w:eastAsia="en-AU"/>
        </w:rPr>
        <w:t>Aid Investment Plan</w:t>
      </w:r>
      <w:r w:rsidRPr="00EB0026">
        <w:rPr>
          <w:rFonts w:eastAsia="Times New Roman" w:cs="Arial"/>
          <w:sz w:val="21"/>
          <w:szCs w:val="21"/>
          <w:lang w:val="en-AU" w:eastAsia="en-AU"/>
        </w:rPr>
        <w:t xml:space="preserve"> </w:t>
      </w:r>
      <w:r w:rsidR="00522469" w:rsidRPr="00EB0026">
        <w:rPr>
          <w:rFonts w:eastAsia="Times New Roman" w:cs="Arial"/>
          <w:sz w:val="21"/>
          <w:szCs w:val="21"/>
          <w:lang w:val="en-AU" w:eastAsia="en-AU"/>
        </w:rPr>
        <w:t xml:space="preserve">for Indonesia </w:t>
      </w:r>
      <w:r w:rsidRPr="00EB0026">
        <w:rPr>
          <w:rFonts w:eastAsia="Times New Roman" w:cs="Arial"/>
          <w:sz w:val="21"/>
          <w:szCs w:val="21"/>
          <w:lang w:val="en-AU" w:eastAsia="en-AU"/>
        </w:rPr>
        <w:t>provides that Australia will move “…away from the traditional donor recipient-aid model towards a more mature partnership – an “economic partnership” – that focuses on leveraging Indonesia’s own substantial resources. At around $3</w:t>
      </w:r>
      <w:r w:rsidR="00522469" w:rsidRPr="00EB0026">
        <w:rPr>
          <w:rFonts w:eastAsia="Times New Roman" w:cs="Arial"/>
          <w:sz w:val="21"/>
          <w:szCs w:val="21"/>
          <w:lang w:val="en-AU" w:eastAsia="en-AU"/>
        </w:rPr>
        <w:t>0</w:t>
      </w:r>
      <w:r w:rsidRPr="00EB0026">
        <w:rPr>
          <w:rFonts w:eastAsia="Times New Roman" w:cs="Arial"/>
          <w:sz w:val="21"/>
          <w:szCs w:val="21"/>
          <w:lang w:val="en-AU" w:eastAsia="en-AU"/>
        </w:rPr>
        <w:t>0 million per year</w:t>
      </w:r>
      <w:r w:rsidR="00522469" w:rsidRPr="004037BC">
        <w:rPr>
          <w:rStyle w:val="Style"/>
        </w:rPr>
        <w:footnoteReference w:id="15"/>
      </w:r>
      <w:r w:rsidRPr="00EB0026">
        <w:rPr>
          <w:rFonts w:eastAsia="Times New Roman" w:cs="Arial"/>
          <w:sz w:val="21"/>
          <w:szCs w:val="21"/>
          <w:lang w:val="en-AU" w:eastAsia="en-AU"/>
        </w:rPr>
        <w:t>, Australia’s development assistance will represent less than 0.</w:t>
      </w:r>
      <w:r w:rsidR="00EB0026">
        <w:rPr>
          <w:rFonts w:eastAsia="Times New Roman" w:cs="Arial"/>
          <w:sz w:val="21"/>
          <w:szCs w:val="21"/>
          <w:lang w:val="en-AU" w:eastAsia="en-AU"/>
        </w:rPr>
        <w:t>1</w:t>
      </w:r>
      <w:r w:rsidRPr="00EB0026">
        <w:rPr>
          <w:rFonts w:eastAsia="Times New Roman" w:cs="Arial"/>
          <w:sz w:val="21"/>
          <w:szCs w:val="21"/>
          <w:lang w:val="en-AU" w:eastAsia="en-AU"/>
        </w:rPr>
        <w:t xml:space="preserve"> per cent of Indonesian Government </w:t>
      </w:r>
      <w:r w:rsidR="00EB0026">
        <w:rPr>
          <w:rFonts w:eastAsia="Times New Roman" w:cs="Arial"/>
          <w:sz w:val="21"/>
          <w:szCs w:val="21"/>
          <w:lang w:val="en-AU" w:eastAsia="en-AU"/>
        </w:rPr>
        <w:t>expenditure</w:t>
      </w:r>
      <w:r w:rsidR="00A04A80" w:rsidRPr="004037BC">
        <w:rPr>
          <w:rStyle w:val="Style"/>
        </w:rPr>
        <w:footnoteReference w:id="16"/>
      </w:r>
      <w:r w:rsidRPr="00EB0026">
        <w:rPr>
          <w:rFonts w:eastAsia="Times New Roman" w:cs="Arial"/>
          <w:sz w:val="21"/>
          <w:szCs w:val="21"/>
          <w:lang w:val="en-AU" w:eastAsia="en-AU"/>
        </w:rPr>
        <w:t>. Achieving impact will therefore not be about the volume of resources we bring to the table, but about being able to deliver development assistance aimed at catalytic reform.”</w:t>
      </w:r>
      <w:r w:rsidRPr="004037BC">
        <w:rPr>
          <w:rStyle w:val="Style"/>
        </w:rPr>
        <w:footnoteReference w:id="17"/>
      </w:r>
      <w:r w:rsidRPr="00EB0026">
        <w:rPr>
          <w:rFonts w:eastAsia="Times New Roman" w:cs="Arial"/>
          <w:sz w:val="21"/>
          <w:szCs w:val="21"/>
          <w:lang w:val="en-AU" w:eastAsia="en-AU"/>
        </w:rPr>
        <w:t xml:space="preserve"> </w:t>
      </w:r>
      <w:r w:rsidR="00014FA8" w:rsidRPr="00EB0026">
        <w:rPr>
          <w:rFonts w:eastAsia="Times New Roman" w:cs="Arial"/>
          <w:sz w:val="21"/>
          <w:szCs w:val="21"/>
          <w:lang w:val="en-AU" w:eastAsia="en-AU"/>
        </w:rPr>
        <w:t xml:space="preserve">As a relatively modest, targeted investment, ECP will complement Australia’s existing, highly regarded long-term bilateral development program. It </w:t>
      </w:r>
      <w:r w:rsidRPr="00EB0026">
        <w:rPr>
          <w:rFonts w:eastAsia="Times New Roman" w:cs="Arial"/>
          <w:sz w:val="21"/>
          <w:szCs w:val="21"/>
          <w:lang w:val="en-AU" w:eastAsia="en-AU"/>
        </w:rPr>
        <w:t xml:space="preserve">will </w:t>
      </w:r>
      <w:r w:rsidR="00014FA8" w:rsidRPr="00EB0026">
        <w:rPr>
          <w:rFonts w:eastAsia="Times New Roman" w:cs="Arial"/>
          <w:sz w:val="21"/>
          <w:szCs w:val="21"/>
          <w:lang w:val="en-AU" w:eastAsia="en-AU"/>
        </w:rPr>
        <w:t xml:space="preserve">also advance the </w:t>
      </w:r>
      <w:r w:rsidRPr="00EB0026">
        <w:rPr>
          <w:rFonts w:eastAsia="Times New Roman" w:cs="Arial"/>
          <w:sz w:val="21"/>
          <w:szCs w:val="21"/>
          <w:lang w:val="en-AU" w:eastAsia="en-AU"/>
        </w:rPr>
        <w:t>transition through targeted economic cooperation activities in our mutual interests, agreed and delivered in partnership with Indonesia. Further, it is expected that Indonesia (government and/or private sector)</w:t>
      </w:r>
      <w:r w:rsidR="001C0FB2">
        <w:rPr>
          <w:rFonts w:eastAsia="Times New Roman" w:cs="Arial"/>
          <w:sz w:val="21"/>
          <w:szCs w:val="21"/>
          <w:lang w:val="en-AU" w:eastAsia="en-AU"/>
        </w:rPr>
        <w:t>, as well as Australian industry,</w:t>
      </w:r>
      <w:r w:rsidRPr="00EB0026">
        <w:rPr>
          <w:rFonts w:eastAsia="Times New Roman" w:cs="Arial"/>
          <w:sz w:val="21"/>
          <w:szCs w:val="21"/>
          <w:lang w:val="en-AU" w:eastAsia="en-AU"/>
        </w:rPr>
        <w:t xml:space="preserve"> will contribute financially and in-kind to the ECP.</w:t>
      </w:r>
    </w:p>
    <w:p w14:paraId="63764513" w14:textId="0706399C" w:rsidR="00FB1553" w:rsidRDefault="00FB1553" w:rsidP="00FB1553">
      <w:pPr>
        <w:tabs>
          <w:tab w:val="left" w:pos="0"/>
          <w:tab w:val="left" w:pos="284"/>
        </w:tabs>
        <w:suppressAutoHyphens w:val="0"/>
        <w:spacing w:after="0"/>
        <w:jc w:val="both"/>
        <w:rPr>
          <w:rFonts w:eastAsia="Times New Roman" w:cs="Arial"/>
          <w:sz w:val="21"/>
          <w:szCs w:val="21"/>
          <w:lang w:val="en-AU" w:eastAsia="en-AU"/>
        </w:rPr>
      </w:pPr>
      <w:r>
        <w:rPr>
          <w:rFonts w:eastAsia="Times New Roman" w:cs="Arial"/>
          <w:sz w:val="21"/>
          <w:szCs w:val="21"/>
          <w:lang w:val="en-AU" w:eastAsia="en-AU"/>
        </w:rPr>
        <w:t xml:space="preserve">The ECP aligns with DFAT’s </w:t>
      </w:r>
      <w:r w:rsidRPr="00955C0F">
        <w:rPr>
          <w:rFonts w:eastAsia="Times New Roman" w:cs="Arial"/>
          <w:b/>
          <w:sz w:val="21"/>
          <w:szCs w:val="21"/>
          <w:lang w:val="en-AU" w:eastAsia="en-AU"/>
        </w:rPr>
        <w:t>Strategy for Australia’s Aid for Trade Investments</w:t>
      </w:r>
      <w:r w:rsidRPr="004037BC">
        <w:rPr>
          <w:rStyle w:val="Style"/>
        </w:rPr>
        <w:footnoteReference w:id="18"/>
      </w:r>
      <w:r>
        <w:rPr>
          <w:rFonts w:eastAsia="Times New Roman" w:cs="Arial"/>
          <w:sz w:val="21"/>
          <w:szCs w:val="21"/>
          <w:lang w:val="en-AU" w:eastAsia="en-AU"/>
        </w:rPr>
        <w:t xml:space="preserve"> to help our development partners </w:t>
      </w:r>
      <w:r w:rsidR="006E3097">
        <w:rPr>
          <w:rFonts w:eastAsia="Times New Roman" w:cs="Arial"/>
          <w:sz w:val="21"/>
          <w:szCs w:val="21"/>
          <w:lang w:val="en-AU" w:eastAsia="en-AU"/>
        </w:rPr>
        <w:t xml:space="preserve">effectively trade and prosper. </w:t>
      </w:r>
      <w:r>
        <w:rPr>
          <w:rFonts w:eastAsia="Times New Roman" w:cs="Arial"/>
          <w:sz w:val="21"/>
          <w:szCs w:val="21"/>
          <w:lang w:val="en-AU" w:eastAsia="en-AU"/>
        </w:rPr>
        <w:t>This strategy is about “helping developing countries improve their regulatory environment, address poor economic infrastructure, and build their private sector capacity”. It seeks to make a real economic difference t</w:t>
      </w:r>
      <w:r w:rsidR="006E3097">
        <w:rPr>
          <w:rFonts w:eastAsia="Times New Roman" w:cs="Arial"/>
          <w:sz w:val="21"/>
          <w:szCs w:val="21"/>
          <w:lang w:val="en-AU" w:eastAsia="en-AU"/>
        </w:rPr>
        <w:t xml:space="preserve">o the lives of their citizens. </w:t>
      </w:r>
      <w:r>
        <w:rPr>
          <w:rFonts w:eastAsia="Times New Roman" w:cs="Arial"/>
          <w:sz w:val="21"/>
          <w:szCs w:val="21"/>
          <w:lang w:val="en-AU" w:eastAsia="en-AU"/>
        </w:rPr>
        <w:t>The Australian Government has set a tar</w:t>
      </w:r>
      <w:r w:rsidR="001C0FB2">
        <w:rPr>
          <w:rFonts w:eastAsia="Times New Roman" w:cs="Arial"/>
          <w:sz w:val="21"/>
          <w:szCs w:val="21"/>
          <w:lang w:val="en-AU" w:eastAsia="en-AU"/>
        </w:rPr>
        <w:t>get of allocating 20% of the aid</w:t>
      </w:r>
      <w:r>
        <w:rPr>
          <w:rFonts w:eastAsia="Times New Roman" w:cs="Arial"/>
          <w:sz w:val="21"/>
          <w:szCs w:val="21"/>
          <w:lang w:val="en-AU" w:eastAsia="en-AU"/>
        </w:rPr>
        <w:t xml:space="preserve"> budget for aid for trade investments by 2020</w:t>
      </w:r>
      <w:r w:rsidR="00522469" w:rsidRPr="004037BC">
        <w:rPr>
          <w:rStyle w:val="Style"/>
        </w:rPr>
        <w:footnoteReference w:id="19"/>
      </w:r>
      <w:r>
        <w:rPr>
          <w:rFonts w:eastAsia="Times New Roman" w:cs="Arial"/>
          <w:sz w:val="21"/>
          <w:szCs w:val="21"/>
          <w:lang w:val="en-AU" w:eastAsia="en-AU"/>
        </w:rPr>
        <w:t xml:space="preserve">. In alignment with this strategy, </w:t>
      </w:r>
      <w:r w:rsidR="00014FA8">
        <w:rPr>
          <w:rFonts w:eastAsia="Times New Roman" w:cs="Arial"/>
          <w:sz w:val="21"/>
          <w:szCs w:val="21"/>
          <w:lang w:val="en-AU" w:eastAsia="en-AU"/>
        </w:rPr>
        <w:t xml:space="preserve">and to further recommendations of the </w:t>
      </w:r>
      <w:r w:rsidR="00014FA8" w:rsidRPr="00014FA8">
        <w:rPr>
          <w:rFonts w:eastAsia="Times New Roman" w:cs="Arial"/>
          <w:b/>
          <w:sz w:val="21"/>
          <w:szCs w:val="21"/>
          <w:lang w:val="en-AU" w:eastAsia="en-AU"/>
        </w:rPr>
        <w:t>Office of Development Effectiveness</w:t>
      </w:r>
      <w:r w:rsidR="00014FA8">
        <w:rPr>
          <w:rFonts w:eastAsia="Times New Roman" w:cs="Arial"/>
          <w:sz w:val="21"/>
          <w:szCs w:val="21"/>
          <w:lang w:val="en-AU" w:eastAsia="en-AU"/>
        </w:rPr>
        <w:t xml:space="preserve"> </w:t>
      </w:r>
      <w:r w:rsidR="00014FA8" w:rsidRPr="00014FA8">
        <w:rPr>
          <w:rFonts w:eastAsia="Times New Roman" w:cs="Arial"/>
          <w:b/>
          <w:sz w:val="21"/>
          <w:szCs w:val="21"/>
          <w:lang w:val="en-AU" w:eastAsia="en-AU"/>
        </w:rPr>
        <w:t>to better align aid, trade and diplomacy</w:t>
      </w:r>
      <w:r w:rsidR="00014FA8" w:rsidRPr="004037BC">
        <w:rPr>
          <w:rStyle w:val="Style"/>
        </w:rPr>
        <w:footnoteReference w:id="20"/>
      </w:r>
      <w:r w:rsidR="00014FA8">
        <w:rPr>
          <w:rFonts w:eastAsia="Times New Roman" w:cs="Arial"/>
          <w:sz w:val="21"/>
          <w:szCs w:val="21"/>
          <w:lang w:val="en-AU" w:eastAsia="en-AU"/>
        </w:rPr>
        <w:t xml:space="preserve">, </w:t>
      </w:r>
      <w:r>
        <w:rPr>
          <w:rFonts w:eastAsia="Times New Roman" w:cs="Arial"/>
          <w:sz w:val="21"/>
          <w:szCs w:val="21"/>
          <w:lang w:val="en-AU" w:eastAsia="en-AU"/>
        </w:rPr>
        <w:t>the ECP will seek innovative solutions, partner with the private sector and promote market-based systems.</w:t>
      </w:r>
      <w:r w:rsidRPr="00482E29">
        <w:rPr>
          <w:rFonts w:eastAsia="Times New Roman" w:cs="Arial"/>
          <w:sz w:val="21"/>
          <w:szCs w:val="21"/>
          <w:lang w:val="en-AU" w:eastAsia="en-AU"/>
        </w:rPr>
        <w:t xml:space="preserve"> </w:t>
      </w:r>
      <w:r>
        <w:rPr>
          <w:rFonts w:eastAsia="Times New Roman" w:cs="Arial"/>
          <w:sz w:val="21"/>
          <w:szCs w:val="21"/>
          <w:lang w:val="en-AU" w:eastAsia="en-AU"/>
        </w:rPr>
        <w:t xml:space="preserve">As set out in Section B, the ECP’s activities will fully align </w:t>
      </w:r>
      <w:r w:rsidR="00A04A80">
        <w:rPr>
          <w:rFonts w:eastAsia="Times New Roman" w:cs="Arial"/>
          <w:sz w:val="21"/>
          <w:szCs w:val="21"/>
          <w:lang w:val="en-AU" w:eastAsia="en-AU"/>
        </w:rPr>
        <w:t xml:space="preserve">with </w:t>
      </w:r>
      <w:r>
        <w:rPr>
          <w:rFonts w:eastAsia="Times New Roman" w:cs="Arial"/>
          <w:sz w:val="21"/>
          <w:szCs w:val="21"/>
          <w:lang w:val="en-AU" w:eastAsia="en-AU"/>
        </w:rPr>
        <w:t xml:space="preserve">Australia’s Aid for Trade objectives, in particular in improving the regulatory environment and productive capacity of the private sector, in Indonesia. </w:t>
      </w:r>
    </w:p>
    <w:p w14:paraId="3CA68557" w14:textId="356153F4" w:rsidR="00FB1553" w:rsidRDefault="00FB1553" w:rsidP="00FB1553">
      <w:pPr>
        <w:tabs>
          <w:tab w:val="left" w:pos="0"/>
          <w:tab w:val="left" w:pos="284"/>
        </w:tabs>
        <w:suppressAutoHyphens w:val="0"/>
        <w:spacing w:after="0"/>
        <w:jc w:val="both"/>
        <w:rPr>
          <w:rFonts w:eastAsia="Times New Roman" w:cs="Arial"/>
          <w:sz w:val="21"/>
          <w:szCs w:val="21"/>
          <w:lang w:val="en-AU" w:eastAsia="en-AU"/>
        </w:rPr>
      </w:pPr>
      <w:r w:rsidRPr="005B63AC">
        <w:rPr>
          <w:rFonts w:eastAsia="Times New Roman" w:cs="Arial"/>
          <w:sz w:val="21"/>
          <w:szCs w:val="21"/>
          <w:lang w:val="en-AU" w:eastAsia="en-AU"/>
        </w:rPr>
        <w:t xml:space="preserve">DFAT’s </w:t>
      </w:r>
      <w:r w:rsidRPr="000E13EA">
        <w:rPr>
          <w:rFonts w:eastAsia="Times New Roman" w:cs="Arial"/>
          <w:b/>
          <w:sz w:val="21"/>
          <w:szCs w:val="21"/>
          <w:lang w:val="en-AU" w:eastAsia="en-AU"/>
        </w:rPr>
        <w:t>Private Sector Development Strategy</w:t>
      </w:r>
      <w:r>
        <w:rPr>
          <w:rFonts w:eastAsia="Times New Roman" w:cs="Arial"/>
          <w:sz w:val="21"/>
          <w:szCs w:val="21"/>
          <w:lang w:val="en-AU" w:eastAsia="en-AU"/>
        </w:rPr>
        <w:t xml:space="preserve"> refers to the concept of “shared value” which recognises that “through increased </w:t>
      </w:r>
      <w:r w:rsidRPr="00101404">
        <w:rPr>
          <w:rFonts w:eastAsia="Times New Roman" w:cs="Arial"/>
          <w:sz w:val="21"/>
          <w:szCs w:val="21"/>
          <w:lang w:val="en-AU" w:eastAsia="en-AU"/>
        </w:rPr>
        <w:t>collaboration and partnering, business can deliver sustainable social impact in developing countries while delivering commercial returns. The private sector drives productivity and participation which in turn creates economic growth.</w:t>
      </w:r>
      <w:r>
        <w:rPr>
          <w:rFonts w:eastAsia="Times New Roman" w:cs="Arial"/>
          <w:sz w:val="21"/>
          <w:szCs w:val="21"/>
          <w:lang w:val="en-AU" w:eastAsia="en-AU"/>
        </w:rPr>
        <w:t>”</w:t>
      </w:r>
      <w:r w:rsidRPr="004037BC">
        <w:rPr>
          <w:rStyle w:val="Style"/>
        </w:rPr>
        <w:footnoteReference w:id="21"/>
      </w:r>
      <w:r>
        <w:rPr>
          <w:rFonts w:eastAsia="Times New Roman" w:cs="Arial"/>
          <w:sz w:val="21"/>
          <w:szCs w:val="21"/>
          <w:lang w:val="en-AU" w:eastAsia="en-AU"/>
        </w:rPr>
        <w:t xml:space="preserve"> The ECP aligns with the three priority objectives contained in the Private Sector Development Strategy, namely: building better business and investment environments (in collaboration with </w:t>
      </w:r>
      <w:r w:rsidR="00680EAE">
        <w:rPr>
          <w:rFonts w:eastAsia="Times New Roman" w:cs="Arial"/>
          <w:sz w:val="21"/>
          <w:szCs w:val="21"/>
          <w:lang w:val="en-AU" w:eastAsia="en-AU"/>
        </w:rPr>
        <w:t>PROSPERA</w:t>
      </w:r>
      <w:r>
        <w:rPr>
          <w:rFonts w:eastAsia="Times New Roman" w:cs="Arial"/>
          <w:sz w:val="21"/>
          <w:szCs w:val="21"/>
          <w:lang w:val="en-AU" w:eastAsia="en-AU"/>
        </w:rPr>
        <w:t>’s Markets Engagement</w:t>
      </w:r>
      <w:r w:rsidR="00CE3638">
        <w:rPr>
          <w:rFonts w:eastAsia="Times New Roman" w:cs="Arial"/>
          <w:sz w:val="21"/>
          <w:szCs w:val="21"/>
          <w:lang w:val="en-AU" w:eastAsia="en-AU"/>
        </w:rPr>
        <w:t xml:space="preserve"> Area</w:t>
      </w:r>
      <w:r>
        <w:rPr>
          <w:rFonts w:eastAsia="Times New Roman" w:cs="Arial"/>
          <w:sz w:val="21"/>
          <w:szCs w:val="21"/>
          <w:lang w:val="en-AU" w:eastAsia="en-AU"/>
        </w:rPr>
        <w:t xml:space="preserve">), supporting growth in specific markets and maximising the development impact of business. </w:t>
      </w:r>
    </w:p>
    <w:p w14:paraId="197C8536" w14:textId="25427461" w:rsidR="00197AE8" w:rsidRPr="00FE1BA2" w:rsidRDefault="00197AE8" w:rsidP="00197AE8">
      <w:pPr>
        <w:tabs>
          <w:tab w:val="left" w:pos="0"/>
          <w:tab w:val="left" w:pos="284"/>
        </w:tabs>
        <w:suppressAutoHyphens w:val="0"/>
        <w:spacing w:after="0"/>
        <w:jc w:val="both"/>
        <w:rPr>
          <w:rFonts w:eastAsia="Times New Roman" w:cs="Arial"/>
          <w:sz w:val="21"/>
          <w:szCs w:val="21"/>
          <w:lang w:val="en-AU" w:eastAsia="en-AU"/>
        </w:rPr>
      </w:pPr>
      <w:r>
        <w:rPr>
          <w:rFonts w:eastAsia="Times New Roman" w:cs="Arial"/>
          <w:sz w:val="21"/>
          <w:szCs w:val="21"/>
          <w:lang w:val="en-AU" w:eastAsia="en-AU"/>
        </w:rPr>
        <w:t xml:space="preserve">The ECP also </w:t>
      </w:r>
      <w:r w:rsidRPr="008400EF">
        <w:rPr>
          <w:rFonts w:eastAsia="Times New Roman" w:cs="Arial"/>
          <w:sz w:val="21"/>
          <w:szCs w:val="21"/>
          <w:lang w:val="en-AU" w:eastAsia="en-AU"/>
        </w:rPr>
        <w:t xml:space="preserve">supports the goals set out in DFAT’s </w:t>
      </w:r>
      <w:r w:rsidRPr="008400EF">
        <w:rPr>
          <w:rFonts w:eastAsia="Times New Roman" w:cs="Arial"/>
          <w:b/>
          <w:sz w:val="21"/>
          <w:szCs w:val="21"/>
          <w:lang w:val="en-AU" w:eastAsia="en-AU"/>
        </w:rPr>
        <w:t>Gender Equality and Disability strategies.</w:t>
      </w:r>
      <w:r>
        <w:rPr>
          <w:rFonts w:eastAsia="Times New Roman" w:cs="Arial"/>
          <w:b/>
          <w:sz w:val="21"/>
          <w:szCs w:val="21"/>
          <w:lang w:val="en-AU" w:eastAsia="en-AU"/>
        </w:rPr>
        <w:t xml:space="preserve"> </w:t>
      </w:r>
      <w:r w:rsidRPr="00A10145">
        <w:rPr>
          <w:rFonts w:eastAsia="Times New Roman" w:cs="Arial"/>
          <w:sz w:val="21"/>
          <w:szCs w:val="21"/>
          <w:lang w:val="en-AU" w:eastAsia="en-AU"/>
        </w:rPr>
        <w:t xml:space="preserve">By adopting an integrated approach to gender equality and social inclusion throughout the design and implementation, </w:t>
      </w:r>
      <w:r>
        <w:rPr>
          <w:rFonts w:eastAsia="Times New Roman" w:cs="Arial"/>
          <w:sz w:val="21"/>
          <w:szCs w:val="21"/>
          <w:lang w:val="en-AU" w:eastAsia="en-AU"/>
        </w:rPr>
        <w:t xml:space="preserve">the ECP </w:t>
      </w:r>
      <w:r>
        <w:rPr>
          <w:rFonts w:eastAsia="Times New Roman" w:cs="Arial"/>
          <w:sz w:val="21"/>
          <w:szCs w:val="21"/>
          <w:lang w:val="en-AU" w:eastAsia="en-AU"/>
        </w:rPr>
        <w:lastRenderedPageBreak/>
        <w:t xml:space="preserve">places priority on utilising private sector development as opportunities to support women in work, access to employment for persons with a disability and economic growth that will afford strengthened services and a more inclusive economy. In particular the ECP supports the priority of promoting women’s economic empowerment and </w:t>
      </w:r>
      <w:r w:rsidRPr="00FE1BA2">
        <w:rPr>
          <w:rFonts w:eastAsia="Times New Roman" w:cs="Arial"/>
          <w:sz w:val="21"/>
          <w:szCs w:val="21"/>
          <w:lang w:val="en-AU" w:eastAsia="en-AU"/>
        </w:rPr>
        <w:t xml:space="preserve">integrates gender </w:t>
      </w:r>
      <w:r>
        <w:rPr>
          <w:rFonts w:eastAsia="Times New Roman" w:cs="Arial"/>
          <w:sz w:val="21"/>
          <w:szCs w:val="21"/>
          <w:lang w:val="en-AU" w:eastAsia="en-AU"/>
        </w:rPr>
        <w:t xml:space="preserve">equality and </w:t>
      </w:r>
      <w:r w:rsidRPr="00FE1BA2">
        <w:rPr>
          <w:rFonts w:eastAsia="Times New Roman" w:cs="Arial"/>
          <w:sz w:val="21"/>
          <w:szCs w:val="21"/>
          <w:lang w:val="en-AU" w:eastAsia="en-AU"/>
        </w:rPr>
        <w:t>women’s empowerment into aid for trade investments and economic diplomacy.</w:t>
      </w:r>
      <w:r w:rsidRPr="004037BC">
        <w:rPr>
          <w:rStyle w:val="Style"/>
        </w:rPr>
        <w:footnoteReference w:id="22"/>
      </w:r>
      <w:r>
        <w:rPr>
          <w:rFonts w:eastAsia="Times New Roman" w:cs="Arial"/>
          <w:sz w:val="21"/>
          <w:szCs w:val="21"/>
          <w:lang w:val="en-AU" w:eastAsia="en-AU"/>
        </w:rPr>
        <w:t xml:space="preserve"> The strategy notes that “a</w:t>
      </w:r>
      <w:r w:rsidRPr="00FA6A9B">
        <w:rPr>
          <w:rFonts w:eastAsia="Times New Roman" w:cs="Arial"/>
          <w:sz w:val="21"/>
          <w:szCs w:val="21"/>
          <w:lang w:val="en-AU" w:eastAsia="en-AU"/>
        </w:rPr>
        <w:t>id for trade investments can make a significant contribution to advancing gender equality, specifically by empowering women by helping them to participate fully and effectively in goods trades in sectors such as agriculture and fisheries, as well as in services. Higher rates of labour force participation will in turn promote higher levels of production.</w:t>
      </w:r>
      <w:r>
        <w:rPr>
          <w:rFonts w:eastAsia="Times New Roman" w:cs="Arial"/>
          <w:sz w:val="21"/>
          <w:szCs w:val="21"/>
          <w:lang w:val="en-AU" w:eastAsia="en-AU"/>
        </w:rPr>
        <w:t>” Gender and disability considerations and opportunities have been incorporated into the ECP’s first 12-month work plan (</w:t>
      </w:r>
      <w:r w:rsidRPr="00572F16">
        <w:rPr>
          <w:rFonts w:eastAsia="Times New Roman" w:cs="Arial"/>
          <w:sz w:val="21"/>
          <w:szCs w:val="21"/>
          <w:u w:val="single"/>
          <w:lang w:val="en-AU" w:eastAsia="en-AU"/>
        </w:rPr>
        <w:t>Annex 2</w:t>
      </w:r>
      <w:r>
        <w:rPr>
          <w:rFonts w:eastAsia="Times New Roman" w:cs="Arial"/>
          <w:sz w:val="21"/>
          <w:szCs w:val="21"/>
          <w:lang w:val="en-AU" w:eastAsia="en-AU"/>
        </w:rPr>
        <w:t>).</w:t>
      </w:r>
    </w:p>
    <w:p w14:paraId="311BC7BB" w14:textId="393C7495" w:rsidR="00FB1553" w:rsidRDefault="00FB1553" w:rsidP="00FB1553">
      <w:pPr>
        <w:tabs>
          <w:tab w:val="left" w:pos="0"/>
          <w:tab w:val="left" w:pos="284"/>
        </w:tabs>
        <w:suppressAutoHyphens w:val="0"/>
        <w:spacing w:after="0"/>
        <w:jc w:val="both"/>
        <w:rPr>
          <w:rFonts w:eastAsia="Times New Roman" w:cs="Arial"/>
          <w:sz w:val="21"/>
          <w:szCs w:val="21"/>
          <w:lang w:val="en-AU" w:eastAsia="en-AU"/>
        </w:rPr>
      </w:pPr>
      <w:r>
        <w:rPr>
          <w:rFonts w:eastAsia="Times New Roman" w:cs="Arial"/>
          <w:sz w:val="21"/>
          <w:szCs w:val="21"/>
          <w:lang w:val="en-AU" w:eastAsia="en-AU"/>
        </w:rPr>
        <w:t>T</w:t>
      </w:r>
      <w:r w:rsidRPr="008400EF">
        <w:rPr>
          <w:rFonts w:eastAsia="Times New Roman" w:cs="Arial"/>
          <w:sz w:val="21"/>
          <w:szCs w:val="21"/>
          <w:lang w:val="en-AU" w:eastAsia="en-AU"/>
        </w:rPr>
        <w:t xml:space="preserve">he ECP will contribute to the </w:t>
      </w:r>
      <w:r w:rsidRPr="008400EF">
        <w:rPr>
          <w:rFonts w:eastAsia="Times New Roman" w:cs="Arial"/>
          <w:b/>
          <w:sz w:val="21"/>
          <w:szCs w:val="21"/>
          <w:lang w:val="en-AU" w:eastAsia="en-AU"/>
        </w:rPr>
        <w:t>Sustainable Development Goals</w:t>
      </w:r>
      <w:r w:rsidRPr="008400EF">
        <w:rPr>
          <w:rFonts w:eastAsia="Times New Roman" w:cs="Arial"/>
          <w:sz w:val="21"/>
          <w:szCs w:val="21"/>
          <w:lang w:val="en-AU" w:eastAsia="en-AU"/>
        </w:rPr>
        <w:t xml:space="preserve"> (SDGs) by improving the lives of poor women through increased access to jobs (SDGs 5 and 8) and promoting strong, sustainable and inclusive economic growth (SDG8).</w:t>
      </w:r>
    </w:p>
    <w:p w14:paraId="03B8EC28" w14:textId="49836271" w:rsidR="009B3421" w:rsidRPr="000323AC" w:rsidRDefault="002D4DE7" w:rsidP="000323AC">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00A01023">
        <w:rPr>
          <w:rFonts w:asciiTheme="majorHAnsi" w:hAnsiTheme="majorHAnsi"/>
          <w:b/>
          <w:szCs w:val="21"/>
        </w:rPr>
        <w:t>Proposed Outcomes and Investment Options (What?)</w:t>
      </w:r>
      <w:r w:rsidR="000323AC">
        <w:rPr>
          <w:rFonts w:asciiTheme="majorHAnsi" w:hAnsiTheme="majorHAnsi"/>
          <w:b/>
          <w:szCs w:val="21"/>
        </w:rPr>
        <w:t xml:space="preserve"> </w:t>
      </w:r>
    </w:p>
    <w:p w14:paraId="7F6C1B8A" w14:textId="08849F2E" w:rsidR="00A73B15" w:rsidRDefault="00DA1CDA" w:rsidP="00017B48">
      <w:pPr>
        <w:tabs>
          <w:tab w:val="left" w:pos="284"/>
        </w:tabs>
        <w:suppressAutoHyphens w:val="0"/>
        <w:spacing w:before="0" w:line="280" w:lineRule="exact"/>
        <w:jc w:val="both"/>
        <w:rPr>
          <w:rFonts w:eastAsia="Times New Roman" w:cs="Arial"/>
          <w:b/>
          <w:sz w:val="21"/>
          <w:szCs w:val="21"/>
          <w:lang w:val="en-AU" w:eastAsia="en-AU"/>
        </w:rPr>
      </w:pPr>
      <w:r>
        <w:rPr>
          <w:rFonts w:eastAsia="Times New Roman" w:cs="Arial"/>
          <w:b/>
          <w:sz w:val="21"/>
          <w:szCs w:val="21"/>
          <w:lang w:val="en-AU" w:eastAsia="en-AU"/>
        </w:rPr>
        <w:t>The goal of the ECP is to maximise</w:t>
      </w:r>
      <w:r w:rsidR="000D7938">
        <w:rPr>
          <w:rFonts w:eastAsia="Times New Roman" w:cs="Arial"/>
          <w:b/>
          <w:sz w:val="21"/>
          <w:szCs w:val="21"/>
          <w:lang w:val="en-AU" w:eastAsia="en-AU"/>
        </w:rPr>
        <w:t xml:space="preserve"> the</w:t>
      </w:r>
      <w:r>
        <w:rPr>
          <w:rFonts w:eastAsia="Times New Roman" w:cs="Arial"/>
          <w:b/>
          <w:sz w:val="21"/>
          <w:szCs w:val="21"/>
          <w:lang w:val="en-AU" w:eastAsia="en-AU"/>
        </w:rPr>
        <w:t xml:space="preserve"> benefits</w:t>
      </w:r>
      <w:r w:rsidR="000D7938">
        <w:rPr>
          <w:rFonts w:eastAsia="Times New Roman" w:cs="Arial"/>
          <w:b/>
          <w:sz w:val="21"/>
          <w:szCs w:val="21"/>
          <w:lang w:val="en-AU" w:eastAsia="en-AU"/>
        </w:rPr>
        <w:t xml:space="preserve"> of IA-CEPA</w:t>
      </w:r>
      <w:r>
        <w:rPr>
          <w:rFonts w:eastAsia="Times New Roman" w:cs="Arial"/>
          <w:b/>
          <w:sz w:val="21"/>
          <w:szCs w:val="21"/>
          <w:lang w:val="en-AU" w:eastAsia="en-AU"/>
        </w:rPr>
        <w:t xml:space="preserve">, support trade and investment, improve market access, and promote inclusive economic growth in Indonesia. </w:t>
      </w:r>
      <w:r w:rsidR="00C35774">
        <w:rPr>
          <w:rFonts w:eastAsia="Times New Roman" w:cs="Arial"/>
          <w:b/>
          <w:sz w:val="21"/>
          <w:szCs w:val="21"/>
          <w:lang w:val="en-AU" w:eastAsia="en-AU"/>
        </w:rPr>
        <w:t xml:space="preserve">Its objective is to support the efficient and effective implementation of IA-CEPA to increase two-way trade and investment that is broad based and inclusive. </w:t>
      </w:r>
    </w:p>
    <w:p w14:paraId="088125B1" w14:textId="7F6A8BCE" w:rsidR="00A73B15" w:rsidRDefault="009575F8" w:rsidP="004037BC">
      <w:pPr>
        <w:tabs>
          <w:tab w:val="left" w:pos="0"/>
          <w:tab w:val="left" w:pos="284"/>
        </w:tabs>
        <w:suppressAutoHyphens w:val="0"/>
        <w:spacing w:after="0"/>
        <w:jc w:val="both"/>
        <w:rPr>
          <w:rFonts w:eastAsia="Times New Roman" w:cs="Arial"/>
          <w:sz w:val="21"/>
          <w:szCs w:val="21"/>
          <w:lang w:val="en-AU" w:eastAsia="en-AU"/>
        </w:rPr>
      </w:pPr>
      <w:r w:rsidRPr="004037BC">
        <w:rPr>
          <w:rFonts w:eastAsia="Times New Roman" w:cs="Arial"/>
          <w:sz w:val="21"/>
          <w:szCs w:val="21"/>
          <w:lang w:val="en-AU" w:eastAsia="en-AU"/>
        </w:rPr>
        <w:t xml:space="preserve">IA-CEPA achieves </w:t>
      </w:r>
      <w:r w:rsidR="009D01DF" w:rsidRPr="004037BC">
        <w:rPr>
          <w:rFonts w:eastAsia="Times New Roman" w:cs="Arial"/>
          <w:sz w:val="21"/>
          <w:szCs w:val="21"/>
          <w:lang w:val="en-AU" w:eastAsia="en-AU"/>
        </w:rPr>
        <w:t xml:space="preserve">important </w:t>
      </w:r>
      <w:r w:rsidRPr="004037BC">
        <w:rPr>
          <w:rFonts w:eastAsia="Times New Roman" w:cs="Arial"/>
          <w:sz w:val="21"/>
          <w:szCs w:val="21"/>
          <w:lang w:val="en-AU" w:eastAsia="en-AU"/>
        </w:rPr>
        <w:t xml:space="preserve">advances in trade and </w:t>
      </w:r>
      <w:r w:rsidR="001168E7" w:rsidRPr="004037BC">
        <w:rPr>
          <w:rFonts w:eastAsia="Times New Roman" w:cs="Arial"/>
          <w:sz w:val="21"/>
          <w:szCs w:val="21"/>
          <w:lang w:val="en-AU" w:eastAsia="en-AU"/>
        </w:rPr>
        <w:t>investment</w:t>
      </w:r>
      <w:r w:rsidRPr="004037BC">
        <w:rPr>
          <w:rFonts w:eastAsia="Times New Roman" w:cs="Arial"/>
          <w:sz w:val="21"/>
          <w:szCs w:val="21"/>
          <w:lang w:val="en-AU" w:eastAsia="en-AU"/>
        </w:rPr>
        <w:t xml:space="preserve"> openness</w:t>
      </w:r>
      <w:r w:rsidR="008F59AA" w:rsidRPr="004037BC">
        <w:rPr>
          <w:rFonts w:eastAsia="Times New Roman" w:cs="Arial"/>
          <w:sz w:val="21"/>
          <w:szCs w:val="21"/>
          <w:lang w:val="en-AU" w:eastAsia="en-AU"/>
        </w:rPr>
        <w:t xml:space="preserve"> and </w:t>
      </w:r>
      <w:r w:rsidR="00580081" w:rsidRPr="004037BC">
        <w:rPr>
          <w:rFonts w:eastAsia="Times New Roman" w:cs="Arial"/>
          <w:sz w:val="21"/>
          <w:szCs w:val="21"/>
          <w:lang w:val="en-AU" w:eastAsia="en-AU"/>
        </w:rPr>
        <w:t xml:space="preserve">a </w:t>
      </w:r>
      <w:r w:rsidR="008F59AA" w:rsidRPr="004037BC">
        <w:rPr>
          <w:rFonts w:eastAsia="Times New Roman" w:cs="Arial"/>
          <w:sz w:val="21"/>
          <w:szCs w:val="21"/>
          <w:lang w:val="en-AU" w:eastAsia="en-AU"/>
        </w:rPr>
        <w:t xml:space="preserve">closer economic partnership </w:t>
      </w:r>
      <w:r w:rsidRPr="004037BC">
        <w:rPr>
          <w:rFonts w:eastAsia="Times New Roman" w:cs="Arial"/>
          <w:sz w:val="21"/>
          <w:szCs w:val="21"/>
          <w:lang w:val="en-AU" w:eastAsia="en-AU"/>
        </w:rPr>
        <w:t xml:space="preserve">between Australia and Indonesia. </w:t>
      </w:r>
      <w:r w:rsidR="00A73B15" w:rsidRPr="004037BC">
        <w:rPr>
          <w:rFonts w:eastAsia="Times New Roman" w:cs="Arial"/>
          <w:sz w:val="21"/>
          <w:szCs w:val="21"/>
          <w:lang w:val="en-AU" w:eastAsia="en-AU"/>
        </w:rPr>
        <w:t xml:space="preserve">With liberalising commitments </w:t>
      </w:r>
      <w:r w:rsidRPr="004037BC">
        <w:rPr>
          <w:rFonts w:eastAsia="Times New Roman" w:cs="Arial"/>
          <w:sz w:val="21"/>
          <w:szCs w:val="21"/>
          <w:lang w:val="en-AU" w:eastAsia="en-AU"/>
        </w:rPr>
        <w:t xml:space="preserve">and </w:t>
      </w:r>
      <w:r w:rsidR="009D01DF" w:rsidRPr="004037BC">
        <w:rPr>
          <w:rFonts w:eastAsia="Times New Roman" w:cs="Arial"/>
          <w:sz w:val="21"/>
          <w:szCs w:val="21"/>
          <w:lang w:val="en-AU" w:eastAsia="en-AU"/>
        </w:rPr>
        <w:t xml:space="preserve">prospects for </w:t>
      </w:r>
      <w:r w:rsidRPr="004037BC">
        <w:rPr>
          <w:rFonts w:eastAsia="Times New Roman" w:cs="Arial"/>
          <w:sz w:val="21"/>
          <w:szCs w:val="21"/>
          <w:lang w:val="en-AU" w:eastAsia="en-AU"/>
        </w:rPr>
        <w:t>enhanced two-way trade across much of the economy, supporting IA-CEPA implementation</w:t>
      </w:r>
      <w:r w:rsidR="00A73B15">
        <w:rPr>
          <w:rFonts w:eastAsia="Times New Roman" w:cs="Arial"/>
          <w:sz w:val="21"/>
          <w:szCs w:val="21"/>
          <w:lang w:val="en-AU" w:eastAsia="en-AU"/>
        </w:rPr>
        <w:t xml:space="preserve"> will help develop and maintain more stable, </w:t>
      </w:r>
      <w:r w:rsidR="00A73B15" w:rsidRPr="00AC1F4E">
        <w:rPr>
          <w:rFonts w:eastAsia="Times New Roman" w:cs="Arial"/>
          <w:sz w:val="21"/>
          <w:szCs w:val="21"/>
          <w:lang w:val="en-AU" w:eastAsia="en-AU"/>
        </w:rPr>
        <w:t>open</w:t>
      </w:r>
      <w:r w:rsidR="00C35774">
        <w:rPr>
          <w:rFonts w:eastAsia="Times New Roman" w:cs="Arial"/>
          <w:sz w:val="21"/>
          <w:szCs w:val="21"/>
          <w:lang w:val="en-AU" w:eastAsia="en-AU"/>
        </w:rPr>
        <w:t>, inclusive, gender equitable</w:t>
      </w:r>
      <w:r w:rsidR="00A73B15">
        <w:rPr>
          <w:rFonts w:eastAsia="Times New Roman" w:cs="Arial"/>
          <w:sz w:val="21"/>
          <w:szCs w:val="21"/>
          <w:lang w:val="en-AU" w:eastAsia="en-AU"/>
        </w:rPr>
        <w:t xml:space="preserve"> and transparent</w:t>
      </w:r>
      <w:r w:rsidR="00A73B15" w:rsidRPr="00AC1F4E">
        <w:rPr>
          <w:rFonts w:eastAsia="Times New Roman" w:cs="Arial"/>
          <w:sz w:val="21"/>
          <w:szCs w:val="21"/>
          <w:lang w:val="en-AU" w:eastAsia="en-AU"/>
        </w:rPr>
        <w:t xml:space="preserve"> trade and investment regime</w:t>
      </w:r>
      <w:r w:rsidR="00A73B15">
        <w:rPr>
          <w:rFonts w:eastAsia="Times New Roman" w:cs="Arial"/>
          <w:sz w:val="21"/>
          <w:szCs w:val="21"/>
          <w:lang w:val="en-AU" w:eastAsia="en-AU"/>
        </w:rPr>
        <w:t xml:space="preserve">s in Indonesia. This will be </w:t>
      </w:r>
      <w:r w:rsidR="00A73B15" w:rsidRPr="00AC1F4E">
        <w:rPr>
          <w:rFonts w:eastAsia="Times New Roman" w:cs="Arial"/>
          <w:sz w:val="21"/>
          <w:szCs w:val="21"/>
          <w:lang w:val="en-AU" w:eastAsia="en-AU"/>
        </w:rPr>
        <w:t xml:space="preserve">crucial to ensuring </w:t>
      </w:r>
      <w:r w:rsidR="00A73B15">
        <w:rPr>
          <w:rFonts w:eastAsia="Times New Roman" w:cs="Arial"/>
          <w:sz w:val="21"/>
          <w:szCs w:val="21"/>
          <w:lang w:val="en-AU" w:eastAsia="en-AU"/>
        </w:rPr>
        <w:t xml:space="preserve">Indonesia </w:t>
      </w:r>
      <w:r w:rsidR="00A73B15" w:rsidRPr="00AC1F4E">
        <w:rPr>
          <w:rFonts w:eastAsia="Times New Roman" w:cs="Arial"/>
          <w:sz w:val="21"/>
          <w:szCs w:val="21"/>
          <w:lang w:val="en-AU" w:eastAsia="en-AU"/>
        </w:rPr>
        <w:t xml:space="preserve">remains an attractive </w:t>
      </w:r>
      <w:r w:rsidR="00A73B15">
        <w:rPr>
          <w:rFonts w:eastAsia="Times New Roman" w:cs="Arial"/>
          <w:sz w:val="21"/>
          <w:szCs w:val="21"/>
          <w:lang w:val="en-AU" w:eastAsia="en-AU"/>
        </w:rPr>
        <w:t xml:space="preserve">trading partner and destination for foreign investment for </w:t>
      </w:r>
      <w:r w:rsidR="00A73B15" w:rsidRPr="00AC1F4E">
        <w:rPr>
          <w:rFonts w:eastAsia="Times New Roman" w:cs="Arial"/>
          <w:sz w:val="21"/>
          <w:szCs w:val="21"/>
          <w:lang w:val="en-AU" w:eastAsia="en-AU"/>
        </w:rPr>
        <w:t>Australian businesses</w:t>
      </w:r>
      <w:r w:rsidR="00A73B15">
        <w:rPr>
          <w:rFonts w:eastAsia="Times New Roman" w:cs="Arial"/>
          <w:sz w:val="21"/>
          <w:szCs w:val="21"/>
          <w:lang w:val="en-AU" w:eastAsia="en-AU"/>
        </w:rPr>
        <w:t>. Helping to create such an environment will be essential to Indonesia’s ongoing economic growth.</w:t>
      </w:r>
      <w:r w:rsidR="00A73B15" w:rsidRPr="00AC1F4E">
        <w:rPr>
          <w:rFonts w:eastAsia="Times New Roman" w:cs="Arial"/>
          <w:sz w:val="21"/>
          <w:szCs w:val="21"/>
          <w:lang w:val="en-AU" w:eastAsia="en-AU"/>
        </w:rPr>
        <w:t xml:space="preserve"> </w:t>
      </w:r>
    </w:p>
    <w:p w14:paraId="2638B5E0" w14:textId="104A0727" w:rsidR="009575F8" w:rsidRPr="00DA724B" w:rsidRDefault="00A73B15" w:rsidP="00F46375">
      <w:pPr>
        <w:spacing w:after="120"/>
        <w:jc w:val="both"/>
        <w:rPr>
          <w:rFonts w:cstheme="majorHAnsi"/>
          <w:sz w:val="21"/>
          <w:szCs w:val="21"/>
        </w:rPr>
      </w:pPr>
      <w:r>
        <w:rPr>
          <w:rFonts w:cstheme="majorHAnsi"/>
          <w:sz w:val="21"/>
          <w:szCs w:val="21"/>
        </w:rPr>
        <w:t>T</w:t>
      </w:r>
      <w:r w:rsidR="009D01DF" w:rsidRPr="00DA724B">
        <w:rPr>
          <w:rFonts w:cstheme="majorHAnsi"/>
          <w:sz w:val="21"/>
          <w:szCs w:val="21"/>
        </w:rPr>
        <w:t>he ECP will support</w:t>
      </w:r>
      <w:r w:rsidR="00562216">
        <w:rPr>
          <w:rFonts w:cstheme="majorHAnsi"/>
          <w:sz w:val="21"/>
          <w:szCs w:val="21"/>
        </w:rPr>
        <w:t xml:space="preserve"> three end-of-program-outcomes (EOPOs)</w:t>
      </w:r>
      <w:r w:rsidR="00CD3187">
        <w:rPr>
          <w:rFonts w:cstheme="majorHAnsi"/>
          <w:sz w:val="21"/>
          <w:szCs w:val="21"/>
        </w:rPr>
        <w:t xml:space="preserve"> by 2025</w:t>
      </w:r>
      <w:r w:rsidR="0039235A" w:rsidRPr="00DA724B">
        <w:rPr>
          <w:rFonts w:cstheme="majorHAnsi"/>
          <w:sz w:val="21"/>
          <w:szCs w:val="21"/>
        </w:rPr>
        <w:t xml:space="preserve">: </w:t>
      </w:r>
      <w:r w:rsidR="007B2ADD" w:rsidRPr="00DA724B">
        <w:rPr>
          <w:rFonts w:cstheme="majorHAnsi"/>
          <w:sz w:val="21"/>
          <w:szCs w:val="21"/>
        </w:rPr>
        <w:t xml:space="preserve"> </w:t>
      </w:r>
    </w:p>
    <w:p w14:paraId="56B28ACD" w14:textId="725CF196" w:rsidR="009B3421" w:rsidRPr="00DA724B" w:rsidRDefault="0039235A" w:rsidP="00280550">
      <w:pPr>
        <w:pStyle w:val="ListParagraph"/>
        <w:numPr>
          <w:ilvl w:val="0"/>
          <w:numId w:val="16"/>
        </w:numPr>
        <w:suppressAutoHyphens w:val="0"/>
        <w:spacing w:after="120"/>
        <w:jc w:val="both"/>
        <w:rPr>
          <w:rFonts w:cstheme="majorHAnsi"/>
          <w:sz w:val="21"/>
          <w:szCs w:val="21"/>
        </w:rPr>
      </w:pPr>
      <w:bookmarkStart w:id="0" w:name="_Hlk37254274"/>
      <w:r w:rsidRPr="00C051CE">
        <w:rPr>
          <w:rFonts w:cstheme="majorHAnsi"/>
          <w:b/>
          <w:sz w:val="21"/>
          <w:szCs w:val="21"/>
        </w:rPr>
        <w:t>Greater Market Access</w:t>
      </w:r>
      <w:r w:rsidR="000D7938">
        <w:rPr>
          <w:rFonts w:cstheme="majorHAnsi"/>
          <w:b/>
          <w:sz w:val="21"/>
          <w:szCs w:val="21"/>
        </w:rPr>
        <w:t xml:space="preserve"> </w:t>
      </w:r>
      <w:r w:rsidR="000D7938" w:rsidRPr="00313254">
        <w:rPr>
          <w:rFonts w:cstheme="majorHAnsi"/>
          <w:bCs/>
          <w:sz w:val="21"/>
          <w:szCs w:val="21"/>
        </w:rPr>
        <w:t xml:space="preserve">by </w:t>
      </w:r>
      <w:r w:rsidR="000D7938" w:rsidRPr="00B018E7">
        <w:rPr>
          <w:rFonts w:cstheme="majorHAnsi"/>
          <w:bCs/>
          <w:sz w:val="21"/>
          <w:szCs w:val="21"/>
        </w:rPr>
        <w:t>maximising the benefits of IA-CEPA commitments</w:t>
      </w:r>
      <w:r w:rsidR="000D7938" w:rsidRPr="00313254">
        <w:rPr>
          <w:rFonts w:cstheme="majorHAnsi"/>
          <w:bCs/>
          <w:sz w:val="21"/>
          <w:szCs w:val="21"/>
        </w:rPr>
        <w:t xml:space="preserve"> </w:t>
      </w:r>
      <w:r w:rsidR="00CD3187" w:rsidRPr="00313254">
        <w:rPr>
          <w:rFonts w:cstheme="majorHAnsi"/>
          <w:bCs/>
          <w:sz w:val="21"/>
          <w:szCs w:val="21"/>
        </w:rPr>
        <w:t xml:space="preserve">for Indonesian and Australian businesses, </w:t>
      </w:r>
      <w:r w:rsidR="000D7938" w:rsidRPr="00313254">
        <w:rPr>
          <w:rFonts w:cstheme="majorHAnsi"/>
          <w:bCs/>
          <w:sz w:val="21"/>
          <w:szCs w:val="21"/>
        </w:rPr>
        <w:t xml:space="preserve">and </w:t>
      </w:r>
      <w:r w:rsidR="00CD3187" w:rsidRPr="00313254">
        <w:rPr>
          <w:rFonts w:cstheme="majorHAnsi"/>
          <w:bCs/>
          <w:sz w:val="21"/>
          <w:szCs w:val="21"/>
        </w:rPr>
        <w:t>supporting increased two way trade and investment</w:t>
      </w:r>
      <w:r w:rsidR="000D7938" w:rsidRPr="006E3097">
        <w:rPr>
          <w:rFonts w:cstheme="majorHAnsi"/>
          <w:sz w:val="21"/>
          <w:szCs w:val="21"/>
        </w:rPr>
        <w:t>;</w:t>
      </w:r>
      <w:r w:rsidR="00AD10EB">
        <w:rPr>
          <w:rFonts w:cstheme="majorHAnsi"/>
          <w:sz w:val="21"/>
          <w:szCs w:val="21"/>
        </w:rPr>
        <w:t xml:space="preserve"> </w:t>
      </w:r>
    </w:p>
    <w:p w14:paraId="1A83B43D" w14:textId="722CD37F" w:rsidR="009B3421" w:rsidRPr="00DA724B" w:rsidRDefault="009B3421" w:rsidP="00280550">
      <w:pPr>
        <w:pStyle w:val="ListParagraph"/>
        <w:numPr>
          <w:ilvl w:val="0"/>
          <w:numId w:val="16"/>
        </w:numPr>
        <w:suppressAutoHyphens w:val="0"/>
        <w:spacing w:after="120"/>
        <w:jc w:val="both"/>
        <w:rPr>
          <w:rFonts w:cstheme="majorHAnsi"/>
          <w:sz w:val="21"/>
          <w:szCs w:val="21"/>
        </w:rPr>
      </w:pPr>
      <w:r w:rsidRPr="00C051CE">
        <w:rPr>
          <w:rFonts w:cstheme="majorHAnsi"/>
          <w:b/>
          <w:sz w:val="21"/>
          <w:szCs w:val="21"/>
        </w:rPr>
        <w:t>Better Integrated Markets</w:t>
      </w:r>
      <w:r w:rsidR="00257670">
        <w:rPr>
          <w:rFonts w:cstheme="majorHAnsi"/>
          <w:b/>
          <w:sz w:val="21"/>
          <w:szCs w:val="21"/>
        </w:rPr>
        <w:t xml:space="preserve"> </w:t>
      </w:r>
      <w:r w:rsidR="00257670" w:rsidRPr="00313254">
        <w:rPr>
          <w:rFonts w:cstheme="majorHAnsi"/>
          <w:bCs/>
          <w:sz w:val="21"/>
          <w:szCs w:val="21"/>
        </w:rPr>
        <w:t>between Indonesia and Australia</w:t>
      </w:r>
      <w:r w:rsidR="00FB713D">
        <w:rPr>
          <w:rFonts w:cstheme="majorHAnsi"/>
          <w:bCs/>
          <w:sz w:val="21"/>
          <w:szCs w:val="21"/>
        </w:rPr>
        <w:t>, by</w:t>
      </w:r>
      <w:r w:rsidR="00257670" w:rsidRPr="00313254">
        <w:rPr>
          <w:rFonts w:cstheme="majorHAnsi"/>
          <w:bCs/>
          <w:sz w:val="21"/>
          <w:szCs w:val="21"/>
        </w:rPr>
        <w:t xml:space="preserve"> fostering new economic partnerships and supporting gender equality, private sector engagement</w:t>
      </w:r>
      <w:r w:rsidR="00257670" w:rsidRPr="00B018E7">
        <w:rPr>
          <w:rFonts w:cstheme="majorHAnsi"/>
          <w:bCs/>
          <w:sz w:val="21"/>
          <w:szCs w:val="21"/>
        </w:rPr>
        <w:t>,</w:t>
      </w:r>
      <w:r w:rsidR="00AD10EB" w:rsidRPr="00B018E7">
        <w:rPr>
          <w:rFonts w:cstheme="majorHAnsi"/>
          <w:bCs/>
          <w:sz w:val="21"/>
          <w:szCs w:val="21"/>
        </w:rPr>
        <w:t xml:space="preserve"> </w:t>
      </w:r>
      <w:r w:rsidR="00AD10EB" w:rsidRPr="006B6DD4">
        <w:rPr>
          <w:rFonts w:cstheme="majorHAnsi"/>
          <w:bCs/>
          <w:sz w:val="21"/>
          <w:szCs w:val="21"/>
        </w:rPr>
        <w:t>and cooperation on the standards</w:t>
      </w:r>
      <w:r w:rsidR="000E444B" w:rsidRPr="006B6DD4">
        <w:rPr>
          <w:rFonts w:cstheme="majorHAnsi"/>
          <w:bCs/>
          <w:sz w:val="21"/>
          <w:szCs w:val="21"/>
        </w:rPr>
        <w:t xml:space="preserve"> </w:t>
      </w:r>
      <w:r w:rsidR="000E444B" w:rsidRPr="000A54B7">
        <w:rPr>
          <w:rFonts w:cstheme="majorHAnsi"/>
          <w:bCs/>
          <w:sz w:val="20"/>
          <w:szCs w:val="21"/>
        </w:rPr>
        <w:t>and conformance</w:t>
      </w:r>
      <w:r w:rsidR="00AD10EB" w:rsidRPr="00A87681">
        <w:rPr>
          <w:rFonts w:cstheme="majorHAnsi"/>
          <w:bCs/>
          <w:sz w:val="21"/>
          <w:szCs w:val="21"/>
        </w:rPr>
        <w:t xml:space="preserve"> ecosystem</w:t>
      </w:r>
      <w:r w:rsidR="005C7998">
        <w:rPr>
          <w:rFonts w:cstheme="majorHAnsi"/>
          <w:sz w:val="21"/>
          <w:szCs w:val="21"/>
        </w:rPr>
        <w:t>;</w:t>
      </w:r>
    </w:p>
    <w:p w14:paraId="49A652DD" w14:textId="6DD6E795" w:rsidR="009B3421" w:rsidRPr="00DA724B" w:rsidRDefault="009B3421" w:rsidP="00280550">
      <w:pPr>
        <w:pStyle w:val="ListParagraph"/>
        <w:numPr>
          <w:ilvl w:val="0"/>
          <w:numId w:val="16"/>
        </w:numPr>
        <w:suppressAutoHyphens w:val="0"/>
        <w:spacing w:after="120"/>
        <w:jc w:val="both"/>
        <w:rPr>
          <w:rFonts w:cstheme="majorHAnsi"/>
          <w:sz w:val="21"/>
          <w:szCs w:val="21"/>
        </w:rPr>
      </w:pPr>
      <w:r w:rsidRPr="00C051CE">
        <w:rPr>
          <w:rFonts w:cstheme="majorHAnsi"/>
          <w:b/>
          <w:sz w:val="21"/>
          <w:szCs w:val="21"/>
        </w:rPr>
        <w:t>Enhanced Labour Market Skills</w:t>
      </w:r>
      <w:r w:rsidR="00257670">
        <w:rPr>
          <w:rFonts w:cstheme="majorHAnsi"/>
          <w:sz w:val="21"/>
          <w:szCs w:val="21"/>
        </w:rPr>
        <w:t xml:space="preserve"> for Indonesian businesses and government, boosting productivity, gender equality and social inclusion.</w:t>
      </w:r>
      <w:r w:rsidR="00AD10EB">
        <w:rPr>
          <w:rFonts w:cstheme="majorHAnsi"/>
          <w:sz w:val="21"/>
          <w:szCs w:val="21"/>
        </w:rPr>
        <w:t xml:space="preserve"> </w:t>
      </w:r>
      <w:r w:rsidRPr="00DA724B">
        <w:rPr>
          <w:rFonts w:cstheme="majorHAnsi"/>
          <w:sz w:val="21"/>
          <w:szCs w:val="21"/>
        </w:rPr>
        <w:t xml:space="preserve"> </w:t>
      </w:r>
    </w:p>
    <w:bookmarkEnd w:id="0"/>
    <w:p w14:paraId="4D238DD3" w14:textId="311CE3B7" w:rsidR="00893D32" w:rsidRPr="00A17054" w:rsidRDefault="009D0E21" w:rsidP="00A17054">
      <w:pPr>
        <w:spacing w:after="120"/>
        <w:jc w:val="both"/>
        <w:rPr>
          <w:rFonts w:cstheme="majorHAnsi"/>
          <w:b/>
          <w:sz w:val="21"/>
          <w:szCs w:val="21"/>
        </w:rPr>
      </w:pPr>
      <w:r>
        <w:rPr>
          <w:rFonts w:cstheme="majorHAnsi"/>
          <w:b/>
          <w:sz w:val="21"/>
          <w:szCs w:val="21"/>
        </w:rPr>
        <w:t>It should be noted that u</w:t>
      </w:r>
      <w:r w:rsidRPr="009D0E21">
        <w:rPr>
          <w:rFonts w:cstheme="majorHAnsi"/>
          <w:b/>
          <w:sz w:val="21"/>
          <w:szCs w:val="21"/>
        </w:rPr>
        <w:t>nlike traditional development</w:t>
      </w:r>
      <w:r>
        <w:rPr>
          <w:rFonts w:cstheme="majorHAnsi"/>
          <w:b/>
          <w:sz w:val="21"/>
          <w:szCs w:val="21"/>
        </w:rPr>
        <w:t xml:space="preserve"> </w:t>
      </w:r>
      <w:r w:rsidRPr="009D0E21">
        <w:rPr>
          <w:rFonts w:cstheme="majorHAnsi"/>
          <w:b/>
          <w:sz w:val="21"/>
          <w:szCs w:val="21"/>
        </w:rPr>
        <w:t xml:space="preserve">programs, </w:t>
      </w:r>
      <w:r>
        <w:rPr>
          <w:rFonts w:cstheme="majorHAnsi"/>
          <w:b/>
          <w:sz w:val="21"/>
          <w:szCs w:val="21"/>
        </w:rPr>
        <w:t>the ECP’s initial work program ha</w:t>
      </w:r>
      <w:r w:rsidR="00B56942">
        <w:rPr>
          <w:rFonts w:cstheme="majorHAnsi"/>
          <w:b/>
          <w:sz w:val="21"/>
          <w:szCs w:val="21"/>
        </w:rPr>
        <w:t>d</w:t>
      </w:r>
      <w:r>
        <w:rPr>
          <w:rFonts w:cstheme="majorHAnsi"/>
          <w:b/>
          <w:sz w:val="21"/>
          <w:szCs w:val="21"/>
        </w:rPr>
        <w:t xml:space="preserve"> been guided by</w:t>
      </w:r>
      <w:r w:rsidR="009254A4">
        <w:rPr>
          <w:rFonts w:cstheme="majorHAnsi"/>
          <w:b/>
          <w:sz w:val="21"/>
          <w:szCs w:val="21"/>
        </w:rPr>
        <w:t xml:space="preserve"> a number of </w:t>
      </w:r>
      <w:r>
        <w:rPr>
          <w:rFonts w:cstheme="majorHAnsi"/>
          <w:b/>
          <w:sz w:val="21"/>
          <w:szCs w:val="21"/>
        </w:rPr>
        <w:t xml:space="preserve"> commitments and suggestions made during the course of negotiations. </w:t>
      </w:r>
      <w:r w:rsidR="00165183">
        <w:rPr>
          <w:rFonts w:cstheme="majorHAnsi"/>
          <w:sz w:val="21"/>
          <w:szCs w:val="21"/>
        </w:rPr>
        <w:t xml:space="preserve">These have been assessed, developed and costed as set out in the </w:t>
      </w:r>
      <w:r w:rsidR="0039235A" w:rsidRPr="00C051CE">
        <w:rPr>
          <w:rFonts w:cstheme="majorHAnsi"/>
          <w:sz w:val="21"/>
          <w:szCs w:val="21"/>
        </w:rPr>
        <w:t>proposed outcomes</w:t>
      </w:r>
      <w:r w:rsidR="003F1DAE" w:rsidRPr="00C051CE">
        <w:rPr>
          <w:rFonts w:cstheme="majorHAnsi"/>
          <w:sz w:val="21"/>
          <w:szCs w:val="21"/>
        </w:rPr>
        <w:t xml:space="preserve"> </w:t>
      </w:r>
      <w:r w:rsidR="0039235A" w:rsidRPr="00C051CE">
        <w:rPr>
          <w:rFonts w:cstheme="majorHAnsi"/>
          <w:sz w:val="21"/>
          <w:szCs w:val="21"/>
        </w:rPr>
        <w:t>summari</w:t>
      </w:r>
      <w:r w:rsidR="003E4BC5">
        <w:rPr>
          <w:rFonts w:cstheme="majorHAnsi"/>
          <w:sz w:val="21"/>
          <w:szCs w:val="21"/>
        </w:rPr>
        <w:t>s</w:t>
      </w:r>
      <w:r w:rsidR="0039235A" w:rsidRPr="00C051CE">
        <w:rPr>
          <w:rFonts w:cstheme="majorHAnsi"/>
          <w:sz w:val="21"/>
          <w:szCs w:val="21"/>
        </w:rPr>
        <w:t>ed below</w:t>
      </w:r>
      <w:r w:rsidR="002A7030">
        <w:rPr>
          <w:rFonts w:cstheme="majorHAnsi"/>
          <w:sz w:val="21"/>
          <w:szCs w:val="21"/>
        </w:rPr>
        <w:t xml:space="preserve">, and </w:t>
      </w:r>
      <w:r w:rsidR="002A7030" w:rsidRPr="00C051CE">
        <w:rPr>
          <w:rFonts w:cstheme="majorHAnsi"/>
          <w:b/>
          <w:sz w:val="21"/>
          <w:szCs w:val="21"/>
        </w:rPr>
        <w:t xml:space="preserve">initial activities envisaged under the ECP are more fully described </w:t>
      </w:r>
      <w:r w:rsidR="00572F16">
        <w:rPr>
          <w:rFonts w:cstheme="majorHAnsi"/>
          <w:b/>
          <w:sz w:val="21"/>
          <w:szCs w:val="21"/>
        </w:rPr>
        <w:t>at</w:t>
      </w:r>
      <w:r w:rsidR="002A7030" w:rsidRPr="00C051CE">
        <w:rPr>
          <w:rFonts w:cstheme="majorHAnsi"/>
          <w:b/>
          <w:sz w:val="21"/>
          <w:szCs w:val="21"/>
        </w:rPr>
        <w:t xml:space="preserve"> </w:t>
      </w:r>
      <w:r w:rsidR="002A7030" w:rsidRPr="00572F16">
        <w:rPr>
          <w:rFonts w:cstheme="majorHAnsi"/>
          <w:sz w:val="21"/>
          <w:szCs w:val="21"/>
          <w:u w:val="single"/>
        </w:rPr>
        <w:t>Annex</w:t>
      </w:r>
      <w:r w:rsidR="00B22928" w:rsidRPr="00572F16">
        <w:rPr>
          <w:rFonts w:cstheme="majorHAnsi"/>
          <w:sz w:val="21"/>
          <w:szCs w:val="21"/>
          <w:u w:val="single"/>
        </w:rPr>
        <w:t xml:space="preserve"> </w:t>
      </w:r>
      <w:r w:rsidR="00622562">
        <w:rPr>
          <w:rFonts w:cstheme="majorHAnsi"/>
          <w:sz w:val="21"/>
          <w:szCs w:val="21"/>
          <w:u w:val="single"/>
        </w:rPr>
        <w:t>6</w:t>
      </w:r>
      <w:r w:rsidR="002A7030" w:rsidRPr="00C051CE">
        <w:rPr>
          <w:rFonts w:cstheme="majorHAnsi"/>
          <w:b/>
          <w:sz w:val="21"/>
          <w:szCs w:val="21"/>
        </w:rPr>
        <w:t xml:space="preserve">. </w:t>
      </w:r>
    </w:p>
    <w:p w14:paraId="33F98B9C" w14:textId="11843057" w:rsidR="00190787" w:rsidRPr="00C051CE" w:rsidRDefault="005D7D5A" w:rsidP="004037BC">
      <w:pPr>
        <w:suppressAutoHyphens w:val="0"/>
        <w:spacing w:before="0" w:after="120" w:line="440" w:lineRule="atLeast"/>
        <w:rPr>
          <w:b/>
          <w:sz w:val="21"/>
          <w:szCs w:val="21"/>
        </w:rPr>
      </w:pPr>
      <w:r w:rsidRPr="00C051CE">
        <w:rPr>
          <w:b/>
          <w:sz w:val="21"/>
          <w:szCs w:val="21"/>
        </w:rPr>
        <w:t>1.</w:t>
      </w:r>
      <w:r w:rsidRPr="00C051CE">
        <w:rPr>
          <w:b/>
          <w:sz w:val="21"/>
          <w:szCs w:val="21"/>
        </w:rPr>
        <w:tab/>
      </w:r>
      <w:r w:rsidR="00253A13" w:rsidRPr="00C051CE">
        <w:rPr>
          <w:b/>
          <w:sz w:val="21"/>
          <w:szCs w:val="21"/>
        </w:rPr>
        <w:t>Greater Market Access</w:t>
      </w:r>
    </w:p>
    <w:p w14:paraId="6D6688D2" w14:textId="4971858B" w:rsidR="00190787" w:rsidRDefault="00190787" w:rsidP="003F1DAE">
      <w:pPr>
        <w:spacing w:after="120"/>
        <w:jc w:val="both"/>
        <w:rPr>
          <w:rFonts w:cstheme="majorHAnsi"/>
          <w:sz w:val="21"/>
          <w:szCs w:val="21"/>
        </w:rPr>
      </w:pPr>
      <w:r>
        <w:rPr>
          <w:rFonts w:cstheme="majorHAnsi"/>
          <w:sz w:val="21"/>
          <w:szCs w:val="21"/>
        </w:rPr>
        <w:t xml:space="preserve">Despite close engagement and trusted relations between Australia and Indonesia in a number of areas the level of trade, investment and economic partnership between the two countries remain relatively limited. A relatively small number of Australian companies have a presence in Indonesia and few Indonesian firms </w:t>
      </w:r>
      <w:r w:rsidR="00BF7B32">
        <w:rPr>
          <w:rFonts w:cstheme="majorHAnsi"/>
          <w:sz w:val="21"/>
          <w:szCs w:val="21"/>
        </w:rPr>
        <w:t xml:space="preserve">operate </w:t>
      </w:r>
      <w:r>
        <w:rPr>
          <w:rFonts w:cstheme="majorHAnsi"/>
          <w:sz w:val="21"/>
          <w:szCs w:val="21"/>
        </w:rPr>
        <w:t>in Australia.</w:t>
      </w:r>
      <w:r w:rsidRPr="004037BC">
        <w:rPr>
          <w:rStyle w:val="Style"/>
        </w:rPr>
        <w:t xml:space="preserve"> </w:t>
      </w:r>
      <w:r w:rsidRPr="004037BC">
        <w:rPr>
          <w:rStyle w:val="Style"/>
        </w:rPr>
        <w:footnoteReference w:id="23"/>
      </w:r>
      <w:r w:rsidRPr="00DA724B">
        <w:rPr>
          <w:rFonts w:cstheme="majorHAnsi"/>
          <w:sz w:val="21"/>
          <w:szCs w:val="21"/>
        </w:rPr>
        <w:t xml:space="preserve"> </w:t>
      </w:r>
      <w:r>
        <w:rPr>
          <w:rFonts w:cstheme="majorHAnsi"/>
          <w:sz w:val="21"/>
          <w:szCs w:val="21"/>
        </w:rPr>
        <w:t xml:space="preserve"> </w:t>
      </w:r>
    </w:p>
    <w:p w14:paraId="044A5A82" w14:textId="75F09365" w:rsidR="00766714" w:rsidRPr="00DA724B" w:rsidRDefault="00766714" w:rsidP="003F1DAE">
      <w:pPr>
        <w:spacing w:after="120"/>
        <w:jc w:val="both"/>
        <w:rPr>
          <w:rFonts w:cstheme="majorHAnsi"/>
          <w:sz w:val="21"/>
          <w:szCs w:val="21"/>
        </w:rPr>
      </w:pPr>
      <w:r w:rsidRPr="00DA724B">
        <w:rPr>
          <w:rFonts w:cstheme="majorHAnsi"/>
          <w:sz w:val="21"/>
          <w:szCs w:val="21"/>
        </w:rPr>
        <w:t xml:space="preserve">Low levels of market access reflect a range of factors, including barriers to trade and investment, </w:t>
      </w:r>
      <w:r w:rsidR="00017B48">
        <w:rPr>
          <w:rFonts w:cstheme="majorHAnsi"/>
          <w:sz w:val="21"/>
          <w:szCs w:val="21"/>
        </w:rPr>
        <w:t xml:space="preserve">language and </w:t>
      </w:r>
      <w:r w:rsidRPr="00DA724B">
        <w:rPr>
          <w:rFonts w:cstheme="majorHAnsi"/>
          <w:sz w:val="21"/>
          <w:szCs w:val="21"/>
        </w:rPr>
        <w:t xml:space="preserve">cultural barriers and a limited understanding of respective market </w:t>
      </w:r>
      <w:r w:rsidR="00974932" w:rsidRPr="00DA724B">
        <w:rPr>
          <w:rFonts w:cstheme="majorHAnsi"/>
          <w:sz w:val="21"/>
          <w:szCs w:val="21"/>
        </w:rPr>
        <w:t>opportunities</w:t>
      </w:r>
      <w:r w:rsidRPr="00DA724B">
        <w:rPr>
          <w:rFonts w:cstheme="majorHAnsi"/>
          <w:sz w:val="21"/>
          <w:szCs w:val="21"/>
        </w:rPr>
        <w:t>. A range of efforts and programs exist to address these gaps, including the strong relati</w:t>
      </w:r>
      <w:r w:rsidR="00BE2A06">
        <w:rPr>
          <w:rFonts w:cstheme="majorHAnsi"/>
          <w:sz w:val="21"/>
          <w:szCs w:val="21"/>
        </w:rPr>
        <w:t xml:space="preserve">onships established through </w:t>
      </w:r>
      <w:proofErr w:type="spellStart"/>
      <w:r w:rsidR="00BE2A06">
        <w:rPr>
          <w:rFonts w:cstheme="majorHAnsi"/>
          <w:sz w:val="21"/>
          <w:szCs w:val="21"/>
        </w:rPr>
        <w:t>Aust</w:t>
      </w:r>
      <w:r w:rsidRPr="00DA724B">
        <w:rPr>
          <w:rFonts w:cstheme="majorHAnsi"/>
          <w:sz w:val="21"/>
          <w:szCs w:val="21"/>
        </w:rPr>
        <w:t>rade</w:t>
      </w:r>
      <w:proofErr w:type="spellEnd"/>
      <w:r w:rsidRPr="00DA724B">
        <w:rPr>
          <w:rFonts w:cstheme="majorHAnsi"/>
          <w:sz w:val="21"/>
          <w:szCs w:val="21"/>
        </w:rPr>
        <w:t xml:space="preserve"> and DFAT</w:t>
      </w:r>
      <w:r w:rsidR="00D35C40">
        <w:rPr>
          <w:rFonts w:cstheme="majorHAnsi"/>
          <w:sz w:val="21"/>
          <w:szCs w:val="21"/>
        </w:rPr>
        <w:t>, including its</w:t>
      </w:r>
      <w:r w:rsidRPr="00DA724B">
        <w:rPr>
          <w:rFonts w:cstheme="majorHAnsi"/>
          <w:sz w:val="21"/>
          <w:szCs w:val="21"/>
        </w:rPr>
        <w:t xml:space="preserve"> flagship economic partnership program </w:t>
      </w:r>
      <w:r w:rsidR="00680EAE">
        <w:rPr>
          <w:rFonts w:cstheme="majorHAnsi"/>
          <w:sz w:val="21"/>
          <w:szCs w:val="21"/>
        </w:rPr>
        <w:t>PROSPERA</w:t>
      </w:r>
      <w:r w:rsidRPr="00DA724B">
        <w:rPr>
          <w:rFonts w:cstheme="majorHAnsi"/>
          <w:sz w:val="21"/>
          <w:szCs w:val="21"/>
        </w:rPr>
        <w:t xml:space="preserve">. IA-CEPA provides a new opportunity to build on these efforts, by significantly lowering barriers to trade and investment. </w:t>
      </w:r>
    </w:p>
    <w:p w14:paraId="2B41B5F4" w14:textId="3574D031" w:rsidR="0018380C" w:rsidRPr="00DA724B" w:rsidRDefault="00DD2D82" w:rsidP="002A0623">
      <w:pPr>
        <w:spacing w:after="240"/>
        <w:jc w:val="both"/>
        <w:rPr>
          <w:rFonts w:cstheme="majorHAnsi"/>
          <w:sz w:val="21"/>
          <w:szCs w:val="21"/>
        </w:rPr>
      </w:pPr>
      <w:r>
        <w:rPr>
          <w:rFonts w:cstheme="majorHAnsi"/>
          <w:sz w:val="21"/>
          <w:szCs w:val="21"/>
        </w:rPr>
        <w:t xml:space="preserve">Even after </w:t>
      </w:r>
      <w:r w:rsidR="0018380C" w:rsidRPr="00DA724B">
        <w:rPr>
          <w:rFonts w:cstheme="majorHAnsi"/>
          <w:sz w:val="21"/>
          <w:szCs w:val="21"/>
        </w:rPr>
        <w:t xml:space="preserve">IA-CEPA </w:t>
      </w:r>
      <w:r>
        <w:rPr>
          <w:rFonts w:cstheme="majorHAnsi"/>
          <w:sz w:val="21"/>
          <w:szCs w:val="21"/>
        </w:rPr>
        <w:t>implementation</w:t>
      </w:r>
      <w:r w:rsidR="0018380C" w:rsidRPr="00DA724B">
        <w:rPr>
          <w:rFonts w:cstheme="majorHAnsi"/>
          <w:sz w:val="21"/>
          <w:szCs w:val="21"/>
        </w:rPr>
        <w:t xml:space="preserve">, Australian and Indonesian businesses will still face a range of </w:t>
      </w:r>
      <w:r w:rsidR="00017B48">
        <w:rPr>
          <w:rFonts w:cstheme="majorHAnsi"/>
          <w:sz w:val="21"/>
          <w:szCs w:val="21"/>
        </w:rPr>
        <w:t xml:space="preserve">trade restricting, technical and informal/cultural </w:t>
      </w:r>
      <w:r w:rsidR="0018380C" w:rsidRPr="00DA724B">
        <w:rPr>
          <w:rFonts w:cstheme="majorHAnsi"/>
          <w:sz w:val="21"/>
          <w:szCs w:val="21"/>
        </w:rPr>
        <w:t xml:space="preserve">barriers that will continue to impact upon trade and investment flows. </w:t>
      </w:r>
      <w:r w:rsidR="00F86A49">
        <w:rPr>
          <w:rFonts w:cstheme="majorHAnsi"/>
          <w:sz w:val="21"/>
          <w:szCs w:val="21"/>
        </w:rPr>
        <w:t xml:space="preserve">It will also be important to </w:t>
      </w:r>
      <w:r w:rsidR="00100E29">
        <w:rPr>
          <w:rFonts w:cstheme="majorHAnsi"/>
          <w:sz w:val="21"/>
          <w:szCs w:val="21"/>
        </w:rPr>
        <w:t xml:space="preserve">engage on </w:t>
      </w:r>
      <w:r w:rsidR="00F86A49">
        <w:rPr>
          <w:rFonts w:cstheme="majorHAnsi"/>
          <w:sz w:val="21"/>
          <w:szCs w:val="21"/>
        </w:rPr>
        <w:t xml:space="preserve">future </w:t>
      </w:r>
      <w:r w:rsidR="00100E29">
        <w:rPr>
          <w:rFonts w:cstheme="majorHAnsi"/>
          <w:sz w:val="21"/>
          <w:szCs w:val="21"/>
        </w:rPr>
        <w:t>measures that</w:t>
      </w:r>
      <w:r w:rsidR="00F86A49">
        <w:rPr>
          <w:rFonts w:cstheme="majorHAnsi"/>
          <w:sz w:val="21"/>
          <w:szCs w:val="21"/>
        </w:rPr>
        <w:t xml:space="preserve"> </w:t>
      </w:r>
      <w:r w:rsidR="00100E29">
        <w:rPr>
          <w:rFonts w:cstheme="majorHAnsi"/>
          <w:sz w:val="21"/>
          <w:szCs w:val="21"/>
        </w:rPr>
        <w:t xml:space="preserve">may </w:t>
      </w:r>
      <w:r w:rsidR="00F86A49">
        <w:rPr>
          <w:rFonts w:cstheme="majorHAnsi"/>
          <w:sz w:val="21"/>
          <w:szCs w:val="21"/>
        </w:rPr>
        <w:t>not conform with IA-CEPA commitments</w:t>
      </w:r>
      <w:r w:rsidR="00100E29">
        <w:rPr>
          <w:rFonts w:cstheme="majorHAnsi"/>
          <w:sz w:val="21"/>
          <w:szCs w:val="21"/>
        </w:rPr>
        <w:t>.</w:t>
      </w:r>
      <w:r w:rsidR="00F86A49">
        <w:rPr>
          <w:rFonts w:cstheme="majorHAnsi"/>
          <w:sz w:val="21"/>
          <w:szCs w:val="21"/>
        </w:rPr>
        <w:t xml:space="preserve"> </w:t>
      </w:r>
      <w:r w:rsidR="00974932" w:rsidRPr="00DA724B">
        <w:rPr>
          <w:rFonts w:cstheme="majorHAnsi"/>
          <w:sz w:val="21"/>
          <w:szCs w:val="21"/>
        </w:rPr>
        <w:t>Accordingly</w:t>
      </w:r>
      <w:r w:rsidR="0018380C" w:rsidRPr="00DA724B">
        <w:rPr>
          <w:rFonts w:cstheme="majorHAnsi"/>
          <w:sz w:val="21"/>
          <w:szCs w:val="21"/>
        </w:rPr>
        <w:t xml:space="preserve">, the ECP </w:t>
      </w:r>
      <w:r w:rsidR="00017B48">
        <w:rPr>
          <w:rFonts w:cstheme="majorHAnsi"/>
          <w:sz w:val="21"/>
          <w:szCs w:val="21"/>
        </w:rPr>
        <w:t xml:space="preserve">will </w:t>
      </w:r>
      <w:r w:rsidR="0018380C" w:rsidRPr="00DA724B">
        <w:rPr>
          <w:rFonts w:cstheme="majorHAnsi"/>
          <w:sz w:val="21"/>
          <w:szCs w:val="21"/>
        </w:rPr>
        <w:t>support the implementation of IA-CEPA</w:t>
      </w:r>
      <w:r w:rsidR="00017B48">
        <w:rPr>
          <w:rFonts w:cstheme="majorHAnsi"/>
          <w:sz w:val="21"/>
          <w:szCs w:val="21"/>
        </w:rPr>
        <w:t xml:space="preserve"> with a focus on trade facilitative technical assistance to </w:t>
      </w:r>
      <w:r w:rsidR="0018380C" w:rsidRPr="00DA724B">
        <w:rPr>
          <w:rFonts w:cstheme="majorHAnsi"/>
          <w:sz w:val="21"/>
          <w:szCs w:val="21"/>
        </w:rPr>
        <w:t xml:space="preserve">ensure the </w:t>
      </w:r>
      <w:r w:rsidR="0018380C" w:rsidRPr="00DA724B">
        <w:rPr>
          <w:rFonts w:cstheme="majorHAnsi"/>
          <w:sz w:val="21"/>
          <w:szCs w:val="21"/>
        </w:rPr>
        <w:lastRenderedPageBreak/>
        <w:t xml:space="preserve">benefits are maximised </w:t>
      </w:r>
      <w:r w:rsidR="006E7E4B" w:rsidRPr="00DA724B">
        <w:rPr>
          <w:rFonts w:cstheme="majorHAnsi"/>
          <w:sz w:val="21"/>
          <w:szCs w:val="21"/>
        </w:rPr>
        <w:t>for the mutual benefit of both countries</w:t>
      </w:r>
      <w:r w:rsidR="0018380C" w:rsidRPr="00DA724B">
        <w:rPr>
          <w:rFonts w:cstheme="majorHAnsi"/>
          <w:sz w:val="21"/>
          <w:szCs w:val="21"/>
        </w:rPr>
        <w:t>.</w:t>
      </w:r>
      <w:r w:rsidR="00766714" w:rsidRPr="00DA724B">
        <w:rPr>
          <w:rFonts w:cstheme="majorHAnsi"/>
          <w:sz w:val="21"/>
          <w:szCs w:val="21"/>
        </w:rPr>
        <w:t xml:space="preserve">  </w:t>
      </w:r>
      <w:r w:rsidR="0012726C">
        <w:rPr>
          <w:rFonts w:cstheme="majorHAnsi"/>
          <w:sz w:val="21"/>
          <w:szCs w:val="21"/>
        </w:rPr>
        <w:t xml:space="preserve">It will also seek to identify new opportunities in the global economy where </w:t>
      </w:r>
      <w:r w:rsidR="00D76CB9">
        <w:rPr>
          <w:rFonts w:cstheme="majorHAnsi"/>
          <w:sz w:val="21"/>
          <w:szCs w:val="21"/>
        </w:rPr>
        <w:t xml:space="preserve">deeper engagement would bolster </w:t>
      </w:r>
      <w:r w:rsidR="0012726C">
        <w:rPr>
          <w:rFonts w:cstheme="majorHAnsi"/>
          <w:sz w:val="21"/>
          <w:szCs w:val="21"/>
        </w:rPr>
        <w:t>Australian/Indonesian complementarity</w:t>
      </w:r>
      <w:r w:rsidR="00D76CB9">
        <w:rPr>
          <w:rFonts w:cstheme="majorHAnsi"/>
          <w:sz w:val="21"/>
          <w:szCs w:val="21"/>
        </w:rPr>
        <w:t>, in sectors from the digital economy to creative industries</w:t>
      </w:r>
      <w:r w:rsidR="0012726C">
        <w:rPr>
          <w:rFonts w:cstheme="majorHAnsi"/>
          <w:sz w:val="21"/>
          <w:szCs w:val="21"/>
        </w:rPr>
        <w:t xml:space="preserve">. </w:t>
      </w:r>
    </w:p>
    <w:p w14:paraId="3E5F9912" w14:textId="1A01D085" w:rsidR="0018380C" w:rsidRPr="0018380C" w:rsidRDefault="004F0CBD" w:rsidP="0096338E">
      <w:pPr>
        <w:pBdr>
          <w:top w:val="single" w:sz="4" w:space="1" w:color="auto"/>
          <w:left w:val="single" w:sz="4" w:space="4" w:color="auto"/>
          <w:bottom w:val="single" w:sz="4" w:space="1" w:color="auto"/>
          <w:right w:val="single" w:sz="4" w:space="4" w:color="auto"/>
        </w:pBdr>
        <w:spacing w:after="0"/>
        <w:jc w:val="both"/>
        <w:rPr>
          <w:rFonts w:eastAsia="Times New Roman" w:cs="Arial"/>
          <w:b/>
          <w:i/>
          <w:lang w:val="en-AU" w:eastAsia="en-AU"/>
        </w:rPr>
      </w:pPr>
      <w:r>
        <w:rPr>
          <w:rFonts w:eastAsia="Times New Roman" w:cs="Arial"/>
          <w:b/>
          <w:i/>
          <w:lang w:val="en-AU" w:eastAsia="en-AU"/>
        </w:rPr>
        <w:t xml:space="preserve">The ECP’s </w:t>
      </w:r>
      <w:r w:rsidR="001D5474">
        <w:rPr>
          <w:rFonts w:eastAsia="Times New Roman" w:cs="Arial"/>
          <w:b/>
          <w:i/>
          <w:lang w:val="en-AU" w:eastAsia="en-AU"/>
        </w:rPr>
        <w:t>‘C</w:t>
      </w:r>
      <w:r>
        <w:rPr>
          <w:rFonts w:eastAsia="Times New Roman" w:cs="Arial"/>
          <w:b/>
          <w:i/>
          <w:lang w:val="en-AU" w:eastAsia="en-AU"/>
        </w:rPr>
        <w:t>ore</w:t>
      </w:r>
      <w:r w:rsidR="001D5474">
        <w:rPr>
          <w:rFonts w:eastAsia="Times New Roman" w:cs="Arial"/>
          <w:b/>
          <w:i/>
          <w:lang w:val="en-AU" w:eastAsia="en-AU"/>
        </w:rPr>
        <w:t xml:space="preserve"> Business’</w:t>
      </w:r>
    </w:p>
    <w:p w14:paraId="73A41BD3" w14:textId="326A28B5" w:rsidR="0018380C" w:rsidRDefault="0018380C" w:rsidP="00253BBB">
      <w:pPr>
        <w:pBdr>
          <w:top w:val="single" w:sz="4" w:space="1" w:color="auto"/>
          <w:left w:val="single" w:sz="4" w:space="4" w:color="auto"/>
          <w:bottom w:val="single" w:sz="4" w:space="1" w:color="auto"/>
          <w:right w:val="single" w:sz="4" w:space="4" w:color="auto"/>
        </w:pBdr>
        <w:jc w:val="both"/>
        <w:rPr>
          <w:sz w:val="21"/>
          <w:szCs w:val="21"/>
        </w:rPr>
      </w:pPr>
      <w:r w:rsidRPr="0086792D">
        <w:rPr>
          <w:sz w:val="21"/>
          <w:szCs w:val="21"/>
        </w:rPr>
        <w:t xml:space="preserve">Supporting the full implementation of IA-CEPA, and ensuring that the outcomes of the agreement are maximised, </w:t>
      </w:r>
      <w:r w:rsidR="006E7E4B">
        <w:rPr>
          <w:sz w:val="21"/>
          <w:szCs w:val="21"/>
        </w:rPr>
        <w:t>for mutual benefit</w:t>
      </w:r>
      <w:r w:rsidR="0041287D">
        <w:rPr>
          <w:sz w:val="21"/>
          <w:szCs w:val="21"/>
        </w:rPr>
        <w:t>,</w:t>
      </w:r>
      <w:r w:rsidR="006E7E4B">
        <w:rPr>
          <w:sz w:val="21"/>
          <w:szCs w:val="21"/>
        </w:rPr>
        <w:t xml:space="preserve"> </w:t>
      </w:r>
      <w:r w:rsidRPr="0086792D">
        <w:rPr>
          <w:sz w:val="21"/>
          <w:szCs w:val="21"/>
        </w:rPr>
        <w:t xml:space="preserve">will be the </w:t>
      </w:r>
      <w:r w:rsidRPr="00C051CE">
        <w:rPr>
          <w:b/>
          <w:sz w:val="21"/>
          <w:szCs w:val="21"/>
        </w:rPr>
        <w:t>‘core business’ of the ECP</w:t>
      </w:r>
      <w:r w:rsidRPr="0086792D">
        <w:rPr>
          <w:sz w:val="21"/>
          <w:szCs w:val="21"/>
        </w:rPr>
        <w:t xml:space="preserve">.  </w:t>
      </w:r>
      <w:r w:rsidR="00AC16BD">
        <w:rPr>
          <w:sz w:val="21"/>
          <w:szCs w:val="21"/>
        </w:rPr>
        <w:t xml:space="preserve">Following </w:t>
      </w:r>
      <w:r w:rsidR="00AC16BD" w:rsidRPr="00087429">
        <w:rPr>
          <w:rFonts w:ascii="Calibri Light" w:hAnsi="Calibri Light" w:cs="Calibri"/>
          <w:sz w:val="21"/>
          <w:szCs w:val="21"/>
        </w:rPr>
        <w:t>establishment of the ECP’s functional services, including the Secretariat function for the ECC, and facilitating an Industry Engagement Advisory Group</w:t>
      </w:r>
      <w:r w:rsidR="00AC16BD" w:rsidRPr="00AC16BD">
        <w:rPr>
          <w:rFonts w:ascii="Calibri Light" w:hAnsi="Calibri Light" w:cs="Calibri"/>
          <w:b/>
          <w:sz w:val="21"/>
          <w:szCs w:val="21"/>
        </w:rPr>
        <w:t>,</w:t>
      </w:r>
      <w:r w:rsidR="00AC16BD">
        <w:rPr>
          <w:sz w:val="21"/>
          <w:szCs w:val="21"/>
        </w:rPr>
        <w:t xml:space="preserve"> this activity </w:t>
      </w:r>
      <w:r w:rsidRPr="0086792D">
        <w:rPr>
          <w:sz w:val="21"/>
          <w:szCs w:val="21"/>
        </w:rPr>
        <w:t xml:space="preserve">will feature </w:t>
      </w:r>
      <w:r w:rsidR="00A053BB">
        <w:rPr>
          <w:sz w:val="21"/>
          <w:szCs w:val="21"/>
        </w:rPr>
        <w:t xml:space="preserve">four </w:t>
      </w:r>
      <w:proofErr w:type="spellStart"/>
      <w:r w:rsidRPr="0086792D">
        <w:rPr>
          <w:sz w:val="21"/>
          <w:szCs w:val="21"/>
        </w:rPr>
        <w:t>workstreams</w:t>
      </w:r>
      <w:proofErr w:type="spellEnd"/>
      <w:r w:rsidR="005C7998">
        <w:rPr>
          <w:sz w:val="21"/>
          <w:szCs w:val="21"/>
        </w:rPr>
        <w:t xml:space="preserve"> </w:t>
      </w:r>
      <w:r w:rsidR="002D2807">
        <w:rPr>
          <w:sz w:val="21"/>
          <w:szCs w:val="21"/>
        </w:rPr>
        <w:t>—</w:t>
      </w:r>
      <w:r w:rsidR="005C7998">
        <w:rPr>
          <w:sz w:val="21"/>
          <w:szCs w:val="21"/>
        </w:rPr>
        <w:t xml:space="preserve"> </w:t>
      </w:r>
      <w:r w:rsidRPr="0086792D">
        <w:rPr>
          <w:sz w:val="21"/>
          <w:szCs w:val="21"/>
        </w:rPr>
        <w:t>(</w:t>
      </w:r>
      <w:proofErr w:type="spellStart"/>
      <w:r w:rsidRPr="0086792D">
        <w:rPr>
          <w:sz w:val="21"/>
          <w:szCs w:val="21"/>
        </w:rPr>
        <w:t>i</w:t>
      </w:r>
      <w:proofErr w:type="spellEnd"/>
      <w:r w:rsidRPr="0086792D">
        <w:rPr>
          <w:sz w:val="21"/>
          <w:szCs w:val="21"/>
        </w:rPr>
        <w:t xml:space="preserve">) implementation, (ii) socialisation </w:t>
      </w:r>
      <w:r w:rsidR="00A053BB">
        <w:rPr>
          <w:sz w:val="21"/>
          <w:szCs w:val="21"/>
        </w:rPr>
        <w:t>(i</w:t>
      </w:r>
      <w:r w:rsidR="00883939">
        <w:rPr>
          <w:sz w:val="21"/>
          <w:szCs w:val="21"/>
        </w:rPr>
        <w:t>ii</w:t>
      </w:r>
      <w:r w:rsidR="00A053BB">
        <w:rPr>
          <w:sz w:val="21"/>
          <w:szCs w:val="21"/>
        </w:rPr>
        <w:t xml:space="preserve">) opportunity assessments </w:t>
      </w:r>
      <w:r w:rsidR="00883939">
        <w:rPr>
          <w:sz w:val="21"/>
          <w:szCs w:val="21"/>
        </w:rPr>
        <w:t xml:space="preserve">and </w:t>
      </w:r>
      <w:r w:rsidRPr="0086792D">
        <w:rPr>
          <w:sz w:val="21"/>
          <w:szCs w:val="21"/>
        </w:rPr>
        <w:t>(i</w:t>
      </w:r>
      <w:r w:rsidR="00883939">
        <w:rPr>
          <w:sz w:val="21"/>
          <w:szCs w:val="21"/>
        </w:rPr>
        <w:t>v</w:t>
      </w:r>
      <w:r w:rsidRPr="0086792D">
        <w:rPr>
          <w:sz w:val="21"/>
          <w:szCs w:val="21"/>
        </w:rPr>
        <w:t>)</w:t>
      </w:r>
      <w:r w:rsidR="00087429">
        <w:rPr>
          <w:sz w:val="21"/>
          <w:szCs w:val="21"/>
        </w:rPr>
        <w:t xml:space="preserve"> </w:t>
      </w:r>
      <w:r w:rsidRPr="0086792D">
        <w:rPr>
          <w:sz w:val="21"/>
          <w:szCs w:val="21"/>
        </w:rPr>
        <w:t>monitoring</w:t>
      </w:r>
      <w:r w:rsidR="0014790F">
        <w:rPr>
          <w:sz w:val="21"/>
          <w:szCs w:val="21"/>
        </w:rPr>
        <w:t>,</w:t>
      </w:r>
      <w:r w:rsidRPr="0086792D">
        <w:rPr>
          <w:sz w:val="21"/>
          <w:szCs w:val="21"/>
        </w:rPr>
        <w:t xml:space="preserve"> evaluation</w:t>
      </w:r>
      <w:r w:rsidR="0014790F">
        <w:rPr>
          <w:sz w:val="21"/>
          <w:szCs w:val="21"/>
        </w:rPr>
        <w:t xml:space="preserve"> and learning</w:t>
      </w:r>
      <w:r w:rsidRPr="0086792D">
        <w:rPr>
          <w:sz w:val="21"/>
          <w:szCs w:val="21"/>
        </w:rPr>
        <w:t xml:space="preserve">. </w:t>
      </w:r>
      <w:r w:rsidR="002B3C00">
        <w:rPr>
          <w:sz w:val="21"/>
          <w:szCs w:val="21"/>
        </w:rPr>
        <w:t xml:space="preserve">All </w:t>
      </w:r>
      <w:proofErr w:type="spellStart"/>
      <w:r w:rsidR="002B3C00">
        <w:rPr>
          <w:sz w:val="21"/>
          <w:szCs w:val="21"/>
        </w:rPr>
        <w:t>workstreams</w:t>
      </w:r>
      <w:proofErr w:type="spellEnd"/>
      <w:r w:rsidR="002B3C00">
        <w:rPr>
          <w:sz w:val="21"/>
          <w:szCs w:val="21"/>
        </w:rPr>
        <w:t xml:space="preserve"> will have access to a range of tools including expert studies, </w:t>
      </w:r>
      <w:r w:rsidR="002B3C00" w:rsidRPr="0086792D">
        <w:rPr>
          <w:sz w:val="21"/>
          <w:szCs w:val="21"/>
        </w:rPr>
        <w:t xml:space="preserve">exchange of officials involved in trade </w:t>
      </w:r>
      <w:r w:rsidR="002B3C00">
        <w:rPr>
          <w:sz w:val="21"/>
          <w:szCs w:val="21"/>
        </w:rPr>
        <w:t>regulation and advocacy/industry engagement</w:t>
      </w:r>
      <w:r w:rsidR="002B3C00" w:rsidRPr="0086792D">
        <w:rPr>
          <w:sz w:val="21"/>
          <w:szCs w:val="21"/>
        </w:rPr>
        <w:t xml:space="preserve">, short-term embedded officials in trade-related Ministries (including Indonesian officials in Australian agencies), and direct regulatory design and drafting </w:t>
      </w:r>
      <w:r w:rsidR="002B3C00" w:rsidRPr="0014790F">
        <w:rPr>
          <w:sz w:val="21"/>
          <w:szCs w:val="21"/>
        </w:rPr>
        <w:t>advice.</w:t>
      </w:r>
      <w:r w:rsidR="00641518" w:rsidRPr="00641518">
        <w:rPr>
          <w:sz w:val="21"/>
          <w:szCs w:val="21"/>
        </w:rPr>
        <w:t xml:space="preserve"> </w:t>
      </w:r>
      <w:r w:rsidR="00641518" w:rsidRPr="0014790F">
        <w:rPr>
          <w:sz w:val="21"/>
          <w:szCs w:val="21"/>
        </w:rPr>
        <w:t xml:space="preserve">A substantial </w:t>
      </w:r>
      <w:r w:rsidR="00641518">
        <w:rPr>
          <w:sz w:val="21"/>
          <w:szCs w:val="21"/>
        </w:rPr>
        <w:t xml:space="preserve">focus </w:t>
      </w:r>
      <w:r w:rsidR="00641518" w:rsidRPr="0014790F">
        <w:rPr>
          <w:sz w:val="21"/>
          <w:szCs w:val="21"/>
        </w:rPr>
        <w:t xml:space="preserve">of </w:t>
      </w:r>
      <w:r w:rsidR="00641518">
        <w:rPr>
          <w:sz w:val="21"/>
          <w:szCs w:val="21"/>
        </w:rPr>
        <w:t xml:space="preserve">this activity </w:t>
      </w:r>
      <w:r w:rsidR="00641518" w:rsidRPr="0014790F">
        <w:rPr>
          <w:sz w:val="21"/>
          <w:szCs w:val="21"/>
        </w:rPr>
        <w:t xml:space="preserve">will </w:t>
      </w:r>
      <w:r w:rsidR="00C3748B">
        <w:rPr>
          <w:sz w:val="21"/>
          <w:szCs w:val="21"/>
        </w:rPr>
        <w:t xml:space="preserve">be </w:t>
      </w:r>
      <w:r w:rsidR="00641518" w:rsidRPr="0014790F">
        <w:rPr>
          <w:sz w:val="21"/>
          <w:szCs w:val="21"/>
        </w:rPr>
        <w:t>assisting the sub-national level of Government in Indonesia to better ‘localise’ IA-CEPA.</w:t>
      </w:r>
    </w:p>
    <w:p w14:paraId="3B69DD7A" w14:textId="0789BE12" w:rsidR="0018380C" w:rsidRPr="0014790F" w:rsidRDefault="0018380C" w:rsidP="00815071">
      <w:pPr>
        <w:pBdr>
          <w:top w:val="single" w:sz="4" w:space="1" w:color="auto"/>
          <w:left w:val="single" w:sz="4" w:space="4" w:color="auto"/>
          <w:bottom w:val="single" w:sz="4" w:space="1" w:color="auto"/>
          <w:right w:val="single" w:sz="4" w:space="4" w:color="auto"/>
        </w:pBdr>
        <w:jc w:val="both"/>
        <w:rPr>
          <w:sz w:val="21"/>
          <w:szCs w:val="21"/>
        </w:rPr>
      </w:pPr>
      <w:r w:rsidRPr="0014790F">
        <w:rPr>
          <w:sz w:val="21"/>
          <w:szCs w:val="21"/>
        </w:rPr>
        <w:t xml:space="preserve">The </w:t>
      </w:r>
      <w:r w:rsidRPr="003356D8">
        <w:rPr>
          <w:b/>
          <w:sz w:val="21"/>
          <w:szCs w:val="21"/>
        </w:rPr>
        <w:t xml:space="preserve">implementation </w:t>
      </w:r>
      <w:proofErr w:type="spellStart"/>
      <w:r w:rsidRPr="003356D8">
        <w:rPr>
          <w:b/>
          <w:sz w:val="21"/>
          <w:szCs w:val="21"/>
        </w:rPr>
        <w:t>workstream</w:t>
      </w:r>
      <w:proofErr w:type="spellEnd"/>
      <w:r w:rsidRPr="0014790F">
        <w:rPr>
          <w:sz w:val="21"/>
          <w:szCs w:val="21"/>
        </w:rPr>
        <w:t xml:space="preserve"> will </w:t>
      </w:r>
      <w:r w:rsidR="00A053BB">
        <w:rPr>
          <w:sz w:val="21"/>
          <w:szCs w:val="21"/>
        </w:rPr>
        <w:t xml:space="preserve">commence with a needs assessment for regulatory implementation of IA-CEPA. This will examine an appropriate modality for engagement between Australia and Indonesia on </w:t>
      </w:r>
      <w:r w:rsidR="002539E3">
        <w:rPr>
          <w:sz w:val="21"/>
          <w:szCs w:val="21"/>
        </w:rPr>
        <w:t xml:space="preserve">full </w:t>
      </w:r>
      <w:r w:rsidR="00A053BB">
        <w:rPr>
          <w:sz w:val="21"/>
          <w:szCs w:val="21"/>
        </w:rPr>
        <w:t xml:space="preserve">implementation of </w:t>
      </w:r>
      <w:r w:rsidRPr="0014790F">
        <w:rPr>
          <w:sz w:val="21"/>
          <w:szCs w:val="21"/>
        </w:rPr>
        <w:t>key commitments in goods, services and investment</w:t>
      </w:r>
      <w:r w:rsidR="0041287D" w:rsidRPr="0014790F">
        <w:rPr>
          <w:sz w:val="21"/>
          <w:szCs w:val="21"/>
        </w:rPr>
        <w:t xml:space="preserve"> commitments</w:t>
      </w:r>
      <w:r w:rsidR="0096338E">
        <w:rPr>
          <w:sz w:val="21"/>
          <w:szCs w:val="21"/>
        </w:rPr>
        <w:t xml:space="preserve"> (including administration of Tariff Rate Quota arrangements)</w:t>
      </w:r>
      <w:r w:rsidRPr="0014790F">
        <w:rPr>
          <w:sz w:val="21"/>
          <w:szCs w:val="21"/>
        </w:rPr>
        <w:t xml:space="preserve">, and </w:t>
      </w:r>
      <w:r w:rsidRPr="0086792D">
        <w:rPr>
          <w:sz w:val="21"/>
          <w:szCs w:val="21"/>
        </w:rPr>
        <w:t xml:space="preserve">broader commitments on a chapter-by-chapter basis. </w:t>
      </w:r>
    </w:p>
    <w:p w14:paraId="45BE752E" w14:textId="435F76DE" w:rsidR="0018380C" w:rsidRDefault="0018380C" w:rsidP="00815071">
      <w:pPr>
        <w:pBdr>
          <w:top w:val="single" w:sz="4" w:space="1" w:color="auto"/>
          <w:left w:val="single" w:sz="4" w:space="4" w:color="auto"/>
          <w:bottom w:val="single" w:sz="4" w:space="1" w:color="auto"/>
          <w:right w:val="single" w:sz="4" w:space="4" w:color="auto"/>
        </w:pBdr>
        <w:jc w:val="both"/>
        <w:rPr>
          <w:sz w:val="21"/>
          <w:szCs w:val="21"/>
        </w:rPr>
      </w:pPr>
      <w:r w:rsidRPr="003356D8">
        <w:rPr>
          <w:b/>
          <w:sz w:val="21"/>
          <w:szCs w:val="21"/>
        </w:rPr>
        <w:t>Socialisation</w:t>
      </w:r>
      <w:r w:rsidRPr="0014790F">
        <w:rPr>
          <w:sz w:val="21"/>
          <w:szCs w:val="21"/>
        </w:rPr>
        <w:t xml:space="preserve"> </w:t>
      </w:r>
      <w:r w:rsidRPr="003356D8">
        <w:rPr>
          <w:b/>
          <w:sz w:val="21"/>
          <w:szCs w:val="21"/>
        </w:rPr>
        <w:t>activities</w:t>
      </w:r>
      <w:r w:rsidRPr="0014790F">
        <w:rPr>
          <w:sz w:val="21"/>
          <w:szCs w:val="21"/>
        </w:rPr>
        <w:t xml:space="preserve"> will build awareness of IA-CEPA benefits </w:t>
      </w:r>
      <w:r w:rsidR="0041287D" w:rsidRPr="0014790F">
        <w:rPr>
          <w:sz w:val="21"/>
          <w:szCs w:val="21"/>
        </w:rPr>
        <w:t xml:space="preserve">and maintain support </w:t>
      </w:r>
      <w:r w:rsidRPr="0014790F">
        <w:rPr>
          <w:sz w:val="21"/>
          <w:szCs w:val="21"/>
        </w:rPr>
        <w:t>among industry groups</w:t>
      </w:r>
      <w:r w:rsidR="0041287D" w:rsidRPr="0014790F">
        <w:rPr>
          <w:sz w:val="21"/>
          <w:szCs w:val="21"/>
        </w:rPr>
        <w:t xml:space="preserve"> through the multi-year implementation period</w:t>
      </w:r>
      <w:r w:rsidRPr="0014790F">
        <w:rPr>
          <w:sz w:val="21"/>
          <w:szCs w:val="21"/>
        </w:rPr>
        <w:t>.  The ECP will support three functions to help with socialisation of IA-CEPA: (</w:t>
      </w:r>
      <w:proofErr w:type="spellStart"/>
      <w:r w:rsidRPr="0014790F">
        <w:rPr>
          <w:sz w:val="21"/>
          <w:szCs w:val="21"/>
        </w:rPr>
        <w:t>i</w:t>
      </w:r>
      <w:proofErr w:type="spellEnd"/>
      <w:r w:rsidRPr="0014790F">
        <w:rPr>
          <w:sz w:val="21"/>
          <w:szCs w:val="21"/>
        </w:rPr>
        <w:t>) technical advocacy, such as ‘fact sheets’ on industry sectors to support line agencies in representations to their stakeholder groups, (ii) business dialogue,</w:t>
      </w:r>
      <w:r w:rsidRPr="0086792D">
        <w:rPr>
          <w:sz w:val="21"/>
          <w:szCs w:val="21"/>
        </w:rPr>
        <w:t xml:space="preserve"> such as workshops and seminars focused on outcomes and opportunities for Indonesian sectoral groups, and (iii) IA-CEPA localisation, where specific opportunities for provinci</w:t>
      </w:r>
      <w:r w:rsidR="0010542F">
        <w:rPr>
          <w:sz w:val="21"/>
          <w:szCs w:val="21"/>
        </w:rPr>
        <w:t>al economies exist</w:t>
      </w:r>
      <w:r w:rsidRPr="0086792D">
        <w:rPr>
          <w:sz w:val="21"/>
          <w:szCs w:val="21"/>
        </w:rPr>
        <w:t>, commencing where Australia’s Consul-Generals are located</w:t>
      </w:r>
      <w:r w:rsidR="001C0FB2">
        <w:rPr>
          <w:sz w:val="21"/>
          <w:szCs w:val="21"/>
        </w:rPr>
        <w:t xml:space="preserve"> (Bali, Surabaya and Makassar)</w:t>
      </w:r>
      <w:r w:rsidRPr="0086792D">
        <w:rPr>
          <w:sz w:val="21"/>
          <w:szCs w:val="21"/>
        </w:rPr>
        <w:t xml:space="preserve">. </w:t>
      </w:r>
    </w:p>
    <w:p w14:paraId="56D8F305" w14:textId="2FF0B8B0" w:rsidR="00883939" w:rsidRPr="0086792D" w:rsidRDefault="00883939" w:rsidP="00815071">
      <w:pPr>
        <w:pBdr>
          <w:top w:val="single" w:sz="4" w:space="1" w:color="auto"/>
          <w:left w:val="single" w:sz="4" w:space="4" w:color="auto"/>
          <w:bottom w:val="single" w:sz="4" w:space="1" w:color="auto"/>
          <w:right w:val="single" w:sz="4" w:space="4" w:color="auto"/>
        </w:pBdr>
        <w:jc w:val="both"/>
        <w:rPr>
          <w:sz w:val="21"/>
          <w:szCs w:val="21"/>
        </w:rPr>
      </w:pPr>
      <w:r w:rsidRPr="003356D8">
        <w:rPr>
          <w:b/>
          <w:sz w:val="21"/>
          <w:szCs w:val="21"/>
        </w:rPr>
        <w:t>Opportunity Assessments</w:t>
      </w:r>
      <w:r w:rsidRPr="003356D8">
        <w:rPr>
          <w:sz w:val="21"/>
          <w:szCs w:val="21"/>
        </w:rPr>
        <w:t xml:space="preserve"> will </w:t>
      </w:r>
      <w:r w:rsidR="001469E1">
        <w:rPr>
          <w:sz w:val="21"/>
          <w:szCs w:val="21"/>
        </w:rPr>
        <w:t>examine which economic sectors present the greatest mutually beneficial prospects</w:t>
      </w:r>
      <w:r w:rsidR="00DD2D82">
        <w:rPr>
          <w:sz w:val="21"/>
          <w:szCs w:val="21"/>
        </w:rPr>
        <w:t xml:space="preserve"> in the coming </w:t>
      </w:r>
      <w:r w:rsidR="00087429">
        <w:rPr>
          <w:sz w:val="21"/>
          <w:szCs w:val="21"/>
        </w:rPr>
        <w:t>5</w:t>
      </w:r>
      <w:r w:rsidR="00DD2D82">
        <w:rPr>
          <w:sz w:val="21"/>
          <w:szCs w:val="21"/>
        </w:rPr>
        <w:t xml:space="preserve"> to </w:t>
      </w:r>
      <w:r w:rsidR="002539E3">
        <w:rPr>
          <w:sz w:val="21"/>
          <w:szCs w:val="21"/>
        </w:rPr>
        <w:t>2</w:t>
      </w:r>
      <w:r w:rsidR="00DD2D82">
        <w:rPr>
          <w:sz w:val="21"/>
          <w:szCs w:val="21"/>
        </w:rPr>
        <w:t>0 years</w:t>
      </w:r>
      <w:r w:rsidR="001469E1">
        <w:rPr>
          <w:sz w:val="21"/>
          <w:szCs w:val="21"/>
        </w:rPr>
        <w:t xml:space="preserve">, and will propose strategies for </w:t>
      </w:r>
      <w:r w:rsidR="003356D8" w:rsidRPr="003356D8">
        <w:rPr>
          <w:sz w:val="21"/>
          <w:szCs w:val="21"/>
        </w:rPr>
        <w:t>deeper engagement. Economic sectors that offer ‘powerhouse’ prospects</w:t>
      </w:r>
      <w:r w:rsidR="003356D8" w:rsidRPr="004037BC">
        <w:rPr>
          <w:rStyle w:val="Style"/>
        </w:rPr>
        <w:footnoteReference w:id="24"/>
      </w:r>
      <w:r w:rsidR="003356D8" w:rsidRPr="003356D8">
        <w:rPr>
          <w:sz w:val="21"/>
          <w:szCs w:val="21"/>
        </w:rPr>
        <w:t xml:space="preserve"> will be </w:t>
      </w:r>
      <w:r w:rsidR="001469E1">
        <w:rPr>
          <w:sz w:val="21"/>
          <w:szCs w:val="21"/>
        </w:rPr>
        <w:t>prioritised</w:t>
      </w:r>
      <w:r w:rsidR="003E4BC5">
        <w:rPr>
          <w:sz w:val="21"/>
          <w:szCs w:val="21"/>
        </w:rPr>
        <w:t xml:space="preserve"> such as in Indonesia’s rapidly developing </w:t>
      </w:r>
      <w:r w:rsidR="003E4BC5">
        <w:rPr>
          <w:rFonts w:cs="Calibri"/>
          <w:sz w:val="21"/>
          <w:szCs w:val="21"/>
        </w:rPr>
        <w:t>digital services industry and capital market linkages.</w:t>
      </w:r>
      <w:r w:rsidR="003E4BC5" w:rsidRPr="003356D8" w:rsidDel="003356D8">
        <w:rPr>
          <w:sz w:val="21"/>
          <w:szCs w:val="21"/>
        </w:rPr>
        <w:t xml:space="preserve"> </w:t>
      </w:r>
    </w:p>
    <w:p w14:paraId="63CA1FAA" w14:textId="3C58B082" w:rsidR="003356D8" w:rsidRDefault="0018380C" w:rsidP="0096338E">
      <w:pPr>
        <w:pBdr>
          <w:top w:val="single" w:sz="4" w:space="1" w:color="auto"/>
          <w:left w:val="single" w:sz="4" w:space="4" w:color="auto"/>
          <w:bottom w:val="single" w:sz="4" w:space="1" w:color="auto"/>
          <w:right w:val="single" w:sz="4" w:space="4" w:color="auto"/>
        </w:pBdr>
        <w:jc w:val="both"/>
        <w:rPr>
          <w:b/>
        </w:rPr>
      </w:pPr>
      <w:r w:rsidRPr="0086792D">
        <w:rPr>
          <w:sz w:val="21"/>
          <w:szCs w:val="21"/>
        </w:rPr>
        <w:t xml:space="preserve">The </w:t>
      </w:r>
      <w:r w:rsidRPr="00087429">
        <w:rPr>
          <w:b/>
          <w:sz w:val="21"/>
          <w:szCs w:val="21"/>
        </w:rPr>
        <w:t>monitoring</w:t>
      </w:r>
      <w:r w:rsidR="000B5D62" w:rsidRPr="00087429">
        <w:rPr>
          <w:b/>
          <w:sz w:val="21"/>
          <w:szCs w:val="21"/>
        </w:rPr>
        <w:t xml:space="preserve">, </w:t>
      </w:r>
      <w:r w:rsidRPr="00087429">
        <w:rPr>
          <w:b/>
          <w:sz w:val="21"/>
          <w:szCs w:val="21"/>
        </w:rPr>
        <w:t>evaluation</w:t>
      </w:r>
      <w:r w:rsidR="000B5D62" w:rsidRPr="00087429">
        <w:rPr>
          <w:b/>
          <w:sz w:val="21"/>
          <w:szCs w:val="21"/>
        </w:rPr>
        <w:t xml:space="preserve"> and learning</w:t>
      </w:r>
      <w:r w:rsidRPr="00087429">
        <w:rPr>
          <w:b/>
          <w:sz w:val="21"/>
          <w:szCs w:val="21"/>
        </w:rPr>
        <w:t xml:space="preserve"> </w:t>
      </w:r>
      <w:r w:rsidR="00DD1502">
        <w:rPr>
          <w:b/>
          <w:sz w:val="21"/>
          <w:szCs w:val="21"/>
        </w:rPr>
        <w:t xml:space="preserve">(MEL) </w:t>
      </w:r>
      <w:proofErr w:type="spellStart"/>
      <w:r w:rsidRPr="00087429">
        <w:rPr>
          <w:b/>
          <w:sz w:val="21"/>
          <w:szCs w:val="21"/>
        </w:rPr>
        <w:t>workstream</w:t>
      </w:r>
      <w:proofErr w:type="spellEnd"/>
      <w:r w:rsidRPr="0086792D">
        <w:rPr>
          <w:sz w:val="21"/>
          <w:szCs w:val="21"/>
        </w:rPr>
        <w:t xml:space="preserve"> is an important core compone</w:t>
      </w:r>
      <w:r w:rsidR="00342502" w:rsidRPr="0086792D">
        <w:rPr>
          <w:sz w:val="21"/>
          <w:szCs w:val="21"/>
        </w:rPr>
        <w:t>nt of the ECP. It supports decision-</w:t>
      </w:r>
      <w:r w:rsidRPr="0086792D">
        <w:rPr>
          <w:sz w:val="21"/>
          <w:szCs w:val="21"/>
        </w:rPr>
        <w:t xml:space="preserve">making, </w:t>
      </w:r>
      <w:r w:rsidR="00617276">
        <w:rPr>
          <w:sz w:val="21"/>
          <w:szCs w:val="21"/>
        </w:rPr>
        <w:t xml:space="preserve">outcomes </w:t>
      </w:r>
      <w:r w:rsidRPr="0086792D">
        <w:rPr>
          <w:sz w:val="21"/>
          <w:szCs w:val="21"/>
        </w:rPr>
        <w:t>monitoring and accountability</w:t>
      </w:r>
      <w:r w:rsidR="000B5D62">
        <w:rPr>
          <w:sz w:val="21"/>
          <w:szCs w:val="21"/>
        </w:rPr>
        <w:t>.</w:t>
      </w:r>
      <w:r w:rsidR="003B0B39">
        <w:rPr>
          <w:sz w:val="21"/>
          <w:szCs w:val="21"/>
        </w:rPr>
        <w:t xml:space="preserve"> </w:t>
      </w:r>
      <w:r w:rsidR="000B5D62">
        <w:rPr>
          <w:sz w:val="21"/>
          <w:szCs w:val="21"/>
        </w:rPr>
        <w:t>I</w:t>
      </w:r>
      <w:r w:rsidRPr="000B5D62">
        <w:rPr>
          <w:sz w:val="21"/>
          <w:szCs w:val="21"/>
        </w:rPr>
        <w:t xml:space="preserve">t will monitor and evaluate </w:t>
      </w:r>
      <w:r w:rsidR="003356D8">
        <w:rPr>
          <w:sz w:val="21"/>
          <w:szCs w:val="21"/>
        </w:rPr>
        <w:t xml:space="preserve">IA-CEPA utilisation and the impact on trade flows, </w:t>
      </w:r>
      <w:r w:rsidRPr="000B5D62">
        <w:rPr>
          <w:sz w:val="21"/>
          <w:szCs w:val="21"/>
        </w:rPr>
        <w:t xml:space="preserve">the contribution IA-CEPA makes to broader economic and social </w:t>
      </w:r>
      <w:r w:rsidR="006D50C3">
        <w:rPr>
          <w:sz w:val="21"/>
          <w:szCs w:val="21"/>
        </w:rPr>
        <w:t>outcomes</w:t>
      </w:r>
      <w:r w:rsidR="00342502" w:rsidRPr="000B5D62">
        <w:rPr>
          <w:sz w:val="21"/>
          <w:szCs w:val="21"/>
        </w:rPr>
        <w:t xml:space="preserve">, including in partnership with </w:t>
      </w:r>
      <w:proofErr w:type="spellStart"/>
      <w:r w:rsidR="00DD1502">
        <w:rPr>
          <w:sz w:val="21"/>
          <w:szCs w:val="21"/>
        </w:rPr>
        <w:t>GoI</w:t>
      </w:r>
      <w:proofErr w:type="spellEnd"/>
      <w:r w:rsidR="00DD1502">
        <w:rPr>
          <w:sz w:val="21"/>
          <w:szCs w:val="21"/>
        </w:rPr>
        <w:t xml:space="preserve"> (with </w:t>
      </w:r>
      <w:proofErr w:type="spellStart"/>
      <w:r w:rsidR="00DD1502">
        <w:rPr>
          <w:sz w:val="21"/>
          <w:szCs w:val="21"/>
        </w:rPr>
        <w:t>Bappenas</w:t>
      </w:r>
      <w:proofErr w:type="spellEnd"/>
      <w:r w:rsidR="00DD1502">
        <w:rPr>
          <w:sz w:val="21"/>
          <w:szCs w:val="21"/>
        </w:rPr>
        <w:t xml:space="preserve"> as lead)</w:t>
      </w:r>
      <w:r w:rsidR="00342502" w:rsidRPr="000B5D62">
        <w:rPr>
          <w:sz w:val="21"/>
          <w:szCs w:val="21"/>
        </w:rPr>
        <w:t xml:space="preserve"> as it seeks to strengthen Indonesia’s </w:t>
      </w:r>
      <w:r w:rsidR="00974932" w:rsidRPr="000B5D62">
        <w:rPr>
          <w:sz w:val="21"/>
          <w:szCs w:val="21"/>
        </w:rPr>
        <w:t>measurement</w:t>
      </w:r>
      <w:r w:rsidR="00342502" w:rsidRPr="000B5D62">
        <w:rPr>
          <w:sz w:val="21"/>
          <w:szCs w:val="21"/>
        </w:rPr>
        <w:t xml:space="preserve"> and reporting on the impact and value of open trade policies</w:t>
      </w:r>
      <w:r w:rsidR="00617276" w:rsidRPr="000B5D62">
        <w:rPr>
          <w:sz w:val="21"/>
          <w:szCs w:val="21"/>
        </w:rPr>
        <w:t xml:space="preserve">. </w:t>
      </w:r>
      <w:r w:rsidR="0096338E">
        <w:rPr>
          <w:sz w:val="21"/>
          <w:szCs w:val="21"/>
        </w:rPr>
        <w:t xml:space="preserve">The ECP’s ‘core business’ will </w:t>
      </w:r>
      <w:r w:rsidR="00AC16BD">
        <w:rPr>
          <w:sz w:val="21"/>
          <w:szCs w:val="21"/>
        </w:rPr>
        <w:t xml:space="preserve">also </w:t>
      </w:r>
      <w:r w:rsidR="0096338E">
        <w:rPr>
          <w:sz w:val="21"/>
          <w:szCs w:val="21"/>
        </w:rPr>
        <w:t xml:space="preserve">develop a base of data, analysis and experience to inform officials and industry on prospects for deeper and more effective engagement during the initial five year ECP, and in the lead-up to the review of IA-CEPA itself.  </w:t>
      </w:r>
    </w:p>
    <w:p w14:paraId="5A91ECE9" w14:textId="6BC4C0D1" w:rsidR="00253A13" w:rsidRDefault="005D7D5A" w:rsidP="00F46375">
      <w:pPr>
        <w:spacing w:after="0"/>
        <w:rPr>
          <w:b/>
        </w:rPr>
      </w:pPr>
      <w:r>
        <w:rPr>
          <w:b/>
        </w:rPr>
        <w:t>2.</w:t>
      </w:r>
      <w:r>
        <w:rPr>
          <w:b/>
        </w:rPr>
        <w:tab/>
      </w:r>
      <w:r w:rsidR="00253A13" w:rsidRPr="00253A13">
        <w:rPr>
          <w:b/>
        </w:rPr>
        <w:t>Bett</w:t>
      </w:r>
      <w:r w:rsidR="00253A13">
        <w:rPr>
          <w:b/>
        </w:rPr>
        <w:t>er-Integrated Markets</w:t>
      </w:r>
    </w:p>
    <w:p w14:paraId="575C3BF4" w14:textId="23BC19EF" w:rsidR="00B7708D" w:rsidRPr="000B5D62" w:rsidRDefault="00C43FCF" w:rsidP="00C43FCF">
      <w:pPr>
        <w:spacing w:after="0"/>
        <w:jc w:val="both"/>
        <w:rPr>
          <w:rFonts w:cs="Calibri"/>
          <w:sz w:val="21"/>
          <w:szCs w:val="21"/>
        </w:rPr>
      </w:pPr>
      <w:r w:rsidRPr="00C43FCF">
        <w:rPr>
          <w:rFonts w:cs="Calibri"/>
          <w:sz w:val="21"/>
          <w:szCs w:val="21"/>
        </w:rPr>
        <w:t xml:space="preserve">For IA-CEPA to </w:t>
      </w:r>
      <w:r w:rsidR="002E3EBE">
        <w:rPr>
          <w:rFonts w:cs="Calibri"/>
          <w:sz w:val="21"/>
          <w:szCs w:val="21"/>
        </w:rPr>
        <w:t>bring about a step-change in the bilateral economic relationship</w:t>
      </w:r>
      <w:r w:rsidRPr="00C43FCF">
        <w:rPr>
          <w:rFonts w:cs="Calibri"/>
          <w:sz w:val="21"/>
          <w:szCs w:val="21"/>
        </w:rPr>
        <w:t>, the two countries’ private sectors and markets will need to be more closely engaged</w:t>
      </w:r>
      <w:r w:rsidR="0096338E">
        <w:rPr>
          <w:rFonts w:cs="Calibri"/>
          <w:sz w:val="21"/>
          <w:szCs w:val="21"/>
        </w:rPr>
        <w:t xml:space="preserve"> and more deeply </w:t>
      </w:r>
      <w:r w:rsidRPr="00C43FCF">
        <w:rPr>
          <w:rFonts w:cs="Calibri"/>
          <w:sz w:val="21"/>
          <w:szCs w:val="21"/>
        </w:rPr>
        <w:t>integrated.</w:t>
      </w:r>
      <w:r>
        <w:rPr>
          <w:rFonts w:cs="Calibri"/>
          <w:sz w:val="21"/>
          <w:szCs w:val="21"/>
        </w:rPr>
        <w:t xml:space="preserve"> </w:t>
      </w:r>
      <w:r w:rsidR="00766714" w:rsidRPr="000B5D62">
        <w:rPr>
          <w:rFonts w:cs="Calibri"/>
          <w:sz w:val="21"/>
          <w:szCs w:val="21"/>
        </w:rPr>
        <w:t xml:space="preserve">IA-CEPA provides Australian and Indonesian businesses with an opportunity to expand and diversify </w:t>
      </w:r>
      <w:r w:rsidR="0096338E">
        <w:rPr>
          <w:rFonts w:cs="Calibri"/>
          <w:sz w:val="21"/>
          <w:szCs w:val="21"/>
        </w:rPr>
        <w:t xml:space="preserve">the </w:t>
      </w:r>
      <w:r w:rsidR="008E4E36" w:rsidRPr="000B5D62">
        <w:rPr>
          <w:rFonts w:cs="Calibri"/>
          <w:sz w:val="21"/>
          <w:szCs w:val="21"/>
        </w:rPr>
        <w:t xml:space="preserve">bilateral </w:t>
      </w:r>
      <w:r w:rsidR="00766714" w:rsidRPr="000B5D62">
        <w:rPr>
          <w:rFonts w:cs="Calibri"/>
          <w:sz w:val="21"/>
          <w:szCs w:val="21"/>
        </w:rPr>
        <w:t xml:space="preserve">economic </w:t>
      </w:r>
      <w:r w:rsidR="008E4E36" w:rsidRPr="000B5D62">
        <w:rPr>
          <w:rFonts w:cs="Calibri"/>
          <w:sz w:val="21"/>
          <w:szCs w:val="21"/>
        </w:rPr>
        <w:t>relationship</w:t>
      </w:r>
      <w:r w:rsidR="002E3EBE">
        <w:rPr>
          <w:rFonts w:cs="Calibri"/>
          <w:sz w:val="21"/>
          <w:szCs w:val="21"/>
        </w:rPr>
        <w:t>. The ECP will play an important role in facilitating this.</w:t>
      </w:r>
    </w:p>
    <w:p w14:paraId="404558BE" w14:textId="231CFCCA" w:rsidR="002A0623" w:rsidRPr="0086792D" w:rsidRDefault="00B7708D" w:rsidP="002A0623">
      <w:pPr>
        <w:spacing w:after="240"/>
        <w:jc w:val="both"/>
        <w:rPr>
          <w:rFonts w:cs="Calibri"/>
          <w:sz w:val="21"/>
          <w:szCs w:val="21"/>
        </w:rPr>
      </w:pPr>
      <w:r>
        <w:rPr>
          <w:rFonts w:cs="Calibri"/>
          <w:sz w:val="21"/>
          <w:szCs w:val="21"/>
        </w:rPr>
        <w:t xml:space="preserve">Better market integration will be principally achieved through fostering broader and deeper sectoral partnerships Activities to achieve this (see ‘Signature Activity’ box below) will </w:t>
      </w:r>
      <w:r w:rsidR="005D7D5A">
        <w:rPr>
          <w:rFonts w:cs="Calibri"/>
          <w:sz w:val="21"/>
          <w:szCs w:val="21"/>
        </w:rPr>
        <w:t>include new dialogue</w:t>
      </w:r>
      <w:r w:rsidR="00766714" w:rsidRPr="0086792D">
        <w:rPr>
          <w:rFonts w:cs="Calibri"/>
          <w:sz w:val="21"/>
          <w:szCs w:val="21"/>
        </w:rPr>
        <w:t>, exchange, training and research in agriculture, advanced manufacturing and services</w:t>
      </w:r>
      <w:r w:rsidR="00393285">
        <w:rPr>
          <w:rFonts w:cs="Calibri"/>
          <w:sz w:val="21"/>
          <w:szCs w:val="21"/>
        </w:rPr>
        <w:t xml:space="preserve"> (including health)</w:t>
      </w:r>
      <w:r w:rsidR="00766714" w:rsidRPr="0086792D">
        <w:rPr>
          <w:rFonts w:cs="Calibri"/>
          <w:sz w:val="21"/>
          <w:szCs w:val="21"/>
        </w:rPr>
        <w:t xml:space="preserve">. </w:t>
      </w:r>
      <w:r w:rsidR="00736D96" w:rsidRPr="0086792D">
        <w:rPr>
          <w:rFonts w:cs="Calibri"/>
          <w:sz w:val="21"/>
          <w:szCs w:val="21"/>
        </w:rPr>
        <w:t>Cross</w:t>
      </w:r>
      <w:r w:rsidR="008E4E36">
        <w:rPr>
          <w:rFonts w:cs="Calibri"/>
          <w:sz w:val="21"/>
          <w:szCs w:val="21"/>
        </w:rPr>
        <w:t>-</w:t>
      </w:r>
      <w:r w:rsidR="00736D96" w:rsidRPr="0086792D">
        <w:rPr>
          <w:rFonts w:cs="Calibri"/>
          <w:sz w:val="21"/>
          <w:szCs w:val="21"/>
        </w:rPr>
        <w:t>cutting limit</w:t>
      </w:r>
      <w:r w:rsidR="008E4E36">
        <w:rPr>
          <w:rFonts w:cs="Calibri"/>
          <w:sz w:val="21"/>
          <w:szCs w:val="21"/>
        </w:rPr>
        <w:t xml:space="preserve">ations on better </w:t>
      </w:r>
      <w:r w:rsidR="00736D96" w:rsidRPr="0086792D">
        <w:rPr>
          <w:rFonts w:cs="Calibri"/>
          <w:sz w:val="21"/>
          <w:szCs w:val="21"/>
        </w:rPr>
        <w:t xml:space="preserve">integrated markets, such as different standards </w:t>
      </w:r>
      <w:r w:rsidR="000E444B">
        <w:rPr>
          <w:rFonts w:cs="Calibri"/>
          <w:sz w:val="21"/>
          <w:szCs w:val="21"/>
        </w:rPr>
        <w:t>and conformance</w:t>
      </w:r>
      <w:r w:rsidR="00981F7F">
        <w:rPr>
          <w:rFonts w:cs="Calibri"/>
          <w:sz w:val="21"/>
          <w:szCs w:val="21"/>
        </w:rPr>
        <w:t>,</w:t>
      </w:r>
      <w:r w:rsidR="000E444B">
        <w:rPr>
          <w:rFonts w:cs="Calibri"/>
          <w:sz w:val="21"/>
          <w:szCs w:val="21"/>
        </w:rPr>
        <w:t xml:space="preserve"> </w:t>
      </w:r>
      <w:r w:rsidR="00736D96" w:rsidRPr="0086792D">
        <w:rPr>
          <w:rFonts w:cs="Calibri"/>
          <w:sz w:val="21"/>
          <w:szCs w:val="21"/>
        </w:rPr>
        <w:t xml:space="preserve">corporate governance, food processing and packaging standards, vitamins and supplement standards will be </w:t>
      </w:r>
      <w:r w:rsidR="002E3EBE">
        <w:rPr>
          <w:rFonts w:cs="Calibri"/>
          <w:sz w:val="21"/>
          <w:szCs w:val="21"/>
        </w:rPr>
        <w:t xml:space="preserve">assessed for </w:t>
      </w:r>
      <w:r w:rsidR="00736D96" w:rsidRPr="0086792D">
        <w:rPr>
          <w:rFonts w:cs="Calibri"/>
          <w:sz w:val="21"/>
          <w:szCs w:val="21"/>
        </w:rPr>
        <w:t>better align</w:t>
      </w:r>
      <w:r w:rsidR="002E3EBE">
        <w:rPr>
          <w:rFonts w:cs="Calibri"/>
          <w:sz w:val="21"/>
          <w:szCs w:val="21"/>
        </w:rPr>
        <w:t>ment</w:t>
      </w:r>
      <w:r w:rsidR="00736D96" w:rsidRPr="0086792D">
        <w:rPr>
          <w:rFonts w:cs="Calibri"/>
          <w:sz w:val="21"/>
          <w:szCs w:val="21"/>
        </w:rPr>
        <w:t xml:space="preserve"> to support trade and investment. </w:t>
      </w:r>
    </w:p>
    <w:p w14:paraId="203AF59C" w14:textId="7F5FDF28" w:rsidR="00A83067" w:rsidRPr="00342502" w:rsidRDefault="00342502" w:rsidP="002D1CCE">
      <w:pPr>
        <w:pBdr>
          <w:top w:val="single" w:sz="4" w:space="1" w:color="auto"/>
          <w:left w:val="single" w:sz="4" w:space="1" w:color="auto"/>
          <w:bottom w:val="single" w:sz="4" w:space="1" w:color="auto"/>
          <w:right w:val="single" w:sz="4" w:space="1" w:color="auto"/>
        </w:pBdr>
        <w:spacing w:after="0"/>
        <w:jc w:val="both"/>
        <w:rPr>
          <w:rFonts w:eastAsia="Times New Roman" w:cs="Arial"/>
          <w:b/>
          <w:i/>
          <w:lang w:val="en-AU" w:eastAsia="en-AU"/>
        </w:rPr>
      </w:pPr>
      <w:r w:rsidRPr="00342502">
        <w:rPr>
          <w:rFonts w:eastAsia="Times New Roman" w:cs="Arial"/>
          <w:b/>
          <w:i/>
          <w:lang w:val="en-AU" w:eastAsia="en-AU"/>
        </w:rPr>
        <w:t xml:space="preserve">Signature activity: </w:t>
      </w:r>
      <w:proofErr w:type="spellStart"/>
      <w:r w:rsidR="005D7D5A">
        <w:rPr>
          <w:rFonts w:eastAsia="Times New Roman" w:cs="Arial"/>
          <w:b/>
          <w:i/>
          <w:lang w:val="en-AU" w:eastAsia="en-AU"/>
        </w:rPr>
        <w:t>Agri</w:t>
      </w:r>
      <w:r w:rsidR="00163185">
        <w:rPr>
          <w:rFonts w:eastAsia="Times New Roman" w:cs="Arial"/>
          <w:b/>
          <w:i/>
          <w:lang w:val="en-AU" w:eastAsia="en-AU"/>
        </w:rPr>
        <w:t>f</w:t>
      </w:r>
      <w:r w:rsidR="005D7D5A">
        <w:rPr>
          <w:rFonts w:eastAsia="Times New Roman" w:cs="Arial"/>
          <w:b/>
          <w:i/>
          <w:lang w:val="en-AU" w:eastAsia="en-AU"/>
        </w:rPr>
        <w:t>ood</w:t>
      </w:r>
      <w:proofErr w:type="spellEnd"/>
      <w:r w:rsidR="005D7D5A">
        <w:rPr>
          <w:rFonts w:eastAsia="Times New Roman" w:cs="Arial"/>
          <w:b/>
          <w:i/>
          <w:lang w:val="en-AU" w:eastAsia="en-AU"/>
        </w:rPr>
        <w:t xml:space="preserve"> </w:t>
      </w:r>
      <w:r w:rsidR="003B726C">
        <w:rPr>
          <w:rFonts w:eastAsia="Times New Roman" w:cs="Arial"/>
          <w:b/>
          <w:i/>
          <w:lang w:val="en-AU" w:eastAsia="en-AU"/>
        </w:rPr>
        <w:t>Innovation</w:t>
      </w:r>
      <w:r w:rsidR="00D07C6A">
        <w:rPr>
          <w:rFonts w:eastAsia="Times New Roman" w:cs="Arial"/>
          <w:b/>
          <w:i/>
          <w:lang w:val="en-AU" w:eastAsia="en-AU"/>
        </w:rPr>
        <w:t xml:space="preserve"> </w:t>
      </w:r>
      <w:r w:rsidR="005D7D5A">
        <w:rPr>
          <w:rFonts w:eastAsia="Times New Roman" w:cs="Arial"/>
          <w:b/>
          <w:i/>
          <w:lang w:val="en-AU" w:eastAsia="en-AU"/>
        </w:rPr>
        <w:t>Partne</w:t>
      </w:r>
      <w:r w:rsidR="001B408C">
        <w:rPr>
          <w:rFonts w:eastAsia="Times New Roman" w:cs="Arial"/>
          <w:b/>
          <w:i/>
          <w:lang w:val="en-AU" w:eastAsia="en-AU"/>
        </w:rPr>
        <w:t>r</w:t>
      </w:r>
      <w:r w:rsidR="005D7D5A">
        <w:rPr>
          <w:rFonts w:eastAsia="Times New Roman" w:cs="Arial"/>
          <w:b/>
          <w:i/>
          <w:lang w:val="en-AU" w:eastAsia="en-AU"/>
        </w:rPr>
        <w:t>ship</w:t>
      </w:r>
      <w:r w:rsidR="002A0623">
        <w:rPr>
          <w:rFonts w:eastAsia="Times New Roman" w:cs="Arial"/>
          <w:b/>
          <w:i/>
          <w:lang w:val="en-AU" w:eastAsia="en-AU"/>
        </w:rPr>
        <w:t>s</w:t>
      </w:r>
    </w:p>
    <w:p w14:paraId="2AE61390" w14:textId="70BE6774" w:rsidR="00A83067" w:rsidRPr="00A83067" w:rsidRDefault="002D1CCE" w:rsidP="00A83067">
      <w:pPr>
        <w:pBdr>
          <w:top w:val="single" w:sz="4" w:space="1" w:color="auto"/>
          <w:left w:val="single" w:sz="4" w:space="1" w:color="auto"/>
          <w:bottom w:val="single" w:sz="4" w:space="1" w:color="auto"/>
          <w:right w:val="single" w:sz="4" w:space="1" w:color="auto"/>
        </w:pBdr>
        <w:spacing w:after="0"/>
        <w:jc w:val="both"/>
        <w:rPr>
          <w:sz w:val="21"/>
          <w:szCs w:val="21"/>
        </w:rPr>
      </w:pPr>
      <w:r w:rsidRPr="00A83067">
        <w:rPr>
          <w:sz w:val="21"/>
          <w:szCs w:val="21"/>
        </w:rPr>
        <w:lastRenderedPageBreak/>
        <w:t>The ECP will support closer economic cooperat</w:t>
      </w:r>
      <w:r w:rsidR="00836CAF">
        <w:rPr>
          <w:sz w:val="21"/>
          <w:szCs w:val="21"/>
        </w:rPr>
        <w:t xml:space="preserve">ion through </w:t>
      </w:r>
      <w:proofErr w:type="spellStart"/>
      <w:r w:rsidR="00D07C6A">
        <w:rPr>
          <w:sz w:val="21"/>
          <w:szCs w:val="21"/>
        </w:rPr>
        <w:t>A</w:t>
      </w:r>
      <w:r w:rsidR="00836CAF">
        <w:rPr>
          <w:sz w:val="21"/>
          <w:szCs w:val="21"/>
        </w:rPr>
        <w:t>gri</w:t>
      </w:r>
      <w:r w:rsidRPr="00A83067">
        <w:rPr>
          <w:sz w:val="21"/>
          <w:szCs w:val="21"/>
        </w:rPr>
        <w:t>food</w:t>
      </w:r>
      <w:proofErr w:type="spellEnd"/>
      <w:r w:rsidRPr="00A83067">
        <w:rPr>
          <w:sz w:val="21"/>
          <w:szCs w:val="21"/>
        </w:rPr>
        <w:t xml:space="preserve"> </w:t>
      </w:r>
      <w:r w:rsidR="00D07C6A">
        <w:rPr>
          <w:sz w:val="21"/>
          <w:szCs w:val="21"/>
        </w:rPr>
        <w:t>I</w:t>
      </w:r>
      <w:r w:rsidR="003B726C">
        <w:rPr>
          <w:sz w:val="21"/>
          <w:szCs w:val="21"/>
        </w:rPr>
        <w:t xml:space="preserve">nnovation </w:t>
      </w:r>
      <w:r w:rsidR="00D07C6A">
        <w:rPr>
          <w:sz w:val="21"/>
          <w:szCs w:val="21"/>
        </w:rPr>
        <w:t>P</w:t>
      </w:r>
      <w:r w:rsidRPr="00A83067">
        <w:rPr>
          <w:sz w:val="21"/>
          <w:szCs w:val="21"/>
        </w:rPr>
        <w:t xml:space="preserve">artnerships in priority sectors, beginning with a new partnership in the </w:t>
      </w:r>
      <w:r w:rsidR="002E3EBE">
        <w:rPr>
          <w:sz w:val="21"/>
          <w:szCs w:val="21"/>
        </w:rPr>
        <w:t>g</w:t>
      </w:r>
      <w:r w:rsidRPr="00A83067">
        <w:rPr>
          <w:sz w:val="21"/>
          <w:szCs w:val="21"/>
        </w:rPr>
        <w:t xml:space="preserve">rains sector and later in other sectors such as horticulture. </w:t>
      </w:r>
      <w:proofErr w:type="spellStart"/>
      <w:r w:rsidRPr="00A83067">
        <w:rPr>
          <w:sz w:val="21"/>
          <w:szCs w:val="21"/>
        </w:rPr>
        <w:t>Agrifood</w:t>
      </w:r>
      <w:proofErr w:type="spellEnd"/>
      <w:r w:rsidRPr="00A83067">
        <w:rPr>
          <w:sz w:val="21"/>
          <w:szCs w:val="21"/>
        </w:rPr>
        <w:t xml:space="preserve"> </w:t>
      </w:r>
      <w:r w:rsidR="00D07C6A">
        <w:rPr>
          <w:sz w:val="21"/>
          <w:szCs w:val="21"/>
        </w:rPr>
        <w:t>I</w:t>
      </w:r>
      <w:r w:rsidR="003B726C">
        <w:rPr>
          <w:sz w:val="21"/>
          <w:szCs w:val="21"/>
        </w:rPr>
        <w:t xml:space="preserve">nnovation </w:t>
      </w:r>
      <w:r w:rsidR="00D07C6A">
        <w:rPr>
          <w:sz w:val="21"/>
          <w:szCs w:val="21"/>
        </w:rPr>
        <w:t>P</w:t>
      </w:r>
      <w:r w:rsidRPr="00A83067">
        <w:rPr>
          <w:sz w:val="21"/>
          <w:szCs w:val="21"/>
        </w:rPr>
        <w:t xml:space="preserve">artnerships will collectively provide an avenue for Australian and Indonesian agricultural and food industry firms, value chains and </w:t>
      </w:r>
      <w:r w:rsidR="001B408C" w:rsidRPr="00A83067">
        <w:rPr>
          <w:sz w:val="21"/>
          <w:szCs w:val="21"/>
        </w:rPr>
        <w:t xml:space="preserve">industry associations </w:t>
      </w:r>
      <w:r w:rsidRPr="00A83067">
        <w:rPr>
          <w:sz w:val="21"/>
          <w:szCs w:val="21"/>
        </w:rPr>
        <w:t>to deepen relationships, facilitate innovation and integration of markets, an</w:t>
      </w:r>
      <w:r w:rsidR="00836CAF">
        <w:rPr>
          <w:sz w:val="21"/>
          <w:szCs w:val="21"/>
        </w:rPr>
        <w:t>d support investment and trade.</w:t>
      </w:r>
    </w:p>
    <w:p w14:paraId="4F5E9D4D" w14:textId="750040DC" w:rsidR="00A83067" w:rsidRPr="00A83067" w:rsidRDefault="002D1CCE" w:rsidP="00A83067">
      <w:pPr>
        <w:pBdr>
          <w:top w:val="single" w:sz="4" w:space="1" w:color="auto"/>
          <w:left w:val="single" w:sz="4" w:space="1" w:color="auto"/>
          <w:bottom w:val="single" w:sz="4" w:space="1" w:color="auto"/>
          <w:right w:val="single" w:sz="4" w:space="1" w:color="auto"/>
        </w:pBdr>
        <w:spacing w:after="0"/>
        <w:jc w:val="both"/>
        <w:rPr>
          <w:sz w:val="21"/>
          <w:szCs w:val="21"/>
        </w:rPr>
      </w:pPr>
      <w:r w:rsidRPr="00A83067">
        <w:rPr>
          <w:sz w:val="21"/>
          <w:szCs w:val="21"/>
        </w:rPr>
        <w:t xml:space="preserve">There is significant potential to expand two-way trade and for value-added processing of agricultural products in Indonesia for export to third country markets. Success will involve working </w:t>
      </w:r>
      <w:r w:rsidR="001B408C" w:rsidRPr="00A83067">
        <w:rPr>
          <w:sz w:val="21"/>
          <w:szCs w:val="21"/>
        </w:rPr>
        <w:t xml:space="preserve">together </w:t>
      </w:r>
      <w:r w:rsidRPr="00A83067">
        <w:rPr>
          <w:sz w:val="21"/>
          <w:szCs w:val="21"/>
        </w:rPr>
        <w:t xml:space="preserve">to </w:t>
      </w:r>
      <w:r w:rsidR="001B408C" w:rsidRPr="00A83067">
        <w:rPr>
          <w:sz w:val="21"/>
          <w:szCs w:val="21"/>
        </w:rPr>
        <w:t xml:space="preserve">identify and </w:t>
      </w:r>
      <w:r w:rsidRPr="00A83067">
        <w:rPr>
          <w:sz w:val="21"/>
          <w:szCs w:val="21"/>
        </w:rPr>
        <w:t>reduce specific non-tariff measures that restrict trade in agricultu</w:t>
      </w:r>
      <w:r w:rsidR="0010542F">
        <w:rPr>
          <w:sz w:val="21"/>
          <w:szCs w:val="21"/>
        </w:rPr>
        <w:t>ral products and responding to</w:t>
      </w:r>
      <w:r w:rsidRPr="00A83067">
        <w:rPr>
          <w:sz w:val="21"/>
          <w:szCs w:val="21"/>
        </w:rPr>
        <w:t xml:space="preserve"> </w:t>
      </w:r>
      <w:r w:rsidR="001B408C" w:rsidRPr="00A83067">
        <w:rPr>
          <w:sz w:val="21"/>
          <w:szCs w:val="21"/>
        </w:rPr>
        <w:t xml:space="preserve">technical </w:t>
      </w:r>
      <w:r w:rsidRPr="00A83067">
        <w:rPr>
          <w:sz w:val="21"/>
          <w:szCs w:val="21"/>
        </w:rPr>
        <w:t>requirements.</w:t>
      </w:r>
      <w:r w:rsidR="001B408C" w:rsidRPr="00A83067">
        <w:rPr>
          <w:sz w:val="21"/>
          <w:szCs w:val="21"/>
        </w:rPr>
        <w:t xml:space="preserve"> </w:t>
      </w:r>
    </w:p>
    <w:p w14:paraId="102FD1D0" w14:textId="770342E0" w:rsidR="002D1CCE" w:rsidRPr="00A83067" w:rsidRDefault="001B408C" w:rsidP="00A83067">
      <w:pPr>
        <w:pBdr>
          <w:top w:val="single" w:sz="4" w:space="1" w:color="auto"/>
          <w:left w:val="single" w:sz="4" w:space="1" w:color="auto"/>
          <w:bottom w:val="single" w:sz="4" w:space="1" w:color="auto"/>
          <w:right w:val="single" w:sz="4" w:space="1" w:color="auto"/>
        </w:pBdr>
        <w:spacing w:after="0"/>
        <w:jc w:val="both"/>
        <w:rPr>
          <w:sz w:val="21"/>
          <w:szCs w:val="21"/>
        </w:rPr>
      </w:pPr>
      <w:r w:rsidRPr="00A83067">
        <w:rPr>
          <w:sz w:val="21"/>
          <w:szCs w:val="21"/>
        </w:rPr>
        <w:t>Based on extensive industry consultation in Australia and Indonesia, t</w:t>
      </w:r>
      <w:r w:rsidR="002D1CCE" w:rsidRPr="00A83067">
        <w:rPr>
          <w:sz w:val="21"/>
          <w:szCs w:val="21"/>
        </w:rPr>
        <w:t xml:space="preserve">he </w:t>
      </w:r>
      <w:r w:rsidRPr="00A83067">
        <w:rPr>
          <w:sz w:val="21"/>
          <w:szCs w:val="21"/>
        </w:rPr>
        <w:t>Grains P</w:t>
      </w:r>
      <w:r w:rsidR="002D1CCE" w:rsidRPr="00A83067">
        <w:rPr>
          <w:sz w:val="21"/>
          <w:szCs w:val="21"/>
        </w:rPr>
        <w:t>artnership is a strategic initiative to create deeper relationships across grains value chains for the mutual benefit of Australia and Indonesia</w:t>
      </w:r>
      <w:r w:rsidR="00CE3CD9" w:rsidRPr="00A83067">
        <w:rPr>
          <w:sz w:val="21"/>
          <w:szCs w:val="21"/>
        </w:rPr>
        <w:t xml:space="preserve">. </w:t>
      </w:r>
      <w:r w:rsidR="007821C0" w:rsidRPr="00A83067">
        <w:rPr>
          <w:sz w:val="21"/>
          <w:szCs w:val="21"/>
        </w:rPr>
        <w:t>The</w:t>
      </w:r>
      <w:r w:rsidR="00CE3CD9" w:rsidRPr="00A83067">
        <w:rPr>
          <w:sz w:val="21"/>
          <w:szCs w:val="21"/>
        </w:rPr>
        <w:t xml:space="preserve"> partnership will </w:t>
      </w:r>
      <w:r w:rsidR="007821C0" w:rsidRPr="00A83067">
        <w:rPr>
          <w:sz w:val="21"/>
          <w:szCs w:val="21"/>
        </w:rPr>
        <w:t xml:space="preserve">support productive capacity for Indonesia alongside enhanced trade outcomes for industry through grains value-chain leadership programs, train-the-trainer programs focused on Indonesian SMEs in the </w:t>
      </w:r>
      <w:proofErr w:type="spellStart"/>
      <w:r w:rsidR="007821C0" w:rsidRPr="00A83067">
        <w:rPr>
          <w:sz w:val="21"/>
          <w:szCs w:val="21"/>
        </w:rPr>
        <w:t>baking</w:t>
      </w:r>
      <w:proofErr w:type="spellEnd"/>
      <w:r w:rsidR="007821C0" w:rsidRPr="00A83067">
        <w:rPr>
          <w:sz w:val="21"/>
          <w:szCs w:val="21"/>
        </w:rPr>
        <w:t xml:space="preserve"> </w:t>
      </w:r>
      <w:r w:rsidR="007821C0" w:rsidRPr="005C0937">
        <w:rPr>
          <w:b/>
          <w:sz w:val="21"/>
          <w:szCs w:val="21"/>
        </w:rPr>
        <w:t xml:space="preserve">sector, a standards </w:t>
      </w:r>
      <w:r w:rsidR="000E444B" w:rsidRPr="005C0937">
        <w:rPr>
          <w:rFonts w:cstheme="majorHAnsi"/>
          <w:b/>
          <w:sz w:val="21"/>
          <w:szCs w:val="21"/>
        </w:rPr>
        <w:t xml:space="preserve">and conformance </w:t>
      </w:r>
      <w:r w:rsidR="007821C0" w:rsidRPr="005C0937">
        <w:rPr>
          <w:b/>
          <w:sz w:val="21"/>
          <w:szCs w:val="21"/>
        </w:rPr>
        <w:t>component and better industry</w:t>
      </w:r>
      <w:r w:rsidR="007821C0" w:rsidRPr="005C0937">
        <w:rPr>
          <w:sz w:val="21"/>
          <w:szCs w:val="21"/>
        </w:rPr>
        <w:t xml:space="preserve"> production </w:t>
      </w:r>
      <w:r w:rsidR="007821C0" w:rsidRPr="00A83067">
        <w:rPr>
          <w:sz w:val="21"/>
          <w:szCs w:val="21"/>
        </w:rPr>
        <w:t>forecasting. It will also assist in capacity building for the feed mill industry in Indonesia, with a focus on expanding local poultry, aquaculture and cattle industries</w:t>
      </w:r>
      <w:r w:rsidR="00836CAF">
        <w:rPr>
          <w:sz w:val="21"/>
          <w:szCs w:val="21"/>
        </w:rPr>
        <w:t xml:space="preserve"> with enhanced animal health outcomes</w:t>
      </w:r>
      <w:r w:rsidR="007821C0" w:rsidRPr="00A83067">
        <w:rPr>
          <w:sz w:val="21"/>
          <w:szCs w:val="21"/>
        </w:rPr>
        <w:t xml:space="preserve">, </w:t>
      </w:r>
      <w:r w:rsidR="00836CAF">
        <w:rPr>
          <w:sz w:val="21"/>
          <w:szCs w:val="21"/>
        </w:rPr>
        <w:t xml:space="preserve">noting </w:t>
      </w:r>
      <w:r w:rsidR="007821C0" w:rsidRPr="00A83067">
        <w:rPr>
          <w:sz w:val="21"/>
          <w:szCs w:val="21"/>
        </w:rPr>
        <w:t xml:space="preserve">that IA-CEPA </w:t>
      </w:r>
      <w:r w:rsidR="002E3EBE">
        <w:rPr>
          <w:sz w:val="21"/>
          <w:szCs w:val="21"/>
        </w:rPr>
        <w:t xml:space="preserve">provides improved access for </w:t>
      </w:r>
      <w:r w:rsidR="007821C0" w:rsidRPr="00A83067">
        <w:rPr>
          <w:sz w:val="21"/>
          <w:szCs w:val="21"/>
        </w:rPr>
        <w:t xml:space="preserve">feed grain imports from Australia for the first time. </w:t>
      </w:r>
    </w:p>
    <w:p w14:paraId="2B3A8A87" w14:textId="16CE5507" w:rsidR="00253A13" w:rsidRPr="00253A13" w:rsidRDefault="002A0623" w:rsidP="00F46375">
      <w:pPr>
        <w:spacing w:after="0"/>
        <w:rPr>
          <w:b/>
        </w:rPr>
      </w:pPr>
      <w:r>
        <w:rPr>
          <w:b/>
        </w:rPr>
        <w:t>3.</w:t>
      </w:r>
      <w:r>
        <w:rPr>
          <w:b/>
        </w:rPr>
        <w:tab/>
      </w:r>
      <w:r w:rsidR="00253A13" w:rsidRPr="00253A13">
        <w:rPr>
          <w:b/>
        </w:rPr>
        <w:t xml:space="preserve">Enhanced Labour Market Skills </w:t>
      </w:r>
    </w:p>
    <w:p w14:paraId="3477ADA2" w14:textId="3E6652AF" w:rsidR="00C858C5" w:rsidRPr="0086792D" w:rsidRDefault="00C858C5" w:rsidP="00A83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1"/>
          <w:szCs w:val="21"/>
        </w:rPr>
      </w:pPr>
      <w:r w:rsidRPr="0086792D">
        <w:rPr>
          <w:rFonts w:cs="Arial"/>
          <w:sz w:val="21"/>
          <w:szCs w:val="21"/>
        </w:rPr>
        <w:t xml:space="preserve">McKinsey Global Institute (MGI) estimates that by 2030 Indonesia will need 113 million skilled workers, a significant increase in the 57 million skilled Indonesian workers available in 2016. To fill this skills gap, </w:t>
      </w:r>
      <w:r w:rsidR="002E3EBE">
        <w:rPr>
          <w:rFonts w:cs="Arial"/>
          <w:sz w:val="21"/>
          <w:szCs w:val="21"/>
        </w:rPr>
        <w:t xml:space="preserve">an additional </w:t>
      </w:r>
      <w:r w:rsidRPr="0086792D">
        <w:rPr>
          <w:rFonts w:cs="Arial"/>
          <w:sz w:val="21"/>
          <w:szCs w:val="21"/>
        </w:rPr>
        <w:t xml:space="preserve">3.7 million skilled workers are needed each year. </w:t>
      </w:r>
    </w:p>
    <w:p w14:paraId="57762935" w14:textId="1850AC55" w:rsidR="00C858C5" w:rsidRPr="0086792D" w:rsidRDefault="00C858C5" w:rsidP="00A83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1"/>
          <w:szCs w:val="21"/>
        </w:rPr>
      </w:pPr>
      <w:r w:rsidRPr="0086792D">
        <w:rPr>
          <w:rFonts w:cs="Arial"/>
          <w:sz w:val="21"/>
          <w:szCs w:val="21"/>
        </w:rPr>
        <w:t>Skills are needed across all sectors. For instance, the Indonesia tourism industry currently employs 12.8 million people and is expected to grow to 15 million by 2024.</w:t>
      </w:r>
      <w:r w:rsidR="00DD1502">
        <w:rPr>
          <w:rStyle w:val="FootnoteReference"/>
          <w:rFonts w:cs="Arial"/>
          <w:szCs w:val="21"/>
        </w:rPr>
        <w:footnoteReference w:id="25"/>
      </w:r>
      <w:r w:rsidRPr="0086792D">
        <w:rPr>
          <w:rFonts w:cs="Arial"/>
          <w:sz w:val="21"/>
          <w:szCs w:val="21"/>
        </w:rPr>
        <w:t xml:space="preserve"> In digital industries, Indonesia needs 9 million skilled workers by 2030.</w:t>
      </w:r>
    </w:p>
    <w:p w14:paraId="6B17B197" w14:textId="2CD8993A" w:rsidR="00C858C5" w:rsidRPr="0086792D" w:rsidRDefault="00C858C5" w:rsidP="00A83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21"/>
          <w:szCs w:val="21"/>
        </w:rPr>
      </w:pPr>
      <w:r w:rsidRPr="0086792D">
        <w:rPr>
          <w:rFonts w:cs="Arial"/>
          <w:sz w:val="21"/>
          <w:szCs w:val="21"/>
        </w:rPr>
        <w:t xml:space="preserve">To address this challenge the </w:t>
      </w:r>
      <w:r w:rsidR="002E3EBE">
        <w:rPr>
          <w:rFonts w:cs="Arial"/>
          <w:sz w:val="21"/>
          <w:szCs w:val="21"/>
        </w:rPr>
        <w:t>G</w:t>
      </w:r>
      <w:r w:rsidRPr="0086792D">
        <w:rPr>
          <w:rFonts w:cs="Arial"/>
          <w:sz w:val="21"/>
          <w:szCs w:val="21"/>
        </w:rPr>
        <w:t xml:space="preserve">overnment </w:t>
      </w:r>
      <w:r w:rsidR="002E3EBE">
        <w:rPr>
          <w:rFonts w:cs="Arial"/>
          <w:sz w:val="21"/>
          <w:szCs w:val="21"/>
        </w:rPr>
        <w:t xml:space="preserve">of Indonesia </w:t>
      </w:r>
      <w:r w:rsidRPr="0086792D">
        <w:rPr>
          <w:rFonts w:cs="Arial"/>
          <w:sz w:val="21"/>
          <w:szCs w:val="21"/>
        </w:rPr>
        <w:t xml:space="preserve">has made human capital, and TVET in particular, a priority of the </w:t>
      </w:r>
      <w:r w:rsidR="003E61FA">
        <w:rPr>
          <w:rFonts w:cs="Arial"/>
          <w:sz w:val="21"/>
          <w:szCs w:val="21"/>
        </w:rPr>
        <w:t>G</w:t>
      </w:r>
      <w:r w:rsidRPr="0086792D">
        <w:rPr>
          <w:rFonts w:cs="Arial"/>
          <w:sz w:val="21"/>
          <w:szCs w:val="21"/>
        </w:rPr>
        <w:t>overnment. In September 2016, President Joko</w:t>
      </w:r>
      <w:r w:rsidR="002E3EBE">
        <w:rPr>
          <w:rFonts w:cs="Arial"/>
          <w:sz w:val="21"/>
          <w:szCs w:val="21"/>
        </w:rPr>
        <w:t xml:space="preserve"> Widodo</w:t>
      </w:r>
      <w:r w:rsidRPr="0086792D">
        <w:rPr>
          <w:rFonts w:cs="Arial"/>
          <w:sz w:val="21"/>
          <w:szCs w:val="21"/>
        </w:rPr>
        <w:t xml:space="preserve"> released a special decree on the revitali</w:t>
      </w:r>
      <w:r w:rsidR="00580081">
        <w:rPr>
          <w:rFonts w:cs="Arial"/>
          <w:sz w:val="21"/>
          <w:szCs w:val="21"/>
        </w:rPr>
        <w:t>s</w:t>
      </w:r>
      <w:r w:rsidRPr="0086792D">
        <w:rPr>
          <w:rFonts w:cs="Arial"/>
          <w:sz w:val="21"/>
          <w:szCs w:val="21"/>
        </w:rPr>
        <w:t>ation of vocational education. Further, President Joko</w:t>
      </w:r>
      <w:r w:rsidR="002E3EBE">
        <w:rPr>
          <w:rFonts w:cs="Arial"/>
          <w:sz w:val="21"/>
          <w:szCs w:val="21"/>
        </w:rPr>
        <w:t xml:space="preserve"> Widodo</w:t>
      </w:r>
      <w:r w:rsidRPr="0086792D">
        <w:rPr>
          <w:rFonts w:cs="Arial"/>
          <w:sz w:val="21"/>
          <w:szCs w:val="21"/>
        </w:rPr>
        <w:t xml:space="preserve"> recently announced a new pre-employment card (</w:t>
      </w:r>
      <w:proofErr w:type="spellStart"/>
      <w:r w:rsidR="00DD1502" w:rsidRPr="00DD1502">
        <w:rPr>
          <w:rFonts w:cs="Arial"/>
          <w:i/>
          <w:sz w:val="21"/>
          <w:szCs w:val="21"/>
        </w:rPr>
        <w:t>K</w:t>
      </w:r>
      <w:r w:rsidRPr="00DD1502">
        <w:rPr>
          <w:rFonts w:cs="Arial"/>
          <w:i/>
          <w:sz w:val="21"/>
          <w:szCs w:val="21"/>
        </w:rPr>
        <w:t>artu</w:t>
      </w:r>
      <w:proofErr w:type="spellEnd"/>
      <w:r w:rsidRPr="00DD1502">
        <w:rPr>
          <w:rFonts w:cs="Arial"/>
          <w:i/>
          <w:sz w:val="21"/>
          <w:szCs w:val="21"/>
        </w:rPr>
        <w:t xml:space="preserve"> </w:t>
      </w:r>
      <w:proofErr w:type="spellStart"/>
      <w:r w:rsidR="00DD1502" w:rsidRPr="00DD1502">
        <w:rPr>
          <w:rFonts w:cs="Arial"/>
          <w:i/>
          <w:sz w:val="21"/>
          <w:szCs w:val="21"/>
        </w:rPr>
        <w:t>P</w:t>
      </w:r>
      <w:r w:rsidRPr="00DD1502">
        <w:rPr>
          <w:rFonts w:cs="Arial"/>
          <w:i/>
          <w:sz w:val="21"/>
          <w:szCs w:val="21"/>
        </w:rPr>
        <w:t>rakerja</w:t>
      </w:r>
      <w:proofErr w:type="spellEnd"/>
      <w:r w:rsidRPr="0086792D">
        <w:rPr>
          <w:rFonts w:cs="Arial"/>
          <w:sz w:val="21"/>
          <w:szCs w:val="21"/>
        </w:rPr>
        <w:t xml:space="preserve">), which will allow people who </w:t>
      </w:r>
      <w:r w:rsidR="00CA21CC">
        <w:rPr>
          <w:rFonts w:cs="Arial"/>
          <w:sz w:val="21"/>
          <w:szCs w:val="21"/>
        </w:rPr>
        <w:t>have lost</w:t>
      </w:r>
      <w:r w:rsidR="00CA21CC" w:rsidRPr="0086792D">
        <w:rPr>
          <w:rFonts w:cs="Arial"/>
          <w:sz w:val="21"/>
          <w:szCs w:val="21"/>
        </w:rPr>
        <w:t xml:space="preserve"> </w:t>
      </w:r>
      <w:r w:rsidRPr="0086792D">
        <w:rPr>
          <w:rFonts w:cs="Arial"/>
          <w:sz w:val="21"/>
          <w:szCs w:val="21"/>
        </w:rPr>
        <w:t xml:space="preserve">their job to seek subsidised training for </w:t>
      </w:r>
      <w:r w:rsidR="00CA21CC">
        <w:rPr>
          <w:rFonts w:cs="Arial"/>
          <w:sz w:val="21"/>
          <w:szCs w:val="21"/>
        </w:rPr>
        <w:t>upgrading</w:t>
      </w:r>
      <w:r w:rsidRPr="0086792D">
        <w:rPr>
          <w:rFonts w:cs="Arial"/>
          <w:sz w:val="21"/>
          <w:szCs w:val="21"/>
        </w:rPr>
        <w:t xml:space="preserve"> or reskilling. </w:t>
      </w:r>
    </w:p>
    <w:p w14:paraId="6804A4C0" w14:textId="15C3E6A1" w:rsidR="00893D32" w:rsidRPr="002A0623" w:rsidRDefault="00C858C5" w:rsidP="00A830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cs="Arial"/>
          <w:iCs/>
          <w:sz w:val="21"/>
          <w:szCs w:val="21"/>
        </w:rPr>
      </w:pPr>
      <w:r w:rsidRPr="0086792D">
        <w:rPr>
          <w:rFonts w:cs="Arial"/>
          <w:iCs/>
          <w:sz w:val="21"/>
          <w:szCs w:val="21"/>
        </w:rPr>
        <w:t>IA-CEPA provides new opportunities for closer partnership, trade and investment in skills and training be</w:t>
      </w:r>
      <w:r w:rsidR="00E555F7">
        <w:rPr>
          <w:rFonts w:cs="Arial"/>
          <w:iCs/>
          <w:sz w:val="21"/>
          <w:szCs w:val="21"/>
        </w:rPr>
        <w:t>t</w:t>
      </w:r>
      <w:r w:rsidRPr="0086792D">
        <w:rPr>
          <w:rFonts w:cs="Arial"/>
          <w:iCs/>
          <w:sz w:val="21"/>
          <w:szCs w:val="21"/>
        </w:rPr>
        <w:t xml:space="preserve">ween Australia and Indonesia. </w:t>
      </w:r>
      <w:r w:rsidR="006B055F">
        <w:rPr>
          <w:rFonts w:cs="Arial"/>
          <w:iCs/>
          <w:sz w:val="21"/>
          <w:szCs w:val="21"/>
        </w:rPr>
        <w:t xml:space="preserve">The ECP will support </w:t>
      </w:r>
      <w:r w:rsidR="00B56942">
        <w:rPr>
          <w:rFonts w:cs="Arial"/>
          <w:iCs/>
          <w:sz w:val="21"/>
          <w:szCs w:val="21"/>
        </w:rPr>
        <w:t xml:space="preserve">enhancing </w:t>
      </w:r>
      <w:r w:rsidR="006B055F">
        <w:rPr>
          <w:rFonts w:cs="Arial"/>
          <w:iCs/>
          <w:sz w:val="21"/>
          <w:szCs w:val="21"/>
        </w:rPr>
        <w:t xml:space="preserve">Indonesia’s labour market skills through catalysing partnerships that bring Indonesian </w:t>
      </w:r>
      <w:r w:rsidR="00FC1466">
        <w:rPr>
          <w:rFonts w:cs="Arial"/>
          <w:iCs/>
          <w:sz w:val="21"/>
          <w:szCs w:val="21"/>
        </w:rPr>
        <w:t xml:space="preserve">firms </w:t>
      </w:r>
      <w:r w:rsidR="006B055F">
        <w:rPr>
          <w:rFonts w:cs="Arial"/>
          <w:iCs/>
          <w:sz w:val="21"/>
          <w:szCs w:val="21"/>
        </w:rPr>
        <w:t xml:space="preserve">together with </w:t>
      </w:r>
      <w:r w:rsidRPr="0086792D">
        <w:rPr>
          <w:rFonts w:cs="Arial"/>
          <w:iCs/>
          <w:sz w:val="21"/>
          <w:szCs w:val="21"/>
        </w:rPr>
        <w:t>Australia’s high quality Technical Vocational, Education and Training (TVET) sector</w:t>
      </w:r>
      <w:r w:rsidR="00580081">
        <w:rPr>
          <w:rFonts w:cs="Arial"/>
          <w:iCs/>
          <w:sz w:val="21"/>
          <w:szCs w:val="21"/>
        </w:rPr>
        <w:t xml:space="preserve"> providers</w:t>
      </w:r>
      <w:r w:rsidR="006B055F">
        <w:rPr>
          <w:rFonts w:cs="Arial"/>
          <w:iCs/>
          <w:sz w:val="21"/>
          <w:szCs w:val="21"/>
        </w:rPr>
        <w:t xml:space="preserve">. This will </w:t>
      </w:r>
      <w:r w:rsidRPr="0086792D">
        <w:rPr>
          <w:rFonts w:cs="Arial"/>
          <w:iCs/>
          <w:sz w:val="21"/>
          <w:szCs w:val="21"/>
        </w:rPr>
        <w:t>support Indonesia’s goal of b</w:t>
      </w:r>
      <w:r w:rsidR="00766714" w:rsidRPr="0086792D">
        <w:rPr>
          <w:rFonts w:cs="Arial"/>
          <w:iCs/>
          <w:sz w:val="21"/>
          <w:szCs w:val="21"/>
        </w:rPr>
        <w:t>uilding human capital</w:t>
      </w:r>
      <w:r w:rsidR="006B055F">
        <w:rPr>
          <w:rFonts w:cs="Arial"/>
          <w:iCs/>
          <w:sz w:val="21"/>
          <w:szCs w:val="21"/>
        </w:rPr>
        <w:t xml:space="preserve">, while exploring the regulatory impediments </w:t>
      </w:r>
      <w:r w:rsidR="00CA21CC">
        <w:rPr>
          <w:rFonts w:cs="Arial"/>
          <w:iCs/>
          <w:sz w:val="21"/>
          <w:szCs w:val="21"/>
        </w:rPr>
        <w:t xml:space="preserve">and other barriers </w:t>
      </w:r>
      <w:r w:rsidR="006B055F">
        <w:rPr>
          <w:rFonts w:cs="Arial"/>
          <w:iCs/>
          <w:sz w:val="21"/>
          <w:szCs w:val="21"/>
        </w:rPr>
        <w:t xml:space="preserve">to greater skills engagement between Australia and Indonesia. </w:t>
      </w:r>
    </w:p>
    <w:p w14:paraId="74117309" w14:textId="2382C7CD" w:rsidR="00766714" w:rsidRPr="00CE3294" w:rsidRDefault="00766714" w:rsidP="00CE3294">
      <w:pPr>
        <w:pBdr>
          <w:top w:val="single" w:sz="4" w:space="1" w:color="auto"/>
          <w:left w:val="single" w:sz="4" w:space="1" w:color="auto"/>
          <w:bottom w:val="single" w:sz="4" w:space="1" w:color="auto"/>
          <w:right w:val="single" w:sz="4" w:space="1" w:color="auto"/>
        </w:pBdr>
        <w:spacing w:line="240" w:lineRule="atLeast"/>
        <w:rPr>
          <w:rFonts w:cs="Arial"/>
          <w:iCs/>
          <w:sz w:val="21"/>
          <w:szCs w:val="21"/>
        </w:rPr>
      </w:pPr>
      <w:r w:rsidRPr="00CE3294">
        <w:rPr>
          <w:rFonts w:eastAsia="Times New Roman" w:cs="Arial"/>
          <w:b/>
          <w:i/>
          <w:sz w:val="21"/>
          <w:szCs w:val="21"/>
          <w:lang w:val="en-AU" w:eastAsia="en-AU"/>
        </w:rPr>
        <w:t>Signature activity:  Co-Investing in Skills and Training</w:t>
      </w:r>
    </w:p>
    <w:p w14:paraId="0A9632E3" w14:textId="186ECD88" w:rsidR="00CE3294" w:rsidRPr="00CE3294" w:rsidRDefault="00CE3294" w:rsidP="00CE3294">
      <w:pPr>
        <w:pBdr>
          <w:top w:val="single" w:sz="4" w:space="1" w:color="auto"/>
          <w:left w:val="single" w:sz="4" w:space="1" w:color="auto"/>
          <w:bottom w:val="single" w:sz="4" w:space="1" w:color="auto"/>
          <w:right w:val="single" w:sz="4" w:space="1" w:color="auto"/>
        </w:pBdr>
        <w:spacing w:line="240" w:lineRule="atLeast"/>
        <w:rPr>
          <w:sz w:val="21"/>
          <w:szCs w:val="21"/>
        </w:rPr>
      </w:pPr>
      <w:r w:rsidRPr="00CE3294">
        <w:rPr>
          <w:rFonts w:cs="Arial"/>
          <w:iCs/>
          <w:sz w:val="21"/>
          <w:szCs w:val="21"/>
        </w:rPr>
        <w:t xml:space="preserve">The ECP will support greater partnership in technical vocational education and training (TVET) between Indonesian industry and Australian TVET providers. The activity will connect Indonesian employers to high quality skills and training, addressing a major constraint to growth </w:t>
      </w:r>
      <w:r w:rsidR="006E3097">
        <w:rPr>
          <w:rFonts w:cs="Arial"/>
          <w:iCs/>
          <w:sz w:val="21"/>
          <w:szCs w:val="21"/>
        </w:rPr>
        <w:t xml:space="preserve">and productivity in Indonesia. </w:t>
      </w:r>
      <w:r w:rsidRPr="00CE3294">
        <w:rPr>
          <w:sz w:val="21"/>
          <w:szCs w:val="21"/>
        </w:rPr>
        <w:t>This activity will contribute to the goal of increasing productivity, competitiveness and innovation in Indonesia through skills development of the workforce, through the identification and development of industry demand-led, commercially sustainable skills and training opportunities.</w:t>
      </w:r>
    </w:p>
    <w:p w14:paraId="79DBE392" w14:textId="5EB1EDF8" w:rsidR="00CE3294" w:rsidRPr="00CE3294" w:rsidRDefault="00CE3294" w:rsidP="00CE329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cs="Arial"/>
          <w:iCs/>
          <w:sz w:val="21"/>
          <w:szCs w:val="21"/>
        </w:rPr>
      </w:pPr>
      <w:r w:rsidRPr="00CE3294">
        <w:rPr>
          <w:rFonts w:cs="Arial"/>
          <w:iCs/>
          <w:sz w:val="21"/>
          <w:szCs w:val="21"/>
        </w:rPr>
        <w:t>The ECP will convene Indonesian Industry Committees in the priority IA-CEPA sectors of tourism, agriculture and the digital economy (services), among others including the health sector</w:t>
      </w:r>
      <w:r w:rsidR="00C805FD">
        <w:rPr>
          <w:rFonts w:cs="Arial"/>
          <w:iCs/>
          <w:sz w:val="21"/>
          <w:szCs w:val="21"/>
        </w:rPr>
        <w:t>, advanced manufacturing</w:t>
      </w:r>
      <w:r>
        <w:rPr>
          <w:rFonts w:cs="Arial"/>
          <w:iCs/>
          <w:sz w:val="21"/>
          <w:szCs w:val="21"/>
        </w:rPr>
        <w:t xml:space="preserve"> and other industries over time</w:t>
      </w:r>
      <w:r w:rsidRPr="00CE3294">
        <w:rPr>
          <w:rFonts w:cs="Arial"/>
          <w:iCs/>
          <w:sz w:val="21"/>
          <w:szCs w:val="21"/>
        </w:rPr>
        <w:t xml:space="preserve">. The Industry Committees will consist of major employers in those priority sectors and existing industry bodies. The Industry Committees will identify major skills gaps in their sector, develop courses and identify innovative delivery models for training with the support of TVET experts funded by the ECP. The Industry Committees will ensure courses are demand driven and designed to meet the specific skills needs of Indonesian employers. </w:t>
      </w:r>
    </w:p>
    <w:p w14:paraId="03B659BE" w14:textId="28E8B9C4" w:rsidR="00CE3294" w:rsidRPr="00CE3294" w:rsidRDefault="00CE3294" w:rsidP="00CE329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tLeast"/>
        <w:rPr>
          <w:rFonts w:cs="Arial"/>
          <w:iCs/>
          <w:sz w:val="21"/>
          <w:szCs w:val="21"/>
        </w:rPr>
      </w:pPr>
      <w:r w:rsidRPr="00CE3294">
        <w:rPr>
          <w:rFonts w:cs="Arial"/>
          <w:iCs/>
          <w:sz w:val="21"/>
          <w:szCs w:val="21"/>
        </w:rPr>
        <w:t>The ECP will also establish a TVET Clearinghouse. The Clearinghouse will facilitate procurement and partnership between Indone</w:t>
      </w:r>
      <w:r>
        <w:rPr>
          <w:rFonts w:cs="Arial"/>
          <w:iCs/>
          <w:sz w:val="21"/>
          <w:szCs w:val="21"/>
        </w:rPr>
        <w:t>sian Industry and Australian TVET providers</w:t>
      </w:r>
      <w:r w:rsidR="0058041D">
        <w:rPr>
          <w:rFonts w:cs="Arial"/>
          <w:iCs/>
          <w:sz w:val="21"/>
          <w:szCs w:val="21"/>
        </w:rPr>
        <w:t xml:space="preserve"> </w:t>
      </w:r>
      <w:r w:rsidRPr="00CE3294">
        <w:rPr>
          <w:rFonts w:cs="Arial"/>
          <w:iCs/>
          <w:sz w:val="21"/>
          <w:szCs w:val="21"/>
        </w:rPr>
        <w:t xml:space="preserve">to meet the skills needs identified by the Indonesian </w:t>
      </w:r>
      <w:r w:rsidRPr="00CE3294">
        <w:rPr>
          <w:rFonts w:cs="Arial"/>
          <w:iCs/>
          <w:sz w:val="21"/>
          <w:szCs w:val="21"/>
        </w:rPr>
        <w:lastRenderedPageBreak/>
        <w:t xml:space="preserve">Industry Committees. The TVET Clearinghouse will address the gap in information flows between Indonesian industry and Australian </w:t>
      </w:r>
      <w:r>
        <w:rPr>
          <w:rFonts w:cs="Arial"/>
          <w:iCs/>
          <w:sz w:val="21"/>
          <w:szCs w:val="21"/>
        </w:rPr>
        <w:t>providers</w:t>
      </w:r>
      <w:r w:rsidRPr="00CE3294">
        <w:rPr>
          <w:rFonts w:cs="Arial"/>
          <w:iCs/>
          <w:sz w:val="21"/>
          <w:szCs w:val="21"/>
        </w:rPr>
        <w:t>, bui</w:t>
      </w:r>
      <w:r>
        <w:rPr>
          <w:rFonts w:cs="Arial"/>
          <w:iCs/>
          <w:sz w:val="21"/>
          <w:szCs w:val="21"/>
        </w:rPr>
        <w:t xml:space="preserve">ld connections and partnerships, </w:t>
      </w:r>
      <w:r w:rsidRPr="00CE3294">
        <w:rPr>
          <w:rFonts w:cs="Arial"/>
          <w:iCs/>
          <w:sz w:val="21"/>
          <w:szCs w:val="21"/>
        </w:rPr>
        <w:t xml:space="preserve">and support the delivery of commercially viable training programs. </w:t>
      </w:r>
    </w:p>
    <w:p w14:paraId="5357BD1E" w14:textId="31783A94" w:rsidR="00A83067" w:rsidRPr="00D47171" w:rsidRDefault="008040AE" w:rsidP="007C4A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sz w:val="21"/>
          <w:szCs w:val="21"/>
          <w:u w:val="single"/>
        </w:rPr>
      </w:pPr>
      <w:r w:rsidRPr="002B22A9">
        <w:rPr>
          <w:rFonts w:cs="Arial"/>
          <w:iCs/>
          <w:sz w:val="21"/>
          <w:szCs w:val="21"/>
        </w:rPr>
        <w:t xml:space="preserve">The above </w:t>
      </w:r>
      <w:r w:rsidR="002D1CCE" w:rsidRPr="002B22A9">
        <w:rPr>
          <w:rFonts w:cs="Arial"/>
          <w:iCs/>
          <w:sz w:val="21"/>
          <w:szCs w:val="21"/>
        </w:rPr>
        <w:t xml:space="preserve">three </w:t>
      </w:r>
      <w:r w:rsidRPr="002B22A9">
        <w:rPr>
          <w:rFonts w:cs="Arial"/>
          <w:iCs/>
          <w:sz w:val="21"/>
          <w:szCs w:val="21"/>
        </w:rPr>
        <w:t xml:space="preserve">outcomes will be achieved across priority sectors identified under </w:t>
      </w:r>
      <w:r w:rsidR="0039235A" w:rsidRPr="002B22A9">
        <w:rPr>
          <w:rFonts w:cs="Arial"/>
          <w:iCs/>
          <w:sz w:val="21"/>
          <w:szCs w:val="21"/>
        </w:rPr>
        <w:t>the IA-CEPA. These have been broadly grouped to</w:t>
      </w:r>
      <w:r w:rsidR="009B3421" w:rsidRPr="002B22A9">
        <w:rPr>
          <w:rFonts w:cs="Arial"/>
          <w:iCs/>
          <w:sz w:val="21"/>
          <w:szCs w:val="21"/>
        </w:rPr>
        <w:t xml:space="preserve"> cover </w:t>
      </w:r>
      <w:proofErr w:type="spellStart"/>
      <w:r w:rsidR="009B3421" w:rsidRPr="002B22A9">
        <w:rPr>
          <w:rFonts w:cs="Arial"/>
          <w:iCs/>
          <w:sz w:val="21"/>
          <w:szCs w:val="21"/>
        </w:rPr>
        <w:t>agrifood</w:t>
      </w:r>
      <w:proofErr w:type="spellEnd"/>
      <w:r w:rsidR="009B3421" w:rsidRPr="002B22A9">
        <w:rPr>
          <w:rFonts w:cs="Arial"/>
          <w:iCs/>
          <w:sz w:val="21"/>
          <w:szCs w:val="21"/>
        </w:rPr>
        <w:t>, advan</w:t>
      </w:r>
      <w:r w:rsidR="00095EED" w:rsidRPr="002B22A9">
        <w:rPr>
          <w:rFonts w:cs="Arial"/>
          <w:iCs/>
          <w:sz w:val="21"/>
          <w:szCs w:val="21"/>
        </w:rPr>
        <w:t xml:space="preserve">ced manufacturing and services, being sectors prioritised as part of IA-CEPA and presenting major opportunities to support Indonesia’s growth and development goals. </w:t>
      </w:r>
      <w:r w:rsidR="00433706" w:rsidRPr="002B22A9">
        <w:rPr>
          <w:rFonts w:cs="Arial"/>
          <w:iCs/>
          <w:sz w:val="21"/>
          <w:szCs w:val="21"/>
        </w:rPr>
        <w:t xml:space="preserve">The </w:t>
      </w:r>
      <w:r w:rsidR="003C2FFB" w:rsidRPr="002B22A9">
        <w:rPr>
          <w:rFonts w:cs="Arial"/>
          <w:iCs/>
          <w:sz w:val="21"/>
          <w:szCs w:val="21"/>
        </w:rPr>
        <w:t xml:space="preserve">ECP will deliver activities in industries across the abovementioned sectors where they contribute </w:t>
      </w:r>
      <w:r w:rsidRPr="002B22A9">
        <w:rPr>
          <w:rFonts w:cs="Arial"/>
          <w:iCs/>
          <w:sz w:val="21"/>
          <w:szCs w:val="21"/>
        </w:rPr>
        <w:t xml:space="preserve">to one or more of the three </w:t>
      </w:r>
      <w:r w:rsidR="009B3421" w:rsidRPr="002B22A9">
        <w:rPr>
          <w:rFonts w:cs="Arial"/>
          <w:iCs/>
          <w:sz w:val="21"/>
          <w:szCs w:val="21"/>
        </w:rPr>
        <w:t>outcome areas. The</w:t>
      </w:r>
      <w:r w:rsidR="005A2CE8" w:rsidRPr="002B22A9">
        <w:rPr>
          <w:rFonts w:cs="Arial"/>
          <w:iCs/>
          <w:sz w:val="21"/>
          <w:szCs w:val="21"/>
        </w:rPr>
        <w:t xml:space="preserve"> program logic is summarised </w:t>
      </w:r>
      <w:r w:rsidR="00572F16">
        <w:rPr>
          <w:rFonts w:cs="Arial"/>
          <w:iCs/>
          <w:sz w:val="21"/>
          <w:szCs w:val="21"/>
        </w:rPr>
        <w:t>at</w:t>
      </w:r>
      <w:r w:rsidR="005A2CE8" w:rsidRPr="002B22A9">
        <w:rPr>
          <w:rFonts w:cs="Arial"/>
          <w:iCs/>
          <w:sz w:val="21"/>
          <w:szCs w:val="21"/>
        </w:rPr>
        <w:t xml:space="preserve"> </w:t>
      </w:r>
      <w:r w:rsidR="000E7A5C" w:rsidRPr="00572F16">
        <w:rPr>
          <w:rFonts w:cs="Arial"/>
          <w:iCs/>
          <w:sz w:val="21"/>
          <w:szCs w:val="21"/>
          <w:u w:val="single"/>
        </w:rPr>
        <w:t>Annex 1</w:t>
      </w:r>
      <w:r w:rsidR="005A2CE8" w:rsidRPr="002B22A9">
        <w:rPr>
          <w:rFonts w:cs="Arial"/>
          <w:iCs/>
          <w:sz w:val="21"/>
          <w:szCs w:val="21"/>
        </w:rPr>
        <w:t xml:space="preserve">. </w:t>
      </w:r>
      <w:r w:rsidR="004F0CBD" w:rsidRPr="002B22A9">
        <w:rPr>
          <w:rFonts w:cs="Arial"/>
          <w:iCs/>
          <w:sz w:val="21"/>
          <w:szCs w:val="21"/>
        </w:rPr>
        <w:t xml:space="preserve">The program logic is further developed across the priority </w:t>
      </w:r>
      <w:proofErr w:type="spellStart"/>
      <w:r w:rsidR="004F0CBD" w:rsidRPr="002B22A9">
        <w:rPr>
          <w:rFonts w:cs="Arial"/>
          <w:iCs/>
          <w:sz w:val="21"/>
          <w:szCs w:val="21"/>
        </w:rPr>
        <w:t>agrifood</w:t>
      </w:r>
      <w:proofErr w:type="spellEnd"/>
      <w:r w:rsidR="004F0CBD" w:rsidRPr="002B22A9">
        <w:rPr>
          <w:rFonts w:cs="Arial"/>
          <w:iCs/>
          <w:sz w:val="21"/>
          <w:szCs w:val="21"/>
        </w:rPr>
        <w:t xml:space="preserve">, advanced manufacturing and skills sectors in </w:t>
      </w:r>
      <w:r w:rsidR="009D7478" w:rsidRPr="00572F16">
        <w:rPr>
          <w:rFonts w:cs="Arial"/>
          <w:iCs/>
          <w:sz w:val="21"/>
          <w:szCs w:val="21"/>
          <w:u w:val="single"/>
        </w:rPr>
        <w:t xml:space="preserve">Table </w:t>
      </w:r>
      <w:r w:rsidR="004F0CBD" w:rsidRPr="00572F16">
        <w:rPr>
          <w:rFonts w:cs="Arial"/>
          <w:iCs/>
          <w:sz w:val="21"/>
          <w:szCs w:val="21"/>
          <w:u w:val="single"/>
        </w:rPr>
        <w:t>1</w:t>
      </w:r>
      <w:r w:rsidR="00572F16">
        <w:rPr>
          <w:rFonts w:cs="Arial"/>
          <w:iCs/>
          <w:sz w:val="21"/>
          <w:szCs w:val="21"/>
        </w:rPr>
        <w:t xml:space="preserve"> below</w:t>
      </w:r>
      <w:r w:rsidR="004F0CBD" w:rsidRPr="002B22A9">
        <w:rPr>
          <w:rFonts w:cs="Arial"/>
          <w:iCs/>
          <w:sz w:val="21"/>
          <w:szCs w:val="21"/>
        </w:rPr>
        <w:t>.</w:t>
      </w:r>
      <w:r w:rsidR="001E2701" w:rsidRPr="002B22A9">
        <w:rPr>
          <w:rFonts w:cs="Arial"/>
          <w:iCs/>
          <w:sz w:val="21"/>
          <w:szCs w:val="21"/>
        </w:rPr>
        <w:t xml:space="preserve"> </w:t>
      </w:r>
      <w:r w:rsidR="00433706" w:rsidRPr="0086792D">
        <w:rPr>
          <w:sz w:val="21"/>
          <w:szCs w:val="21"/>
        </w:rPr>
        <w:t xml:space="preserve">The framework </w:t>
      </w:r>
      <w:r w:rsidR="009B3421" w:rsidRPr="0086792D">
        <w:rPr>
          <w:sz w:val="21"/>
          <w:szCs w:val="21"/>
        </w:rPr>
        <w:t xml:space="preserve">also embeds gender and social inclusion, </w:t>
      </w:r>
      <w:r w:rsidR="003C2FFB" w:rsidRPr="0086792D">
        <w:rPr>
          <w:sz w:val="21"/>
          <w:szCs w:val="21"/>
        </w:rPr>
        <w:t xml:space="preserve">private sector engagement and </w:t>
      </w:r>
      <w:r w:rsidR="009B3421" w:rsidRPr="0086792D">
        <w:rPr>
          <w:sz w:val="21"/>
          <w:szCs w:val="21"/>
        </w:rPr>
        <w:t xml:space="preserve">digital innovation, as priorities of the Australian and Indonesian </w:t>
      </w:r>
      <w:r w:rsidR="003E61FA">
        <w:rPr>
          <w:sz w:val="21"/>
          <w:szCs w:val="21"/>
        </w:rPr>
        <w:t>G</w:t>
      </w:r>
      <w:r w:rsidR="009B3421" w:rsidRPr="0086792D">
        <w:rPr>
          <w:sz w:val="21"/>
          <w:szCs w:val="21"/>
        </w:rPr>
        <w:t>overnments.</w:t>
      </w:r>
      <w:r w:rsidR="0039235A" w:rsidRPr="0086792D">
        <w:rPr>
          <w:sz w:val="21"/>
          <w:szCs w:val="21"/>
        </w:rPr>
        <w:t xml:space="preserve"> </w:t>
      </w:r>
      <w:r w:rsidR="00433706" w:rsidRPr="0086792D">
        <w:rPr>
          <w:sz w:val="21"/>
          <w:szCs w:val="21"/>
        </w:rPr>
        <w:t>C</w:t>
      </w:r>
      <w:r w:rsidR="001168E7" w:rsidRPr="0086792D">
        <w:rPr>
          <w:sz w:val="21"/>
          <w:szCs w:val="21"/>
        </w:rPr>
        <w:t>ross</w:t>
      </w:r>
      <w:r w:rsidR="00433706" w:rsidRPr="0086792D">
        <w:rPr>
          <w:sz w:val="21"/>
          <w:szCs w:val="21"/>
        </w:rPr>
        <w:t>-</w:t>
      </w:r>
      <w:r w:rsidR="001168E7" w:rsidRPr="0086792D">
        <w:rPr>
          <w:sz w:val="21"/>
          <w:szCs w:val="21"/>
        </w:rPr>
        <w:t>cutting</w:t>
      </w:r>
      <w:r w:rsidR="005C58C0" w:rsidRPr="0086792D">
        <w:rPr>
          <w:sz w:val="21"/>
          <w:szCs w:val="21"/>
        </w:rPr>
        <w:t xml:space="preserve"> priorities are discussed </w:t>
      </w:r>
      <w:r w:rsidR="001168E7" w:rsidRPr="0086792D">
        <w:rPr>
          <w:sz w:val="21"/>
          <w:szCs w:val="21"/>
        </w:rPr>
        <w:t>in</w:t>
      </w:r>
      <w:r w:rsidR="005C58C0" w:rsidRPr="0086792D">
        <w:rPr>
          <w:sz w:val="21"/>
          <w:szCs w:val="21"/>
        </w:rPr>
        <w:t xml:space="preserve"> </w:t>
      </w:r>
      <w:r w:rsidR="005C58C0" w:rsidRPr="00572F16">
        <w:rPr>
          <w:sz w:val="21"/>
          <w:szCs w:val="21"/>
          <w:u w:val="single"/>
        </w:rPr>
        <w:t xml:space="preserve">Section </w:t>
      </w:r>
      <w:r w:rsidR="009A7F2C" w:rsidRPr="00572F16">
        <w:rPr>
          <w:sz w:val="21"/>
          <w:szCs w:val="21"/>
          <w:u w:val="single"/>
        </w:rPr>
        <w:t>G</w:t>
      </w:r>
      <w:r w:rsidR="005C58C0" w:rsidRPr="0086792D">
        <w:rPr>
          <w:sz w:val="21"/>
          <w:szCs w:val="21"/>
        </w:rPr>
        <w:t>.</w:t>
      </w:r>
      <w:r w:rsidR="00B16730">
        <w:rPr>
          <w:sz w:val="21"/>
          <w:szCs w:val="21"/>
        </w:rPr>
        <w:t xml:space="preserve"> </w:t>
      </w:r>
      <w:r w:rsidR="00BF7B32">
        <w:rPr>
          <w:sz w:val="21"/>
          <w:szCs w:val="21"/>
        </w:rPr>
        <w:t>P</w:t>
      </w:r>
      <w:r w:rsidR="001E2701" w:rsidRPr="00D47171">
        <w:rPr>
          <w:sz w:val="21"/>
          <w:szCs w:val="21"/>
        </w:rPr>
        <w:t xml:space="preserve">roposed initial </w:t>
      </w:r>
      <w:r w:rsidR="00B16730">
        <w:rPr>
          <w:sz w:val="21"/>
          <w:szCs w:val="21"/>
        </w:rPr>
        <w:t xml:space="preserve">ECP </w:t>
      </w:r>
      <w:r w:rsidR="001E2701" w:rsidRPr="00D47171">
        <w:rPr>
          <w:sz w:val="21"/>
          <w:szCs w:val="21"/>
        </w:rPr>
        <w:t>activities are detail</w:t>
      </w:r>
      <w:r w:rsidR="00BF7B32">
        <w:rPr>
          <w:sz w:val="21"/>
          <w:szCs w:val="21"/>
        </w:rPr>
        <w:t>ed</w:t>
      </w:r>
      <w:r w:rsidR="001E2701" w:rsidRPr="00D47171">
        <w:rPr>
          <w:sz w:val="21"/>
          <w:szCs w:val="21"/>
        </w:rPr>
        <w:t xml:space="preserve"> </w:t>
      </w:r>
      <w:r w:rsidR="00572F16">
        <w:rPr>
          <w:sz w:val="21"/>
          <w:szCs w:val="21"/>
        </w:rPr>
        <w:t>in</w:t>
      </w:r>
      <w:r w:rsidR="001E2701" w:rsidRPr="00D47171">
        <w:rPr>
          <w:sz w:val="21"/>
          <w:szCs w:val="21"/>
        </w:rPr>
        <w:t xml:space="preserve"> </w:t>
      </w:r>
      <w:r w:rsidR="001E2701" w:rsidRPr="00572F16">
        <w:rPr>
          <w:sz w:val="21"/>
          <w:szCs w:val="21"/>
          <w:u w:val="single"/>
        </w:rPr>
        <w:t xml:space="preserve">Annex </w:t>
      </w:r>
      <w:r w:rsidR="00622562">
        <w:rPr>
          <w:sz w:val="21"/>
          <w:szCs w:val="21"/>
          <w:u w:val="single"/>
        </w:rPr>
        <w:t>6</w:t>
      </w:r>
      <w:r w:rsidR="001E2701" w:rsidRPr="00D47171">
        <w:rPr>
          <w:sz w:val="21"/>
          <w:szCs w:val="21"/>
        </w:rPr>
        <w:t>, with the proposed first Annual Work</w:t>
      </w:r>
      <w:r w:rsidR="0077116A">
        <w:rPr>
          <w:sz w:val="21"/>
          <w:szCs w:val="21"/>
        </w:rPr>
        <w:t xml:space="preserve"> P</w:t>
      </w:r>
      <w:r w:rsidR="001E2701" w:rsidRPr="00D47171">
        <w:rPr>
          <w:sz w:val="21"/>
          <w:szCs w:val="21"/>
        </w:rPr>
        <w:t>lan</w:t>
      </w:r>
      <w:r w:rsidR="00572F16">
        <w:rPr>
          <w:sz w:val="21"/>
          <w:szCs w:val="21"/>
        </w:rPr>
        <w:t xml:space="preserve"> provided</w:t>
      </w:r>
      <w:r w:rsidR="001E2701" w:rsidRPr="00D47171">
        <w:rPr>
          <w:sz w:val="21"/>
          <w:szCs w:val="21"/>
        </w:rPr>
        <w:t xml:space="preserve"> </w:t>
      </w:r>
      <w:r w:rsidR="00572F16">
        <w:rPr>
          <w:sz w:val="21"/>
          <w:szCs w:val="21"/>
        </w:rPr>
        <w:t>at</w:t>
      </w:r>
      <w:r w:rsidR="001E2701" w:rsidRPr="00D47171">
        <w:rPr>
          <w:sz w:val="21"/>
          <w:szCs w:val="21"/>
        </w:rPr>
        <w:t xml:space="preserve"> </w:t>
      </w:r>
      <w:r w:rsidR="001E2701" w:rsidRPr="00572F16">
        <w:rPr>
          <w:sz w:val="21"/>
          <w:szCs w:val="21"/>
          <w:u w:val="single"/>
        </w:rPr>
        <w:t>Annex 2</w:t>
      </w:r>
      <w:r w:rsidR="00572F16" w:rsidRPr="00572F16">
        <w:rPr>
          <w:sz w:val="21"/>
          <w:szCs w:val="21"/>
        </w:rPr>
        <w:t>.</w:t>
      </w:r>
    </w:p>
    <w:p w14:paraId="7818C8A8" w14:textId="3E2053C1" w:rsidR="002A7030" w:rsidRPr="00D47171" w:rsidRDefault="002A7030" w:rsidP="00A83067">
      <w:pPr>
        <w:spacing w:after="0"/>
        <w:jc w:val="both"/>
        <w:rPr>
          <w:rFonts w:asciiTheme="majorHAnsi" w:hAnsiTheme="majorHAnsi" w:cs="Arial"/>
          <w:bCs/>
          <w:sz w:val="21"/>
          <w:szCs w:val="21"/>
        </w:rPr>
        <w:sectPr w:rsidR="002A7030" w:rsidRPr="00D47171" w:rsidSect="007C4ABD">
          <w:headerReference w:type="default" r:id="rId12"/>
          <w:footerReference w:type="default" r:id="rId13"/>
          <w:headerReference w:type="first" r:id="rId14"/>
          <w:footerReference w:type="first" r:id="rId15"/>
          <w:type w:val="continuous"/>
          <w:pgSz w:w="11906" w:h="16838" w:code="9"/>
          <w:pgMar w:top="1134" w:right="1134" w:bottom="1276" w:left="1134" w:header="425" w:footer="170" w:gutter="0"/>
          <w:cols w:space="397"/>
          <w:titlePg/>
          <w:docGrid w:linePitch="360"/>
        </w:sectPr>
      </w:pPr>
    </w:p>
    <w:p w14:paraId="158158E3" w14:textId="2DB7E39B" w:rsidR="009B3421" w:rsidRPr="005A2CE8" w:rsidRDefault="009B3421" w:rsidP="004037BC">
      <w:pPr>
        <w:suppressAutoHyphens w:val="0"/>
        <w:spacing w:before="0" w:after="120" w:line="440" w:lineRule="atLeast"/>
        <w:rPr>
          <w:rFonts w:asciiTheme="majorHAnsi" w:hAnsiTheme="majorHAnsi" w:cs="Arial"/>
          <w:b/>
          <w:sz w:val="21"/>
          <w:szCs w:val="21"/>
        </w:rPr>
      </w:pPr>
      <w:r w:rsidRPr="005A2CE8">
        <w:rPr>
          <w:rFonts w:asciiTheme="majorHAnsi" w:hAnsiTheme="majorHAnsi" w:cs="Arial"/>
          <w:b/>
          <w:bCs/>
          <w:sz w:val="21"/>
          <w:szCs w:val="21"/>
        </w:rPr>
        <w:t xml:space="preserve">Table </w:t>
      </w:r>
      <w:r w:rsidR="00865BC0">
        <w:rPr>
          <w:rFonts w:asciiTheme="majorHAnsi" w:hAnsiTheme="majorHAnsi" w:cs="Arial"/>
          <w:b/>
          <w:bCs/>
          <w:sz w:val="21"/>
          <w:szCs w:val="21"/>
        </w:rPr>
        <w:t>1</w:t>
      </w:r>
      <w:r w:rsidRPr="005A2CE8">
        <w:rPr>
          <w:rFonts w:asciiTheme="majorHAnsi" w:hAnsiTheme="majorHAnsi" w:cs="Arial"/>
          <w:b/>
          <w:bCs/>
          <w:sz w:val="21"/>
          <w:szCs w:val="21"/>
        </w:rPr>
        <w:t>. Proposed</w:t>
      </w:r>
      <w:r w:rsidRPr="005A2CE8">
        <w:rPr>
          <w:rFonts w:asciiTheme="majorHAnsi" w:hAnsiTheme="majorHAnsi" w:cs="Arial"/>
          <w:b/>
          <w:bCs/>
          <w:caps/>
          <w:sz w:val="21"/>
          <w:szCs w:val="21"/>
        </w:rPr>
        <w:t xml:space="preserve"> F</w:t>
      </w:r>
      <w:r w:rsidRPr="005A2CE8">
        <w:rPr>
          <w:rFonts w:asciiTheme="majorHAnsi" w:hAnsiTheme="majorHAnsi" w:cs="Arial"/>
          <w:b/>
          <w:sz w:val="21"/>
          <w:szCs w:val="21"/>
        </w:rPr>
        <w:t>ramework for Prioritising IA-CEPA Economic Cooperation Activities</w:t>
      </w:r>
    </w:p>
    <w:tbl>
      <w:tblPr>
        <w:tblpPr w:leftFromText="180" w:rightFromText="180" w:vertAnchor="text" w:tblpY="1"/>
        <w:tblOverlap w:val="never"/>
        <w:tblW w:w="9464" w:type="dxa"/>
        <w:tblLayout w:type="fixed"/>
        <w:tblLook w:val="04A0" w:firstRow="1" w:lastRow="0" w:firstColumn="1" w:lastColumn="0" w:noHBand="0" w:noVBand="1"/>
      </w:tblPr>
      <w:tblGrid>
        <w:gridCol w:w="1696"/>
        <w:gridCol w:w="2381"/>
        <w:gridCol w:w="567"/>
        <w:gridCol w:w="2552"/>
        <w:gridCol w:w="2268"/>
      </w:tblGrid>
      <w:tr w:rsidR="009B3421" w:rsidRPr="007D1817" w14:paraId="0ABAAE93" w14:textId="77777777" w:rsidTr="004037BC">
        <w:trPr>
          <w:trHeight w:val="274"/>
        </w:trPr>
        <w:tc>
          <w:tcPr>
            <w:tcW w:w="1696" w:type="dxa"/>
            <w:vMerge w:val="restart"/>
            <w:tcBorders>
              <w:top w:val="single" w:sz="4" w:space="0" w:color="auto"/>
              <w:left w:val="single" w:sz="4" w:space="0" w:color="auto"/>
              <w:bottom w:val="single" w:sz="4" w:space="0" w:color="auto"/>
              <w:right w:val="single" w:sz="4" w:space="0" w:color="auto"/>
            </w:tcBorders>
            <w:shd w:val="clear" w:color="000000" w:fill="F2F2F2"/>
            <w:vAlign w:val="center"/>
          </w:tcPr>
          <w:p w14:paraId="1E3BA83A" w14:textId="77777777" w:rsidR="009B3421" w:rsidRPr="004037BC" w:rsidRDefault="009B3421" w:rsidP="004037BC">
            <w:pPr>
              <w:spacing w:before="0" w:after="0"/>
              <w:jc w:val="center"/>
              <w:rPr>
                <w:rFonts w:eastAsia="Times New Roman" w:cs="Times New Roman"/>
                <w:b/>
                <w:bCs/>
                <w:sz w:val="18"/>
                <w:szCs w:val="20"/>
              </w:rPr>
            </w:pPr>
            <w:r w:rsidRPr="004037BC">
              <w:rPr>
                <w:rFonts w:eastAsia="Times New Roman" w:cs="Times New Roman"/>
                <w:b/>
                <w:bCs/>
                <w:sz w:val="18"/>
                <w:szCs w:val="20"/>
              </w:rPr>
              <w:t>OUTCOME AREAS</w:t>
            </w:r>
          </w:p>
        </w:tc>
        <w:tc>
          <w:tcPr>
            <w:tcW w:w="7768" w:type="dxa"/>
            <w:gridSpan w:val="4"/>
            <w:tcBorders>
              <w:top w:val="single" w:sz="4" w:space="0" w:color="auto"/>
              <w:left w:val="nil"/>
              <w:bottom w:val="single" w:sz="4" w:space="0" w:color="auto"/>
              <w:right w:val="single" w:sz="4" w:space="0" w:color="auto"/>
            </w:tcBorders>
            <w:shd w:val="clear" w:color="000000" w:fill="D9D9D9"/>
            <w:noWrap/>
          </w:tcPr>
          <w:p w14:paraId="3F11035C" w14:textId="77777777" w:rsidR="009B3421" w:rsidRPr="004037BC" w:rsidRDefault="009B3421" w:rsidP="004037BC">
            <w:pPr>
              <w:spacing w:before="0" w:after="0"/>
              <w:jc w:val="center"/>
              <w:rPr>
                <w:rFonts w:eastAsia="Times New Roman" w:cs="Times New Roman"/>
                <w:b/>
                <w:bCs/>
                <w:sz w:val="18"/>
                <w:szCs w:val="20"/>
              </w:rPr>
            </w:pPr>
            <w:r w:rsidRPr="004037BC">
              <w:rPr>
                <w:rFonts w:eastAsia="Times New Roman" w:cs="Times New Roman"/>
                <w:b/>
                <w:bCs/>
                <w:sz w:val="18"/>
                <w:szCs w:val="20"/>
              </w:rPr>
              <w:t>Activities in the following sectors should…</w:t>
            </w:r>
          </w:p>
        </w:tc>
      </w:tr>
      <w:tr w:rsidR="00856784" w:rsidRPr="007D1817" w14:paraId="6B3CD3A0" w14:textId="77777777" w:rsidTr="004037BC">
        <w:trPr>
          <w:trHeight w:val="41"/>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36C80230" w14:textId="77777777" w:rsidR="009B3421" w:rsidRPr="004037BC" w:rsidRDefault="009B3421" w:rsidP="004037BC">
            <w:pPr>
              <w:spacing w:before="0" w:after="0"/>
              <w:rPr>
                <w:rFonts w:eastAsia="Times New Roman" w:cs="Times New Roman"/>
                <w:b/>
                <w:bCs/>
                <w:sz w:val="18"/>
                <w:szCs w:val="20"/>
              </w:rPr>
            </w:pPr>
          </w:p>
        </w:tc>
        <w:tc>
          <w:tcPr>
            <w:tcW w:w="2948" w:type="dxa"/>
            <w:gridSpan w:val="2"/>
            <w:tcBorders>
              <w:top w:val="single" w:sz="4" w:space="0" w:color="auto"/>
              <w:left w:val="nil"/>
              <w:bottom w:val="single" w:sz="4" w:space="0" w:color="auto"/>
              <w:right w:val="single" w:sz="4" w:space="0" w:color="auto"/>
            </w:tcBorders>
            <w:shd w:val="clear" w:color="000000" w:fill="F2F2F2"/>
            <w:noWrap/>
            <w:vAlign w:val="center"/>
            <w:hideMark/>
          </w:tcPr>
          <w:p w14:paraId="3208BB89" w14:textId="77777777" w:rsidR="009B3421" w:rsidRPr="004037BC" w:rsidRDefault="009B3421" w:rsidP="004037BC">
            <w:pPr>
              <w:spacing w:before="0" w:after="0"/>
              <w:jc w:val="center"/>
              <w:rPr>
                <w:rFonts w:eastAsia="Times New Roman" w:cs="Times New Roman"/>
                <w:b/>
                <w:bCs/>
                <w:sz w:val="18"/>
                <w:szCs w:val="20"/>
              </w:rPr>
            </w:pPr>
            <w:proofErr w:type="spellStart"/>
            <w:r w:rsidRPr="004037BC">
              <w:rPr>
                <w:rFonts w:eastAsia="Times New Roman" w:cs="Times New Roman"/>
                <w:b/>
                <w:bCs/>
                <w:sz w:val="18"/>
                <w:szCs w:val="20"/>
              </w:rPr>
              <w:t>Agrifood</w:t>
            </w:r>
            <w:proofErr w:type="spellEnd"/>
          </w:p>
        </w:tc>
        <w:tc>
          <w:tcPr>
            <w:tcW w:w="2552" w:type="dxa"/>
            <w:tcBorders>
              <w:top w:val="single" w:sz="4" w:space="0" w:color="auto"/>
              <w:left w:val="nil"/>
              <w:bottom w:val="single" w:sz="4" w:space="0" w:color="auto"/>
              <w:right w:val="single" w:sz="4" w:space="0" w:color="auto"/>
            </w:tcBorders>
            <w:shd w:val="clear" w:color="000000" w:fill="F2F2F2"/>
            <w:vAlign w:val="center"/>
            <w:hideMark/>
          </w:tcPr>
          <w:p w14:paraId="140F5748" w14:textId="77777777" w:rsidR="009B3421" w:rsidRPr="004037BC" w:rsidRDefault="009B3421" w:rsidP="004037BC">
            <w:pPr>
              <w:spacing w:before="0" w:after="0"/>
              <w:jc w:val="center"/>
              <w:rPr>
                <w:rFonts w:eastAsia="Times New Roman" w:cs="Times New Roman"/>
                <w:b/>
                <w:bCs/>
                <w:sz w:val="18"/>
                <w:szCs w:val="20"/>
              </w:rPr>
            </w:pPr>
            <w:r w:rsidRPr="004037BC">
              <w:rPr>
                <w:rFonts w:eastAsia="Times New Roman" w:cs="Times New Roman"/>
                <w:b/>
                <w:bCs/>
                <w:sz w:val="18"/>
                <w:szCs w:val="20"/>
              </w:rPr>
              <w:t>Advanced Manufacturing</w:t>
            </w:r>
          </w:p>
        </w:tc>
        <w:tc>
          <w:tcPr>
            <w:tcW w:w="2268" w:type="dxa"/>
            <w:tcBorders>
              <w:top w:val="single" w:sz="4" w:space="0" w:color="auto"/>
              <w:left w:val="nil"/>
              <w:bottom w:val="single" w:sz="4" w:space="0" w:color="auto"/>
              <w:right w:val="single" w:sz="4" w:space="0" w:color="auto"/>
            </w:tcBorders>
            <w:shd w:val="clear" w:color="000000" w:fill="F2F2F2"/>
            <w:noWrap/>
            <w:vAlign w:val="center"/>
            <w:hideMark/>
          </w:tcPr>
          <w:p w14:paraId="2B9416D6" w14:textId="77777777" w:rsidR="009B3421" w:rsidRPr="004037BC" w:rsidRDefault="009B3421" w:rsidP="004037BC">
            <w:pPr>
              <w:spacing w:before="0" w:after="0"/>
              <w:jc w:val="center"/>
              <w:rPr>
                <w:rFonts w:eastAsia="Times New Roman" w:cs="Times New Roman"/>
                <w:b/>
                <w:bCs/>
                <w:sz w:val="18"/>
                <w:szCs w:val="20"/>
              </w:rPr>
            </w:pPr>
            <w:r w:rsidRPr="004037BC">
              <w:rPr>
                <w:rFonts w:eastAsia="Times New Roman" w:cs="Times New Roman"/>
                <w:b/>
                <w:bCs/>
                <w:sz w:val="18"/>
                <w:szCs w:val="20"/>
              </w:rPr>
              <w:t>Services</w:t>
            </w:r>
          </w:p>
        </w:tc>
      </w:tr>
      <w:tr w:rsidR="00095EED" w:rsidRPr="007D1817" w14:paraId="1ED15C90" w14:textId="77777777" w:rsidTr="004037BC">
        <w:trPr>
          <w:trHeight w:val="919"/>
        </w:trPr>
        <w:tc>
          <w:tcPr>
            <w:tcW w:w="1696" w:type="dxa"/>
            <w:tcBorders>
              <w:top w:val="single" w:sz="4" w:space="0" w:color="auto"/>
              <w:left w:val="single" w:sz="4" w:space="0" w:color="auto"/>
              <w:bottom w:val="single" w:sz="4" w:space="0" w:color="auto"/>
              <w:right w:val="single" w:sz="4" w:space="0" w:color="auto"/>
            </w:tcBorders>
            <w:vAlign w:val="center"/>
          </w:tcPr>
          <w:p w14:paraId="178F90B2" w14:textId="77777777" w:rsidR="00095EED" w:rsidRPr="004037BC" w:rsidRDefault="00095EED" w:rsidP="009B3421">
            <w:pPr>
              <w:jc w:val="center"/>
              <w:rPr>
                <w:rFonts w:eastAsia="Times New Roman" w:cs="Times New Roman"/>
                <w:b/>
                <w:bCs/>
                <w:sz w:val="18"/>
                <w:szCs w:val="20"/>
              </w:rPr>
            </w:pPr>
            <w:r w:rsidRPr="004037BC">
              <w:rPr>
                <w:rFonts w:eastAsia="Times New Roman" w:cs="Times New Roman"/>
                <w:b/>
                <w:bCs/>
                <w:sz w:val="18"/>
                <w:szCs w:val="20"/>
              </w:rPr>
              <w:t xml:space="preserve">Greater Market Access: </w:t>
            </w:r>
            <w:r w:rsidRPr="004037BC">
              <w:rPr>
                <w:rFonts w:eastAsia="Times New Roman" w:cs="Times New Roman"/>
                <w:bCs/>
                <w:sz w:val="18"/>
                <w:szCs w:val="20"/>
              </w:rPr>
              <w:t>Implementation and Maximisation of IA-CEPA Commitments</w:t>
            </w:r>
          </w:p>
        </w:tc>
        <w:tc>
          <w:tcPr>
            <w:tcW w:w="7768" w:type="dxa"/>
            <w:gridSpan w:val="4"/>
            <w:tcBorders>
              <w:top w:val="single" w:sz="4" w:space="0" w:color="auto"/>
              <w:left w:val="nil"/>
              <w:bottom w:val="single" w:sz="4" w:space="0" w:color="auto"/>
              <w:right w:val="single" w:sz="4" w:space="0" w:color="auto"/>
            </w:tcBorders>
            <w:shd w:val="clear" w:color="000000" w:fill="D9D9D9"/>
            <w:vAlign w:val="center"/>
          </w:tcPr>
          <w:p w14:paraId="405447F9" w14:textId="419AAF49" w:rsidR="00095EED" w:rsidRPr="00190787" w:rsidRDefault="003C477B" w:rsidP="00280550">
            <w:pPr>
              <w:pStyle w:val="ListParagraph"/>
              <w:numPr>
                <w:ilvl w:val="0"/>
                <w:numId w:val="17"/>
              </w:numPr>
              <w:suppressAutoHyphens w:val="0"/>
              <w:spacing w:before="0" w:after="0" w:line="240" w:lineRule="auto"/>
              <w:rPr>
                <w:rFonts w:eastAsia="Times New Roman" w:cs="Times New Roman"/>
                <w:iCs/>
                <w:sz w:val="18"/>
                <w:szCs w:val="20"/>
              </w:rPr>
            </w:pPr>
            <w:r w:rsidRPr="00190787">
              <w:rPr>
                <w:rFonts w:eastAsia="Times New Roman" w:cs="Times New Roman"/>
                <w:iCs/>
                <w:sz w:val="18"/>
                <w:szCs w:val="20"/>
              </w:rPr>
              <w:t>Support</w:t>
            </w:r>
            <w:r w:rsidR="00095EED" w:rsidRPr="00190787">
              <w:rPr>
                <w:rFonts w:eastAsia="Times New Roman" w:cs="Times New Roman"/>
                <w:iCs/>
                <w:sz w:val="18"/>
                <w:szCs w:val="20"/>
              </w:rPr>
              <w:t xml:space="preserve"> legal and regulatory implementation of commitments on goods, services and investment under the IA-CEPA</w:t>
            </w:r>
            <w:r w:rsidR="004C0F35" w:rsidRPr="00190787">
              <w:rPr>
                <w:rFonts w:eastAsia="Times New Roman" w:cs="Times New Roman"/>
                <w:iCs/>
                <w:sz w:val="18"/>
                <w:szCs w:val="20"/>
              </w:rPr>
              <w:t>, to c</w:t>
            </w:r>
            <w:r w:rsidR="00095EED" w:rsidRPr="00190787">
              <w:rPr>
                <w:rFonts w:eastAsia="Times New Roman" w:cs="Times New Roman"/>
                <w:iCs/>
                <w:sz w:val="18"/>
                <w:szCs w:val="20"/>
              </w:rPr>
              <w:t>atalyse increased trade and investment between Australia and Indonesia</w:t>
            </w:r>
            <w:r w:rsidR="00DD1502">
              <w:rPr>
                <w:rFonts w:eastAsia="Times New Roman" w:cs="Times New Roman"/>
                <w:iCs/>
                <w:sz w:val="18"/>
                <w:szCs w:val="20"/>
              </w:rPr>
              <w:t>.</w:t>
            </w:r>
          </w:p>
          <w:p w14:paraId="1B7329D6" w14:textId="763C067D" w:rsidR="00095EED" w:rsidRPr="00190787" w:rsidRDefault="00EE7B77" w:rsidP="00280550">
            <w:pPr>
              <w:pStyle w:val="ListParagraph"/>
              <w:numPr>
                <w:ilvl w:val="0"/>
                <w:numId w:val="17"/>
              </w:numPr>
              <w:suppressAutoHyphens w:val="0"/>
              <w:spacing w:before="0" w:after="0" w:line="240" w:lineRule="auto"/>
              <w:rPr>
                <w:rFonts w:eastAsia="Times New Roman" w:cs="Times New Roman"/>
                <w:iCs/>
                <w:sz w:val="18"/>
                <w:szCs w:val="20"/>
              </w:rPr>
            </w:pPr>
            <w:r w:rsidRPr="00190787">
              <w:rPr>
                <w:rFonts w:eastAsia="Times New Roman" w:cs="Times New Roman"/>
                <w:iCs/>
                <w:sz w:val="18"/>
                <w:szCs w:val="20"/>
              </w:rPr>
              <w:t>Socialise</w:t>
            </w:r>
            <w:r w:rsidR="00095EED" w:rsidRPr="00190787">
              <w:rPr>
                <w:rFonts w:eastAsia="Times New Roman" w:cs="Times New Roman"/>
                <w:iCs/>
                <w:sz w:val="18"/>
                <w:szCs w:val="20"/>
              </w:rPr>
              <w:t xml:space="preserve"> the val</w:t>
            </w:r>
            <w:r w:rsidRPr="00190787">
              <w:rPr>
                <w:rFonts w:eastAsia="Times New Roman" w:cs="Times New Roman"/>
                <w:iCs/>
                <w:sz w:val="18"/>
                <w:szCs w:val="20"/>
              </w:rPr>
              <w:t>ue</w:t>
            </w:r>
            <w:r w:rsidR="004C0F35" w:rsidRPr="00190787">
              <w:rPr>
                <w:rFonts w:eastAsia="Times New Roman" w:cs="Times New Roman"/>
                <w:iCs/>
                <w:sz w:val="18"/>
                <w:szCs w:val="20"/>
              </w:rPr>
              <w:t xml:space="preserve"> of open trade and investment, demonstrating </w:t>
            </w:r>
            <w:r w:rsidRPr="00190787">
              <w:rPr>
                <w:rFonts w:eastAsia="Times New Roman" w:cs="Times New Roman"/>
                <w:iCs/>
                <w:sz w:val="18"/>
                <w:szCs w:val="20"/>
              </w:rPr>
              <w:t xml:space="preserve">the benefits of </w:t>
            </w:r>
            <w:r w:rsidR="00DD1502">
              <w:rPr>
                <w:rFonts w:eastAsia="Times New Roman" w:cs="Times New Roman"/>
                <w:iCs/>
                <w:sz w:val="18"/>
                <w:szCs w:val="20"/>
              </w:rPr>
              <w:t>IA-CEPA.</w:t>
            </w:r>
          </w:p>
          <w:p w14:paraId="4E8CAF53" w14:textId="16635127" w:rsidR="002E3EBE" w:rsidRPr="00190787" w:rsidRDefault="002E3EBE" w:rsidP="002E3EBE">
            <w:pPr>
              <w:pStyle w:val="ListParagraph"/>
              <w:numPr>
                <w:ilvl w:val="0"/>
                <w:numId w:val="17"/>
              </w:numPr>
              <w:suppressAutoHyphens w:val="0"/>
              <w:spacing w:before="0" w:after="0" w:line="240" w:lineRule="auto"/>
              <w:rPr>
                <w:rFonts w:eastAsia="Times New Roman" w:cs="Times New Roman"/>
                <w:iCs/>
                <w:sz w:val="18"/>
                <w:szCs w:val="20"/>
              </w:rPr>
            </w:pPr>
            <w:r w:rsidRPr="00190787">
              <w:rPr>
                <w:rFonts w:eastAsia="Times New Roman" w:cs="Times New Roman"/>
                <w:iCs/>
                <w:sz w:val="18"/>
                <w:szCs w:val="20"/>
              </w:rPr>
              <w:t>Assess prospects and potential sectors for deeper engagement</w:t>
            </w:r>
            <w:r w:rsidR="00DD1502">
              <w:rPr>
                <w:rFonts w:eastAsia="Times New Roman" w:cs="Times New Roman"/>
                <w:iCs/>
                <w:sz w:val="18"/>
                <w:szCs w:val="20"/>
              </w:rPr>
              <w:t>.</w:t>
            </w:r>
            <w:r w:rsidRPr="00190787">
              <w:rPr>
                <w:rFonts w:eastAsia="Times New Roman" w:cs="Times New Roman"/>
                <w:iCs/>
                <w:sz w:val="18"/>
                <w:szCs w:val="20"/>
              </w:rPr>
              <w:t xml:space="preserve"> </w:t>
            </w:r>
          </w:p>
          <w:p w14:paraId="7C59DF1D" w14:textId="03474601" w:rsidR="00095EED" w:rsidRPr="00190787" w:rsidRDefault="00095EED" w:rsidP="008D55BC">
            <w:pPr>
              <w:pStyle w:val="ListParagraph"/>
              <w:numPr>
                <w:ilvl w:val="0"/>
                <w:numId w:val="17"/>
              </w:numPr>
              <w:suppressAutoHyphens w:val="0"/>
              <w:spacing w:before="0" w:after="0" w:line="240" w:lineRule="auto"/>
              <w:rPr>
                <w:rFonts w:eastAsia="Times New Roman" w:cs="Times New Roman"/>
                <w:iCs/>
                <w:sz w:val="18"/>
                <w:szCs w:val="20"/>
              </w:rPr>
            </w:pPr>
            <w:r w:rsidRPr="00190787">
              <w:rPr>
                <w:rFonts w:eastAsia="Times New Roman" w:cs="Times New Roman"/>
                <w:iCs/>
                <w:sz w:val="18"/>
                <w:szCs w:val="20"/>
              </w:rPr>
              <w:t>Evaluat</w:t>
            </w:r>
            <w:r w:rsidR="00070451" w:rsidRPr="00190787">
              <w:rPr>
                <w:rFonts w:eastAsia="Times New Roman" w:cs="Times New Roman"/>
                <w:iCs/>
                <w:sz w:val="18"/>
                <w:szCs w:val="20"/>
              </w:rPr>
              <w:t>e</w:t>
            </w:r>
            <w:r w:rsidRPr="00190787">
              <w:rPr>
                <w:rFonts w:eastAsia="Times New Roman" w:cs="Times New Roman"/>
                <w:iCs/>
                <w:sz w:val="18"/>
                <w:szCs w:val="20"/>
              </w:rPr>
              <w:t xml:space="preserve"> the </w:t>
            </w:r>
            <w:r w:rsidR="002E3EBE" w:rsidRPr="00190787">
              <w:rPr>
                <w:rFonts w:eastAsia="Times New Roman" w:cs="Times New Roman"/>
                <w:iCs/>
                <w:sz w:val="18"/>
                <w:szCs w:val="20"/>
              </w:rPr>
              <w:t xml:space="preserve">utilisation and </w:t>
            </w:r>
            <w:r w:rsidRPr="00190787">
              <w:rPr>
                <w:rFonts w:eastAsia="Times New Roman" w:cs="Times New Roman"/>
                <w:iCs/>
                <w:sz w:val="18"/>
                <w:szCs w:val="20"/>
              </w:rPr>
              <w:t xml:space="preserve">impact of </w:t>
            </w:r>
            <w:r w:rsidR="004C0F35" w:rsidRPr="00190787">
              <w:rPr>
                <w:rFonts w:eastAsia="Times New Roman" w:cs="Times New Roman"/>
                <w:iCs/>
                <w:sz w:val="18"/>
                <w:szCs w:val="20"/>
              </w:rPr>
              <w:t>IA-CEPA</w:t>
            </w:r>
            <w:r w:rsidR="001C0FB2">
              <w:rPr>
                <w:rFonts w:eastAsia="Times New Roman" w:cs="Times New Roman"/>
                <w:iCs/>
                <w:sz w:val="18"/>
                <w:szCs w:val="20"/>
              </w:rPr>
              <w:t xml:space="preserve"> in both directions</w:t>
            </w:r>
            <w:r w:rsidR="00DD1502">
              <w:rPr>
                <w:rFonts w:eastAsia="Times New Roman" w:cs="Times New Roman"/>
                <w:iCs/>
                <w:sz w:val="18"/>
                <w:szCs w:val="20"/>
              </w:rPr>
              <w:t>.</w:t>
            </w:r>
          </w:p>
        </w:tc>
      </w:tr>
      <w:tr w:rsidR="009B3421" w:rsidRPr="007D1817" w14:paraId="55CC9972" w14:textId="77777777" w:rsidTr="00CE3294">
        <w:trPr>
          <w:trHeight w:val="488"/>
        </w:trPr>
        <w:tc>
          <w:tcPr>
            <w:tcW w:w="1696" w:type="dxa"/>
            <w:vMerge w:val="restart"/>
            <w:tcBorders>
              <w:top w:val="single" w:sz="4" w:space="0" w:color="auto"/>
              <w:left w:val="single" w:sz="4" w:space="0" w:color="auto"/>
              <w:right w:val="single" w:sz="4" w:space="0" w:color="auto"/>
            </w:tcBorders>
            <w:shd w:val="clear" w:color="000000" w:fill="F2F2F2"/>
            <w:vAlign w:val="center"/>
          </w:tcPr>
          <w:p w14:paraId="70A869B2" w14:textId="2824C164" w:rsidR="00CC2BDC" w:rsidRPr="004037BC" w:rsidRDefault="009B3421" w:rsidP="009B3421">
            <w:pPr>
              <w:jc w:val="center"/>
              <w:rPr>
                <w:rFonts w:eastAsia="Times New Roman" w:cs="Times New Roman"/>
                <w:b/>
                <w:bCs/>
                <w:sz w:val="18"/>
                <w:szCs w:val="20"/>
              </w:rPr>
            </w:pPr>
            <w:r w:rsidRPr="004037BC">
              <w:rPr>
                <w:rFonts w:eastAsia="Times New Roman" w:cs="Times New Roman"/>
                <w:b/>
                <w:bCs/>
                <w:sz w:val="18"/>
                <w:szCs w:val="20"/>
              </w:rPr>
              <w:t xml:space="preserve">Better Integrated Markets: </w:t>
            </w:r>
          </w:p>
          <w:p w14:paraId="78721471" w14:textId="07EBBAA4" w:rsidR="009B3421" w:rsidRPr="004037BC" w:rsidRDefault="009B3421" w:rsidP="009B3421">
            <w:pPr>
              <w:jc w:val="center"/>
              <w:rPr>
                <w:rFonts w:eastAsia="Times New Roman" w:cs="Segoe UI"/>
                <w:sz w:val="18"/>
                <w:szCs w:val="20"/>
                <w:lang w:eastAsia="en-AU"/>
              </w:rPr>
            </w:pPr>
            <w:r w:rsidRPr="004037BC">
              <w:rPr>
                <w:rFonts w:eastAsia="Times New Roman" w:cs="Times New Roman"/>
                <w:sz w:val="18"/>
                <w:szCs w:val="20"/>
              </w:rPr>
              <w:t>I</w:t>
            </w:r>
            <w:r w:rsidRPr="004037BC">
              <w:rPr>
                <w:rFonts w:eastAsia="Times New Roman" w:cs="Segoe UI"/>
                <w:sz w:val="18"/>
                <w:szCs w:val="20"/>
                <w:lang w:eastAsia="en-AU"/>
              </w:rPr>
              <w:t xml:space="preserve">ndustry Engagement </w:t>
            </w:r>
          </w:p>
          <w:p w14:paraId="15F64A44" w14:textId="77777777" w:rsidR="00EE7B77" w:rsidRPr="004037BC" w:rsidRDefault="009B3421" w:rsidP="009B3421">
            <w:pPr>
              <w:jc w:val="center"/>
              <w:rPr>
                <w:rFonts w:eastAsia="Times New Roman" w:cs="Segoe UI"/>
                <w:sz w:val="18"/>
                <w:szCs w:val="20"/>
                <w:lang w:eastAsia="en-AU"/>
              </w:rPr>
            </w:pPr>
            <w:r w:rsidRPr="004037BC">
              <w:rPr>
                <w:rFonts w:eastAsia="Times New Roman" w:cs="Segoe UI"/>
                <w:sz w:val="18"/>
                <w:szCs w:val="20"/>
                <w:lang w:eastAsia="en-AU"/>
              </w:rPr>
              <w:t xml:space="preserve">Fostering of Partnerships </w:t>
            </w:r>
          </w:p>
          <w:p w14:paraId="4B871FEC" w14:textId="7A09C603" w:rsidR="009B3421" w:rsidRPr="004037BC" w:rsidRDefault="009B3421" w:rsidP="000E444B">
            <w:pPr>
              <w:jc w:val="center"/>
              <w:rPr>
                <w:rFonts w:eastAsia="Times New Roman" w:cs="Times New Roman"/>
                <w:b/>
                <w:bCs/>
                <w:sz w:val="18"/>
                <w:szCs w:val="20"/>
              </w:rPr>
            </w:pPr>
            <w:r w:rsidRPr="004037BC">
              <w:rPr>
                <w:rFonts w:eastAsia="Times New Roman" w:cs="Segoe UI"/>
                <w:sz w:val="18"/>
                <w:szCs w:val="20"/>
                <w:lang w:eastAsia="en-AU"/>
              </w:rPr>
              <w:t xml:space="preserve">Cooperation on the Standards </w:t>
            </w:r>
            <w:r w:rsidR="000E444B">
              <w:rPr>
                <w:rFonts w:eastAsia="Times New Roman" w:cs="Segoe UI"/>
                <w:sz w:val="18"/>
                <w:szCs w:val="20"/>
                <w:lang w:eastAsia="en-AU"/>
              </w:rPr>
              <w:t xml:space="preserve">and </w:t>
            </w:r>
            <w:r w:rsidR="00E9380A">
              <w:rPr>
                <w:rFonts w:eastAsia="Times New Roman" w:cs="Segoe UI"/>
                <w:sz w:val="18"/>
                <w:szCs w:val="20"/>
                <w:lang w:eastAsia="en-AU"/>
              </w:rPr>
              <w:t>C</w:t>
            </w:r>
            <w:r w:rsidR="000E444B">
              <w:rPr>
                <w:rFonts w:eastAsia="Times New Roman" w:cs="Segoe UI"/>
                <w:sz w:val="18"/>
                <w:szCs w:val="20"/>
                <w:lang w:eastAsia="en-AU"/>
              </w:rPr>
              <w:t>onformance</w:t>
            </w:r>
            <w:r w:rsidR="000E444B" w:rsidRPr="004037BC">
              <w:rPr>
                <w:rFonts w:eastAsia="Times New Roman" w:cs="Segoe UI"/>
                <w:sz w:val="18"/>
                <w:szCs w:val="20"/>
                <w:lang w:eastAsia="en-AU"/>
              </w:rPr>
              <w:t xml:space="preserve"> </w:t>
            </w:r>
            <w:r w:rsidRPr="004037BC">
              <w:rPr>
                <w:rFonts w:eastAsia="Times New Roman" w:cs="Segoe UI"/>
                <w:sz w:val="18"/>
                <w:szCs w:val="20"/>
                <w:lang w:eastAsia="en-AU"/>
              </w:rPr>
              <w:t>Ecosystem</w:t>
            </w:r>
          </w:p>
        </w:tc>
        <w:tc>
          <w:tcPr>
            <w:tcW w:w="7768" w:type="dxa"/>
            <w:gridSpan w:val="4"/>
            <w:tcBorders>
              <w:top w:val="nil"/>
              <w:left w:val="nil"/>
              <w:bottom w:val="single" w:sz="4" w:space="0" w:color="auto"/>
              <w:right w:val="single" w:sz="4" w:space="0" w:color="auto"/>
            </w:tcBorders>
            <w:shd w:val="clear" w:color="000000" w:fill="F2F2F2"/>
            <w:vAlign w:val="center"/>
          </w:tcPr>
          <w:p w14:paraId="19E077BB" w14:textId="73A0217A" w:rsidR="009B3421" w:rsidRPr="00190787" w:rsidRDefault="009B3421" w:rsidP="00280550">
            <w:pPr>
              <w:pStyle w:val="ListParagraph"/>
              <w:numPr>
                <w:ilvl w:val="0"/>
                <w:numId w:val="17"/>
              </w:numPr>
              <w:suppressAutoHyphens w:val="0"/>
              <w:spacing w:before="0" w:after="0" w:line="240" w:lineRule="auto"/>
              <w:rPr>
                <w:rFonts w:eastAsia="Times New Roman" w:cs="Times New Roman"/>
                <w:iCs/>
                <w:sz w:val="18"/>
                <w:szCs w:val="20"/>
              </w:rPr>
            </w:pPr>
            <w:r w:rsidRPr="00190787">
              <w:rPr>
                <w:rFonts w:eastAsia="Times New Roman" w:cs="Times New Roman"/>
                <w:iCs/>
                <w:sz w:val="18"/>
                <w:szCs w:val="20"/>
              </w:rPr>
              <w:t>Focus on specific sectors of unique bilateral economic opportunity</w:t>
            </w:r>
            <w:r w:rsidR="00DD1502">
              <w:rPr>
                <w:rFonts w:eastAsia="Times New Roman" w:cs="Times New Roman"/>
                <w:iCs/>
                <w:sz w:val="18"/>
                <w:szCs w:val="20"/>
              </w:rPr>
              <w:t>.</w:t>
            </w:r>
            <w:r w:rsidR="003C477B" w:rsidRPr="00190787">
              <w:rPr>
                <w:rFonts w:eastAsia="Times New Roman" w:cs="Times New Roman"/>
                <w:iCs/>
                <w:sz w:val="18"/>
                <w:szCs w:val="20"/>
              </w:rPr>
              <w:t xml:space="preserve"> </w:t>
            </w:r>
          </w:p>
          <w:p w14:paraId="535DEFFD" w14:textId="609BE5D2" w:rsidR="009B3421" w:rsidRPr="00190787" w:rsidRDefault="00CE3294" w:rsidP="00CE3294">
            <w:pPr>
              <w:pStyle w:val="ListParagraph"/>
              <w:numPr>
                <w:ilvl w:val="0"/>
                <w:numId w:val="17"/>
              </w:numPr>
              <w:tabs>
                <w:tab w:val="left" w:pos="3828"/>
              </w:tabs>
              <w:suppressAutoHyphens w:val="0"/>
              <w:spacing w:before="0" w:after="0" w:line="240" w:lineRule="auto"/>
              <w:rPr>
                <w:rFonts w:eastAsia="Times New Roman" w:cs="Times New Roman"/>
                <w:iCs/>
                <w:sz w:val="18"/>
                <w:szCs w:val="20"/>
              </w:rPr>
            </w:pPr>
            <w:r>
              <w:rPr>
                <w:rFonts w:eastAsia="Times New Roman" w:cs="Times New Roman"/>
                <w:iCs/>
                <w:sz w:val="18"/>
                <w:szCs w:val="20"/>
              </w:rPr>
              <w:t>B</w:t>
            </w:r>
            <w:r w:rsidR="009B3421" w:rsidRPr="00190787">
              <w:rPr>
                <w:rFonts w:eastAsia="Times New Roman" w:cs="Times New Roman"/>
                <w:iCs/>
                <w:sz w:val="18"/>
                <w:szCs w:val="20"/>
              </w:rPr>
              <w:t>e demand-driven and have the potential to impact the broader sector</w:t>
            </w:r>
            <w:r w:rsidR="00DD1502">
              <w:rPr>
                <w:rFonts w:eastAsia="Times New Roman" w:cs="Times New Roman"/>
                <w:iCs/>
                <w:sz w:val="18"/>
                <w:szCs w:val="20"/>
              </w:rPr>
              <w:t>.</w:t>
            </w:r>
          </w:p>
        </w:tc>
      </w:tr>
      <w:tr w:rsidR="00856784" w:rsidRPr="007D1817" w14:paraId="4FF51B6E" w14:textId="77777777" w:rsidTr="00CE3294">
        <w:trPr>
          <w:trHeight w:val="2763"/>
        </w:trPr>
        <w:tc>
          <w:tcPr>
            <w:tcW w:w="1696" w:type="dxa"/>
            <w:vMerge/>
            <w:tcBorders>
              <w:left w:val="single" w:sz="4" w:space="0" w:color="auto"/>
              <w:bottom w:val="single" w:sz="4" w:space="0" w:color="auto"/>
              <w:right w:val="single" w:sz="4" w:space="0" w:color="auto"/>
            </w:tcBorders>
            <w:shd w:val="clear" w:color="000000" w:fill="F2F2F2"/>
            <w:vAlign w:val="center"/>
            <w:hideMark/>
          </w:tcPr>
          <w:p w14:paraId="252790C5" w14:textId="77777777" w:rsidR="009B3421" w:rsidRPr="004037BC" w:rsidRDefault="009B3421" w:rsidP="009B3421">
            <w:pPr>
              <w:jc w:val="center"/>
              <w:rPr>
                <w:rFonts w:eastAsia="Times New Roman" w:cs="Times New Roman"/>
                <w:b/>
                <w:bCs/>
                <w:sz w:val="18"/>
                <w:szCs w:val="20"/>
              </w:rPr>
            </w:pPr>
          </w:p>
        </w:tc>
        <w:tc>
          <w:tcPr>
            <w:tcW w:w="2381" w:type="dxa"/>
            <w:tcBorders>
              <w:top w:val="nil"/>
              <w:left w:val="nil"/>
              <w:bottom w:val="single" w:sz="4" w:space="0" w:color="auto"/>
              <w:right w:val="single" w:sz="4" w:space="0" w:color="auto"/>
            </w:tcBorders>
            <w:shd w:val="clear" w:color="000000" w:fill="F2F2F2"/>
            <w:vAlign w:val="center"/>
            <w:hideMark/>
          </w:tcPr>
          <w:p w14:paraId="23812B25" w14:textId="3C546763" w:rsidR="00095EED" w:rsidRPr="00190787" w:rsidRDefault="00095EED" w:rsidP="009D3124">
            <w:pPr>
              <w:pStyle w:val="ListParagraph"/>
              <w:numPr>
                <w:ilvl w:val="0"/>
                <w:numId w:val="46"/>
              </w:numPr>
              <w:suppressAutoHyphens w:val="0"/>
              <w:spacing w:before="0" w:after="0" w:line="240" w:lineRule="auto"/>
              <w:rPr>
                <w:rFonts w:eastAsia="Times New Roman" w:cs="Times New Roman"/>
                <w:iCs/>
                <w:sz w:val="18"/>
                <w:szCs w:val="20"/>
              </w:rPr>
            </w:pPr>
            <w:r w:rsidRPr="00190787">
              <w:rPr>
                <w:rFonts w:eastAsia="Times New Roman" w:cs="Times New Roman"/>
                <w:iCs/>
                <w:sz w:val="18"/>
                <w:szCs w:val="20"/>
              </w:rPr>
              <w:t xml:space="preserve">Establish the Grains Partnership between Australian and Indonesian industry, supporting </w:t>
            </w:r>
            <w:r w:rsidR="00FC1466" w:rsidRPr="00190787">
              <w:rPr>
                <w:rFonts w:eastAsia="Times New Roman" w:cs="Times New Roman"/>
                <w:iCs/>
                <w:sz w:val="18"/>
                <w:szCs w:val="20"/>
              </w:rPr>
              <w:t>dialogue</w:t>
            </w:r>
            <w:r w:rsidRPr="00190787">
              <w:rPr>
                <w:rFonts w:eastAsia="Times New Roman" w:cs="Times New Roman"/>
                <w:iCs/>
                <w:sz w:val="18"/>
                <w:szCs w:val="20"/>
              </w:rPr>
              <w:t xml:space="preserve">, delivering targeted training for valued-added food and </w:t>
            </w:r>
            <w:r w:rsidR="005119C2" w:rsidRPr="00190787">
              <w:rPr>
                <w:rFonts w:eastAsia="Times New Roman" w:cs="Times New Roman"/>
                <w:iCs/>
                <w:sz w:val="18"/>
                <w:szCs w:val="20"/>
              </w:rPr>
              <w:t xml:space="preserve">animal </w:t>
            </w:r>
            <w:r w:rsidRPr="00190787">
              <w:rPr>
                <w:rFonts w:eastAsia="Times New Roman" w:cs="Times New Roman"/>
                <w:iCs/>
                <w:sz w:val="18"/>
                <w:szCs w:val="20"/>
              </w:rPr>
              <w:t>feed opportunities, research program and exchange</w:t>
            </w:r>
            <w:r w:rsidR="005119C2" w:rsidRPr="00190787">
              <w:rPr>
                <w:rFonts w:eastAsia="Times New Roman" w:cs="Times New Roman"/>
                <w:iCs/>
                <w:sz w:val="18"/>
                <w:szCs w:val="20"/>
              </w:rPr>
              <w:t>s.</w:t>
            </w:r>
          </w:p>
          <w:p w14:paraId="0FED74A7" w14:textId="2D00AEDE" w:rsidR="00095EED" w:rsidRPr="004037BC" w:rsidRDefault="003C477B" w:rsidP="009D3124">
            <w:pPr>
              <w:pStyle w:val="ListParagraph"/>
              <w:numPr>
                <w:ilvl w:val="0"/>
                <w:numId w:val="46"/>
              </w:numPr>
              <w:suppressAutoHyphens w:val="0"/>
              <w:spacing w:before="0" w:after="0" w:line="240" w:lineRule="auto"/>
              <w:rPr>
                <w:rFonts w:eastAsia="Times New Roman" w:cs="Times New Roman"/>
                <w:i/>
                <w:iCs/>
                <w:sz w:val="18"/>
                <w:szCs w:val="20"/>
              </w:rPr>
            </w:pPr>
            <w:r w:rsidRPr="00190787">
              <w:rPr>
                <w:rFonts w:eastAsia="Times New Roman" w:cs="Times New Roman"/>
                <w:iCs/>
                <w:sz w:val="18"/>
                <w:szCs w:val="20"/>
              </w:rPr>
              <w:t>Develop</w:t>
            </w:r>
            <w:r w:rsidR="00095EED" w:rsidRPr="00190787">
              <w:rPr>
                <w:rFonts w:eastAsia="Times New Roman" w:cs="Times New Roman"/>
                <w:iCs/>
                <w:sz w:val="18"/>
                <w:szCs w:val="20"/>
              </w:rPr>
              <w:t xml:space="preserve"> </w:t>
            </w:r>
            <w:r w:rsidRPr="00190787">
              <w:rPr>
                <w:rFonts w:eastAsia="Times New Roman" w:cs="Times New Roman"/>
                <w:iCs/>
                <w:sz w:val="18"/>
                <w:szCs w:val="20"/>
              </w:rPr>
              <w:t xml:space="preserve">new </w:t>
            </w:r>
            <w:proofErr w:type="spellStart"/>
            <w:r w:rsidR="00D07C6A" w:rsidRPr="00190787">
              <w:rPr>
                <w:rFonts w:eastAsia="Times New Roman" w:cs="Times New Roman"/>
                <w:iCs/>
                <w:sz w:val="18"/>
                <w:szCs w:val="20"/>
              </w:rPr>
              <w:t>A</w:t>
            </w:r>
            <w:r w:rsidR="00302D1E" w:rsidRPr="00190787">
              <w:rPr>
                <w:rFonts w:eastAsia="Times New Roman" w:cs="Times New Roman"/>
                <w:iCs/>
                <w:sz w:val="18"/>
                <w:szCs w:val="20"/>
              </w:rPr>
              <w:t>gri</w:t>
            </w:r>
            <w:r w:rsidR="00095EED" w:rsidRPr="00190787">
              <w:rPr>
                <w:rFonts w:eastAsia="Times New Roman" w:cs="Times New Roman"/>
                <w:iCs/>
                <w:sz w:val="18"/>
                <w:szCs w:val="20"/>
              </w:rPr>
              <w:t>food</w:t>
            </w:r>
            <w:proofErr w:type="spellEnd"/>
            <w:r w:rsidR="00095EED" w:rsidRPr="00190787">
              <w:rPr>
                <w:rFonts w:eastAsia="Times New Roman" w:cs="Times New Roman"/>
                <w:iCs/>
                <w:sz w:val="18"/>
                <w:szCs w:val="20"/>
              </w:rPr>
              <w:t xml:space="preserve"> </w:t>
            </w:r>
            <w:r w:rsidR="00D07C6A" w:rsidRPr="00190787">
              <w:rPr>
                <w:rFonts w:eastAsia="Times New Roman" w:cs="Times New Roman"/>
                <w:iCs/>
                <w:sz w:val="18"/>
                <w:szCs w:val="20"/>
              </w:rPr>
              <w:t>Innovation P</w:t>
            </w:r>
            <w:r w:rsidR="00095EED" w:rsidRPr="00190787">
              <w:rPr>
                <w:rFonts w:eastAsia="Times New Roman" w:cs="Times New Roman"/>
                <w:iCs/>
                <w:sz w:val="18"/>
                <w:szCs w:val="20"/>
              </w:rPr>
              <w:t>artnership</w:t>
            </w:r>
            <w:r w:rsidR="00302D1E" w:rsidRPr="00190787">
              <w:rPr>
                <w:rFonts w:eastAsia="Times New Roman" w:cs="Times New Roman"/>
                <w:iCs/>
                <w:sz w:val="18"/>
                <w:szCs w:val="20"/>
              </w:rPr>
              <w:t>s</w:t>
            </w:r>
            <w:r w:rsidR="005119C2" w:rsidRPr="00190787">
              <w:rPr>
                <w:rFonts w:eastAsia="Times New Roman" w:cs="Times New Roman"/>
                <w:iCs/>
                <w:sz w:val="18"/>
                <w:szCs w:val="20"/>
              </w:rPr>
              <w:t>.</w:t>
            </w:r>
          </w:p>
        </w:tc>
        <w:tc>
          <w:tcPr>
            <w:tcW w:w="3119" w:type="dxa"/>
            <w:gridSpan w:val="2"/>
            <w:tcBorders>
              <w:top w:val="nil"/>
              <w:left w:val="nil"/>
              <w:bottom w:val="single" w:sz="4" w:space="0" w:color="auto"/>
              <w:right w:val="single" w:sz="4" w:space="0" w:color="auto"/>
            </w:tcBorders>
            <w:shd w:val="clear" w:color="000000" w:fill="F2F2F2"/>
            <w:vAlign w:val="center"/>
            <w:hideMark/>
          </w:tcPr>
          <w:p w14:paraId="02C343D9" w14:textId="580B3957" w:rsidR="00095EED" w:rsidRPr="00190787" w:rsidRDefault="00095EED" w:rsidP="009D3124">
            <w:pPr>
              <w:pStyle w:val="ListParagraph"/>
              <w:numPr>
                <w:ilvl w:val="0"/>
                <w:numId w:val="46"/>
              </w:numPr>
              <w:suppressAutoHyphens w:val="0"/>
              <w:spacing w:before="0" w:after="0" w:line="240" w:lineRule="auto"/>
              <w:rPr>
                <w:rFonts w:eastAsia="Times New Roman" w:cs="Times New Roman"/>
                <w:iCs/>
                <w:sz w:val="18"/>
                <w:szCs w:val="20"/>
              </w:rPr>
            </w:pPr>
            <w:r w:rsidRPr="00190787">
              <w:rPr>
                <w:rFonts w:eastAsia="Times New Roman" w:cs="Times New Roman"/>
                <w:iCs/>
                <w:sz w:val="18"/>
                <w:szCs w:val="20"/>
              </w:rPr>
              <w:t>Establish an Indonesia-Australia Advanced Ma</w:t>
            </w:r>
            <w:r w:rsidR="003C477B" w:rsidRPr="00190787">
              <w:rPr>
                <w:rFonts w:eastAsia="Times New Roman" w:cs="Times New Roman"/>
                <w:iCs/>
                <w:sz w:val="18"/>
                <w:szCs w:val="20"/>
              </w:rPr>
              <w:t>nufacturing Dialogue and Forum</w:t>
            </w:r>
            <w:r w:rsidR="005119C2" w:rsidRPr="00190787">
              <w:rPr>
                <w:rFonts w:eastAsia="Times New Roman" w:cs="Times New Roman"/>
                <w:iCs/>
                <w:sz w:val="18"/>
                <w:szCs w:val="20"/>
              </w:rPr>
              <w:t>.</w:t>
            </w:r>
          </w:p>
          <w:p w14:paraId="6D9E2369" w14:textId="598B9B2F" w:rsidR="00095EED" w:rsidRDefault="003C477B" w:rsidP="009D3124">
            <w:pPr>
              <w:pStyle w:val="ListParagraph"/>
              <w:numPr>
                <w:ilvl w:val="0"/>
                <w:numId w:val="46"/>
              </w:numPr>
              <w:suppressAutoHyphens w:val="0"/>
              <w:spacing w:before="0" w:after="0" w:line="240" w:lineRule="auto"/>
              <w:rPr>
                <w:rFonts w:eastAsia="Times New Roman" w:cs="Times New Roman"/>
                <w:iCs/>
                <w:sz w:val="18"/>
                <w:szCs w:val="20"/>
              </w:rPr>
            </w:pPr>
            <w:r w:rsidRPr="00190787">
              <w:rPr>
                <w:rFonts w:eastAsia="Times New Roman" w:cs="Times New Roman"/>
                <w:iCs/>
                <w:sz w:val="18"/>
                <w:szCs w:val="20"/>
              </w:rPr>
              <w:t>Deliver</w:t>
            </w:r>
            <w:r w:rsidR="00095EED" w:rsidRPr="00190787">
              <w:rPr>
                <w:rFonts w:eastAsia="Times New Roman" w:cs="Times New Roman"/>
                <w:iCs/>
                <w:sz w:val="18"/>
                <w:szCs w:val="20"/>
              </w:rPr>
              <w:t xml:space="preserve"> </w:t>
            </w:r>
            <w:r w:rsidRPr="00190787">
              <w:rPr>
                <w:rFonts w:eastAsia="Times New Roman" w:cs="Times New Roman"/>
                <w:iCs/>
                <w:sz w:val="18"/>
                <w:szCs w:val="20"/>
              </w:rPr>
              <w:t xml:space="preserve">a </w:t>
            </w:r>
            <w:r w:rsidR="00095EED" w:rsidRPr="00190787">
              <w:rPr>
                <w:rFonts w:eastAsia="Times New Roman" w:cs="Times New Roman"/>
                <w:iCs/>
                <w:sz w:val="18"/>
                <w:szCs w:val="20"/>
              </w:rPr>
              <w:t xml:space="preserve">scoping study </w:t>
            </w:r>
            <w:r w:rsidRPr="00190787">
              <w:rPr>
                <w:rFonts w:eastAsia="Times New Roman" w:cs="Times New Roman"/>
                <w:iCs/>
                <w:sz w:val="18"/>
                <w:szCs w:val="20"/>
              </w:rPr>
              <w:t xml:space="preserve">on </w:t>
            </w:r>
            <w:r w:rsidR="00095EED" w:rsidRPr="00190787">
              <w:rPr>
                <w:rFonts w:eastAsia="Times New Roman" w:cs="Times New Roman"/>
                <w:iCs/>
                <w:sz w:val="18"/>
                <w:szCs w:val="20"/>
              </w:rPr>
              <w:t>component and precision engineering in the design of an electric vehicle</w:t>
            </w:r>
            <w:r w:rsidRPr="00190787">
              <w:rPr>
                <w:rFonts w:eastAsia="Times New Roman" w:cs="Times New Roman"/>
                <w:iCs/>
                <w:sz w:val="18"/>
                <w:szCs w:val="20"/>
              </w:rPr>
              <w:t xml:space="preserve"> in Indonesia</w:t>
            </w:r>
            <w:r w:rsidR="005119C2" w:rsidRPr="00190787">
              <w:rPr>
                <w:rFonts w:eastAsia="Times New Roman" w:cs="Times New Roman"/>
                <w:iCs/>
                <w:sz w:val="18"/>
                <w:szCs w:val="20"/>
              </w:rPr>
              <w:t>.</w:t>
            </w:r>
          </w:p>
          <w:p w14:paraId="20D1DFA1" w14:textId="77777777" w:rsidR="0005402F" w:rsidRPr="00190787" w:rsidRDefault="0005402F" w:rsidP="0005402F">
            <w:pPr>
              <w:pStyle w:val="ListParagraph"/>
              <w:numPr>
                <w:ilvl w:val="0"/>
                <w:numId w:val="46"/>
              </w:numPr>
              <w:suppressAutoHyphens w:val="0"/>
              <w:spacing w:before="0" w:after="0" w:line="240" w:lineRule="auto"/>
              <w:rPr>
                <w:rFonts w:eastAsia="Times New Roman" w:cs="Times New Roman"/>
                <w:iCs/>
                <w:sz w:val="18"/>
                <w:szCs w:val="20"/>
              </w:rPr>
            </w:pPr>
            <w:r>
              <w:rPr>
                <w:rFonts w:eastAsia="Times New Roman" w:cs="Times New Roman"/>
                <w:iCs/>
                <w:sz w:val="18"/>
                <w:szCs w:val="20"/>
              </w:rPr>
              <w:t>Support the development of partnerships between Australian and Indonesian industry to</w:t>
            </w:r>
            <w:r w:rsidRPr="00E05A94">
              <w:rPr>
                <w:rFonts w:eastAsia="Times New Roman" w:cs="Times New Roman"/>
                <w:iCs/>
                <w:sz w:val="18"/>
                <w:szCs w:val="20"/>
              </w:rPr>
              <w:t xml:space="preserve"> deliver mutual benefits in th</w:t>
            </w:r>
            <w:r>
              <w:rPr>
                <w:rFonts w:eastAsia="Times New Roman" w:cs="Times New Roman"/>
                <w:iCs/>
                <w:sz w:val="18"/>
                <w:szCs w:val="20"/>
              </w:rPr>
              <w:t>e advanced manufacturing sector.</w:t>
            </w:r>
          </w:p>
          <w:p w14:paraId="6F59ED62" w14:textId="2863FAF6" w:rsidR="009B3421" w:rsidRPr="00190787" w:rsidRDefault="00095EED" w:rsidP="009D3124">
            <w:pPr>
              <w:pStyle w:val="ListParagraph"/>
              <w:numPr>
                <w:ilvl w:val="0"/>
                <w:numId w:val="46"/>
              </w:numPr>
              <w:suppressAutoHyphens w:val="0"/>
              <w:spacing w:before="0" w:after="0" w:line="240" w:lineRule="auto"/>
              <w:rPr>
                <w:rFonts w:eastAsia="Times New Roman" w:cs="Times New Roman"/>
                <w:iCs/>
                <w:sz w:val="18"/>
                <w:szCs w:val="20"/>
              </w:rPr>
            </w:pPr>
            <w:r w:rsidRPr="00190787">
              <w:rPr>
                <w:rFonts w:eastAsia="Times New Roman" w:cs="Times New Roman"/>
                <w:iCs/>
                <w:sz w:val="18"/>
                <w:szCs w:val="20"/>
              </w:rPr>
              <w:t>S</w:t>
            </w:r>
            <w:r w:rsidR="003C477B" w:rsidRPr="00190787">
              <w:rPr>
                <w:rFonts w:eastAsia="Times New Roman" w:cs="Times New Roman"/>
                <w:iCs/>
                <w:sz w:val="18"/>
                <w:szCs w:val="20"/>
              </w:rPr>
              <w:t>cope</w:t>
            </w:r>
            <w:r w:rsidRPr="00190787">
              <w:rPr>
                <w:rFonts w:eastAsia="Times New Roman" w:cs="Times New Roman"/>
                <w:iCs/>
                <w:sz w:val="18"/>
                <w:szCs w:val="20"/>
              </w:rPr>
              <w:t xml:space="preserve"> other advanced manufacturing compl</w:t>
            </w:r>
            <w:r w:rsidR="00FC1466" w:rsidRPr="00190787">
              <w:rPr>
                <w:rFonts w:eastAsia="Times New Roman" w:cs="Times New Roman"/>
                <w:iCs/>
                <w:sz w:val="18"/>
                <w:szCs w:val="20"/>
              </w:rPr>
              <w:t>e</w:t>
            </w:r>
            <w:r w:rsidRPr="00190787">
              <w:rPr>
                <w:rFonts w:eastAsia="Times New Roman" w:cs="Times New Roman"/>
                <w:iCs/>
                <w:sz w:val="18"/>
                <w:szCs w:val="20"/>
              </w:rPr>
              <w:t>mentarities</w:t>
            </w:r>
            <w:r w:rsidR="005119C2" w:rsidRPr="00190787">
              <w:rPr>
                <w:rFonts w:eastAsia="Times New Roman" w:cs="Times New Roman"/>
                <w:iCs/>
                <w:sz w:val="18"/>
                <w:szCs w:val="20"/>
              </w:rPr>
              <w:t>.</w:t>
            </w:r>
          </w:p>
        </w:tc>
        <w:tc>
          <w:tcPr>
            <w:tcW w:w="2268" w:type="dxa"/>
            <w:tcBorders>
              <w:top w:val="nil"/>
              <w:left w:val="nil"/>
              <w:bottom w:val="single" w:sz="4" w:space="0" w:color="auto"/>
              <w:right w:val="single" w:sz="4" w:space="0" w:color="auto"/>
            </w:tcBorders>
            <w:shd w:val="clear" w:color="000000" w:fill="F2F2F2"/>
            <w:vAlign w:val="center"/>
            <w:hideMark/>
          </w:tcPr>
          <w:p w14:paraId="31592EBD" w14:textId="6C6CD374" w:rsidR="003C477B" w:rsidRPr="00190787" w:rsidRDefault="003C477B" w:rsidP="009D3124">
            <w:pPr>
              <w:pStyle w:val="ListParagraph"/>
              <w:numPr>
                <w:ilvl w:val="0"/>
                <w:numId w:val="46"/>
              </w:numPr>
              <w:suppressAutoHyphens w:val="0"/>
              <w:spacing w:before="0" w:after="0" w:line="240" w:lineRule="auto"/>
              <w:rPr>
                <w:rFonts w:eastAsia="Times New Roman" w:cs="Times New Roman"/>
                <w:iCs/>
                <w:sz w:val="18"/>
                <w:szCs w:val="20"/>
              </w:rPr>
            </w:pPr>
            <w:r w:rsidRPr="00190787">
              <w:rPr>
                <w:rFonts w:eastAsia="Times New Roman" w:cs="Times New Roman"/>
                <w:iCs/>
                <w:sz w:val="18"/>
                <w:szCs w:val="20"/>
              </w:rPr>
              <w:t>Enhance Indonesia's standards ecosystem in collaboration with BSN</w:t>
            </w:r>
            <w:r w:rsidR="005119C2" w:rsidRPr="00190787">
              <w:rPr>
                <w:rFonts w:eastAsia="Times New Roman" w:cs="Times New Roman"/>
                <w:iCs/>
                <w:sz w:val="18"/>
                <w:szCs w:val="20"/>
              </w:rPr>
              <w:t>.</w:t>
            </w:r>
          </w:p>
          <w:p w14:paraId="18BAC3C5" w14:textId="79AF63F6" w:rsidR="009B3421" w:rsidRPr="00190787" w:rsidRDefault="003C477B" w:rsidP="009D3124">
            <w:pPr>
              <w:pStyle w:val="ListParagraph"/>
              <w:numPr>
                <w:ilvl w:val="0"/>
                <w:numId w:val="46"/>
              </w:numPr>
              <w:suppressAutoHyphens w:val="0"/>
              <w:spacing w:before="0" w:after="0" w:line="240" w:lineRule="auto"/>
              <w:rPr>
                <w:rFonts w:eastAsia="Times New Roman" w:cs="Times New Roman"/>
                <w:iCs/>
                <w:sz w:val="18"/>
                <w:szCs w:val="20"/>
              </w:rPr>
            </w:pPr>
            <w:r w:rsidRPr="00190787">
              <w:rPr>
                <w:rFonts w:eastAsia="Times New Roman" w:cs="Times New Roman"/>
                <w:iCs/>
                <w:sz w:val="18"/>
                <w:szCs w:val="20"/>
              </w:rPr>
              <w:t>Deliver services sector standards analysis e.g.</w:t>
            </w:r>
            <w:r w:rsidR="00393285" w:rsidRPr="00190787">
              <w:rPr>
                <w:rFonts w:eastAsia="Times New Roman" w:cs="Times New Roman"/>
                <w:iCs/>
                <w:sz w:val="18"/>
                <w:szCs w:val="20"/>
              </w:rPr>
              <w:t xml:space="preserve"> health:</w:t>
            </w:r>
            <w:r w:rsidRPr="00190787">
              <w:rPr>
                <w:rFonts w:eastAsia="Times New Roman" w:cs="Times New Roman"/>
                <w:iCs/>
                <w:sz w:val="18"/>
                <w:szCs w:val="20"/>
              </w:rPr>
              <w:t xml:space="preserve"> Vitamins and Supplements where opportunities exist for trade and investment if standards are aligned</w:t>
            </w:r>
            <w:r w:rsidR="005119C2" w:rsidRPr="00190787">
              <w:rPr>
                <w:rFonts w:eastAsia="Times New Roman" w:cs="Times New Roman"/>
                <w:iCs/>
                <w:sz w:val="18"/>
                <w:szCs w:val="20"/>
              </w:rPr>
              <w:t>.</w:t>
            </w:r>
          </w:p>
        </w:tc>
      </w:tr>
      <w:tr w:rsidR="00DD1502" w:rsidRPr="007D1817" w14:paraId="0A359CF9" w14:textId="77777777" w:rsidTr="007C4ABD">
        <w:trPr>
          <w:trHeight w:val="1419"/>
        </w:trPr>
        <w:tc>
          <w:tcPr>
            <w:tcW w:w="1696" w:type="dxa"/>
            <w:vMerge w:val="restart"/>
            <w:tcBorders>
              <w:top w:val="nil"/>
              <w:left w:val="single" w:sz="4" w:space="0" w:color="auto"/>
              <w:bottom w:val="single" w:sz="4" w:space="0" w:color="000000"/>
              <w:right w:val="single" w:sz="4" w:space="0" w:color="auto"/>
            </w:tcBorders>
            <w:shd w:val="clear" w:color="000000" w:fill="D9D9D9"/>
            <w:vAlign w:val="center"/>
            <w:hideMark/>
          </w:tcPr>
          <w:p w14:paraId="092A3404" w14:textId="4562C414" w:rsidR="00DD1502" w:rsidRPr="004037BC" w:rsidRDefault="00DD1502" w:rsidP="009B3421">
            <w:pPr>
              <w:jc w:val="center"/>
              <w:rPr>
                <w:rFonts w:eastAsia="Times New Roman" w:cs="Times New Roman"/>
                <w:sz w:val="18"/>
                <w:szCs w:val="20"/>
              </w:rPr>
            </w:pPr>
            <w:r w:rsidRPr="004037BC">
              <w:rPr>
                <w:rFonts w:eastAsia="Times New Roman" w:cs="Times New Roman"/>
                <w:b/>
                <w:bCs/>
                <w:sz w:val="18"/>
                <w:szCs w:val="20"/>
              </w:rPr>
              <w:t xml:space="preserve">Enhanced Labour Market Skills:                         </w:t>
            </w:r>
            <w:r w:rsidRPr="004037BC">
              <w:rPr>
                <w:rFonts w:eastAsia="Times New Roman" w:cs="Times New Roman"/>
                <w:sz w:val="18"/>
                <w:szCs w:val="20"/>
              </w:rPr>
              <w:t xml:space="preserve">   </w:t>
            </w:r>
          </w:p>
          <w:p w14:paraId="0CDFC2A4" w14:textId="344EC48E" w:rsidR="00DD1502" w:rsidRPr="004037BC" w:rsidRDefault="00DD1502" w:rsidP="009B3421">
            <w:pPr>
              <w:jc w:val="center"/>
              <w:rPr>
                <w:rFonts w:eastAsia="Times New Roman" w:cs="Segoe UI"/>
                <w:sz w:val="18"/>
                <w:szCs w:val="20"/>
                <w:lang w:eastAsia="en-AU"/>
              </w:rPr>
            </w:pPr>
            <w:r w:rsidRPr="004037BC">
              <w:rPr>
                <w:rFonts w:eastAsia="Times New Roman" w:cs="Segoe UI"/>
                <w:sz w:val="18"/>
                <w:szCs w:val="20"/>
                <w:lang w:eastAsia="en-AU"/>
              </w:rPr>
              <w:t xml:space="preserve">Skills Development </w:t>
            </w:r>
          </w:p>
        </w:tc>
        <w:tc>
          <w:tcPr>
            <w:tcW w:w="7768" w:type="dxa"/>
            <w:gridSpan w:val="4"/>
            <w:tcBorders>
              <w:top w:val="single" w:sz="4" w:space="0" w:color="auto"/>
              <w:left w:val="nil"/>
              <w:right w:val="single" w:sz="4" w:space="0" w:color="000000"/>
            </w:tcBorders>
            <w:shd w:val="clear" w:color="000000" w:fill="D9D9D9"/>
            <w:vAlign w:val="center"/>
            <w:hideMark/>
          </w:tcPr>
          <w:p w14:paraId="59BFB512" w14:textId="77777777" w:rsidR="00DD1502" w:rsidRPr="00190787" w:rsidRDefault="00DD1502" w:rsidP="00280550">
            <w:pPr>
              <w:pStyle w:val="ListParagraph"/>
              <w:numPr>
                <w:ilvl w:val="0"/>
                <w:numId w:val="17"/>
              </w:numPr>
              <w:suppressAutoHyphens w:val="0"/>
              <w:spacing w:before="0" w:after="0" w:line="240" w:lineRule="auto"/>
              <w:rPr>
                <w:rFonts w:eastAsia="Times New Roman" w:cs="Times New Roman"/>
                <w:iCs/>
                <w:sz w:val="18"/>
                <w:szCs w:val="20"/>
              </w:rPr>
            </w:pPr>
            <w:r w:rsidRPr="00190787">
              <w:rPr>
                <w:rFonts w:cs="Arial"/>
                <w:sz w:val="18"/>
                <w:szCs w:val="20"/>
              </w:rPr>
              <w:t>Facilitate Australian TVET providers partnering with local Indonesian employers and training institutions through Industry Skills Clearinghouses in priority bilateral sectors.</w:t>
            </w:r>
          </w:p>
          <w:p w14:paraId="2A924F8D" w14:textId="77777777" w:rsidR="00DD1502" w:rsidRPr="00190787" w:rsidRDefault="00DD1502" w:rsidP="00280550">
            <w:pPr>
              <w:pStyle w:val="ListParagraph"/>
              <w:numPr>
                <w:ilvl w:val="0"/>
                <w:numId w:val="17"/>
              </w:numPr>
              <w:suppressAutoHyphens w:val="0"/>
              <w:spacing w:before="0" w:after="0" w:line="240" w:lineRule="auto"/>
              <w:rPr>
                <w:rFonts w:eastAsia="Times New Roman" w:cs="Times New Roman"/>
                <w:iCs/>
                <w:sz w:val="18"/>
                <w:szCs w:val="20"/>
              </w:rPr>
            </w:pPr>
            <w:r w:rsidRPr="00190787">
              <w:rPr>
                <w:rFonts w:eastAsia="Times New Roman" w:cs="Times New Roman"/>
                <w:iCs/>
                <w:sz w:val="18"/>
                <w:szCs w:val="20"/>
              </w:rPr>
              <w:t xml:space="preserve">Deliver pilots of innovative education models (including </w:t>
            </w:r>
            <w:proofErr w:type="spellStart"/>
            <w:r w:rsidRPr="00190787">
              <w:rPr>
                <w:rFonts w:eastAsia="Times New Roman" w:cs="Times New Roman"/>
                <w:iCs/>
                <w:sz w:val="18"/>
                <w:szCs w:val="20"/>
              </w:rPr>
              <w:t>EdTech</w:t>
            </w:r>
            <w:proofErr w:type="spellEnd"/>
            <w:r w:rsidRPr="00190787">
              <w:rPr>
                <w:rFonts w:eastAsia="Times New Roman" w:cs="Times New Roman"/>
                <w:iCs/>
                <w:sz w:val="18"/>
                <w:szCs w:val="20"/>
              </w:rPr>
              <w:t xml:space="preserve">) to address skills gaps in priority bilateral sectors, with co-investment of partners. </w:t>
            </w:r>
          </w:p>
          <w:p w14:paraId="7F3AB4C3" w14:textId="4A02B029" w:rsidR="00DD1502" w:rsidRPr="004037BC" w:rsidRDefault="00DD1502" w:rsidP="00994AED">
            <w:pPr>
              <w:pStyle w:val="ListParagraph"/>
              <w:numPr>
                <w:ilvl w:val="0"/>
                <w:numId w:val="17"/>
              </w:numPr>
              <w:spacing w:before="0" w:after="0" w:line="240" w:lineRule="auto"/>
              <w:rPr>
                <w:rFonts w:eastAsia="Times New Roman" w:cs="Times New Roman"/>
                <w:iCs/>
                <w:sz w:val="18"/>
                <w:szCs w:val="20"/>
              </w:rPr>
            </w:pPr>
            <w:r w:rsidRPr="00190787">
              <w:rPr>
                <w:rFonts w:eastAsia="Times New Roman" w:cs="Times New Roman"/>
                <w:iCs/>
                <w:sz w:val="18"/>
                <w:szCs w:val="20"/>
              </w:rPr>
              <w:t>Contribute to structural reform of the Indonesian TVET sector through research, shared lessons and evaluation of TVET pilots.</w:t>
            </w:r>
            <w:r w:rsidRPr="00190787">
              <w:rPr>
                <w:rFonts w:eastAsia="Times New Roman" w:cs="Times New Roman"/>
                <w:b/>
                <w:iCs/>
                <w:sz w:val="18"/>
                <w:szCs w:val="20"/>
              </w:rPr>
              <w:t xml:space="preserve"> </w:t>
            </w:r>
          </w:p>
        </w:tc>
      </w:tr>
      <w:tr w:rsidR="00856784" w:rsidRPr="007D1817" w14:paraId="2C828D61" w14:textId="77777777" w:rsidTr="007C4ABD">
        <w:trPr>
          <w:trHeight w:val="417"/>
        </w:trPr>
        <w:tc>
          <w:tcPr>
            <w:tcW w:w="1696" w:type="dxa"/>
            <w:vMerge/>
            <w:tcBorders>
              <w:top w:val="nil"/>
              <w:left w:val="single" w:sz="4" w:space="0" w:color="auto"/>
              <w:bottom w:val="single" w:sz="4" w:space="0" w:color="auto"/>
              <w:right w:val="single" w:sz="4" w:space="0" w:color="auto"/>
            </w:tcBorders>
            <w:vAlign w:val="center"/>
            <w:hideMark/>
          </w:tcPr>
          <w:p w14:paraId="2B1713FB" w14:textId="77777777" w:rsidR="009B3421" w:rsidRPr="004037BC" w:rsidRDefault="009B3421" w:rsidP="009B3421">
            <w:pPr>
              <w:rPr>
                <w:rFonts w:eastAsia="Times New Roman" w:cs="Times New Roman"/>
                <w:b/>
                <w:bCs/>
                <w:sz w:val="18"/>
                <w:szCs w:val="20"/>
              </w:rPr>
            </w:pPr>
          </w:p>
        </w:tc>
        <w:tc>
          <w:tcPr>
            <w:tcW w:w="2948" w:type="dxa"/>
            <w:gridSpan w:val="2"/>
            <w:tcBorders>
              <w:top w:val="single" w:sz="4" w:space="0" w:color="auto"/>
              <w:left w:val="nil"/>
              <w:bottom w:val="single" w:sz="4" w:space="0" w:color="auto"/>
              <w:right w:val="single" w:sz="4" w:space="0" w:color="auto"/>
            </w:tcBorders>
            <w:shd w:val="clear" w:color="000000" w:fill="D9D9D9"/>
            <w:vAlign w:val="center"/>
            <w:hideMark/>
          </w:tcPr>
          <w:p w14:paraId="2F6647D8" w14:textId="32C154B7" w:rsidR="009B3421" w:rsidRPr="00190787" w:rsidRDefault="003C477B" w:rsidP="004C0F35">
            <w:pPr>
              <w:suppressAutoHyphens w:val="0"/>
              <w:spacing w:before="0" w:after="0" w:line="240" w:lineRule="auto"/>
              <w:rPr>
                <w:rFonts w:eastAsia="Times New Roman" w:cs="Times New Roman"/>
                <w:iCs/>
                <w:sz w:val="18"/>
                <w:szCs w:val="20"/>
              </w:rPr>
            </w:pPr>
            <w:r w:rsidRPr="00190787">
              <w:rPr>
                <w:rFonts w:eastAsia="Times New Roman" w:cs="Times New Roman"/>
                <w:iCs/>
                <w:sz w:val="18"/>
                <w:szCs w:val="20"/>
              </w:rPr>
              <w:t xml:space="preserve">Deliver </w:t>
            </w:r>
            <w:r w:rsidR="002D1FB9" w:rsidRPr="00190787">
              <w:rPr>
                <w:rFonts w:eastAsia="Times New Roman" w:cs="Times New Roman"/>
                <w:iCs/>
                <w:sz w:val="18"/>
                <w:szCs w:val="20"/>
              </w:rPr>
              <w:t xml:space="preserve">a train the </w:t>
            </w:r>
            <w:r w:rsidR="00685781" w:rsidRPr="00190787">
              <w:rPr>
                <w:rFonts w:eastAsia="Times New Roman" w:cs="Times New Roman"/>
                <w:iCs/>
                <w:sz w:val="18"/>
                <w:szCs w:val="20"/>
              </w:rPr>
              <w:t xml:space="preserve">trainer </w:t>
            </w:r>
            <w:proofErr w:type="spellStart"/>
            <w:r w:rsidR="00FC1466" w:rsidRPr="00190787">
              <w:rPr>
                <w:rFonts w:eastAsia="Times New Roman" w:cs="Times New Roman"/>
                <w:iCs/>
                <w:sz w:val="18"/>
                <w:szCs w:val="20"/>
              </w:rPr>
              <w:t>Agrifood</w:t>
            </w:r>
            <w:proofErr w:type="spellEnd"/>
            <w:r w:rsidRPr="00190787">
              <w:rPr>
                <w:rFonts w:eastAsia="Times New Roman" w:cs="Times New Roman"/>
                <w:iCs/>
                <w:sz w:val="18"/>
                <w:szCs w:val="20"/>
              </w:rPr>
              <w:t xml:space="preserve"> course</w:t>
            </w:r>
            <w:r w:rsidR="002D1FB9" w:rsidRPr="00190787">
              <w:rPr>
                <w:rFonts w:eastAsia="Times New Roman" w:cs="Times New Roman"/>
                <w:iCs/>
                <w:sz w:val="18"/>
                <w:szCs w:val="20"/>
              </w:rPr>
              <w:t xml:space="preserve"> i</w:t>
            </w:r>
            <w:r w:rsidRPr="00190787">
              <w:rPr>
                <w:rFonts w:eastAsia="Times New Roman" w:cs="Times New Roman"/>
                <w:iCs/>
                <w:sz w:val="18"/>
                <w:szCs w:val="20"/>
              </w:rPr>
              <w:t>n support of the Grains Partnership</w:t>
            </w:r>
            <w:r w:rsidR="002D1FB9" w:rsidRPr="00190787">
              <w:rPr>
                <w:rFonts w:eastAsia="Times New Roman" w:cs="Times New Roman"/>
                <w:iCs/>
                <w:sz w:val="18"/>
                <w:szCs w:val="20"/>
              </w:rPr>
              <w:t>. The course will focus</w:t>
            </w:r>
            <w:r w:rsidRPr="00190787">
              <w:rPr>
                <w:rFonts w:eastAsia="Times New Roman" w:cs="Times New Roman"/>
                <w:iCs/>
                <w:sz w:val="18"/>
                <w:szCs w:val="20"/>
              </w:rPr>
              <w:t xml:space="preserve"> on the use of different quality grains to support</w:t>
            </w:r>
            <w:r w:rsidR="002D1FB9" w:rsidRPr="00190787">
              <w:rPr>
                <w:rFonts w:eastAsia="Times New Roman" w:cs="Times New Roman"/>
                <w:iCs/>
                <w:sz w:val="18"/>
                <w:szCs w:val="20"/>
              </w:rPr>
              <w:t xml:space="preserve"> value adding in </w:t>
            </w:r>
            <w:r w:rsidRPr="00190787">
              <w:rPr>
                <w:rFonts w:eastAsia="Times New Roman" w:cs="Times New Roman"/>
                <w:iCs/>
                <w:sz w:val="18"/>
                <w:szCs w:val="20"/>
              </w:rPr>
              <w:t>Indonesia</w:t>
            </w:r>
            <w:r w:rsidR="002D1FB9" w:rsidRPr="00190787">
              <w:rPr>
                <w:rFonts w:eastAsia="Times New Roman" w:cs="Times New Roman"/>
                <w:iCs/>
                <w:sz w:val="18"/>
                <w:szCs w:val="20"/>
              </w:rPr>
              <w:t xml:space="preserve">’s food industry </w:t>
            </w:r>
            <w:r w:rsidRPr="00190787">
              <w:rPr>
                <w:rFonts w:eastAsia="Times New Roman" w:cs="Times New Roman"/>
                <w:iCs/>
                <w:sz w:val="18"/>
                <w:szCs w:val="20"/>
              </w:rPr>
              <w:t>for the domestic an</w:t>
            </w:r>
            <w:r w:rsidR="002D1FB9" w:rsidRPr="00190787">
              <w:rPr>
                <w:rFonts w:eastAsia="Times New Roman" w:cs="Times New Roman"/>
                <w:iCs/>
                <w:sz w:val="18"/>
                <w:szCs w:val="20"/>
              </w:rPr>
              <w:t xml:space="preserve">d export food market; </w:t>
            </w:r>
            <w:r w:rsidR="00685781" w:rsidRPr="00190787">
              <w:rPr>
                <w:rFonts w:eastAsia="Times New Roman" w:cs="Times New Roman"/>
                <w:iCs/>
                <w:sz w:val="18"/>
                <w:szCs w:val="20"/>
              </w:rPr>
              <w:t>t</w:t>
            </w:r>
            <w:r w:rsidR="002D1FB9" w:rsidRPr="00190787">
              <w:rPr>
                <w:rFonts w:eastAsia="Times New Roman" w:cs="Times New Roman"/>
                <w:iCs/>
                <w:sz w:val="18"/>
                <w:szCs w:val="20"/>
              </w:rPr>
              <w:t xml:space="preserve">raining will be </w:t>
            </w:r>
            <w:r w:rsidRPr="00190787">
              <w:rPr>
                <w:rFonts w:eastAsia="Times New Roman" w:cs="Times New Roman"/>
                <w:iCs/>
                <w:sz w:val="18"/>
                <w:szCs w:val="20"/>
              </w:rPr>
              <w:t>delivered through existing training institutes linked to Indonesian mills.</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01DF0423" w14:textId="6D2C15F6" w:rsidR="009B3421" w:rsidRPr="00190787" w:rsidRDefault="003C477B" w:rsidP="00E9380A">
            <w:pPr>
              <w:suppressAutoHyphens w:val="0"/>
              <w:spacing w:before="0" w:after="0" w:line="240" w:lineRule="auto"/>
              <w:rPr>
                <w:rFonts w:eastAsia="Times New Roman" w:cs="Times New Roman"/>
                <w:iCs/>
                <w:sz w:val="18"/>
                <w:szCs w:val="20"/>
              </w:rPr>
            </w:pPr>
            <w:r w:rsidRPr="00190787">
              <w:rPr>
                <w:rFonts w:eastAsia="Times New Roman" w:cs="Times New Roman"/>
                <w:iCs/>
                <w:sz w:val="18"/>
                <w:szCs w:val="20"/>
              </w:rPr>
              <w:t>Support partnership between Indonesian industry and Australian TVET</w:t>
            </w:r>
            <w:r w:rsidR="0005402F">
              <w:rPr>
                <w:rFonts w:eastAsia="Times New Roman" w:cs="Times New Roman"/>
                <w:iCs/>
                <w:sz w:val="18"/>
                <w:szCs w:val="20"/>
              </w:rPr>
              <w:t xml:space="preserve"> and services</w:t>
            </w:r>
            <w:r w:rsidRPr="00190787">
              <w:rPr>
                <w:rFonts w:eastAsia="Times New Roman" w:cs="Times New Roman"/>
                <w:iCs/>
                <w:sz w:val="18"/>
                <w:szCs w:val="20"/>
              </w:rPr>
              <w:t xml:space="preserve"> providers to address skills gaps in advanced manufacturing such as</w:t>
            </w:r>
            <w:r w:rsidR="0005402F">
              <w:rPr>
                <w:rFonts w:eastAsia="Times New Roman" w:cs="Times New Roman"/>
                <w:iCs/>
                <w:sz w:val="18"/>
                <w:szCs w:val="20"/>
              </w:rPr>
              <w:t>, engineering</w:t>
            </w:r>
            <w:r w:rsidRPr="00190787">
              <w:rPr>
                <w:rFonts w:eastAsia="Times New Roman" w:cs="Times New Roman"/>
                <w:iCs/>
                <w:sz w:val="18"/>
                <w:szCs w:val="20"/>
              </w:rPr>
              <w:t xml:space="preserve"> and maintenance, which could compliment other IA-CEPA activity and support broader partnerships in advanced manufacturing</w:t>
            </w:r>
            <w:r w:rsidR="005119C2" w:rsidRPr="00190787">
              <w:rPr>
                <w:rFonts w:eastAsia="Times New Roman" w:cs="Times New Roman"/>
                <w:iCs/>
                <w:sz w:val="18"/>
                <w:szCs w:val="20"/>
              </w:rPr>
              <w:t xml:space="preserve">. </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335705B4" w14:textId="5E07679D" w:rsidR="009B3421" w:rsidRPr="00190787" w:rsidRDefault="003C477B" w:rsidP="004C0F35">
            <w:pPr>
              <w:suppressAutoHyphens w:val="0"/>
              <w:spacing w:before="0" w:after="0" w:line="240" w:lineRule="auto"/>
              <w:rPr>
                <w:rFonts w:eastAsia="Times New Roman" w:cs="Times New Roman"/>
                <w:iCs/>
                <w:sz w:val="18"/>
                <w:szCs w:val="20"/>
              </w:rPr>
            </w:pPr>
            <w:r w:rsidRPr="00190787">
              <w:rPr>
                <w:rFonts w:eastAsia="Times New Roman" w:cs="Times New Roman"/>
                <w:iCs/>
                <w:sz w:val="18"/>
                <w:szCs w:val="20"/>
              </w:rPr>
              <w:t xml:space="preserve">Expand training partnerships between Indonesian tourism and </w:t>
            </w:r>
            <w:r w:rsidR="00FC1466" w:rsidRPr="00190787">
              <w:rPr>
                <w:rFonts w:eastAsia="Times New Roman" w:cs="Times New Roman"/>
                <w:iCs/>
                <w:sz w:val="18"/>
                <w:szCs w:val="20"/>
              </w:rPr>
              <w:t>digital</w:t>
            </w:r>
            <w:r w:rsidRPr="00190787">
              <w:rPr>
                <w:rFonts w:eastAsia="Times New Roman" w:cs="Times New Roman"/>
                <w:iCs/>
                <w:sz w:val="18"/>
                <w:szCs w:val="20"/>
              </w:rPr>
              <w:t xml:space="preserve"> services sector, </w:t>
            </w:r>
            <w:r w:rsidR="002B22A9" w:rsidRPr="00190787">
              <w:rPr>
                <w:rFonts w:eastAsia="Times New Roman" w:cs="Times New Roman"/>
                <w:iCs/>
                <w:sz w:val="18"/>
                <w:szCs w:val="20"/>
              </w:rPr>
              <w:t xml:space="preserve">and potentially the health sector </w:t>
            </w:r>
            <w:r w:rsidRPr="00190787">
              <w:rPr>
                <w:rFonts w:eastAsia="Times New Roman" w:cs="Times New Roman"/>
                <w:iCs/>
                <w:sz w:val="18"/>
                <w:szCs w:val="20"/>
              </w:rPr>
              <w:t xml:space="preserve">through </w:t>
            </w:r>
            <w:r w:rsidR="002D1FB9" w:rsidRPr="00190787">
              <w:rPr>
                <w:rFonts w:eastAsia="Times New Roman" w:cs="Times New Roman"/>
                <w:iCs/>
                <w:sz w:val="18"/>
                <w:szCs w:val="20"/>
              </w:rPr>
              <w:t xml:space="preserve">blended training and online training models, </w:t>
            </w:r>
            <w:r w:rsidRPr="00190787">
              <w:rPr>
                <w:rFonts w:eastAsia="Times New Roman" w:cs="Times New Roman"/>
                <w:iCs/>
                <w:sz w:val="18"/>
                <w:szCs w:val="20"/>
              </w:rPr>
              <w:t>in a multi-year partnership, delivering a skill</w:t>
            </w:r>
            <w:r w:rsidR="007F40E9" w:rsidRPr="00190787">
              <w:rPr>
                <w:rFonts w:eastAsia="Times New Roman" w:cs="Times New Roman"/>
                <w:iCs/>
                <w:sz w:val="18"/>
                <w:szCs w:val="20"/>
              </w:rPr>
              <w:t>-</w:t>
            </w:r>
            <w:r w:rsidRPr="00190787">
              <w:rPr>
                <w:rFonts w:eastAsia="Times New Roman" w:cs="Times New Roman"/>
                <w:iCs/>
                <w:sz w:val="18"/>
                <w:szCs w:val="20"/>
              </w:rPr>
              <w:t xml:space="preserve">based course developed to meet industry needs. </w:t>
            </w:r>
          </w:p>
        </w:tc>
      </w:tr>
      <w:tr w:rsidR="009B3421" w:rsidRPr="007D1817" w14:paraId="77BDFAE8" w14:textId="77777777" w:rsidTr="007C4ABD">
        <w:trPr>
          <w:trHeight w:val="301"/>
        </w:trPr>
        <w:tc>
          <w:tcPr>
            <w:tcW w:w="1696" w:type="dxa"/>
            <w:tcBorders>
              <w:top w:val="single" w:sz="4" w:space="0" w:color="auto"/>
              <w:left w:val="single" w:sz="4" w:space="0" w:color="auto"/>
              <w:bottom w:val="single" w:sz="4" w:space="0" w:color="auto"/>
              <w:right w:val="single" w:sz="4" w:space="0" w:color="auto"/>
            </w:tcBorders>
            <w:shd w:val="clear" w:color="000000" w:fill="F2F2F2"/>
            <w:hideMark/>
          </w:tcPr>
          <w:p w14:paraId="2776848D" w14:textId="1F64DC79" w:rsidR="009B3421" w:rsidRPr="004037BC" w:rsidRDefault="00190787" w:rsidP="004037BC">
            <w:pPr>
              <w:spacing w:before="0" w:after="0"/>
              <w:jc w:val="center"/>
              <w:rPr>
                <w:rFonts w:eastAsia="Times New Roman" w:cs="Times New Roman"/>
                <w:b/>
                <w:bCs/>
                <w:iCs/>
                <w:sz w:val="18"/>
                <w:szCs w:val="20"/>
              </w:rPr>
            </w:pPr>
            <w:r>
              <w:rPr>
                <w:rFonts w:eastAsia="Times New Roman" w:cs="Times New Roman"/>
                <w:b/>
                <w:bCs/>
                <w:iCs/>
                <w:sz w:val="18"/>
                <w:szCs w:val="20"/>
              </w:rPr>
              <w:t>Cross-Cutting Areas</w:t>
            </w:r>
          </w:p>
        </w:tc>
        <w:tc>
          <w:tcPr>
            <w:tcW w:w="7768" w:type="dxa"/>
            <w:gridSpan w:val="4"/>
            <w:tcBorders>
              <w:top w:val="single" w:sz="4" w:space="0" w:color="auto"/>
              <w:left w:val="single" w:sz="4" w:space="0" w:color="auto"/>
              <w:bottom w:val="single" w:sz="4" w:space="0" w:color="auto"/>
              <w:right w:val="single" w:sz="4" w:space="0" w:color="000000"/>
            </w:tcBorders>
            <w:shd w:val="clear" w:color="000000" w:fill="F2F2F2"/>
            <w:noWrap/>
            <w:hideMark/>
          </w:tcPr>
          <w:p w14:paraId="08C7E58D" w14:textId="6A4A9389" w:rsidR="009B3421" w:rsidRPr="004037BC" w:rsidRDefault="00190787" w:rsidP="004037BC">
            <w:pPr>
              <w:spacing w:before="0" w:after="0"/>
              <w:jc w:val="center"/>
              <w:rPr>
                <w:rFonts w:eastAsia="Times New Roman" w:cs="Times New Roman"/>
                <w:b/>
                <w:bCs/>
                <w:iCs/>
                <w:sz w:val="18"/>
                <w:szCs w:val="20"/>
              </w:rPr>
            </w:pPr>
            <w:r>
              <w:rPr>
                <w:rFonts w:eastAsia="Times New Roman" w:cs="Times New Roman"/>
                <w:b/>
                <w:bCs/>
                <w:iCs/>
                <w:sz w:val="18"/>
                <w:szCs w:val="20"/>
              </w:rPr>
              <w:t xml:space="preserve">Gender and Inclusion </w:t>
            </w:r>
            <w:r w:rsidR="00CC46DB" w:rsidRPr="00190787">
              <w:rPr>
                <w:rFonts w:eastAsia="Times New Roman" w:cs="Times New Roman"/>
                <w:b/>
                <w:bCs/>
                <w:iCs/>
                <w:sz w:val="18"/>
                <w:szCs w:val="20"/>
              </w:rPr>
              <w:t xml:space="preserve">+ </w:t>
            </w:r>
            <w:r>
              <w:rPr>
                <w:rFonts w:eastAsia="Times New Roman" w:cs="Times New Roman"/>
                <w:b/>
                <w:bCs/>
                <w:iCs/>
                <w:sz w:val="18"/>
                <w:szCs w:val="20"/>
              </w:rPr>
              <w:t xml:space="preserve">Private Sector Engagement </w:t>
            </w:r>
            <w:r w:rsidR="009B3421" w:rsidRPr="00190787">
              <w:rPr>
                <w:rFonts w:eastAsia="Times New Roman" w:cs="Times New Roman"/>
                <w:b/>
                <w:bCs/>
                <w:iCs/>
                <w:sz w:val="18"/>
                <w:szCs w:val="20"/>
              </w:rPr>
              <w:t xml:space="preserve">+ </w:t>
            </w:r>
            <w:r>
              <w:rPr>
                <w:rFonts w:eastAsia="Times New Roman" w:cs="Times New Roman"/>
                <w:b/>
                <w:bCs/>
                <w:iCs/>
                <w:sz w:val="18"/>
                <w:szCs w:val="20"/>
              </w:rPr>
              <w:t>Innovation</w:t>
            </w:r>
          </w:p>
        </w:tc>
      </w:tr>
    </w:tbl>
    <w:p w14:paraId="3EC00661" w14:textId="67C19678" w:rsidR="00893D32" w:rsidRDefault="00893D32" w:rsidP="007C4ABD">
      <w:pPr>
        <w:suppressAutoHyphens w:val="0"/>
        <w:spacing w:before="0" w:after="0" w:line="440" w:lineRule="atLeast"/>
        <w:rPr>
          <w:rFonts w:asciiTheme="majorHAnsi" w:hAnsiTheme="majorHAnsi"/>
          <w:b/>
          <w:szCs w:val="21"/>
        </w:rPr>
      </w:pPr>
    </w:p>
    <w:p w14:paraId="55709714" w14:textId="40B5AF68" w:rsidR="002D4DE7" w:rsidRPr="00815071" w:rsidRDefault="002D4DE7" w:rsidP="007C4ABD">
      <w:pPr>
        <w:numPr>
          <w:ilvl w:val="0"/>
          <w:numId w:val="1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0F3EF" w:themeFill="accent1" w:themeFillTint="33"/>
        <w:spacing w:before="0" w:after="120"/>
        <w:ind w:left="284" w:hanging="284"/>
        <w:rPr>
          <w:rFonts w:asciiTheme="majorHAnsi" w:hAnsiTheme="majorHAnsi"/>
          <w:b/>
          <w:szCs w:val="21"/>
        </w:rPr>
      </w:pPr>
      <w:r w:rsidRPr="00815071">
        <w:rPr>
          <w:rFonts w:asciiTheme="majorHAnsi" w:hAnsiTheme="majorHAnsi"/>
          <w:b/>
          <w:szCs w:val="21"/>
        </w:rPr>
        <w:lastRenderedPageBreak/>
        <w:t>Implementation Arrangements (How will DFAT engage in the partnership?)</w:t>
      </w:r>
      <w:r w:rsidR="000323AC" w:rsidRPr="00815071">
        <w:rPr>
          <w:rFonts w:asciiTheme="majorHAnsi" w:hAnsiTheme="majorHAnsi"/>
          <w:b/>
          <w:szCs w:val="21"/>
        </w:rPr>
        <w:t xml:space="preserve"> </w:t>
      </w:r>
    </w:p>
    <w:p w14:paraId="4BB6FCDE" w14:textId="31654B88" w:rsidR="00271D9E" w:rsidRPr="00410FE4" w:rsidRDefault="00271D9E" w:rsidP="00F46375">
      <w:pPr>
        <w:spacing w:after="120"/>
        <w:jc w:val="both"/>
        <w:rPr>
          <w:sz w:val="21"/>
          <w:szCs w:val="21"/>
        </w:rPr>
      </w:pPr>
      <w:r w:rsidRPr="00EC4B13">
        <w:rPr>
          <w:b/>
          <w:sz w:val="21"/>
          <w:szCs w:val="21"/>
        </w:rPr>
        <w:t>A</w:t>
      </w:r>
      <w:r w:rsidR="00EE686A" w:rsidRPr="00EC4B13">
        <w:rPr>
          <w:b/>
          <w:sz w:val="21"/>
          <w:szCs w:val="21"/>
        </w:rPr>
        <w:t>n innovative</w:t>
      </w:r>
      <w:r w:rsidRPr="00EC4B13">
        <w:rPr>
          <w:b/>
          <w:sz w:val="21"/>
          <w:szCs w:val="21"/>
        </w:rPr>
        <w:t xml:space="preserve"> delivery model</w:t>
      </w:r>
      <w:r w:rsidR="00433706" w:rsidRPr="00EC4B13">
        <w:rPr>
          <w:b/>
          <w:sz w:val="21"/>
          <w:szCs w:val="21"/>
        </w:rPr>
        <w:t xml:space="preserve"> </w:t>
      </w:r>
      <w:r w:rsidR="005119C2" w:rsidRPr="00EC4B13">
        <w:rPr>
          <w:b/>
          <w:sz w:val="21"/>
          <w:szCs w:val="21"/>
        </w:rPr>
        <w:t xml:space="preserve">— the </w:t>
      </w:r>
      <w:r w:rsidR="00EE686A" w:rsidRPr="00EC4B13">
        <w:rPr>
          <w:b/>
          <w:sz w:val="21"/>
          <w:szCs w:val="21"/>
        </w:rPr>
        <w:t xml:space="preserve">establishment of </w:t>
      </w:r>
      <w:r w:rsidR="001168E7" w:rsidRPr="00EC4B13">
        <w:rPr>
          <w:b/>
          <w:sz w:val="21"/>
          <w:szCs w:val="21"/>
        </w:rPr>
        <w:t>a</w:t>
      </w:r>
      <w:r w:rsidR="00B13EC7" w:rsidRPr="00EC4B13">
        <w:rPr>
          <w:b/>
          <w:sz w:val="21"/>
          <w:szCs w:val="21"/>
        </w:rPr>
        <w:t xml:space="preserve"> </w:t>
      </w:r>
      <w:r w:rsidR="00C96950" w:rsidRPr="00EC4B13">
        <w:rPr>
          <w:b/>
          <w:sz w:val="21"/>
          <w:szCs w:val="21"/>
        </w:rPr>
        <w:t>Collaborative</w:t>
      </w:r>
      <w:r w:rsidR="00272C43" w:rsidRPr="00EC4B13">
        <w:rPr>
          <w:b/>
          <w:sz w:val="21"/>
          <w:szCs w:val="21"/>
        </w:rPr>
        <w:t xml:space="preserve"> H</w:t>
      </w:r>
      <w:r w:rsidRPr="00EC4B13">
        <w:rPr>
          <w:b/>
          <w:sz w:val="21"/>
          <w:szCs w:val="21"/>
        </w:rPr>
        <w:t>ub for the delivery of IA-CEPA economic cooper</w:t>
      </w:r>
      <w:r w:rsidR="00272C43" w:rsidRPr="00EC4B13">
        <w:rPr>
          <w:b/>
          <w:sz w:val="21"/>
          <w:szCs w:val="21"/>
        </w:rPr>
        <w:t>a</w:t>
      </w:r>
      <w:r w:rsidRPr="00EC4B13">
        <w:rPr>
          <w:b/>
          <w:sz w:val="21"/>
          <w:szCs w:val="21"/>
        </w:rPr>
        <w:t xml:space="preserve">tion activities - has been developed to </w:t>
      </w:r>
      <w:r w:rsidR="005E1817">
        <w:rPr>
          <w:b/>
          <w:sz w:val="21"/>
          <w:szCs w:val="21"/>
        </w:rPr>
        <w:t>deliver the ECP</w:t>
      </w:r>
      <w:r w:rsidRPr="002B22A9">
        <w:rPr>
          <w:b/>
          <w:sz w:val="21"/>
          <w:szCs w:val="21"/>
        </w:rPr>
        <w:t>.</w:t>
      </w:r>
      <w:r w:rsidRPr="00410FE4">
        <w:rPr>
          <w:sz w:val="21"/>
          <w:szCs w:val="21"/>
        </w:rPr>
        <w:t xml:space="preserve"> The </w:t>
      </w:r>
      <w:r w:rsidR="00EB07ED" w:rsidRPr="00410FE4">
        <w:rPr>
          <w:sz w:val="21"/>
          <w:szCs w:val="21"/>
        </w:rPr>
        <w:t xml:space="preserve">Collaborative </w:t>
      </w:r>
      <w:r w:rsidRPr="00410FE4">
        <w:rPr>
          <w:sz w:val="21"/>
          <w:szCs w:val="21"/>
        </w:rPr>
        <w:t>Hub will</w:t>
      </w:r>
      <w:r w:rsidR="00272C43" w:rsidRPr="00410FE4">
        <w:rPr>
          <w:sz w:val="21"/>
          <w:szCs w:val="21"/>
        </w:rPr>
        <w:t xml:space="preserve"> report to and support</w:t>
      </w:r>
      <w:r w:rsidR="00B13EC7" w:rsidRPr="00410FE4">
        <w:rPr>
          <w:sz w:val="21"/>
          <w:szCs w:val="21"/>
        </w:rPr>
        <w:t xml:space="preserve"> </w:t>
      </w:r>
      <w:r w:rsidR="00272C43" w:rsidRPr="00410FE4">
        <w:rPr>
          <w:sz w:val="21"/>
          <w:szCs w:val="21"/>
        </w:rPr>
        <w:t>the Economic Cooperation Committee (ECC)</w:t>
      </w:r>
      <w:r w:rsidR="00DC722B" w:rsidRPr="00410FE4">
        <w:rPr>
          <w:sz w:val="21"/>
          <w:szCs w:val="21"/>
        </w:rPr>
        <w:t xml:space="preserve"> (established under the IA-CEPA)</w:t>
      </w:r>
      <w:r w:rsidR="00272C43" w:rsidRPr="00410FE4">
        <w:rPr>
          <w:sz w:val="21"/>
          <w:szCs w:val="21"/>
        </w:rPr>
        <w:t xml:space="preserve">, collaborate with existing DFAT </w:t>
      </w:r>
      <w:r w:rsidR="005119C2">
        <w:rPr>
          <w:sz w:val="21"/>
          <w:szCs w:val="21"/>
        </w:rPr>
        <w:t>programs</w:t>
      </w:r>
      <w:r w:rsidR="005119C2" w:rsidRPr="00410FE4">
        <w:rPr>
          <w:sz w:val="21"/>
          <w:szCs w:val="21"/>
        </w:rPr>
        <w:t xml:space="preserve"> </w:t>
      </w:r>
      <w:r w:rsidR="00272C43" w:rsidRPr="00410FE4">
        <w:rPr>
          <w:sz w:val="21"/>
          <w:szCs w:val="21"/>
        </w:rPr>
        <w:t xml:space="preserve">and </w:t>
      </w:r>
      <w:r w:rsidR="005119C2">
        <w:rPr>
          <w:sz w:val="21"/>
          <w:szCs w:val="21"/>
        </w:rPr>
        <w:t>facilitate the delivery of</w:t>
      </w:r>
      <w:r w:rsidR="005119C2" w:rsidRPr="00410FE4">
        <w:rPr>
          <w:sz w:val="21"/>
          <w:szCs w:val="21"/>
        </w:rPr>
        <w:t xml:space="preserve"> </w:t>
      </w:r>
      <w:r w:rsidR="00272C43" w:rsidRPr="00410FE4">
        <w:rPr>
          <w:sz w:val="21"/>
          <w:szCs w:val="21"/>
        </w:rPr>
        <w:t>an agreed work program of activities.</w:t>
      </w:r>
      <w:r w:rsidR="00EE686A" w:rsidRPr="00410FE4">
        <w:rPr>
          <w:sz w:val="21"/>
          <w:szCs w:val="21"/>
        </w:rPr>
        <w:t xml:space="preserve"> The Collaborative Hub will unify </w:t>
      </w:r>
      <w:r w:rsidR="00865BC0" w:rsidRPr="00410FE4">
        <w:rPr>
          <w:sz w:val="21"/>
          <w:szCs w:val="21"/>
        </w:rPr>
        <w:t xml:space="preserve">diverse </w:t>
      </w:r>
      <w:r w:rsidR="00EE686A" w:rsidRPr="00410FE4">
        <w:rPr>
          <w:sz w:val="21"/>
          <w:szCs w:val="21"/>
        </w:rPr>
        <w:t>activities under the ECP</w:t>
      </w:r>
      <w:r w:rsidR="00865BC0" w:rsidRPr="00410FE4">
        <w:rPr>
          <w:sz w:val="21"/>
          <w:szCs w:val="21"/>
        </w:rPr>
        <w:t xml:space="preserve"> (across agriculture, advanced manufacturing and services)</w:t>
      </w:r>
      <w:r w:rsidR="00EE686A" w:rsidRPr="00410FE4">
        <w:rPr>
          <w:sz w:val="21"/>
          <w:szCs w:val="21"/>
        </w:rPr>
        <w:t xml:space="preserve"> </w:t>
      </w:r>
      <w:r w:rsidR="00865BC0" w:rsidRPr="00410FE4">
        <w:rPr>
          <w:sz w:val="21"/>
          <w:szCs w:val="21"/>
        </w:rPr>
        <w:t xml:space="preserve">through its annual planning process, collaborative implementation </w:t>
      </w:r>
      <w:r w:rsidR="00685781" w:rsidRPr="00410FE4">
        <w:rPr>
          <w:sz w:val="21"/>
          <w:szCs w:val="21"/>
        </w:rPr>
        <w:t>model</w:t>
      </w:r>
      <w:r w:rsidR="00865BC0" w:rsidRPr="00410FE4">
        <w:rPr>
          <w:sz w:val="21"/>
          <w:szCs w:val="21"/>
        </w:rPr>
        <w:t xml:space="preserve"> and </w:t>
      </w:r>
      <w:r w:rsidR="00410FE4">
        <w:rPr>
          <w:sz w:val="21"/>
          <w:szCs w:val="21"/>
        </w:rPr>
        <w:t>MEL</w:t>
      </w:r>
      <w:r w:rsidR="00865BC0" w:rsidRPr="00410FE4">
        <w:rPr>
          <w:sz w:val="21"/>
          <w:szCs w:val="21"/>
        </w:rPr>
        <w:t xml:space="preserve"> framework. </w:t>
      </w:r>
    </w:p>
    <w:p w14:paraId="4BE44599" w14:textId="7C61F393" w:rsidR="00B13EC7" w:rsidRPr="00410FE4" w:rsidRDefault="00271D9E" w:rsidP="00F46375">
      <w:pPr>
        <w:spacing w:after="120"/>
        <w:jc w:val="both"/>
        <w:rPr>
          <w:sz w:val="21"/>
          <w:szCs w:val="21"/>
        </w:rPr>
      </w:pPr>
      <w:r w:rsidRPr="00410FE4">
        <w:rPr>
          <w:sz w:val="21"/>
          <w:szCs w:val="21"/>
        </w:rPr>
        <w:t>Alternative delivery mechanisms were considered</w:t>
      </w:r>
      <w:r w:rsidR="00685781" w:rsidRPr="00410FE4">
        <w:rPr>
          <w:sz w:val="21"/>
          <w:szCs w:val="21"/>
        </w:rPr>
        <w:t xml:space="preserve">, </w:t>
      </w:r>
      <w:r w:rsidRPr="00410FE4">
        <w:rPr>
          <w:sz w:val="21"/>
          <w:szCs w:val="21"/>
        </w:rPr>
        <w:t>including establishing a new facility or integrating the ECP into an existing program</w:t>
      </w:r>
      <w:r w:rsidR="00685781" w:rsidRPr="00410FE4">
        <w:rPr>
          <w:sz w:val="21"/>
          <w:szCs w:val="21"/>
        </w:rPr>
        <w:t xml:space="preserve">. </w:t>
      </w:r>
      <w:r w:rsidR="0078358D">
        <w:rPr>
          <w:sz w:val="21"/>
          <w:szCs w:val="21"/>
        </w:rPr>
        <w:t>T</w:t>
      </w:r>
      <w:r w:rsidRPr="00410FE4">
        <w:rPr>
          <w:sz w:val="21"/>
          <w:szCs w:val="21"/>
        </w:rPr>
        <w:t xml:space="preserve">he proposed </w:t>
      </w:r>
      <w:r w:rsidR="001168E7" w:rsidRPr="00410FE4">
        <w:rPr>
          <w:sz w:val="21"/>
          <w:szCs w:val="21"/>
        </w:rPr>
        <w:t>Collaborative</w:t>
      </w:r>
      <w:r w:rsidR="00EB07ED" w:rsidRPr="00410FE4">
        <w:rPr>
          <w:sz w:val="21"/>
          <w:szCs w:val="21"/>
        </w:rPr>
        <w:t xml:space="preserve"> Hub</w:t>
      </w:r>
      <w:r w:rsidR="00272C43" w:rsidRPr="00410FE4">
        <w:rPr>
          <w:sz w:val="21"/>
          <w:szCs w:val="21"/>
        </w:rPr>
        <w:t xml:space="preserve"> was </w:t>
      </w:r>
      <w:r w:rsidR="00815071">
        <w:rPr>
          <w:sz w:val="21"/>
          <w:szCs w:val="21"/>
        </w:rPr>
        <w:t>selected by DFAT delegates in October 2019</w:t>
      </w:r>
      <w:r w:rsidR="00815071" w:rsidRPr="004037BC">
        <w:rPr>
          <w:rStyle w:val="Style"/>
        </w:rPr>
        <w:footnoteReference w:id="26"/>
      </w:r>
      <w:r w:rsidR="00815071">
        <w:rPr>
          <w:sz w:val="21"/>
          <w:szCs w:val="21"/>
        </w:rPr>
        <w:t xml:space="preserve"> </w:t>
      </w:r>
      <w:r w:rsidR="00272C43" w:rsidRPr="00410FE4">
        <w:rPr>
          <w:sz w:val="21"/>
          <w:szCs w:val="21"/>
        </w:rPr>
        <w:t>as it</w:t>
      </w:r>
      <w:r w:rsidRPr="00410FE4">
        <w:rPr>
          <w:sz w:val="21"/>
          <w:szCs w:val="21"/>
        </w:rPr>
        <w:t xml:space="preserve"> achieves DFAT’s r</w:t>
      </w:r>
      <w:r w:rsidR="00B13EC7" w:rsidRPr="00410FE4">
        <w:rPr>
          <w:sz w:val="21"/>
          <w:szCs w:val="21"/>
        </w:rPr>
        <w:t>equirements for value for money</w:t>
      </w:r>
      <w:r w:rsidR="003C2111" w:rsidRPr="00410FE4">
        <w:rPr>
          <w:sz w:val="21"/>
          <w:szCs w:val="21"/>
        </w:rPr>
        <w:t xml:space="preserve"> through shared services</w:t>
      </w:r>
      <w:r w:rsidR="00B13EC7" w:rsidRPr="00410FE4">
        <w:rPr>
          <w:sz w:val="21"/>
          <w:szCs w:val="21"/>
        </w:rPr>
        <w:t xml:space="preserve"> and</w:t>
      </w:r>
      <w:r w:rsidRPr="00410FE4">
        <w:rPr>
          <w:sz w:val="21"/>
          <w:szCs w:val="21"/>
        </w:rPr>
        <w:t xml:space="preserve"> avoids duplication </w:t>
      </w:r>
      <w:r w:rsidR="00272C43" w:rsidRPr="00410FE4">
        <w:rPr>
          <w:sz w:val="21"/>
          <w:szCs w:val="21"/>
        </w:rPr>
        <w:t>of existing program mandates</w:t>
      </w:r>
      <w:r w:rsidR="00B13EC7" w:rsidRPr="00410FE4">
        <w:rPr>
          <w:sz w:val="21"/>
          <w:szCs w:val="21"/>
        </w:rPr>
        <w:t>, while providing</w:t>
      </w:r>
      <w:r w:rsidRPr="00410FE4">
        <w:rPr>
          <w:sz w:val="21"/>
          <w:szCs w:val="21"/>
        </w:rPr>
        <w:t xml:space="preserve"> a clear delivery mechanism for the </w:t>
      </w:r>
      <w:r w:rsidR="005E1817">
        <w:rPr>
          <w:sz w:val="21"/>
          <w:szCs w:val="21"/>
        </w:rPr>
        <w:t>delivery of the IA-CEPA commitments on the ECP</w:t>
      </w:r>
      <w:r w:rsidRPr="00410FE4">
        <w:rPr>
          <w:sz w:val="21"/>
          <w:szCs w:val="21"/>
        </w:rPr>
        <w:t>.</w:t>
      </w:r>
      <w:r w:rsidR="00134827">
        <w:rPr>
          <w:sz w:val="21"/>
          <w:szCs w:val="21"/>
        </w:rPr>
        <w:t xml:space="preserve"> The decision by delegates also considered market feedback on the delivery mechanism solicited through the DFAT website in early October 2019</w:t>
      </w:r>
      <w:r w:rsidR="00134827" w:rsidRPr="004037BC">
        <w:rPr>
          <w:rStyle w:val="Style"/>
        </w:rPr>
        <w:footnoteReference w:id="27"/>
      </w:r>
      <w:r w:rsidR="00134827">
        <w:rPr>
          <w:sz w:val="21"/>
          <w:szCs w:val="21"/>
        </w:rPr>
        <w:t xml:space="preserve">. </w:t>
      </w:r>
    </w:p>
    <w:p w14:paraId="13B17575" w14:textId="15BF14D3" w:rsidR="00C96950" w:rsidRPr="00410FE4" w:rsidRDefault="00B13EC7" w:rsidP="00F46375">
      <w:pPr>
        <w:spacing w:after="120"/>
        <w:jc w:val="both"/>
        <w:rPr>
          <w:sz w:val="21"/>
          <w:szCs w:val="21"/>
        </w:rPr>
      </w:pPr>
      <w:r w:rsidRPr="00410FE4">
        <w:rPr>
          <w:sz w:val="21"/>
          <w:szCs w:val="21"/>
        </w:rPr>
        <w:t>The following section sets out the</w:t>
      </w:r>
      <w:r w:rsidR="00C96950" w:rsidRPr="00410FE4">
        <w:rPr>
          <w:sz w:val="21"/>
          <w:szCs w:val="21"/>
        </w:rPr>
        <w:t xml:space="preserve"> proposed </w:t>
      </w:r>
      <w:r w:rsidR="001168E7" w:rsidRPr="00410FE4">
        <w:rPr>
          <w:sz w:val="21"/>
          <w:szCs w:val="21"/>
        </w:rPr>
        <w:t>Collaborative</w:t>
      </w:r>
      <w:r w:rsidR="00EB07ED" w:rsidRPr="00410FE4">
        <w:rPr>
          <w:sz w:val="21"/>
          <w:szCs w:val="21"/>
        </w:rPr>
        <w:t xml:space="preserve"> </w:t>
      </w:r>
      <w:r w:rsidR="00C96950" w:rsidRPr="00410FE4">
        <w:rPr>
          <w:sz w:val="21"/>
          <w:szCs w:val="21"/>
        </w:rPr>
        <w:t xml:space="preserve">Hub </w:t>
      </w:r>
      <w:r w:rsidR="005E1817">
        <w:rPr>
          <w:sz w:val="21"/>
          <w:szCs w:val="21"/>
        </w:rPr>
        <w:t>structure</w:t>
      </w:r>
      <w:r w:rsidR="00532715">
        <w:rPr>
          <w:sz w:val="21"/>
          <w:szCs w:val="21"/>
        </w:rPr>
        <w:t xml:space="preserve">, </w:t>
      </w:r>
      <w:r w:rsidRPr="00410FE4">
        <w:rPr>
          <w:sz w:val="21"/>
          <w:szCs w:val="21"/>
        </w:rPr>
        <w:t>governance arrangements, organisational structure, shared services model, guiding principles, annual work program and procurement</w:t>
      </w:r>
      <w:r w:rsidR="00815071">
        <w:rPr>
          <w:sz w:val="21"/>
          <w:szCs w:val="21"/>
        </w:rPr>
        <w:t xml:space="preserve"> processes</w:t>
      </w:r>
      <w:r w:rsidR="00410FE4">
        <w:rPr>
          <w:sz w:val="21"/>
          <w:szCs w:val="21"/>
        </w:rPr>
        <w:t>.</w:t>
      </w:r>
    </w:p>
    <w:p w14:paraId="0CAF8D92" w14:textId="7DCD8709" w:rsidR="00C96950" w:rsidRPr="000762FC" w:rsidRDefault="00EB07ED" w:rsidP="004F0CBD">
      <w:pPr>
        <w:spacing w:before="240"/>
        <w:rPr>
          <w:b/>
        </w:rPr>
      </w:pPr>
      <w:r w:rsidRPr="000762FC">
        <w:rPr>
          <w:b/>
        </w:rPr>
        <w:t>A Collaborative Hub</w:t>
      </w:r>
    </w:p>
    <w:p w14:paraId="04C9B4F7" w14:textId="5E8EB17A" w:rsidR="00D804E2" w:rsidRDefault="00C96950" w:rsidP="00F46375">
      <w:pPr>
        <w:spacing w:after="120"/>
        <w:jc w:val="both"/>
        <w:rPr>
          <w:sz w:val="21"/>
          <w:szCs w:val="21"/>
        </w:rPr>
      </w:pPr>
      <w:r w:rsidRPr="00BD39CF">
        <w:rPr>
          <w:sz w:val="21"/>
          <w:szCs w:val="21"/>
        </w:rPr>
        <w:t xml:space="preserve">Consideration has been given to a range of delivery options given the unique </w:t>
      </w:r>
      <w:r w:rsidR="00685781">
        <w:rPr>
          <w:sz w:val="21"/>
          <w:szCs w:val="21"/>
        </w:rPr>
        <w:t xml:space="preserve">relationship between the ECP and </w:t>
      </w:r>
      <w:r w:rsidR="00912D4E">
        <w:rPr>
          <w:sz w:val="21"/>
          <w:szCs w:val="21"/>
        </w:rPr>
        <w:t>IA</w:t>
      </w:r>
      <w:r w:rsidR="00685781">
        <w:rPr>
          <w:sz w:val="21"/>
          <w:szCs w:val="21"/>
        </w:rPr>
        <w:t>-CEPA. The delivery mechanism need</w:t>
      </w:r>
      <w:r w:rsidR="005E1817">
        <w:rPr>
          <w:sz w:val="21"/>
          <w:szCs w:val="21"/>
        </w:rPr>
        <w:t>s</w:t>
      </w:r>
      <w:r w:rsidRPr="00BD39CF">
        <w:rPr>
          <w:sz w:val="21"/>
          <w:szCs w:val="21"/>
        </w:rPr>
        <w:t xml:space="preserve"> to cover diverse areas, including trade and investment, skills, education, infrastructure, agriculture, food processing, professional services and financial services</w:t>
      </w:r>
      <w:r w:rsidR="00CE6441">
        <w:rPr>
          <w:sz w:val="21"/>
          <w:szCs w:val="21"/>
        </w:rPr>
        <w:t>, amongst others</w:t>
      </w:r>
      <w:r w:rsidRPr="00BD39CF">
        <w:rPr>
          <w:sz w:val="21"/>
          <w:szCs w:val="21"/>
        </w:rPr>
        <w:t>. In some of these areas</w:t>
      </w:r>
      <w:r w:rsidR="00685781">
        <w:rPr>
          <w:sz w:val="21"/>
          <w:szCs w:val="21"/>
        </w:rPr>
        <w:t>,</w:t>
      </w:r>
      <w:r w:rsidRPr="00BD39CF">
        <w:rPr>
          <w:sz w:val="21"/>
          <w:szCs w:val="21"/>
        </w:rPr>
        <w:t xml:space="preserve"> existing bilateral development programs are in place</w:t>
      </w:r>
      <w:r w:rsidR="00D804E2">
        <w:rPr>
          <w:sz w:val="21"/>
          <w:szCs w:val="21"/>
        </w:rPr>
        <w:t>. A</w:t>
      </w:r>
      <w:r w:rsidRPr="00BD39CF">
        <w:rPr>
          <w:sz w:val="21"/>
          <w:szCs w:val="21"/>
        </w:rPr>
        <w:t>ccordingly the delivery model must complement</w:t>
      </w:r>
      <w:r w:rsidR="00134827">
        <w:rPr>
          <w:sz w:val="21"/>
          <w:szCs w:val="21"/>
        </w:rPr>
        <w:t xml:space="preserve"> and collaborate with</w:t>
      </w:r>
      <w:r w:rsidRPr="00BD39CF">
        <w:rPr>
          <w:sz w:val="21"/>
          <w:szCs w:val="21"/>
        </w:rPr>
        <w:t xml:space="preserve"> existing </w:t>
      </w:r>
      <w:r w:rsidR="00134827">
        <w:rPr>
          <w:sz w:val="21"/>
          <w:szCs w:val="21"/>
        </w:rPr>
        <w:t xml:space="preserve">bilateral and regional trade </w:t>
      </w:r>
      <w:r w:rsidR="00161E94">
        <w:rPr>
          <w:sz w:val="21"/>
          <w:szCs w:val="21"/>
        </w:rPr>
        <w:t xml:space="preserve">and </w:t>
      </w:r>
      <w:r w:rsidR="00134827">
        <w:rPr>
          <w:sz w:val="21"/>
          <w:szCs w:val="21"/>
        </w:rPr>
        <w:t xml:space="preserve">development </w:t>
      </w:r>
      <w:r w:rsidRPr="00BD39CF">
        <w:rPr>
          <w:sz w:val="21"/>
          <w:szCs w:val="21"/>
        </w:rPr>
        <w:t xml:space="preserve">efforts, such as in: </w:t>
      </w:r>
    </w:p>
    <w:p w14:paraId="7B23CC0F" w14:textId="6CEC9E89" w:rsidR="00D804E2" w:rsidRPr="00475BF4" w:rsidRDefault="00865BC0" w:rsidP="009D3124">
      <w:pPr>
        <w:pStyle w:val="ListParagraph"/>
        <w:numPr>
          <w:ilvl w:val="0"/>
          <w:numId w:val="24"/>
        </w:numPr>
        <w:spacing w:after="120"/>
        <w:jc w:val="both"/>
        <w:rPr>
          <w:rFonts w:eastAsia="Times New Roman" w:cs="Arial"/>
          <w:sz w:val="21"/>
          <w:szCs w:val="21"/>
          <w:lang w:val="en-AU" w:eastAsia="en-AU"/>
        </w:rPr>
      </w:pPr>
      <w:r>
        <w:rPr>
          <w:rFonts w:eastAsia="Times New Roman" w:cs="Arial"/>
          <w:sz w:val="21"/>
          <w:szCs w:val="21"/>
          <w:lang w:val="en-AU" w:eastAsia="en-AU"/>
        </w:rPr>
        <w:t>E</w:t>
      </w:r>
      <w:r w:rsidR="00C96950" w:rsidRPr="00475BF4">
        <w:rPr>
          <w:rFonts w:eastAsia="Times New Roman" w:cs="Arial"/>
          <w:sz w:val="21"/>
          <w:szCs w:val="21"/>
          <w:lang w:val="en-AU" w:eastAsia="en-AU"/>
        </w:rPr>
        <w:t>conomic governance (the Australia-Indonesia Partnership for Economic Development (</w:t>
      </w:r>
      <w:r w:rsidR="005119C2">
        <w:rPr>
          <w:rFonts w:eastAsia="Times New Roman" w:cs="Arial"/>
          <w:sz w:val="21"/>
          <w:szCs w:val="21"/>
          <w:lang w:val="en-AU" w:eastAsia="en-AU"/>
        </w:rPr>
        <w:t>PROSPERA</w:t>
      </w:r>
      <w:r w:rsidR="00C96950" w:rsidRPr="00475BF4">
        <w:rPr>
          <w:rFonts w:eastAsia="Times New Roman" w:cs="Arial"/>
          <w:sz w:val="21"/>
          <w:szCs w:val="21"/>
          <w:lang w:val="en-AU" w:eastAsia="en-AU"/>
        </w:rPr>
        <w:t>)</w:t>
      </w:r>
      <w:r w:rsidR="005018C0">
        <w:rPr>
          <w:rFonts w:eastAsia="Times New Roman" w:cs="Arial"/>
          <w:sz w:val="21"/>
          <w:szCs w:val="21"/>
          <w:lang w:val="en-AU" w:eastAsia="en-AU"/>
        </w:rPr>
        <w:t>)</w:t>
      </w:r>
      <w:r w:rsidR="00C96950" w:rsidRPr="00475BF4">
        <w:rPr>
          <w:rFonts w:eastAsia="Times New Roman" w:cs="Arial"/>
          <w:sz w:val="21"/>
          <w:szCs w:val="21"/>
          <w:lang w:val="en-AU" w:eastAsia="en-AU"/>
        </w:rPr>
        <w:t xml:space="preserve">; </w:t>
      </w:r>
    </w:p>
    <w:p w14:paraId="03568C47" w14:textId="086EC451" w:rsidR="00D804E2" w:rsidRPr="00475BF4" w:rsidRDefault="00C96950" w:rsidP="009D3124">
      <w:pPr>
        <w:pStyle w:val="ListParagraph"/>
        <w:numPr>
          <w:ilvl w:val="0"/>
          <w:numId w:val="24"/>
        </w:numPr>
        <w:spacing w:after="120"/>
        <w:jc w:val="both"/>
        <w:rPr>
          <w:rFonts w:eastAsia="Times New Roman" w:cs="Arial"/>
          <w:sz w:val="21"/>
          <w:szCs w:val="21"/>
          <w:lang w:val="en-AU" w:eastAsia="en-AU"/>
        </w:rPr>
      </w:pPr>
      <w:r w:rsidRPr="00475BF4">
        <w:rPr>
          <w:rFonts w:eastAsia="Times New Roman" w:cs="Arial"/>
          <w:sz w:val="21"/>
          <w:szCs w:val="21"/>
          <w:lang w:val="en-AU" w:eastAsia="en-AU"/>
        </w:rPr>
        <w:t>Australia Indonesia Partnership for Promoting Rural Incomes through Support for Markets in Agriculture</w:t>
      </w:r>
      <w:r w:rsidR="0058041D">
        <w:rPr>
          <w:rFonts w:eastAsia="Times New Roman" w:cs="Arial"/>
          <w:sz w:val="21"/>
          <w:szCs w:val="21"/>
          <w:lang w:val="en-AU" w:eastAsia="en-AU"/>
        </w:rPr>
        <w:t>;</w:t>
      </w:r>
    </w:p>
    <w:p w14:paraId="63ABBA24" w14:textId="17B8ABCC" w:rsidR="00D804E2" w:rsidRPr="00475BF4" w:rsidRDefault="00865BC0" w:rsidP="009D3124">
      <w:pPr>
        <w:pStyle w:val="ListParagraph"/>
        <w:numPr>
          <w:ilvl w:val="0"/>
          <w:numId w:val="24"/>
        </w:numPr>
        <w:spacing w:after="120"/>
        <w:jc w:val="both"/>
        <w:rPr>
          <w:rFonts w:eastAsia="Times New Roman" w:cs="Arial"/>
          <w:sz w:val="21"/>
          <w:szCs w:val="21"/>
          <w:lang w:val="en-AU" w:eastAsia="en-AU"/>
        </w:rPr>
      </w:pPr>
      <w:r>
        <w:rPr>
          <w:rFonts w:eastAsia="Times New Roman" w:cs="Arial"/>
          <w:sz w:val="21"/>
          <w:szCs w:val="21"/>
          <w:lang w:val="en-AU" w:eastAsia="en-AU"/>
        </w:rPr>
        <w:t>P</w:t>
      </w:r>
      <w:r w:rsidR="00CE6441" w:rsidRPr="00475BF4">
        <w:rPr>
          <w:rFonts w:eastAsia="Times New Roman" w:cs="Arial"/>
          <w:sz w:val="21"/>
          <w:szCs w:val="21"/>
          <w:lang w:val="en-AU" w:eastAsia="en-AU"/>
        </w:rPr>
        <w:t xml:space="preserve">artnerships </w:t>
      </w:r>
      <w:r w:rsidR="00BE2A06">
        <w:rPr>
          <w:rFonts w:eastAsia="Times New Roman" w:cs="Arial"/>
          <w:sz w:val="21"/>
          <w:szCs w:val="21"/>
          <w:lang w:val="en-AU" w:eastAsia="en-AU"/>
        </w:rPr>
        <w:t>and trade promotion through Aus</w:t>
      </w:r>
      <w:r w:rsidR="008B0A07">
        <w:rPr>
          <w:rFonts w:eastAsia="Times New Roman" w:cs="Arial"/>
          <w:sz w:val="21"/>
          <w:szCs w:val="21"/>
          <w:lang w:val="en-AU" w:eastAsia="en-AU"/>
        </w:rPr>
        <w:t>tr</w:t>
      </w:r>
      <w:r w:rsidR="00CE6441" w:rsidRPr="00475BF4">
        <w:rPr>
          <w:rFonts w:eastAsia="Times New Roman" w:cs="Arial"/>
          <w:sz w:val="21"/>
          <w:szCs w:val="21"/>
          <w:lang w:val="en-AU" w:eastAsia="en-AU"/>
        </w:rPr>
        <w:t xml:space="preserve">ade; </w:t>
      </w:r>
    </w:p>
    <w:p w14:paraId="767375CF" w14:textId="7AB6E353" w:rsidR="00D804E2" w:rsidRPr="00475BF4" w:rsidRDefault="00865BC0" w:rsidP="009D3124">
      <w:pPr>
        <w:pStyle w:val="ListParagraph"/>
        <w:numPr>
          <w:ilvl w:val="0"/>
          <w:numId w:val="24"/>
        </w:numPr>
        <w:spacing w:after="120"/>
        <w:jc w:val="both"/>
        <w:rPr>
          <w:rFonts w:eastAsia="Times New Roman" w:cs="Arial"/>
          <w:sz w:val="21"/>
          <w:szCs w:val="21"/>
          <w:lang w:val="en-AU" w:eastAsia="en-AU"/>
        </w:rPr>
      </w:pPr>
      <w:r>
        <w:rPr>
          <w:rFonts w:eastAsia="Times New Roman" w:cs="Arial"/>
          <w:sz w:val="21"/>
          <w:szCs w:val="21"/>
          <w:lang w:val="en-AU" w:eastAsia="en-AU"/>
        </w:rPr>
        <w:t>D</w:t>
      </w:r>
      <w:r w:rsidR="00CE6441" w:rsidRPr="00475BF4">
        <w:rPr>
          <w:rFonts w:eastAsia="Times New Roman" w:cs="Arial"/>
          <w:sz w:val="21"/>
          <w:szCs w:val="21"/>
          <w:lang w:val="en-AU" w:eastAsia="en-AU"/>
        </w:rPr>
        <w:t xml:space="preserve">elivery of short courses and training through the Australia Awards; </w:t>
      </w:r>
    </w:p>
    <w:p w14:paraId="5AF36581" w14:textId="1C6E189E" w:rsidR="00C96950" w:rsidRDefault="00865BC0" w:rsidP="009D3124">
      <w:pPr>
        <w:pStyle w:val="ListParagraph"/>
        <w:numPr>
          <w:ilvl w:val="0"/>
          <w:numId w:val="24"/>
        </w:numPr>
        <w:spacing w:after="120"/>
        <w:jc w:val="both"/>
        <w:rPr>
          <w:rFonts w:eastAsia="Times New Roman" w:cs="Arial"/>
          <w:sz w:val="21"/>
          <w:szCs w:val="21"/>
          <w:lang w:val="en-AU" w:eastAsia="en-AU"/>
        </w:rPr>
      </w:pPr>
      <w:r>
        <w:rPr>
          <w:rFonts w:eastAsia="Times New Roman" w:cs="Arial"/>
          <w:sz w:val="21"/>
          <w:szCs w:val="21"/>
          <w:lang w:val="en-AU" w:eastAsia="en-AU"/>
        </w:rPr>
        <w:t>R</w:t>
      </w:r>
      <w:r w:rsidR="00007464" w:rsidRPr="00475BF4">
        <w:rPr>
          <w:rFonts w:eastAsia="Times New Roman" w:cs="Arial"/>
          <w:sz w:val="21"/>
          <w:szCs w:val="21"/>
          <w:lang w:val="en-AU" w:eastAsia="en-AU"/>
        </w:rPr>
        <w:t>esearch through the Australia-Indonesia Centre</w:t>
      </w:r>
      <w:r w:rsidR="00256EAE" w:rsidRPr="00475BF4">
        <w:rPr>
          <w:rFonts w:eastAsia="Times New Roman" w:cs="Arial"/>
          <w:sz w:val="21"/>
          <w:szCs w:val="21"/>
          <w:lang w:val="en-AU" w:eastAsia="en-AU"/>
        </w:rPr>
        <w:t xml:space="preserve"> (Monash)</w:t>
      </w:r>
      <w:r w:rsidR="00007464" w:rsidRPr="00475BF4">
        <w:rPr>
          <w:rFonts w:eastAsia="Times New Roman" w:cs="Arial"/>
          <w:sz w:val="21"/>
          <w:szCs w:val="21"/>
          <w:lang w:val="en-AU" w:eastAsia="en-AU"/>
        </w:rPr>
        <w:t xml:space="preserve"> </w:t>
      </w:r>
      <w:r w:rsidR="00256EAE" w:rsidRPr="00475BF4">
        <w:rPr>
          <w:rFonts w:eastAsia="Times New Roman" w:cs="Arial"/>
          <w:sz w:val="21"/>
          <w:szCs w:val="21"/>
          <w:lang w:val="en-AU" w:eastAsia="en-AU"/>
        </w:rPr>
        <w:t xml:space="preserve">encompassing Skills Futures, the Digital Economy, </w:t>
      </w:r>
      <w:r w:rsidR="00007464" w:rsidRPr="00475BF4">
        <w:rPr>
          <w:rFonts w:eastAsia="Times New Roman" w:cs="Arial"/>
          <w:sz w:val="21"/>
          <w:szCs w:val="21"/>
          <w:lang w:val="en-AU" w:eastAsia="en-AU"/>
        </w:rPr>
        <w:t>and Partnership for Australian and Indonesian Research (PAIR</w:t>
      </w:r>
      <w:r w:rsidR="00256EAE" w:rsidRPr="00475BF4">
        <w:rPr>
          <w:rFonts w:eastAsia="Times New Roman" w:cs="Arial"/>
          <w:sz w:val="21"/>
          <w:szCs w:val="21"/>
          <w:lang w:val="en-AU" w:eastAsia="en-AU"/>
        </w:rPr>
        <w:t>);</w:t>
      </w:r>
      <w:r w:rsidR="00007464" w:rsidRPr="00475BF4">
        <w:rPr>
          <w:rFonts w:eastAsia="Times New Roman" w:cs="Arial"/>
          <w:sz w:val="21"/>
          <w:szCs w:val="21"/>
          <w:lang w:val="en-AU" w:eastAsia="en-AU"/>
        </w:rPr>
        <w:t xml:space="preserve"> </w:t>
      </w:r>
      <w:r w:rsidR="00C96950" w:rsidRPr="00475BF4">
        <w:rPr>
          <w:rFonts w:eastAsia="Times New Roman" w:cs="Arial"/>
          <w:sz w:val="21"/>
          <w:szCs w:val="21"/>
          <w:lang w:val="en-AU" w:eastAsia="en-AU"/>
        </w:rPr>
        <w:t>and education (Technical Assistance for Education Systems Strengthening (TASS))</w:t>
      </w:r>
      <w:r w:rsidR="008B0A07">
        <w:rPr>
          <w:rFonts w:eastAsia="Times New Roman" w:cs="Arial"/>
          <w:sz w:val="21"/>
          <w:szCs w:val="21"/>
          <w:lang w:val="en-AU" w:eastAsia="en-AU"/>
        </w:rPr>
        <w:t>; and</w:t>
      </w:r>
    </w:p>
    <w:p w14:paraId="10839A64" w14:textId="17E9BABE" w:rsidR="008B0A07" w:rsidRPr="00475BF4" w:rsidRDefault="008B0A07" w:rsidP="009D3124">
      <w:pPr>
        <w:pStyle w:val="ListParagraph"/>
        <w:numPr>
          <w:ilvl w:val="0"/>
          <w:numId w:val="24"/>
        </w:numPr>
        <w:spacing w:after="120"/>
        <w:jc w:val="both"/>
        <w:rPr>
          <w:rFonts w:eastAsia="Times New Roman" w:cs="Arial"/>
          <w:sz w:val="21"/>
          <w:szCs w:val="21"/>
          <w:lang w:val="en-AU" w:eastAsia="en-AU"/>
        </w:rPr>
      </w:pPr>
      <w:r>
        <w:rPr>
          <w:rFonts w:eastAsia="Times New Roman" w:cs="Arial"/>
          <w:sz w:val="21"/>
          <w:szCs w:val="21"/>
          <w:lang w:val="en-AU" w:eastAsia="en-AU"/>
        </w:rPr>
        <w:t xml:space="preserve">Supporting women’s economic empowerment and challenging gender norms through skills and training efforts, in partnership with Investing in Women. </w:t>
      </w:r>
    </w:p>
    <w:p w14:paraId="0519513B" w14:textId="51E81AD0" w:rsidR="002B22A9" w:rsidRDefault="002B22A9" w:rsidP="00F46375">
      <w:pPr>
        <w:spacing w:after="120"/>
        <w:jc w:val="both"/>
        <w:rPr>
          <w:rFonts w:eastAsia="Times New Roman" w:cs="Arial"/>
          <w:sz w:val="21"/>
          <w:szCs w:val="21"/>
          <w:lang w:val="en-AU" w:eastAsia="en-AU"/>
        </w:rPr>
      </w:pPr>
      <w:r>
        <w:rPr>
          <w:rFonts w:eastAsia="Times New Roman" w:cs="Arial"/>
          <w:sz w:val="21"/>
          <w:szCs w:val="21"/>
          <w:lang w:val="en-AU" w:eastAsia="en-AU"/>
        </w:rPr>
        <w:t xml:space="preserve">A Collaborative Hub </w:t>
      </w:r>
      <w:r w:rsidR="00532715">
        <w:rPr>
          <w:rFonts w:eastAsia="Times New Roman" w:cs="Arial"/>
          <w:sz w:val="21"/>
          <w:szCs w:val="21"/>
          <w:lang w:val="en-AU" w:eastAsia="en-AU"/>
        </w:rPr>
        <w:t xml:space="preserve">is the proposed </w:t>
      </w:r>
      <w:r>
        <w:rPr>
          <w:rFonts w:eastAsia="Times New Roman" w:cs="Arial"/>
          <w:sz w:val="21"/>
          <w:szCs w:val="21"/>
          <w:lang w:val="en-AU" w:eastAsia="en-AU"/>
        </w:rPr>
        <w:t>delivery model for its ability to connect ECP activities with other relevant DFAT investments and adopt a whole of government approach and other external partners. Further, the Collaborative Hub provides an ‘entry point’ for those seeking further engagement or collaboration with the IA-CEPA and ECP activities. The Collaborative Hub also provides an avenue for ongoing public outreach and stakeholder engagement to promote understanding and support of IA-CEPA. This will be achieved through a dedicated website, reports and information material, ongoing dial</w:t>
      </w:r>
      <w:r w:rsidR="00163185">
        <w:rPr>
          <w:rFonts w:eastAsia="Times New Roman" w:cs="Arial"/>
          <w:sz w:val="21"/>
          <w:szCs w:val="21"/>
          <w:lang w:val="en-AU" w:eastAsia="en-AU"/>
        </w:rPr>
        <w:t>o</w:t>
      </w:r>
      <w:r>
        <w:rPr>
          <w:rFonts w:eastAsia="Times New Roman" w:cs="Arial"/>
          <w:sz w:val="21"/>
          <w:szCs w:val="21"/>
          <w:lang w:val="en-AU" w:eastAsia="en-AU"/>
        </w:rPr>
        <w:t xml:space="preserve">gue with other IA-CEPA committees, counterparts and the private sector. </w:t>
      </w:r>
    </w:p>
    <w:p w14:paraId="7987AE69" w14:textId="4B819437" w:rsidR="00CE6441" w:rsidRDefault="00CE6441" w:rsidP="00F46375">
      <w:pPr>
        <w:spacing w:after="120"/>
        <w:jc w:val="both"/>
        <w:rPr>
          <w:rFonts w:eastAsia="Times New Roman" w:cs="Arial"/>
          <w:sz w:val="21"/>
          <w:szCs w:val="21"/>
          <w:lang w:val="en-AU" w:eastAsia="en-AU"/>
        </w:rPr>
      </w:pPr>
      <w:r>
        <w:rPr>
          <w:rFonts w:eastAsia="Times New Roman" w:cs="Arial"/>
          <w:sz w:val="21"/>
          <w:szCs w:val="21"/>
          <w:lang w:val="en-AU" w:eastAsia="en-AU"/>
        </w:rPr>
        <w:t>Collaboration will be achieved through both formal and informal mechanisms, including:</w:t>
      </w:r>
    </w:p>
    <w:p w14:paraId="1AFDE4DF" w14:textId="73210EDF" w:rsidR="00CE6441" w:rsidRPr="00410FE4" w:rsidRDefault="00CE6441" w:rsidP="009D3124">
      <w:pPr>
        <w:pStyle w:val="ListParagraph"/>
        <w:numPr>
          <w:ilvl w:val="0"/>
          <w:numId w:val="24"/>
        </w:numPr>
        <w:spacing w:after="120"/>
        <w:jc w:val="both"/>
        <w:rPr>
          <w:rFonts w:eastAsia="Times New Roman" w:cs="Arial"/>
          <w:sz w:val="21"/>
          <w:szCs w:val="21"/>
          <w:lang w:val="en-AU" w:eastAsia="en-AU"/>
        </w:rPr>
      </w:pPr>
      <w:r w:rsidRPr="00410FE4">
        <w:rPr>
          <w:rFonts w:eastAsia="Times New Roman" w:cs="Arial"/>
          <w:sz w:val="21"/>
          <w:szCs w:val="21"/>
          <w:lang w:val="en-AU" w:eastAsia="en-AU"/>
        </w:rPr>
        <w:t xml:space="preserve">The </w:t>
      </w:r>
      <w:r w:rsidRPr="00EC4B13">
        <w:rPr>
          <w:rFonts w:eastAsia="Times New Roman" w:cs="Arial"/>
          <w:b/>
          <w:sz w:val="21"/>
          <w:szCs w:val="21"/>
          <w:lang w:val="en-AU" w:eastAsia="en-AU"/>
        </w:rPr>
        <w:t xml:space="preserve">establishment of the </w:t>
      </w:r>
      <w:r w:rsidR="001C2B18" w:rsidRPr="00EC4B13">
        <w:rPr>
          <w:rFonts w:eastAsia="Times New Roman" w:cs="Arial"/>
          <w:b/>
          <w:sz w:val="21"/>
          <w:szCs w:val="21"/>
          <w:lang w:val="en-AU" w:eastAsia="en-AU"/>
        </w:rPr>
        <w:t>Collaborative Hub</w:t>
      </w:r>
      <w:r w:rsidRPr="00410FE4">
        <w:rPr>
          <w:rFonts w:eastAsia="Times New Roman" w:cs="Arial"/>
          <w:sz w:val="21"/>
          <w:szCs w:val="21"/>
          <w:lang w:val="en-AU" w:eastAsia="en-AU"/>
        </w:rPr>
        <w:t>, resourced to respond to requests from the Government</w:t>
      </w:r>
      <w:r w:rsidR="008130F8" w:rsidRPr="00410FE4">
        <w:rPr>
          <w:rFonts w:eastAsia="Times New Roman" w:cs="Arial"/>
          <w:sz w:val="21"/>
          <w:szCs w:val="21"/>
          <w:lang w:val="en-AU" w:eastAsia="en-AU"/>
        </w:rPr>
        <w:t>s</w:t>
      </w:r>
      <w:r w:rsidRPr="00410FE4">
        <w:rPr>
          <w:rFonts w:eastAsia="Times New Roman" w:cs="Arial"/>
          <w:sz w:val="21"/>
          <w:szCs w:val="21"/>
          <w:lang w:val="en-AU" w:eastAsia="en-AU"/>
        </w:rPr>
        <w:t xml:space="preserve"> of Indonesia </w:t>
      </w:r>
      <w:r w:rsidR="008130F8" w:rsidRPr="00410FE4">
        <w:rPr>
          <w:rFonts w:eastAsia="Times New Roman" w:cs="Arial"/>
          <w:sz w:val="21"/>
          <w:szCs w:val="21"/>
          <w:lang w:val="en-AU" w:eastAsia="en-AU"/>
        </w:rPr>
        <w:t xml:space="preserve">and Australia </w:t>
      </w:r>
      <w:r w:rsidRPr="00410FE4">
        <w:rPr>
          <w:rFonts w:eastAsia="Times New Roman" w:cs="Arial"/>
          <w:sz w:val="21"/>
          <w:szCs w:val="21"/>
          <w:lang w:val="en-AU" w:eastAsia="en-AU"/>
        </w:rPr>
        <w:t>for activities</w:t>
      </w:r>
      <w:r w:rsidR="004959EF" w:rsidRPr="00410FE4">
        <w:rPr>
          <w:rFonts w:eastAsia="Times New Roman" w:cs="Arial"/>
          <w:sz w:val="21"/>
          <w:szCs w:val="21"/>
          <w:lang w:val="en-AU" w:eastAsia="en-AU"/>
        </w:rPr>
        <w:t>,</w:t>
      </w:r>
      <w:r w:rsidRPr="00410FE4">
        <w:rPr>
          <w:rFonts w:eastAsia="Times New Roman" w:cs="Arial"/>
          <w:sz w:val="21"/>
          <w:szCs w:val="21"/>
          <w:lang w:val="en-AU" w:eastAsia="en-AU"/>
        </w:rPr>
        <w:t xml:space="preserve"> which support implementation and the achievement of IA-CEPA</w:t>
      </w:r>
      <w:r w:rsidR="008130F8" w:rsidRPr="00410FE4">
        <w:rPr>
          <w:rFonts w:eastAsia="Times New Roman" w:cs="Arial"/>
          <w:sz w:val="21"/>
          <w:szCs w:val="21"/>
          <w:lang w:val="en-AU" w:eastAsia="en-AU"/>
        </w:rPr>
        <w:t>. The Collaborative Hub is</w:t>
      </w:r>
      <w:r w:rsidR="004959EF" w:rsidRPr="00410FE4">
        <w:rPr>
          <w:rFonts w:eastAsia="Times New Roman" w:cs="Arial"/>
          <w:sz w:val="21"/>
          <w:szCs w:val="21"/>
          <w:lang w:val="en-AU" w:eastAsia="en-AU"/>
        </w:rPr>
        <w:t xml:space="preserve"> </w:t>
      </w:r>
      <w:r w:rsidRPr="00410FE4">
        <w:rPr>
          <w:rFonts w:eastAsia="Times New Roman" w:cs="Arial"/>
          <w:sz w:val="21"/>
          <w:szCs w:val="21"/>
          <w:lang w:val="en-AU" w:eastAsia="en-AU"/>
        </w:rPr>
        <w:t>mandated to work with existing DFAT investments an</w:t>
      </w:r>
      <w:r w:rsidR="004959EF" w:rsidRPr="00410FE4">
        <w:rPr>
          <w:rFonts w:eastAsia="Times New Roman" w:cs="Arial"/>
          <w:sz w:val="21"/>
          <w:szCs w:val="21"/>
          <w:lang w:val="en-AU" w:eastAsia="en-AU"/>
        </w:rPr>
        <w:t xml:space="preserve">d other partners, </w:t>
      </w:r>
      <w:r w:rsidR="00070451">
        <w:rPr>
          <w:rFonts w:eastAsia="Times New Roman" w:cs="Arial"/>
          <w:sz w:val="21"/>
          <w:szCs w:val="21"/>
          <w:lang w:val="en-AU" w:eastAsia="en-AU"/>
        </w:rPr>
        <w:t>contracting with appropriate expert partners for discreet ECP activities</w:t>
      </w:r>
      <w:r w:rsidRPr="00410FE4">
        <w:rPr>
          <w:rFonts w:eastAsia="Times New Roman" w:cs="Arial"/>
          <w:sz w:val="21"/>
          <w:szCs w:val="21"/>
          <w:lang w:val="en-AU" w:eastAsia="en-AU"/>
        </w:rPr>
        <w:t xml:space="preserve">. </w:t>
      </w:r>
      <w:r w:rsidR="004959EF" w:rsidRPr="00410FE4">
        <w:rPr>
          <w:rFonts w:eastAsia="Times New Roman" w:cs="Arial"/>
          <w:sz w:val="21"/>
          <w:szCs w:val="21"/>
          <w:lang w:val="en-AU" w:eastAsia="en-AU"/>
        </w:rPr>
        <w:t xml:space="preserve">Resourcing will be provided to delivery partners for </w:t>
      </w:r>
      <w:r w:rsidR="00070451">
        <w:rPr>
          <w:rFonts w:eastAsia="Times New Roman" w:cs="Arial"/>
          <w:sz w:val="21"/>
          <w:szCs w:val="21"/>
          <w:lang w:val="en-AU" w:eastAsia="en-AU"/>
        </w:rPr>
        <w:t xml:space="preserve">these </w:t>
      </w:r>
      <w:r w:rsidR="004959EF" w:rsidRPr="00410FE4">
        <w:rPr>
          <w:rFonts w:eastAsia="Times New Roman" w:cs="Arial"/>
          <w:sz w:val="21"/>
          <w:szCs w:val="21"/>
          <w:lang w:val="en-AU" w:eastAsia="en-AU"/>
        </w:rPr>
        <w:t>specific activities</w:t>
      </w:r>
      <w:r w:rsidR="008130F8" w:rsidRPr="00410FE4">
        <w:rPr>
          <w:rFonts w:eastAsia="Times New Roman" w:cs="Arial"/>
          <w:sz w:val="21"/>
          <w:szCs w:val="21"/>
          <w:lang w:val="en-AU" w:eastAsia="en-AU"/>
        </w:rPr>
        <w:t>.</w:t>
      </w:r>
    </w:p>
    <w:p w14:paraId="15B80D21" w14:textId="1ADF0698" w:rsidR="00CE6441" w:rsidRPr="00410FE4" w:rsidRDefault="00CE6441" w:rsidP="009D3124">
      <w:pPr>
        <w:pStyle w:val="ListParagraph"/>
        <w:numPr>
          <w:ilvl w:val="0"/>
          <w:numId w:val="24"/>
        </w:numPr>
        <w:spacing w:after="120"/>
        <w:jc w:val="both"/>
        <w:rPr>
          <w:rFonts w:eastAsia="Times New Roman" w:cs="Arial"/>
          <w:sz w:val="21"/>
          <w:szCs w:val="21"/>
          <w:lang w:val="en-AU" w:eastAsia="en-AU"/>
        </w:rPr>
      </w:pPr>
      <w:r w:rsidRPr="00EC4B13">
        <w:rPr>
          <w:rFonts w:eastAsia="Times New Roman" w:cs="Arial"/>
          <w:b/>
          <w:sz w:val="21"/>
          <w:szCs w:val="21"/>
          <w:lang w:val="en-AU" w:eastAsia="en-AU"/>
        </w:rPr>
        <w:t>Formal meetings</w:t>
      </w:r>
      <w:r w:rsidRPr="00410FE4">
        <w:rPr>
          <w:rFonts w:eastAsia="Times New Roman" w:cs="Arial"/>
          <w:sz w:val="21"/>
          <w:szCs w:val="21"/>
          <w:lang w:val="en-AU" w:eastAsia="en-AU"/>
        </w:rPr>
        <w:t xml:space="preserve"> </w:t>
      </w:r>
      <w:r w:rsidR="008130F8" w:rsidRPr="00410FE4">
        <w:rPr>
          <w:rFonts w:eastAsia="Times New Roman" w:cs="Arial"/>
          <w:sz w:val="21"/>
          <w:szCs w:val="21"/>
          <w:lang w:val="en-AU" w:eastAsia="en-AU"/>
        </w:rPr>
        <w:t xml:space="preserve">will be </w:t>
      </w:r>
      <w:r w:rsidRPr="00410FE4">
        <w:rPr>
          <w:rFonts w:eastAsia="Times New Roman" w:cs="Arial"/>
          <w:sz w:val="21"/>
          <w:szCs w:val="21"/>
          <w:lang w:val="en-AU" w:eastAsia="en-AU"/>
        </w:rPr>
        <w:t>convened</w:t>
      </w:r>
      <w:r w:rsidR="008130F8" w:rsidRPr="00410FE4">
        <w:rPr>
          <w:rFonts w:eastAsia="Times New Roman" w:cs="Arial"/>
          <w:sz w:val="21"/>
          <w:szCs w:val="21"/>
          <w:lang w:val="en-AU" w:eastAsia="en-AU"/>
        </w:rPr>
        <w:t xml:space="preserve"> on a quarterly basis</w:t>
      </w:r>
      <w:r w:rsidRPr="00410FE4">
        <w:rPr>
          <w:rFonts w:eastAsia="Times New Roman" w:cs="Arial"/>
          <w:sz w:val="21"/>
          <w:szCs w:val="21"/>
          <w:lang w:val="en-AU" w:eastAsia="en-AU"/>
        </w:rPr>
        <w:t xml:space="preserve"> by </w:t>
      </w:r>
      <w:r w:rsidR="008826E2" w:rsidRPr="00EC4B13">
        <w:rPr>
          <w:rFonts w:eastAsia="Times New Roman" w:cs="Arial"/>
          <w:b/>
          <w:sz w:val="21"/>
          <w:szCs w:val="21"/>
          <w:lang w:val="en-AU" w:eastAsia="en-AU"/>
        </w:rPr>
        <w:t>DFAT’s</w:t>
      </w:r>
      <w:r w:rsidR="008826E2" w:rsidRPr="00410FE4">
        <w:rPr>
          <w:rFonts w:eastAsia="Times New Roman" w:cs="Arial"/>
          <w:sz w:val="21"/>
          <w:szCs w:val="21"/>
          <w:lang w:val="en-AU" w:eastAsia="en-AU"/>
        </w:rPr>
        <w:t xml:space="preserve"> </w:t>
      </w:r>
      <w:r w:rsidR="008826E2" w:rsidRPr="00EC4B13">
        <w:rPr>
          <w:rFonts w:eastAsia="Times New Roman" w:cs="Arial"/>
          <w:b/>
          <w:sz w:val="21"/>
          <w:szCs w:val="21"/>
          <w:lang w:val="en-AU" w:eastAsia="en-AU"/>
        </w:rPr>
        <w:t>Senior Responsible Officer</w:t>
      </w:r>
      <w:r w:rsidR="008826E2" w:rsidRPr="00410FE4">
        <w:rPr>
          <w:rFonts w:eastAsia="Times New Roman" w:cs="Arial"/>
          <w:sz w:val="21"/>
          <w:szCs w:val="21"/>
          <w:lang w:val="en-AU" w:eastAsia="en-AU"/>
        </w:rPr>
        <w:t xml:space="preserve"> (discussed under resour</w:t>
      </w:r>
      <w:r w:rsidR="00E555F7" w:rsidRPr="00410FE4">
        <w:rPr>
          <w:rFonts w:eastAsia="Times New Roman" w:cs="Arial"/>
          <w:sz w:val="21"/>
          <w:szCs w:val="21"/>
          <w:lang w:val="en-AU" w:eastAsia="en-AU"/>
        </w:rPr>
        <w:t>c</w:t>
      </w:r>
      <w:r w:rsidR="008826E2" w:rsidRPr="00410FE4">
        <w:rPr>
          <w:rFonts w:eastAsia="Times New Roman" w:cs="Arial"/>
          <w:sz w:val="21"/>
          <w:szCs w:val="21"/>
          <w:lang w:val="en-AU" w:eastAsia="en-AU"/>
        </w:rPr>
        <w:t>ing)</w:t>
      </w:r>
      <w:r w:rsidR="008130F8" w:rsidRPr="00410FE4">
        <w:rPr>
          <w:rFonts w:eastAsia="Times New Roman" w:cs="Arial"/>
          <w:sz w:val="21"/>
          <w:szCs w:val="21"/>
          <w:lang w:val="en-AU" w:eastAsia="en-AU"/>
        </w:rPr>
        <w:t>,</w:t>
      </w:r>
      <w:r w:rsidRPr="00410FE4">
        <w:rPr>
          <w:rFonts w:eastAsia="Times New Roman" w:cs="Arial"/>
          <w:sz w:val="21"/>
          <w:szCs w:val="21"/>
          <w:lang w:val="en-AU" w:eastAsia="en-AU"/>
        </w:rPr>
        <w:t xml:space="preserve"> b</w:t>
      </w:r>
      <w:r w:rsidR="004959EF" w:rsidRPr="00410FE4">
        <w:rPr>
          <w:rFonts w:eastAsia="Times New Roman" w:cs="Arial"/>
          <w:sz w:val="21"/>
          <w:szCs w:val="21"/>
          <w:lang w:val="en-AU" w:eastAsia="en-AU"/>
        </w:rPr>
        <w:t>ringing together existing DFAT investments</w:t>
      </w:r>
      <w:r w:rsidRPr="00410FE4">
        <w:rPr>
          <w:rFonts w:eastAsia="Times New Roman" w:cs="Arial"/>
          <w:sz w:val="21"/>
          <w:szCs w:val="21"/>
          <w:lang w:val="en-AU" w:eastAsia="en-AU"/>
        </w:rPr>
        <w:t xml:space="preserve"> with the </w:t>
      </w:r>
      <w:r w:rsidR="001C2B18">
        <w:rPr>
          <w:rFonts w:eastAsia="Times New Roman" w:cs="Arial"/>
          <w:sz w:val="21"/>
          <w:szCs w:val="21"/>
          <w:lang w:val="en-AU" w:eastAsia="en-AU"/>
        </w:rPr>
        <w:t>Collaborative Hub</w:t>
      </w:r>
      <w:r w:rsidRPr="00410FE4">
        <w:rPr>
          <w:rFonts w:eastAsia="Times New Roman" w:cs="Arial"/>
          <w:sz w:val="21"/>
          <w:szCs w:val="21"/>
          <w:lang w:val="en-AU" w:eastAsia="en-AU"/>
        </w:rPr>
        <w:t xml:space="preserve"> to coordinate requests for IA-CEPA related support</w:t>
      </w:r>
      <w:r w:rsidR="008130F8" w:rsidRPr="00410FE4">
        <w:rPr>
          <w:rFonts w:eastAsia="Times New Roman" w:cs="Arial"/>
          <w:sz w:val="21"/>
          <w:szCs w:val="21"/>
          <w:lang w:val="en-AU" w:eastAsia="en-AU"/>
        </w:rPr>
        <w:t xml:space="preserve"> and update on activities</w:t>
      </w:r>
      <w:r w:rsidRPr="00410FE4">
        <w:rPr>
          <w:rFonts w:eastAsia="Times New Roman" w:cs="Arial"/>
          <w:sz w:val="21"/>
          <w:szCs w:val="21"/>
          <w:lang w:val="en-AU" w:eastAsia="en-AU"/>
        </w:rPr>
        <w:t xml:space="preserve">. These meetings will ensure all stakeholders are engaged and aware of requests and work plans, support dialogue on </w:t>
      </w:r>
      <w:r w:rsidR="004959EF" w:rsidRPr="00410FE4">
        <w:rPr>
          <w:rFonts w:eastAsia="Times New Roman" w:cs="Arial"/>
          <w:sz w:val="21"/>
          <w:szCs w:val="21"/>
          <w:lang w:val="en-AU" w:eastAsia="en-AU"/>
        </w:rPr>
        <w:t xml:space="preserve">activities and </w:t>
      </w:r>
      <w:r w:rsidRPr="00410FE4">
        <w:rPr>
          <w:rFonts w:eastAsia="Times New Roman" w:cs="Arial"/>
          <w:sz w:val="21"/>
          <w:szCs w:val="21"/>
          <w:lang w:val="en-AU" w:eastAsia="en-AU"/>
        </w:rPr>
        <w:t>opportu</w:t>
      </w:r>
      <w:r w:rsidR="00E555F7" w:rsidRPr="00410FE4">
        <w:rPr>
          <w:rFonts w:eastAsia="Times New Roman" w:cs="Arial"/>
          <w:sz w:val="21"/>
          <w:szCs w:val="21"/>
          <w:lang w:val="en-AU" w:eastAsia="en-AU"/>
        </w:rPr>
        <w:t>n</w:t>
      </w:r>
      <w:r w:rsidRPr="00410FE4">
        <w:rPr>
          <w:rFonts w:eastAsia="Times New Roman" w:cs="Arial"/>
          <w:sz w:val="21"/>
          <w:szCs w:val="21"/>
          <w:lang w:val="en-AU" w:eastAsia="en-AU"/>
        </w:rPr>
        <w:t xml:space="preserve">ities, </w:t>
      </w:r>
      <w:r w:rsidR="004959EF" w:rsidRPr="00410FE4">
        <w:rPr>
          <w:rFonts w:eastAsia="Times New Roman" w:cs="Arial"/>
          <w:sz w:val="21"/>
          <w:szCs w:val="21"/>
          <w:lang w:val="en-AU" w:eastAsia="en-AU"/>
        </w:rPr>
        <w:t xml:space="preserve">share </w:t>
      </w:r>
      <w:r w:rsidRPr="00410FE4">
        <w:rPr>
          <w:rFonts w:eastAsia="Times New Roman" w:cs="Arial"/>
          <w:sz w:val="21"/>
          <w:szCs w:val="21"/>
          <w:lang w:val="en-AU" w:eastAsia="en-AU"/>
        </w:rPr>
        <w:t>lessons and compl</w:t>
      </w:r>
      <w:r w:rsidR="002420B1" w:rsidRPr="00410FE4">
        <w:rPr>
          <w:rFonts w:eastAsia="Times New Roman" w:cs="Arial"/>
          <w:sz w:val="21"/>
          <w:szCs w:val="21"/>
          <w:lang w:val="en-AU" w:eastAsia="en-AU"/>
        </w:rPr>
        <w:t>e</w:t>
      </w:r>
      <w:r w:rsidR="004959EF" w:rsidRPr="00410FE4">
        <w:rPr>
          <w:rFonts w:eastAsia="Times New Roman" w:cs="Arial"/>
          <w:sz w:val="21"/>
          <w:szCs w:val="21"/>
          <w:lang w:val="en-AU" w:eastAsia="en-AU"/>
        </w:rPr>
        <w:t>mentari</w:t>
      </w:r>
      <w:r w:rsidR="00C87047" w:rsidRPr="00410FE4">
        <w:rPr>
          <w:rFonts w:eastAsia="Times New Roman" w:cs="Arial"/>
          <w:sz w:val="21"/>
          <w:szCs w:val="21"/>
          <w:lang w:val="en-AU" w:eastAsia="en-AU"/>
        </w:rPr>
        <w:t>ti</w:t>
      </w:r>
      <w:r w:rsidR="004959EF" w:rsidRPr="00410FE4">
        <w:rPr>
          <w:rFonts w:eastAsia="Times New Roman" w:cs="Arial"/>
          <w:sz w:val="21"/>
          <w:szCs w:val="21"/>
          <w:lang w:val="en-AU" w:eastAsia="en-AU"/>
        </w:rPr>
        <w:t xml:space="preserve">es between programs, </w:t>
      </w:r>
      <w:r w:rsidRPr="00410FE4">
        <w:rPr>
          <w:rFonts w:eastAsia="Times New Roman" w:cs="Arial"/>
          <w:sz w:val="21"/>
          <w:szCs w:val="21"/>
          <w:lang w:val="en-AU" w:eastAsia="en-AU"/>
        </w:rPr>
        <w:t>ensure any probity</w:t>
      </w:r>
      <w:r w:rsidR="004959EF" w:rsidRPr="00410FE4">
        <w:rPr>
          <w:rFonts w:eastAsia="Times New Roman" w:cs="Arial"/>
          <w:sz w:val="21"/>
          <w:szCs w:val="21"/>
          <w:lang w:val="en-AU" w:eastAsia="en-AU"/>
        </w:rPr>
        <w:t xml:space="preserve"> issues are addressed and avoid</w:t>
      </w:r>
      <w:r w:rsidRPr="00410FE4">
        <w:rPr>
          <w:rFonts w:eastAsia="Times New Roman" w:cs="Arial"/>
          <w:sz w:val="21"/>
          <w:szCs w:val="21"/>
          <w:lang w:val="en-AU" w:eastAsia="en-AU"/>
        </w:rPr>
        <w:t xml:space="preserve"> duplication of effort. </w:t>
      </w:r>
    </w:p>
    <w:p w14:paraId="025E3641" w14:textId="3F08F849" w:rsidR="008130F8" w:rsidRPr="00410FE4" w:rsidRDefault="00CE6441" w:rsidP="009D3124">
      <w:pPr>
        <w:pStyle w:val="ListParagraph"/>
        <w:numPr>
          <w:ilvl w:val="0"/>
          <w:numId w:val="24"/>
        </w:numPr>
        <w:spacing w:after="120"/>
        <w:jc w:val="both"/>
        <w:rPr>
          <w:rFonts w:eastAsia="Times New Roman" w:cs="Arial"/>
          <w:sz w:val="21"/>
          <w:szCs w:val="21"/>
          <w:lang w:val="en-AU" w:eastAsia="en-AU"/>
        </w:rPr>
      </w:pPr>
      <w:r w:rsidRPr="00EC4B13">
        <w:rPr>
          <w:rFonts w:eastAsia="Times New Roman" w:cs="Arial"/>
          <w:b/>
          <w:sz w:val="21"/>
          <w:szCs w:val="21"/>
          <w:lang w:val="en-AU" w:eastAsia="en-AU"/>
        </w:rPr>
        <w:lastRenderedPageBreak/>
        <w:t>Informal meetings</w:t>
      </w:r>
      <w:r w:rsidRPr="00410FE4">
        <w:rPr>
          <w:rFonts w:eastAsia="Times New Roman" w:cs="Arial"/>
          <w:sz w:val="21"/>
          <w:szCs w:val="21"/>
          <w:lang w:val="en-AU" w:eastAsia="en-AU"/>
        </w:rPr>
        <w:t xml:space="preserve"> will take place on a regular basis between the </w:t>
      </w:r>
      <w:r w:rsidR="001C2B18">
        <w:rPr>
          <w:rFonts w:eastAsia="Times New Roman" w:cs="Arial"/>
          <w:sz w:val="21"/>
          <w:szCs w:val="21"/>
          <w:lang w:val="en-AU" w:eastAsia="en-AU"/>
        </w:rPr>
        <w:t>Collaborative Hub</w:t>
      </w:r>
      <w:r w:rsidRPr="00410FE4">
        <w:rPr>
          <w:rFonts w:eastAsia="Times New Roman" w:cs="Arial"/>
          <w:sz w:val="21"/>
          <w:szCs w:val="21"/>
          <w:lang w:val="en-AU" w:eastAsia="en-AU"/>
        </w:rPr>
        <w:t xml:space="preserve"> and existing DFAT investments on specific activities. These meetings will ensure all stakeholders are engaged in activities</w:t>
      </w:r>
      <w:r w:rsidR="004959EF" w:rsidRPr="00410FE4">
        <w:rPr>
          <w:rFonts w:eastAsia="Times New Roman" w:cs="Arial"/>
          <w:sz w:val="21"/>
          <w:szCs w:val="21"/>
          <w:lang w:val="en-AU" w:eastAsia="en-AU"/>
        </w:rPr>
        <w:t>;</w:t>
      </w:r>
      <w:r w:rsidRPr="00410FE4">
        <w:rPr>
          <w:rFonts w:eastAsia="Times New Roman" w:cs="Arial"/>
          <w:sz w:val="21"/>
          <w:szCs w:val="21"/>
          <w:lang w:val="en-AU" w:eastAsia="en-AU"/>
        </w:rPr>
        <w:t xml:space="preserve"> </w:t>
      </w:r>
      <w:r w:rsidR="004959EF" w:rsidRPr="00410FE4">
        <w:rPr>
          <w:rFonts w:eastAsia="Times New Roman" w:cs="Arial"/>
          <w:sz w:val="21"/>
          <w:szCs w:val="21"/>
          <w:lang w:val="en-AU" w:eastAsia="en-AU"/>
        </w:rPr>
        <w:t>that existing capabilities are utilised where appropriate; and value for money is achieved across DF</w:t>
      </w:r>
      <w:r w:rsidR="008130F8" w:rsidRPr="00410FE4">
        <w:rPr>
          <w:rFonts w:eastAsia="Times New Roman" w:cs="Arial"/>
          <w:sz w:val="21"/>
          <w:szCs w:val="21"/>
          <w:lang w:val="en-AU" w:eastAsia="en-AU"/>
        </w:rPr>
        <w:t xml:space="preserve">AT investments. </w:t>
      </w:r>
    </w:p>
    <w:p w14:paraId="657AD357" w14:textId="6683FCCC" w:rsidR="00C96950" w:rsidRPr="00410FE4" w:rsidRDefault="008130F8" w:rsidP="009D3124">
      <w:pPr>
        <w:pStyle w:val="ListParagraph"/>
        <w:numPr>
          <w:ilvl w:val="0"/>
          <w:numId w:val="24"/>
        </w:numPr>
        <w:spacing w:after="120"/>
        <w:jc w:val="both"/>
        <w:rPr>
          <w:rFonts w:eastAsia="Times New Roman" w:cs="Arial"/>
          <w:sz w:val="21"/>
          <w:szCs w:val="21"/>
          <w:lang w:val="en-AU" w:eastAsia="en-AU"/>
        </w:rPr>
      </w:pPr>
      <w:r w:rsidRPr="00EC4B13">
        <w:rPr>
          <w:rFonts w:eastAsia="Times New Roman" w:cs="Arial"/>
          <w:b/>
          <w:sz w:val="21"/>
          <w:szCs w:val="21"/>
          <w:lang w:val="en-AU" w:eastAsia="en-AU"/>
        </w:rPr>
        <w:t>Examples of</w:t>
      </w:r>
      <w:r w:rsidR="004959EF" w:rsidRPr="00EC4B13">
        <w:rPr>
          <w:rFonts w:eastAsia="Times New Roman" w:cs="Arial"/>
          <w:b/>
          <w:sz w:val="21"/>
          <w:szCs w:val="21"/>
          <w:lang w:val="en-AU" w:eastAsia="en-AU"/>
        </w:rPr>
        <w:t xml:space="preserve"> collaboration</w:t>
      </w:r>
      <w:r w:rsidR="004959EF" w:rsidRPr="00410FE4">
        <w:rPr>
          <w:rFonts w:eastAsia="Times New Roman" w:cs="Arial"/>
          <w:sz w:val="21"/>
          <w:szCs w:val="21"/>
          <w:lang w:val="en-AU" w:eastAsia="en-AU"/>
        </w:rPr>
        <w:t xml:space="preserve"> could include </w:t>
      </w:r>
      <w:r w:rsidR="002F5AB3">
        <w:rPr>
          <w:rFonts w:eastAsia="Times New Roman" w:cs="Arial"/>
          <w:sz w:val="21"/>
          <w:szCs w:val="21"/>
          <w:lang w:val="en-AU" w:eastAsia="en-AU"/>
        </w:rPr>
        <w:t xml:space="preserve">Austrade and PROSPERA’s Financial Markets Engagement team coordinating </w:t>
      </w:r>
      <w:r w:rsidR="00330FA1">
        <w:rPr>
          <w:rFonts w:eastAsia="Times New Roman" w:cs="Arial"/>
          <w:sz w:val="21"/>
          <w:szCs w:val="21"/>
          <w:lang w:val="en-AU" w:eastAsia="en-AU"/>
        </w:rPr>
        <w:t>dialo</w:t>
      </w:r>
      <w:r w:rsidR="0058041D">
        <w:rPr>
          <w:rFonts w:eastAsia="Times New Roman" w:cs="Arial"/>
          <w:sz w:val="21"/>
          <w:szCs w:val="21"/>
          <w:lang w:val="en-AU" w:eastAsia="en-AU"/>
        </w:rPr>
        <w:t>g</w:t>
      </w:r>
      <w:r w:rsidR="00330FA1">
        <w:rPr>
          <w:rFonts w:eastAsia="Times New Roman" w:cs="Arial"/>
          <w:sz w:val="21"/>
          <w:szCs w:val="21"/>
          <w:lang w:val="en-AU" w:eastAsia="en-AU"/>
        </w:rPr>
        <w:t>ue</w:t>
      </w:r>
      <w:r w:rsidR="00324268">
        <w:rPr>
          <w:rFonts w:eastAsia="Times New Roman" w:cs="Arial"/>
          <w:sz w:val="21"/>
          <w:szCs w:val="21"/>
          <w:lang w:val="en-AU" w:eastAsia="en-AU"/>
        </w:rPr>
        <w:t xml:space="preserve"> </w:t>
      </w:r>
      <w:r w:rsidR="002F5AB3">
        <w:rPr>
          <w:rFonts w:eastAsia="Times New Roman" w:cs="Arial"/>
          <w:sz w:val="21"/>
          <w:szCs w:val="21"/>
          <w:lang w:val="en-AU" w:eastAsia="en-AU"/>
        </w:rPr>
        <w:t xml:space="preserve">on </w:t>
      </w:r>
      <w:r w:rsidR="00375C7F">
        <w:rPr>
          <w:rFonts w:eastAsia="Times New Roman" w:cs="Arial"/>
          <w:sz w:val="21"/>
          <w:szCs w:val="21"/>
          <w:lang w:val="en-AU" w:eastAsia="en-AU"/>
        </w:rPr>
        <w:t>strengt</w:t>
      </w:r>
      <w:r w:rsidR="00324268">
        <w:rPr>
          <w:rFonts w:eastAsia="Times New Roman" w:cs="Arial"/>
          <w:sz w:val="21"/>
          <w:szCs w:val="21"/>
          <w:lang w:val="en-AU" w:eastAsia="en-AU"/>
        </w:rPr>
        <w:t>hening</w:t>
      </w:r>
      <w:r w:rsidR="00375C7F">
        <w:rPr>
          <w:rFonts w:eastAsia="Times New Roman" w:cs="Arial"/>
          <w:sz w:val="21"/>
          <w:szCs w:val="21"/>
          <w:lang w:val="en-AU" w:eastAsia="en-AU"/>
        </w:rPr>
        <w:t xml:space="preserve"> linkages between </w:t>
      </w:r>
      <w:r w:rsidR="004959EF" w:rsidRPr="00410FE4">
        <w:rPr>
          <w:rFonts w:eastAsia="Times New Roman" w:cs="Arial"/>
          <w:sz w:val="21"/>
          <w:szCs w:val="21"/>
          <w:lang w:val="en-AU" w:eastAsia="en-AU"/>
        </w:rPr>
        <w:t xml:space="preserve">Indonesian </w:t>
      </w:r>
      <w:r w:rsidR="00FB713D">
        <w:rPr>
          <w:rFonts w:eastAsia="Times New Roman" w:cs="Arial"/>
          <w:sz w:val="21"/>
          <w:szCs w:val="21"/>
          <w:lang w:val="en-AU" w:eastAsia="en-AU"/>
        </w:rPr>
        <w:t xml:space="preserve">fast-growth </w:t>
      </w:r>
      <w:r w:rsidR="004959EF" w:rsidRPr="00410FE4">
        <w:rPr>
          <w:rFonts w:eastAsia="Times New Roman" w:cs="Arial"/>
          <w:sz w:val="21"/>
          <w:szCs w:val="21"/>
          <w:lang w:val="en-AU" w:eastAsia="en-AU"/>
        </w:rPr>
        <w:t>digit</w:t>
      </w:r>
      <w:r w:rsidR="00BE2A06">
        <w:rPr>
          <w:rFonts w:eastAsia="Times New Roman" w:cs="Arial"/>
          <w:sz w:val="21"/>
          <w:szCs w:val="21"/>
          <w:lang w:val="en-AU" w:eastAsia="en-AU"/>
        </w:rPr>
        <w:t xml:space="preserve">al </w:t>
      </w:r>
      <w:r w:rsidR="00134827">
        <w:rPr>
          <w:rFonts w:eastAsia="Times New Roman" w:cs="Arial"/>
          <w:sz w:val="21"/>
          <w:szCs w:val="21"/>
          <w:lang w:val="en-AU" w:eastAsia="en-AU"/>
        </w:rPr>
        <w:t xml:space="preserve">services </w:t>
      </w:r>
      <w:r w:rsidR="00BE2A06">
        <w:rPr>
          <w:rFonts w:eastAsia="Times New Roman" w:cs="Arial"/>
          <w:sz w:val="21"/>
          <w:szCs w:val="21"/>
          <w:lang w:val="en-AU" w:eastAsia="en-AU"/>
        </w:rPr>
        <w:t xml:space="preserve">firms </w:t>
      </w:r>
      <w:r w:rsidR="002F5AB3">
        <w:rPr>
          <w:rFonts w:eastAsia="Times New Roman" w:cs="Arial"/>
          <w:sz w:val="21"/>
          <w:szCs w:val="21"/>
          <w:lang w:val="en-AU" w:eastAsia="en-AU"/>
        </w:rPr>
        <w:t>and Australian capital markets</w:t>
      </w:r>
      <w:r w:rsidR="004959EF" w:rsidRPr="00410FE4">
        <w:rPr>
          <w:rFonts w:eastAsia="Times New Roman" w:cs="Arial"/>
          <w:sz w:val="21"/>
          <w:szCs w:val="21"/>
          <w:lang w:val="en-AU" w:eastAsia="en-AU"/>
        </w:rPr>
        <w:t xml:space="preserve">; </w:t>
      </w:r>
      <w:r w:rsidR="003F14A5" w:rsidRPr="00410FE4">
        <w:rPr>
          <w:rFonts w:eastAsia="Times New Roman" w:cs="Arial"/>
          <w:sz w:val="21"/>
          <w:szCs w:val="21"/>
          <w:lang w:val="en-AU" w:eastAsia="en-AU"/>
        </w:rPr>
        <w:t xml:space="preserve">and </w:t>
      </w:r>
      <w:r w:rsidR="005119C2">
        <w:rPr>
          <w:rFonts w:eastAsia="Times New Roman" w:cs="Arial"/>
          <w:sz w:val="21"/>
          <w:szCs w:val="21"/>
          <w:lang w:val="en-AU" w:eastAsia="en-AU"/>
        </w:rPr>
        <w:t xml:space="preserve">training on </w:t>
      </w:r>
      <w:r w:rsidR="00134827">
        <w:rPr>
          <w:rFonts w:eastAsia="Times New Roman" w:cs="Arial"/>
          <w:sz w:val="21"/>
          <w:szCs w:val="21"/>
          <w:lang w:val="en-AU" w:eastAsia="en-AU"/>
        </w:rPr>
        <w:t xml:space="preserve">skills content development </w:t>
      </w:r>
      <w:r w:rsidR="003F14A5" w:rsidRPr="00410FE4">
        <w:rPr>
          <w:rFonts w:eastAsia="Times New Roman" w:cs="Arial"/>
          <w:sz w:val="21"/>
          <w:szCs w:val="21"/>
          <w:lang w:val="en-AU" w:eastAsia="en-AU"/>
        </w:rPr>
        <w:t xml:space="preserve">being </w:t>
      </w:r>
      <w:r w:rsidR="00330FA1">
        <w:rPr>
          <w:rFonts w:eastAsia="Times New Roman" w:cs="Arial"/>
          <w:sz w:val="21"/>
          <w:szCs w:val="21"/>
          <w:lang w:val="en-AU" w:eastAsia="en-AU"/>
        </w:rPr>
        <w:t>coordinated with</w:t>
      </w:r>
      <w:r w:rsidR="003F14A5" w:rsidRPr="00410FE4">
        <w:rPr>
          <w:rFonts w:eastAsia="Times New Roman" w:cs="Arial"/>
          <w:sz w:val="21"/>
          <w:szCs w:val="21"/>
          <w:lang w:val="en-AU" w:eastAsia="en-AU"/>
        </w:rPr>
        <w:t xml:space="preserve"> </w:t>
      </w:r>
      <w:r w:rsidR="00134827">
        <w:rPr>
          <w:rFonts w:eastAsia="Times New Roman" w:cs="Arial"/>
          <w:sz w:val="21"/>
          <w:szCs w:val="21"/>
          <w:lang w:val="en-AU" w:eastAsia="en-AU"/>
        </w:rPr>
        <w:t>the Australian Department of Education, Skills and Employment</w:t>
      </w:r>
      <w:r w:rsidR="003F14A5" w:rsidRPr="00410FE4">
        <w:rPr>
          <w:rFonts w:eastAsia="Times New Roman" w:cs="Arial"/>
          <w:sz w:val="21"/>
          <w:szCs w:val="21"/>
          <w:lang w:val="en-AU" w:eastAsia="en-AU"/>
        </w:rPr>
        <w:t xml:space="preserve">. </w:t>
      </w:r>
    </w:p>
    <w:p w14:paraId="226746F5" w14:textId="409CBBAD" w:rsidR="00CE6441" w:rsidRPr="00410FE4" w:rsidRDefault="008130F8" w:rsidP="00F46375">
      <w:pPr>
        <w:spacing w:after="120"/>
        <w:jc w:val="both"/>
        <w:rPr>
          <w:sz w:val="21"/>
          <w:szCs w:val="21"/>
        </w:rPr>
      </w:pPr>
      <w:r w:rsidRPr="00410FE4">
        <w:rPr>
          <w:rFonts w:eastAsia="Times New Roman" w:cs="Arial"/>
          <w:sz w:val="21"/>
          <w:szCs w:val="21"/>
          <w:lang w:val="en-AU" w:eastAsia="en-AU"/>
        </w:rPr>
        <w:t>The Collaborative Hub</w:t>
      </w:r>
      <w:r w:rsidR="00C96950" w:rsidRPr="00410FE4">
        <w:rPr>
          <w:rFonts w:eastAsia="Times New Roman" w:cs="Arial"/>
          <w:sz w:val="21"/>
          <w:szCs w:val="21"/>
          <w:lang w:val="en-AU" w:eastAsia="en-AU"/>
        </w:rPr>
        <w:t xml:space="preserve"> model ensures a dedicated resource is available to deliver the ECP, </w:t>
      </w:r>
      <w:r w:rsidR="00C96950" w:rsidRPr="004037BC">
        <w:rPr>
          <w:rFonts w:eastAsia="Times New Roman" w:cs="Arial"/>
          <w:b/>
          <w:sz w:val="21"/>
          <w:szCs w:val="21"/>
          <w:lang w:val="en-AU" w:eastAsia="en-AU"/>
        </w:rPr>
        <w:t>reduces the risk of duplicating effort while utilising existing skills and relationships</w:t>
      </w:r>
      <w:r w:rsidR="00C96950" w:rsidRPr="00410FE4">
        <w:rPr>
          <w:rFonts w:eastAsia="Times New Roman" w:cs="Arial"/>
          <w:sz w:val="21"/>
          <w:szCs w:val="21"/>
          <w:lang w:val="en-AU" w:eastAsia="en-AU"/>
        </w:rPr>
        <w:t>. The model</w:t>
      </w:r>
      <w:r w:rsidR="00C96950" w:rsidRPr="00410FE4">
        <w:rPr>
          <w:sz w:val="21"/>
          <w:szCs w:val="21"/>
        </w:rPr>
        <w:t xml:space="preserve"> expands available resources by drawing on existing albeit dispersed capabilities</w:t>
      </w:r>
      <w:r w:rsidR="00302D1E">
        <w:rPr>
          <w:sz w:val="21"/>
          <w:szCs w:val="21"/>
        </w:rPr>
        <w:t xml:space="preserve">, </w:t>
      </w:r>
      <w:r w:rsidR="00F26BBB">
        <w:rPr>
          <w:sz w:val="21"/>
          <w:szCs w:val="21"/>
        </w:rPr>
        <w:t xml:space="preserve">to </w:t>
      </w:r>
      <w:r w:rsidR="00302D1E">
        <w:rPr>
          <w:sz w:val="21"/>
          <w:szCs w:val="21"/>
        </w:rPr>
        <w:t>provide</w:t>
      </w:r>
      <w:r w:rsidR="00F26BBB">
        <w:rPr>
          <w:sz w:val="21"/>
          <w:szCs w:val="21"/>
        </w:rPr>
        <w:t xml:space="preserve"> for</w:t>
      </w:r>
      <w:r w:rsidR="00302D1E">
        <w:rPr>
          <w:sz w:val="21"/>
          <w:szCs w:val="21"/>
        </w:rPr>
        <w:t xml:space="preserve"> faster scale</w:t>
      </w:r>
      <w:r w:rsidR="00F26BBB">
        <w:rPr>
          <w:sz w:val="21"/>
          <w:szCs w:val="21"/>
        </w:rPr>
        <w:t>-up</w:t>
      </w:r>
      <w:r w:rsidR="00302D1E">
        <w:rPr>
          <w:sz w:val="21"/>
          <w:szCs w:val="21"/>
        </w:rPr>
        <w:t xml:space="preserve"> and roll-out</w:t>
      </w:r>
      <w:r w:rsidR="00C96950" w:rsidRPr="00410FE4">
        <w:rPr>
          <w:sz w:val="21"/>
          <w:szCs w:val="21"/>
        </w:rPr>
        <w:t xml:space="preserve">. </w:t>
      </w:r>
    </w:p>
    <w:p w14:paraId="2F5BAAB4" w14:textId="2216F669" w:rsidR="00480E5E" w:rsidRDefault="00C96950" w:rsidP="00F46375">
      <w:pPr>
        <w:spacing w:after="120"/>
        <w:jc w:val="both"/>
        <w:rPr>
          <w:sz w:val="21"/>
          <w:szCs w:val="21"/>
        </w:rPr>
      </w:pPr>
      <w:r w:rsidRPr="00410FE4">
        <w:rPr>
          <w:sz w:val="21"/>
          <w:szCs w:val="21"/>
        </w:rPr>
        <w:t xml:space="preserve">Existing programs and facilities would be incentivised to collaborate with the </w:t>
      </w:r>
      <w:r w:rsidR="00C33433">
        <w:rPr>
          <w:sz w:val="21"/>
          <w:szCs w:val="21"/>
        </w:rPr>
        <w:t xml:space="preserve">Collaborative </w:t>
      </w:r>
      <w:r w:rsidRPr="00410FE4">
        <w:rPr>
          <w:sz w:val="21"/>
          <w:szCs w:val="21"/>
        </w:rPr>
        <w:t xml:space="preserve">Hub as new activities </w:t>
      </w:r>
      <w:r w:rsidR="0077116A">
        <w:rPr>
          <w:sz w:val="21"/>
          <w:szCs w:val="21"/>
        </w:rPr>
        <w:t xml:space="preserve">are </w:t>
      </w:r>
      <w:r w:rsidRPr="00410FE4">
        <w:rPr>
          <w:sz w:val="21"/>
          <w:szCs w:val="21"/>
        </w:rPr>
        <w:t>funded from the ECP program, boosting resources</w:t>
      </w:r>
      <w:r w:rsidR="008130F8" w:rsidRPr="00410FE4">
        <w:rPr>
          <w:sz w:val="21"/>
          <w:szCs w:val="21"/>
        </w:rPr>
        <w:t xml:space="preserve"> </w:t>
      </w:r>
      <w:r w:rsidR="00990EEE">
        <w:rPr>
          <w:sz w:val="21"/>
          <w:szCs w:val="21"/>
        </w:rPr>
        <w:t xml:space="preserve">for </w:t>
      </w:r>
      <w:r w:rsidR="008130F8" w:rsidRPr="00410FE4">
        <w:rPr>
          <w:sz w:val="21"/>
          <w:szCs w:val="21"/>
        </w:rPr>
        <w:t>existing programs. The activities</w:t>
      </w:r>
      <w:r w:rsidR="008130F8">
        <w:rPr>
          <w:sz w:val="21"/>
          <w:szCs w:val="21"/>
        </w:rPr>
        <w:t xml:space="preserve"> will</w:t>
      </w:r>
      <w:r w:rsidRPr="00BD39CF">
        <w:rPr>
          <w:sz w:val="21"/>
          <w:szCs w:val="21"/>
        </w:rPr>
        <w:t xml:space="preserve"> </w:t>
      </w:r>
      <w:r w:rsidR="00EB07ED" w:rsidRPr="00BD39CF">
        <w:rPr>
          <w:sz w:val="21"/>
          <w:szCs w:val="21"/>
        </w:rPr>
        <w:t xml:space="preserve">attract </w:t>
      </w:r>
      <w:r w:rsidRPr="00BD39CF">
        <w:rPr>
          <w:sz w:val="21"/>
          <w:szCs w:val="21"/>
        </w:rPr>
        <w:t xml:space="preserve">high-level Australian and Indonesian </w:t>
      </w:r>
      <w:r w:rsidR="003E61FA">
        <w:rPr>
          <w:sz w:val="21"/>
          <w:szCs w:val="21"/>
        </w:rPr>
        <w:t>G</w:t>
      </w:r>
      <w:r w:rsidRPr="00BD39CF">
        <w:rPr>
          <w:sz w:val="21"/>
          <w:szCs w:val="21"/>
        </w:rPr>
        <w:t>overnment support (via the ECC and IA-CEPA Joint Committee)</w:t>
      </w:r>
      <w:r w:rsidR="008130F8">
        <w:rPr>
          <w:sz w:val="21"/>
          <w:szCs w:val="21"/>
        </w:rPr>
        <w:t>, boosting relationships and opportunities to advance existing DFAT investment mandates</w:t>
      </w:r>
      <w:r w:rsidRPr="00BD39CF">
        <w:rPr>
          <w:sz w:val="21"/>
          <w:szCs w:val="21"/>
        </w:rPr>
        <w:t>. Activities w</w:t>
      </w:r>
      <w:r w:rsidR="008130F8">
        <w:rPr>
          <w:sz w:val="21"/>
          <w:szCs w:val="21"/>
        </w:rPr>
        <w:t>ill</w:t>
      </w:r>
      <w:r w:rsidRPr="00BD39CF">
        <w:rPr>
          <w:sz w:val="21"/>
          <w:szCs w:val="21"/>
        </w:rPr>
        <w:t xml:space="preserve"> be designed to complement existing </w:t>
      </w:r>
      <w:r w:rsidR="008130F8">
        <w:rPr>
          <w:sz w:val="21"/>
          <w:szCs w:val="21"/>
        </w:rPr>
        <w:t>DFAT investment</w:t>
      </w:r>
      <w:r w:rsidR="00990EEE">
        <w:rPr>
          <w:sz w:val="21"/>
          <w:szCs w:val="21"/>
        </w:rPr>
        <w:t xml:space="preserve">s </w:t>
      </w:r>
      <w:r w:rsidRPr="00BD39CF">
        <w:rPr>
          <w:sz w:val="21"/>
          <w:szCs w:val="21"/>
        </w:rPr>
        <w:t>and objectives, thereby strengthening their own deliverabl</w:t>
      </w:r>
      <w:r w:rsidR="008130F8">
        <w:rPr>
          <w:sz w:val="21"/>
          <w:szCs w:val="21"/>
        </w:rPr>
        <w:t>es and performance. Activities will</w:t>
      </w:r>
      <w:r w:rsidRPr="00BD39CF">
        <w:rPr>
          <w:sz w:val="21"/>
          <w:szCs w:val="21"/>
        </w:rPr>
        <w:t xml:space="preserve"> be jointly reported for </w:t>
      </w:r>
      <w:r w:rsidR="00410FE4">
        <w:rPr>
          <w:sz w:val="21"/>
          <w:szCs w:val="21"/>
        </w:rPr>
        <w:t>MEL</w:t>
      </w:r>
      <w:r w:rsidRPr="00BD39CF">
        <w:rPr>
          <w:sz w:val="21"/>
          <w:szCs w:val="21"/>
        </w:rPr>
        <w:t xml:space="preserve"> purposes, as part of the ECP annual reporting requirements and existing </w:t>
      </w:r>
      <w:r w:rsidR="008130F8">
        <w:rPr>
          <w:sz w:val="21"/>
          <w:szCs w:val="21"/>
        </w:rPr>
        <w:t xml:space="preserve">DFAT investment </w:t>
      </w:r>
      <w:r w:rsidRPr="00BD39CF">
        <w:rPr>
          <w:sz w:val="21"/>
          <w:szCs w:val="21"/>
        </w:rPr>
        <w:t xml:space="preserve">reporting.  </w:t>
      </w:r>
      <w:r w:rsidR="00480E5E">
        <w:rPr>
          <w:sz w:val="21"/>
          <w:szCs w:val="21"/>
        </w:rPr>
        <w:t xml:space="preserve">The appropriate </w:t>
      </w:r>
      <w:r w:rsidR="008B69F4">
        <w:rPr>
          <w:sz w:val="21"/>
          <w:szCs w:val="21"/>
        </w:rPr>
        <w:t xml:space="preserve">delivery partner </w:t>
      </w:r>
      <w:r w:rsidR="00480E5E">
        <w:rPr>
          <w:sz w:val="21"/>
          <w:szCs w:val="21"/>
        </w:rPr>
        <w:t xml:space="preserve">for approved ECP activities will be guided by: </w:t>
      </w:r>
    </w:p>
    <w:p w14:paraId="365BAED8" w14:textId="00397C1C" w:rsidR="00480E5E" w:rsidRPr="00410FE4" w:rsidRDefault="00480E5E" w:rsidP="009D3124">
      <w:pPr>
        <w:pStyle w:val="ListParagraph"/>
        <w:numPr>
          <w:ilvl w:val="0"/>
          <w:numId w:val="25"/>
        </w:numPr>
        <w:spacing w:after="120"/>
        <w:jc w:val="both"/>
        <w:rPr>
          <w:sz w:val="21"/>
          <w:szCs w:val="21"/>
        </w:rPr>
      </w:pPr>
      <w:r w:rsidRPr="00EC4B13">
        <w:rPr>
          <w:b/>
          <w:sz w:val="21"/>
          <w:szCs w:val="21"/>
        </w:rPr>
        <w:t>Scoping of available delivery options</w:t>
      </w:r>
      <w:r w:rsidR="008130F8" w:rsidRPr="00410FE4">
        <w:rPr>
          <w:sz w:val="21"/>
          <w:szCs w:val="21"/>
        </w:rPr>
        <w:t>:</w:t>
      </w:r>
      <w:r w:rsidRPr="00410FE4">
        <w:rPr>
          <w:sz w:val="21"/>
          <w:szCs w:val="21"/>
        </w:rPr>
        <w:t xml:space="preserve"> The </w:t>
      </w:r>
      <w:r w:rsidR="00C33433">
        <w:rPr>
          <w:sz w:val="21"/>
          <w:szCs w:val="21"/>
        </w:rPr>
        <w:t>Collaborative Hub</w:t>
      </w:r>
      <w:r w:rsidRPr="00410FE4">
        <w:rPr>
          <w:sz w:val="21"/>
          <w:szCs w:val="21"/>
        </w:rPr>
        <w:t xml:space="preserve"> will consider the options of direct delivery by the </w:t>
      </w:r>
      <w:r w:rsidR="00C33433">
        <w:rPr>
          <w:sz w:val="21"/>
          <w:szCs w:val="21"/>
        </w:rPr>
        <w:t>Collaborative Hub</w:t>
      </w:r>
      <w:r w:rsidRPr="00410FE4">
        <w:rPr>
          <w:sz w:val="21"/>
          <w:szCs w:val="21"/>
        </w:rPr>
        <w:t>; delivery by an existing DFAT investment; or contracting another external partner</w:t>
      </w:r>
      <w:r w:rsidR="0077116A">
        <w:rPr>
          <w:sz w:val="21"/>
          <w:szCs w:val="21"/>
        </w:rPr>
        <w:t>,</w:t>
      </w:r>
      <w:r w:rsidRPr="00410FE4">
        <w:rPr>
          <w:sz w:val="21"/>
          <w:szCs w:val="21"/>
        </w:rPr>
        <w:t xml:space="preserve"> and make a recommendation to the ECC Joint Committee as part of the Annual Work Plan process.</w:t>
      </w:r>
    </w:p>
    <w:p w14:paraId="0683D121" w14:textId="7A91A470" w:rsidR="00480E5E" w:rsidRDefault="008B69F4" w:rsidP="009D3124">
      <w:pPr>
        <w:pStyle w:val="ListParagraph"/>
        <w:numPr>
          <w:ilvl w:val="0"/>
          <w:numId w:val="25"/>
        </w:numPr>
        <w:spacing w:after="120"/>
        <w:jc w:val="both"/>
        <w:rPr>
          <w:sz w:val="21"/>
          <w:szCs w:val="21"/>
        </w:rPr>
      </w:pPr>
      <w:r w:rsidRPr="00EC4B13">
        <w:rPr>
          <w:b/>
          <w:sz w:val="21"/>
          <w:szCs w:val="21"/>
        </w:rPr>
        <w:t>No-conflict or compromise</w:t>
      </w:r>
      <w:r w:rsidRPr="00410FE4">
        <w:rPr>
          <w:sz w:val="21"/>
          <w:szCs w:val="21"/>
        </w:rPr>
        <w:t xml:space="preserve">: </w:t>
      </w:r>
      <w:r w:rsidR="00480E5E" w:rsidRPr="00410FE4">
        <w:rPr>
          <w:sz w:val="21"/>
          <w:szCs w:val="21"/>
        </w:rPr>
        <w:t>Where delivery by an existing DFAT investment is recommended, DFAT must be satisfied that the activity does not conflict or compromise the existing investments m</w:t>
      </w:r>
      <w:r w:rsidR="003767FB" w:rsidRPr="00410FE4">
        <w:rPr>
          <w:sz w:val="21"/>
          <w:szCs w:val="21"/>
        </w:rPr>
        <w:t xml:space="preserve">andate or raise probity issues; </w:t>
      </w:r>
      <w:r w:rsidR="00480E5E" w:rsidRPr="00410FE4">
        <w:rPr>
          <w:sz w:val="21"/>
          <w:szCs w:val="21"/>
        </w:rPr>
        <w:t xml:space="preserve">will achieve value for money; and is agreed to by the existing investment. </w:t>
      </w:r>
      <w:r w:rsidR="008130F8" w:rsidRPr="00410FE4">
        <w:rPr>
          <w:sz w:val="21"/>
          <w:szCs w:val="21"/>
        </w:rPr>
        <w:t>Delivery</w:t>
      </w:r>
      <w:r w:rsidR="008130F8">
        <w:rPr>
          <w:sz w:val="21"/>
          <w:szCs w:val="21"/>
        </w:rPr>
        <w:t xml:space="preserve"> arrangements will be formalised in </w:t>
      </w:r>
      <w:r w:rsidR="00A17054">
        <w:rPr>
          <w:sz w:val="21"/>
          <w:szCs w:val="21"/>
        </w:rPr>
        <w:t>a</w:t>
      </w:r>
      <w:r w:rsidR="008130F8">
        <w:rPr>
          <w:sz w:val="21"/>
          <w:szCs w:val="21"/>
        </w:rPr>
        <w:t xml:space="preserve"> </w:t>
      </w:r>
      <w:r w:rsidR="00F018F2">
        <w:rPr>
          <w:sz w:val="21"/>
          <w:szCs w:val="21"/>
        </w:rPr>
        <w:t>Memorandum of Understanding</w:t>
      </w:r>
      <w:r w:rsidR="008130F8">
        <w:rPr>
          <w:sz w:val="21"/>
          <w:szCs w:val="21"/>
        </w:rPr>
        <w:t xml:space="preserve"> </w:t>
      </w:r>
      <w:r w:rsidR="00134827">
        <w:rPr>
          <w:sz w:val="21"/>
          <w:szCs w:val="21"/>
        </w:rPr>
        <w:t xml:space="preserve">(or similar) </w:t>
      </w:r>
      <w:r w:rsidR="008130F8">
        <w:rPr>
          <w:sz w:val="21"/>
          <w:szCs w:val="21"/>
        </w:rPr>
        <w:t xml:space="preserve">outlining scope of works, resourcing and roles between the </w:t>
      </w:r>
      <w:r w:rsidR="00C33433">
        <w:rPr>
          <w:sz w:val="21"/>
          <w:szCs w:val="21"/>
        </w:rPr>
        <w:t>Collaborative Hub</w:t>
      </w:r>
      <w:r w:rsidR="008130F8">
        <w:rPr>
          <w:sz w:val="21"/>
          <w:szCs w:val="21"/>
        </w:rPr>
        <w:t xml:space="preserve"> and existing DFAT investment.</w:t>
      </w:r>
      <w:r w:rsidR="004F0CBD">
        <w:rPr>
          <w:sz w:val="21"/>
          <w:szCs w:val="21"/>
        </w:rPr>
        <w:t xml:space="preserve"> Governance and administrative arrangements are discussed further below. </w:t>
      </w:r>
      <w:r w:rsidR="008130F8">
        <w:rPr>
          <w:sz w:val="21"/>
          <w:szCs w:val="21"/>
        </w:rPr>
        <w:t xml:space="preserve"> </w:t>
      </w:r>
    </w:p>
    <w:p w14:paraId="6A7FF229" w14:textId="346F31CB" w:rsidR="008C1C99" w:rsidRDefault="00500543" w:rsidP="00BD749B">
      <w:pPr>
        <w:pStyle w:val="ListParagraph"/>
        <w:suppressAutoHyphens w:val="0"/>
        <w:spacing w:after="120" w:line="240" w:lineRule="auto"/>
        <w:ind w:left="360"/>
        <w:rPr>
          <w:b/>
          <w:sz w:val="21"/>
          <w:szCs w:val="21"/>
        </w:rPr>
      </w:pPr>
      <w:r w:rsidRPr="00140FA6">
        <w:rPr>
          <w:noProof/>
          <w:lang w:val="en-AU" w:eastAsia="en-AU"/>
        </w:rPr>
        <w:drawing>
          <wp:anchor distT="0" distB="0" distL="114300" distR="114300" simplePos="0" relativeHeight="251713536" behindDoc="0" locked="0" layoutInCell="1" allowOverlap="1" wp14:anchorId="5264D7A5" wp14:editId="28DC22C5">
            <wp:simplePos x="0" y="0"/>
            <wp:positionH relativeFrom="column">
              <wp:posOffset>-133350</wp:posOffset>
            </wp:positionH>
            <wp:positionV relativeFrom="paragraph">
              <wp:posOffset>391160</wp:posOffset>
            </wp:positionV>
            <wp:extent cx="2773680" cy="3173095"/>
            <wp:effectExtent l="0" t="0" r="7620" b="8255"/>
            <wp:wrapTopAndBottom/>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6">
                      <a:extLst>
                        <a:ext uri="{28A0092B-C50C-407E-A947-70E740481C1C}">
                          <a14:useLocalDpi xmlns:a14="http://schemas.microsoft.com/office/drawing/2010/main" val="0"/>
                        </a:ext>
                      </a:extLst>
                    </a:blip>
                    <a:srcRect l="18200" r="18520" b="7561"/>
                    <a:stretch/>
                  </pic:blipFill>
                  <pic:spPr bwMode="auto">
                    <a:xfrm>
                      <a:off x="0" y="0"/>
                      <a:ext cx="2773680" cy="317309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p w14:paraId="0465D9E5" w14:textId="660F0D59" w:rsidR="00500543" w:rsidRPr="00500543" w:rsidRDefault="00500543" w:rsidP="00BD749B">
      <w:pPr>
        <w:pStyle w:val="ListParagraph"/>
        <w:suppressAutoHyphens w:val="0"/>
        <w:spacing w:after="120" w:line="240" w:lineRule="auto"/>
        <w:ind w:left="360"/>
        <w:rPr>
          <w:b/>
        </w:rPr>
      </w:pPr>
      <w:r w:rsidRPr="00500543">
        <w:rPr>
          <w:b/>
          <w:sz w:val="21"/>
          <w:szCs w:val="21"/>
        </w:rPr>
        <w:t>Diagram 2</w:t>
      </w:r>
      <w:r w:rsidRPr="00500543">
        <w:rPr>
          <w:b/>
          <w:noProof/>
          <w:sz w:val="21"/>
          <w:szCs w:val="21"/>
        </w:rPr>
        <w:t xml:space="preserve">. Governance and oversight of the </w:t>
      </w:r>
      <w:r w:rsidRPr="00500543">
        <w:rPr>
          <w:b/>
          <w:sz w:val="21"/>
          <w:szCs w:val="21"/>
        </w:rPr>
        <w:t>Collaborative Hub and delivery partners</w:t>
      </w:r>
    </w:p>
    <w:p w14:paraId="45B32F6E" w14:textId="507CE5FA" w:rsidR="00105BBF" w:rsidRDefault="00105BBF" w:rsidP="007C4ABD">
      <w:pPr>
        <w:spacing w:before="0"/>
        <w:rPr>
          <w:b/>
        </w:rPr>
      </w:pPr>
      <w:r w:rsidRPr="000762FC">
        <w:rPr>
          <w:b/>
        </w:rPr>
        <w:t>Organisational structure</w:t>
      </w:r>
    </w:p>
    <w:p w14:paraId="44E7E42D" w14:textId="34B11767" w:rsidR="008C1C99" w:rsidRDefault="00105BBF" w:rsidP="00044897">
      <w:pPr>
        <w:spacing w:after="0"/>
        <w:rPr>
          <w:sz w:val="21"/>
          <w:szCs w:val="21"/>
        </w:rPr>
      </w:pPr>
      <w:r w:rsidRPr="00A77E58">
        <w:rPr>
          <w:sz w:val="21"/>
          <w:szCs w:val="21"/>
        </w:rPr>
        <w:t xml:space="preserve">The </w:t>
      </w:r>
      <w:r>
        <w:rPr>
          <w:sz w:val="21"/>
          <w:szCs w:val="21"/>
        </w:rPr>
        <w:t xml:space="preserve">Collaborative </w:t>
      </w:r>
      <w:r w:rsidRPr="00A77E58">
        <w:rPr>
          <w:sz w:val="21"/>
          <w:szCs w:val="21"/>
        </w:rPr>
        <w:t>Hub</w:t>
      </w:r>
      <w:r>
        <w:rPr>
          <w:sz w:val="21"/>
          <w:szCs w:val="21"/>
        </w:rPr>
        <w:t>, located in Jakarta,</w:t>
      </w:r>
      <w:r w:rsidRPr="00A77E58">
        <w:rPr>
          <w:sz w:val="21"/>
          <w:szCs w:val="21"/>
        </w:rPr>
        <w:t xml:space="preserve"> will be le</w:t>
      </w:r>
      <w:r>
        <w:rPr>
          <w:sz w:val="21"/>
          <w:szCs w:val="21"/>
        </w:rPr>
        <w:t>d</w:t>
      </w:r>
      <w:r w:rsidRPr="00A77E58">
        <w:rPr>
          <w:sz w:val="21"/>
          <w:szCs w:val="21"/>
        </w:rPr>
        <w:t xml:space="preserve"> </w:t>
      </w:r>
      <w:r>
        <w:rPr>
          <w:sz w:val="21"/>
          <w:szCs w:val="21"/>
        </w:rPr>
        <w:t>supported by a</w:t>
      </w:r>
      <w:r w:rsidR="002F5AB3">
        <w:rPr>
          <w:sz w:val="21"/>
          <w:szCs w:val="21"/>
        </w:rPr>
        <w:t>n efficient</w:t>
      </w:r>
      <w:r>
        <w:rPr>
          <w:sz w:val="21"/>
          <w:szCs w:val="21"/>
        </w:rPr>
        <w:t xml:space="preserve"> </w:t>
      </w:r>
      <w:r w:rsidRPr="007C4ABD">
        <w:rPr>
          <w:b/>
          <w:sz w:val="21"/>
          <w:szCs w:val="21"/>
        </w:rPr>
        <w:t>shared services model</w:t>
      </w:r>
      <w:r>
        <w:rPr>
          <w:sz w:val="21"/>
          <w:szCs w:val="21"/>
        </w:rPr>
        <w:t xml:space="preserve">, discussed further below. The leadership team will </w:t>
      </w:r>
      <w:r w:rsidR="008C1C99">
        <w:rPr>
          <w:sz w:val="21"/>
          <w:szCs w:val="21"/>
        </w:rPr>
        <w:t>be constituted through the competitive tender process.</w:t>
      </w:r>
    </w:p>
    <w:p w14:paraId="608ED06D" w14:textId="46D9C632" w:rsidR="00D5747C" w:rsidRPr="000762FC" w:rsidRDefault="00D5747C" w:rsidP="00314A3E">
      <w:pPr>
        <w:spacing w:before="240"/>
        <w:rPr>
          <w:b/>
        </w:rPr>
      </w:pPr>
      <w:r w:rsidRPr="000762FC">
        <w:rPr>
          <w:b/>
        </w:rPr>
        <w:t>Shared services</w:t>
      </w:r>
    </w:p>
    <w:p w14:paraId="61DEC8BA" w14:textId="73502348" w:rsidR="00D5747C" w:rsidRPr="0092021F" w:rsidRDefault="00D5747C" w:rsidP="00D5747C">
      <w:pPr>
        <w:spacing w:after="120"/>
        <w:rPr>
          <w:sz w:val="21"/>
          <w:szCs w:val="21"/>
        </w:rPr>
      </w:pPr>
      <w:r w:rsidRPr="0092021F">
        <w:rPr>
          <w:sz w:val="21"/>
          <w:szCs w:val="21"/>
        </w:rPr>
        <w:lastRenderedPageBreak/>
        <w:t xml:space="preserve">The </w:t>
      </w:r>
      <w:r>
        <w:rPr>
          <w:sz w:val="21"/>
          <w:szCs w:val="21"/>
        </w:rPr>
        <w:t xml:space="preserve">Collaborative </w:t>
      </w:r>
      <w:r w:rsidRPr="0092021F">
        <w:rPr>
          <w:sz w:val="21"/>
          <w:szCs w:val="21"/>
        </w:rPr>
        <w:t xml:space="preserve">Hub will </w:t>
      </w:r>
      <w:r w:rsidR="00B26625">
        <w:rPr>
          <w:sz w:val="21"/>
          <w:szCs w:val="21"/>
        </w:rPr>
        <w:t xml:space="preserve">maintain a strong identity and management, but will </w:t>
      </w:r>
      <w:r w:rsidRPr="0092021F">
        <w:rPr>
          <w:sz w:val="21"/>
          <w:szCs w:val="21"/>
        </w:rPr>
        <w:t xml:space="preserve">utilise </w:t>
      </w:r>
      <w:r w:rsidRPr="00EC4B13">
        <w:rPr>
          <w:b/>
          <w:sz w:val="21"/>
          <w:szCs w:val="21"/>
        </w:rPr>
        <w:t>‘shared services’ to perform core technical services</w:t>
      </w:r>
      <w:r w:rsidRPr="0092021F">
        <w:rPr>
          <w:sz w:val="21"/>
          <w:szCs w:val="21"/>
        </w:rPr>
        <w:t xml:space="preserve"> (related to IA-CEPA implementation) and a range of ‘back office’ and limited technical functions. Given the scale of existing program and facility activities in Indonesia, opportunities exist to draw on available operational and techni</w:t>
      </w:r>
      <w:r w:rsidR="001C0FB2">
        <w:rPr>
          <w:sz w:val="21"/>
          <w:szCs w:val="21"/>
        </w:rPr>
        <w:t>cal capabilities across</w:t>
      </w:r>
      <w:r w:rsidRPr="0092021F">
        <w:rPr>
          <w:sz w:val="21"/>
          <w:szCs w:val="21"/>
        </w:rPr>
        <w:t xml:space="preserve"> development</w:t>
      </w:r>
      <w:r w:rsidR="001C0FB2">
        <w:rPr>
          <w:sz w:val="21"/>
          <w:szCs w:val="21"/>
        </w:rPr>
        <w:t xml:space="preserve"> cooperation</w:t>
      </w:r>
      <w:r w:rsidRPr="0092021F">
        <w:rPr>
          <w:sz w:val="21"/>
          <w:szCs w:val="21"/>
        </w:rPr>
        <w:t xml:space="preserve"> program</w:t>
      </w:r>
      <w:r>
        <w:rPr>
          <w:sz w:val="21"/>
          <w:szCs w:val="21"/>
        </w:rPr>
        <w:t>s</w:t>
      </w:r>
      <w:r w:rsidRPr="0092021F">
        <w:rPr>
          <w:sz w:val="21"/>
          <w:szCs w:val="21"/>
        </w:rPr>
        <w:t xml:space="preserve"> in Indonesia. Areas to be delivered as shared services include: </w:t>
      </w:r>
    </w:p>
    <w:p w14:paraId="3AC76D53" w14:textId="1DA2CBB4" w:rsidR="00D5747C" w:rsidRPr="0092021F" w:rsidRDefault="005018C0" w:rsidP="00D5747C">
      <w:pPr>
        <w:pStyle w:val="ListParagraph"/>
        <w:numPr>
          <w:ilvl w:val="0"/>
          <w:numId w:val="14"/>
        </w:numPr>
        <w:suppressAutoHyphens w:val="0"/>
        <w:spacing w:after="120"/>
        <w:rPr>
          <w:sz w:val="21"/>
          <w:szCs w:val="21"/>
        </w:rPr>
      </w:pPr>
      <w:r>
        <w:rPr>
          <w:sz w:val="21"/>
          <w:szCs w:val="21"/>
        </w:rPr>
        <w:t>human resources</w:t>
      </w:r>
      <w:r w:rsidR="00B26625">
        <w:rPr>
          <w:sz w:val="21"/>
          <w:szCs w:val="21"/>
        </w:rPr>
        <w:t>: recruitment and staff management to be provided by shared service provider’s existing HR function</w:t>
      </w:r>
      <w:r>
        <w:rPr>
          <w:sz w:val="21"/>
          <w:szCs w:val="21"/>
        </w:rPr>
        <w:t>;</w:t>
      </w:r>
      <w:r w:rsidR="00D5747C" w:rsidRPr="0092021F">
        <w:rPr>
          <w:sz w:val="21"/>
          <w:szCs w:val="21"/>
        </w:rPr>
        <w:t xml:space="preserve">  </w:t>
      </w:r>
    </w:p>
    <w:p w14:paraId="0FB9D642" w14:textId="2E8732CA" w:rsidR="00D5747C" w:rsidRPr="0092021F" w:rsidRDefault="005018C0" w:rsidP="00B26625">
      <w:pPr>
        <w:pStyle w:val="ListParagraph"/>
        <w:numPr>
          <w:ilvl w:val="0"/>
          <w:numId w:val="14"/>
        </w:numPr>
        <w:suppressAutoHyphens w:val="0"/>
        <w:spacing w:after="120"/>
        <w:rPr>
          <w:sz w:val="21"/>
          <w:szCs w:val="21"/>
        </w:rPr>
      </w:pPr>
      <w:r>
        <w:rPr>
          <w:sz w:val="21"/>
          <w:szCs w:val="21"/>
        </w:rPr>
        <w:t>o</w:t>
      </w:r>
      <w:r w:rsidR="00D5747C" w:rsidRPr="0092021F">
        <w:rPr>
          <w:sz w:val="21"/>
          <w:szCs w:val="21"/>
        </w:rPr>
        <w:t>ffice space</w:t>
      </w:r>
      <w:r w:rsidR="00B26625">
        <w:rPr>
          <w:sz w:val="21"/>
          <w:szCs w:val="21"/>
        </w:rPr>
        <w:t xml:space="preserve">: will be </w:t>
      </w:r>
      <w:r w:rsidR="00B26625" w:rsidRPr="00B26625">
        <w:rPr>
          <w:sz w:val="21"/>
          <w:szCs w:val="21"/>
        </w:rPr>
        <w:t>located near or next to an existing facility or program but would have its own office space</w:t>
      </w:r>
      <w:r>
        <w:rPr>
          <w:sz w:val="21"/>
          <w:szCs w:val="21"/>
        </w:rPr>
        <w:t>;</w:t>
      </w:r>
    </w:p>
    <w:p w14:paraId="675D51EE" w14:textId="37C0CFEF" w:rsidR="00D5747C" w:rsidRPr="0092021F" w:rsidRDefault="00A17054" w:rsidP="00D5747C">
      <w:pPr>
        <w:pStyle w:val="ListParagraph"/>
        <w:numPr>
          <w:ilvl w:val="0"/>
          <w:numId w:val="14"/>
        </w:numPr>
        <w:suppressAutoHyphens w:val="0"/>
        <w:spacing w:after="120"/>
        <w:rPr>
          <w:sz w:val="21"/>
          <w:szCs w:val="21"/>
        </w:rPr>
      </w:pPr>
      <w:r>
        <w:rPr>
          <w:sz w:val="21"/>
          <w:szCs w:val="21"/>
        </w:rPr>
        <w:t>l</w:t>
      </w:r>
      <w:r w:rsidR="00D5747C" w:rsidRPr="0092021F">
        <w:rPr>
          <w:sz w:val="21"/>
          <w:szCs w:val="21"/>
        </w:rPr>
        <w:t>ogistics</w:t>
      </w:r>
      <w:r w:rsidR="002F5AB3">
        <w:rPr>
          <w:sz w:val="21"/>
          <w:szCs w:val="21"/>
        </w:rPr>
        <w:t xml:space="preserve">, accounting, project management </w:t>
      </w:r>
      <w:r w:rsidR="00D5747C" w:rsidRPr="0092021F">
        <w:rPr>
          <w:sz w:val="21"/>
          <w:szCs w:val="21"/>
        </w:rPr>
        <w:t>and other administrative support</w:t>
      </w:r>
      <w:r w:rsidR="002F5AB3">
        <w:rPr>
          <w:sz w:val="21"/>
          <w:szCs w:val="21"/>
        </w:rPr>
        <w:t>: leveraging shared service provider’s existing functions</w:t>
      </w:r>
      <w:r w:rsidR="005018C0">
        <w:rPr>
          <w:sz w:val="21"/>
          <w:szCs w:val="21"/>
        </w:rPr>
        <w:t xml:space="preserve">; </w:t>
      </w:r>
    </w:p>
    <w:p w14:paraId="2CD1D818" w14:textId="5C478107" w:rsidR="00D5747C" w:rsidRPr="0092021F" w:rsidRDefault="00D5747C" w:rsidP="00D5747C">
      <w:pPr>
        <w:pStyle w:val="ListParagraph"/>
        <w:numPr>
          <w:ilvl w:val="0"/>
          <w:numId w:val="14"/>
        </w:numPr>
        <w:suppressAutoHyphens w:val="0"/>
        <w:spacing w:after="120"/>
        <w:rPr>
          <w:sz w:val="21"/>
          <w:szCs w:val="21"/>
        </w:rPr>
      </w:pPr>
      <w:r w:rsidRPr="0092021F">
        <w:rPr>
          <w:sz w:val="21"/>
          <w:szCs w:val="21"/>
        </w:rPr>
        <w:t>IT capabilities</w:t>
      </w:r>
      <w:r w:rsidR="002F5AB3">
        <w:rPr>
          <w:sz w:val="21"/>
          <w:szCs w:val="21"/>
        </w:rPr>
        <w:t>: extension of I</w:t>
      </w:r>
      <w:r w:rsidR="005018C0">
        <w:rPr>
          <w:sz w:val="21"/>
          <w:szCs w:val="21"/>
        </w:rPr>
        <w:t>T</w:t>
      </w:r>
      <w:r w:rsidR="002F5AB3">
        <w:rPr>
          <w:sz w:val="21"/>
          <w:szCs w:val="21"/>
        </w:rPr>
        <w:t xml:space="preserve"> infrastructure but separate closed networks</w:t>
      </w:r>
      <w:r w:rsidR="005018C0">
        <w:rPr>
          <w:sz w:val="21"/>
          <w:szCs w:val="21"/>
        </w:rPr>
        <w:t xml:space="preserve">; </w:t>
      </w:r>
    </w:p>
    <w:p w14:paraId="095BCD57" w14:textId="4B45C39D" w:rsidR="00D5747C" w:rsidRPr="0092021F" w:rsidRDefault="005018C0" w:rsidP="00D5747C">
      <w:pPr>
        <w:pStyle w:val="ListParagraph"/>
        <w:numPr>
          <w:ilvl w:val="0"/>
          <w:numId w:val="14"/>
        </w:numPr>
        <w:suppressAutoHyphens w:val="0"/>
        <w:spacing w:after="120"/>
        <w:rPr>
          <w:sz w:val="21"/>
          <w:szCs w:val="21"/>
        </w:rPr>
      </w:pPr>
      <w:r>
        <w:rPr>
          <w:sz w:val="21"/>
          <w:szCs w:val="21"/>
        </w:rPr>
        <w:t>c</w:t>
      </w:r>
      <w:r w:rsidR="00D5747C" w:rsidRPr="0092021F">
        <w:rPr>
          <w:sz w:val="21"/>
          <w:szCs w:val="21"/>
        </w:rPr>
        <w:t>ross-cutting technical teams including monitoring</w:t>
      </w:r>
      <w:r>
        <w:rPr>
          <w:sz w:val="21"/>
          <w:szCs w:val="21"/>
        </w:rPr>
        <w:t xml:space="preserve">, evaluation and learning; </w:t>
      </w:r>
      <w:r w:rsidR="00D5747C" w:rsidRPr="0092021F">
        <w:rPr>
          <w:sz w:val="21"/>
          <w:szCs w:val="21"/>
        </w:rPr>
        <w:t xml:space="preserve">gender equality and social inclusion (GESI) </w:t>
      </w:r>
      <w:r w:rsidR="0082663B" w:rsidRPr="0092021F">
        <w:rPr>
          <w:sz w:val="21"/>
          <w:szCs w:val="21"/>
        </w:rPr>
        <w:t>capabilities</w:t>
      </w:r>
      <w:r w:rsidR="0082663B">
        <w:rPr>
          <w:sz w:val="21"/>
          <w:szCs w:val="21"/>
        </w:rPr>
        <w:t>;</w:t>
      </w:r>
      <w:r w:rsidR="0082663B" w:rsidRPr="0092021F">
        <w:rPr>
          <w:sz w:val="21"/>
          <w:szCs w:val="21"/>
        </w:rPr>
        <w:t xml:space="preserve"> communications</w:t>
      </w:r>
      <w:r w:rsidR="00D5747C" w:rsidRPr="0092021F">
        <w:rPr>
          <w:sz w:val="21"/>
          <w:szCs w:val="21"/>
        </w:rPr>
        <w:t xml:space="preserve">; and </w:t>
      </w:r>
    </w:p>
    <w:p w14:paraId="21E14B10" w14:textId="55CAF4CE" w:rsidR="00D5747C" w:rsidRPr="0092021F" w:rsidRDefault="0082663B" w:rsidP="00D5747C">
      <w:pPr>
        <w:pStyle w:val="ListParagraph"/>
        <w:numPr>
          <w:ilvl w:val="0"/>
          <w:numId w:val="14"/>
        </w:numPr>
        <w:suppressAutoHyphens w:val="0"/>
        <w:spacing w:after="120"/>
        <w:rPr>
          <w:sz w:val="21"/>
          <w:szCs w:val="21"/>
        </w:rPr>
      </w:pPr>
      <w:r>
        <w:rPr>
          <w:sz w:val="21"/>
          <w:szCs w:val="21"/>
        </w:rPr>
        <w:t>f</w:t>
      </w:r>
      <w:r w:rsidR="00D5747C" w:rsidRPr="0092021F">
        <w:rPr>
          <w:sz w:val="21"/>
          <w:szCs w:val="21"/>
        </w:rPr>
        <w:t>or the core business of IA-CEPA implementation</w:t>
      </w:r>
      <w:r w:rsidR="00A17054">
        <w:rPr>
          <w:sz w:val="21"/>
          <w:szCs w:val="21"/>
        </w:rPr>
        <w:t xml:space="preserve">, </w:t>
      </w:r>
      <w:r w:rsidR="00D5747C" w:rsidRPr="0092021F">
        <w:rPr>
          <w:sz w:val="21"/>
          <w:szCs w:val="21"/>
        </w:rPr>
        <w:t>regulatory navigation experience and existing networks in Indonesia in the economic, trade and investment sectors.</w:t>
      </w:r>
      <w:r w:rsidR="00D5747C" w:rsidRPr="00D5747C">
        <w:rPr>
          <w:noProof/>
          <w:lang w:val="en-AU" w:eastAsia="en-AU"/>
        </w:rPr>
        <w:t xml:space="preserve"> </w:t>
      </w:r>
    </w:p>
    <w:p w14:paraId="5B097117" w14:textId="4A0B5B84" w:rsidR="00D5747C" w:rsidRPr="0092021F" w:rsidRDefault="00D5747C" w:rsidP="00D5747C">
      <w:pPr>
        <w:spacing w:after="120"/>
        <w:jc w:val="both"/>
        <w:rPr>
          <w:rFonts w:eastAsia="Times New Roman" w:cs="Arial"/>
          <w:sz w:val="21"/>
          <w:szCs w:val="21"/>
          <w:lang w:val="en-AU" w:eastAsia="en-AU"/>
        </w:rPr>
      </w:pPr>
      <w:r w:rsidRPr="0092021F">
        <w:rPr>
          <w:rFonts w:eastAsia="Times New Roman" w:cs="Arial"/>
          <w:sz w:val="21"/>
          <w:szCs w:val="21"/>
          <w:lang w:val="en-AU" w:eastAsia="en-AU"/>
        </w:rPr>
        <w:t>The shared services model would be secured through the Australian Government’s normal procurement process. The tender would invite bidders to consider utilising existing operational and technical capabilities in existing facilities in Indonesia that could reduce the cost of delivery of the</w:t>
      </w:r>
      <w:r>
        <w:rPr>
          <w:rFonts w:eastAsia="Times New Roman" w:cs="Arial"/>
          <w:sz w:val="21"/>
          <w:szCs w:val="21"/>
          <w:lang w:val="en-AU" w:eastAsia="en-AU"/>
        </w:rPr>
        <w:t xml:space="preserve"> Collaborative</w:t>
      </w:r>
      <w:r w:rsidRPr="0092021F">
        <w:rPr>
          <w:rFonts w:eastAsia="Times New Roman" w:cs="Arial"/>
          <w:sz w:val="21"/>
          <w:szCs w:val="21"/>
          <w:lang w:val="en-AU" w:eastAsia="en-AU"/>
        </w:rPr>
        <w:t xml:space="preserve"> Hub. </w:t>
      </w:r>
    </w:p>
    <w:p w14:paraId="144455C0" w14:textId="5CFB218E" w:rsidR="00D5747C" w:rsidRPr="00B8499B" w:rsidRDefault="00D5747C" w:rsidP="00D5747C">
      <w:pPr>
        <w:jc w:val="both"/>
        <w:rPr>
          <w:sz w:val="21"/>
          <w:szCs w:val="21"/>
        </w:rPr>
      </w:pPr>
      <w:r w:rsidRPr="0092021F">
        <w:rPr>
          <w:rFonts w:eastAsia="Times New Roman" w:cs="Arial"/>
          <w:sz w:val="21"/>
          <w:szCs w:val="21"/>
          <w:lang w:val="en-AU" w:eastAsia="en-AU"/>
        </w:rPr>
        <w:t xml:space="preserve">The </w:t>
      </w:r>
      <w:r>
        <w:rPr>
          <w:rFonts w:eastAsia="Times New Roman" w:cs="Arial"/>
          <w:sz w:val="21"/>
          <w:szCs w:val="21"/>
          <w:lang w:val="en-AU" w:eastAsia="en-AU"/>
        </w:rPr>
        <w:t xml:space="preserve">Collaborative </w:t>
      </w:r>
      <w:r w:rsidRPr="0092021F">
        <w:rPr>
          <w:rFonts w:eastAsia="Times New Roman" w:cs="Arial"/>
          <w:sz w:val="21"/>
          <w:szCs w:val="21"/>
          <w:lang w:val="en-AU" w:eastAsia="en-AU"/>
        </w:rPr>
        <w:t xml:space="preserve">Hub model represents value-for-money by drawing on existing resources and programs where appropriate. The </w:t>
      </w:r>
      <w:r>
        <w:rPr>
          <w:rFonts w:eastAsia="Times New Roman" w:cs="Arial"/>
          <w:sz w:val="21"/>
          <w:szCs w:val="21"/>
          <w:lang w:val="en-AU" w:eastAsia="en-AU"/>
        </w:rPr>
        <w:t xml:space="preserve">Collaborative </w:t>
      </w:r>
      <w:r w:rsidRPr="0092021F">
        <w:rPr>
          <w:rFonts w:eastAsia="Times New Roman" w:cs="Arial"/>
          <w:sz w:val="21"/>
          <w:szCs w:val="21"/>
          <w:lang w:val="en-AU" w:eastAsia="en-AU"/>
        </w:rPr>
        <w:t xml:space="preserve">Hub involves </w:t>
      </w:r>
      <w:r w:rsidRPr="0092021F">
        <w:rPr>
          <w:sz w:val="21"/>
          <w:szCs w:val="21"/>
        </w:rPr>
        <w:t xml:space="preserve">fewer overheads than establishing an </w:t>
      </w:r>
      <w:r>
        <w:rPr>
          <w:sz w:val="21"/>
          <w:szCs w:val="21"/>
        </w:rPr>
        <w:t>entirely</w:t>
      </w:r>
      <w:r w:rsidRPr="0092021F">
        <w:rPr>
          <w:sz w:val="21"/>
          <w:szCs w:val="21"/>
        </w:rPr>
        <w:t xml:space="preserve"> new program or facility and will enable substantive work to commence at an earlier stage.</w:t>
      </w:r>
    </w:p>
    <w:p w14:paraId="02CF03B6" w14:textId="7C638605" w:rsidR="00B13EC7" w:rsidRPr="000762FC" w:rsidRDefault="00B13EC7" w:rsidP="004F0CBD">
      <w:pPr>
        <w:spacing w:before="240"/>
        <w:rPr>
          <w:b/>
        </w:rPr>
      </w:pPr>
      <w:r w:rsidRPr="000762FC">
        <w:rPr>
          <w:b/>
        </w:rPr>
        <w:t>Governance arrangements</w:t>
      </w:r>
    </w:p>
    <w:p w14:paraId="3BBF2A67" w14:textId="33E5314C" w:rsidR="00407BBC" w:rsidRPr="00BD39CF" w:rsidRDefault="00407BBC" w:rsidP="00F46375">
      <w:pPr>
        <w:spacing w:after="120"/>
        <w:jc w:val="both"/>
        <w:rPr>
          <w:rFonts w:cs="Arial"/>
          <w:sz w:val="21"/>
          <w:szCs w:val="21"/>
        </w:rPr>
      </w:pPr>
      <w:r w:rsidRPr="00BD39CF">
        <w:rPr>
          <w:rFonts w:cs="Arial"/>
          <w:sz w:val="21"/>
          <w:szCs w:val="21"/>
        </w:rPr>
        <w:t xml:space="preserve">The role of the </w:t>
      </w:r>
      <w:r w:rsidR="001C2B18">
        <w:rPr>
          <w:rFonts w:cs="Arial"/>
          <w:sz w:val="21"/>
          <w:szCs w:val="21"/>
        </w:rPr>
        <w:t>Collaborative Hub</w:t>
      </w:r>
      <w:r w:rsidR="00D74246" w:rsidRPr="00BD39CF">
        <w:rPr>
          <w:rFonts w:cs="Arial"/>
          <w:sz w:val="21"/>
          <w:szCs w:val="21"/>
        </w:rPr>
        <w:t xml:space="preserve"> </w:t>
      </w:r>
      <w:r w:rsidRPr="00BD39CF">
        <w:rPr>
          <w:rFonts w:cs="Arial"/>
          <w:sz w:val="21"/>
          <w:szCs w:val="21"/>
        </w:rPr>
        <w:t>will be to support the</w:t>
      </w:r>
      <w:r w:rsidRPr="00BD39CF">
        <w:rPr>
          <w:rFonts w:cstheme="minorHAnsi"/>
          <w:sz w:val="21"/>
          <w:szCs w:val="21"/>
        </w:rPr>
        <w:t xml:space="preserve"> Economic Cooperation </w:t>
      </w:r>
      <w:r w:rsidR="003942C6">
        <w:rPr>
          <w:rFonts w:cstheme="minorHAnsi"/>
          <w:sz w:val="21"/>
          <w:szCs w:val="21"/>
        </w:rPr>
        <w:t xml:space="preserve">Committee </w:t>
      </w:r>
      <w:r w:rsidRPr="00BD39CF">
        <w:rPr>
          <w:rFonts w:cstheme="minorHAnsi"/>
          <w:sz w:val="21"/>
          <w:szCs w:val="21"/>
        </w:rPr>
        <w:t>(the ECC)</w:t>
      </w:r>
      <w:r w:rsidR="004F0CBD" w:rsidRPr="004037BC">
        <w:rPr>
          <w:rStyle w:val="Style"/>
        </w:rPr>
        <w:footnoteReference w:id="28"/>
      </w:r>
      <w:r w:rsidR="00EB07ED" w:rsidRPr="00BD39CF">
        <w:rPr>
          <w:rFonts w:cs="Arial"/>
          <w:sz w:val="21"/>
          <w:szCs w:val="21"/>
        </w:rPr>
        <w:t xml:space="preserve"> to design and </w:t>
      </w:r>
      <w:r w:rsidRPr="00BD39CF">
        <w:rPr>
          <w:rFonts w:cs="Arial"/>
          <w:sz w:val="21"/>
          <w:szCs w:val="21"/>
        </w:rPr>
        <w:t xml:space="preserve">deliver activities consistent with </w:t>
      </w:r>
      <w:r w:rsidR="003942C6">
        <w:rPr>
          <w:rFonts w:cs="Arial"/>
          <w:sz w:val="21"/>
          <w:szCs w:val="21"/>
        </w:rPr>
        <w:t>an Annual Work</w:t>
      </w:r>
      <w:r w:rsidR="0077116A">
        <w:rPr>
          <w:rFonts w:cs="Arial"/>
          <w:sz w:val="21"/>
          <w:szCs w:val="21"/>
        </w:rPr>
        <w:t xml:space="preserve"> P</w:t>
      </w:r>
      <w:r w:rsidR="003942C6">
        <w:rPr>
          <w:rFonts w:cs="Arial"/>
          <w:sz w:val="21"/>
          <w:szCs w:val="21"/>
        </w:rPr>
        <w:t xml:space="preserve">lan </w:t>
      </w:r>
      <w:r w:rsidRPr="00BD39CF">
        <w:rPr>
          <w:rFonts w:cs="Arial"/>
          <w:sz w:val="21"/>
          <w:szCs w:val="21"/>
        </w:rPr>
        <w:t xml:space="preserve">agreed </w:t>
      </w:r>
      <w:r w:rsidR="003942C6">
        <w:rPr>
          <w:rFonts w:cs="Arial"/>
          <w:sz w:val="21"/>
          <w:szCs w:val="21"/>
        </w:rPr>
        <w:t>between Australia and Indonesia</w:t>
      </w:r>
      <w:r w:rsidRPr="00BD39CF">
        <w:rPr>
          <w:rFonts w:cs="Arial"/>
          <w:sz w:val="21"/>
          <w:szCs w:val="21"/>
        </w:rPr>
        <w:t>. This is likely to involve the following duties, subject to instructions by the ECC:</w:t>
      </w:r>
    </w:p>
    <w:p w14:paraId="2FCA7933" w14:textId="2479F0F6" w:rsidR="00407BBC" w:rsidRPr="00BD39CF" w:rsidRDefault="003767FB" w:rsidP="00280550">
      <w:pPr>
        <w:pStyle w:val="ListParagraph"/>
        <w:numPr>
          <w:ilvl w:val="0"/>
          <w:numId w:val="18"/>
        </w:numPr>
        <w:suppressAutoHyphens w:val="0"/>
        <w:spacing w:after="120"/>
        <w:jc w:val="both"/>
        <w:rPr>
          <w:rFonts w:cs="Arial"/>
          <w:sz w:val="21"/>
          <w:szCs w:val="21"/>
        </w:rPr>
      </w:pPr>
      <w:r>
        <w:rPr>
          <w:rFonts w:cs="Arial"/>
          <w:sz w:val="21"/>
          <w:szCs w:val="21"/>
        </w:rPr>
        <w:t>P</w:t>
      </w:r>
      <w:r w:rsidR="00407BBC" w:rsidRPr="00BD39CF">
        <w:rPr>
          <w:rFonts w:cs="Arial"/>
          <w:sz w:val="21"/>
          <w:szCs w:val="21"/>
        </w:rPr>
        <w:t>repare an Annual Work Plan for the ECC (informed by this design process)</w:t>
      </w:r>
      <w:r w:rsidR="004F0CBD" w:rsidRPr="004037BC">
        <w:rPr>
          <w:rStyle w:val="Style"/>
        </w:rPr>
        <w:footnoteReference w:id="29"/>
      </w:r>
      <w:r w:rsidR="00407BBC" w:rsidRPr="00BD39CF">
        <w:rPr>
          <w:rFonts w:cs="Arial"/>
          <w:sz w:val="21"/>
          <w:szCs w:val="21"/>
        </w:rPr>
        <w:t xml:space="preserve"> to submit for consideration and approval by the Joint </w:t>
      </w:r>
      <w:r w:rsidR="001168E7" w:rsidRPr="00BD39CF">
        <w:rPr>
          <w:rFonts w:cs="Arial"/>
          <w:sz w:val="21"/>
          <w:szCs w:val="21"/>
        </w:rPr>
        <w:t>Committee</w:t>
      </w:r>
      <w:r w:rsidR="003150C2">
        <w:rPr>
          <w:rFonts w:cs="Arial"/>
          <w:sz w:val="21"/>
          <w:szCs w:val="21"/>
        </w:rPr>
        <w:t>, after coordination of activity proposals (refer Annual Work Plan below)</w:t>
      </w:r>
      <w:r w:rsidR="001168E7" w:rsidRPr="00BD39CF">
        <w:rPr>
          <w:rFonts w:cs="Arial"/>
          <w:sz w:val="21"/>
          <w:szCs w:val="21"/>
        </w:rPr>
        <w:t>;</w:t>
      </w:r>
    </w:p>
    <w:p w14:paraId="449FEE0B" w14:textId="7E0FBC29" w:rsidR="00407BBC" w:rsidRPr="00BD39CF" w:rsidRDefault="001168E7" w:rsidP="00280550">
      <w:pPr>
        <w:pStyle w:val="ListParagraph"/>
        <w:numPr>
          <w:ilvl w:val="0"/>
          <w:numId w:val="18"/>
        </w:numPr>
        <w:suppressAutoHyphens w:val="0"/>
        <w:spacing w:after="120"/>
        <w:jc w:val="both"/>
        <w:rPr>
          <w:rFonts w:cs="Arial"/>
          <w:sz w:val="21"/>
          <w:szCs w:val="21"/>
        </w:rPr>
      </w:pPr>
      <w:r w:rsidRPr="00BD39CF">
        <w:rPr>
          <w:rFonts w:cs="Arial"/>
          <w:sz w:val="21"/>
          <w:szCs w:val="21"/>
        </w:rPr>
        <w:t>Implement</w:t>
      </w:r>
      <w:r w:rsidR="00407BBC" w:rsidRPr="00BD39CF">
        <w:rPr>
          <w:rFonts w:cs="Arial"/>
          <w:sz w:val="21"/>
          <w:szCs w:val="21"/>
        </w:rPr>
        <w:t xml:space="preserve"> the Annual Work Plan, including through direct delivery, working with existing programs and/or procuring or sub-contracting other delivery mechanisms, including industry involvement</w:t>
      </w:r>
      <w:r w:rsidR="003767FB">
        <w:rPr>
          <w:rFonts w:cs="Arial"/>
          <w:sz w:val="21"/>
          <w:szCs w:val="21"/>
        </w:rPr>
        <w:t>, as outlined above</w:t>
      </w:r>
      <w:r w:rsidR="00407BBC" w:rsidRPr="00BD39CF">
        <w:rPr>
          <w:rFonts w:cs="Arial"/>
          <w:sz w:val="21"/>
          <w:szCs w:val="21"/>
        </w:rPr>
        <w:t xml:space="preserve">; </w:t>
      </w:r>
    </w:p>
    <w:p w14:paraId="467C0306" w14:textId="7DAD8DD6" w:rsidR="00407BBC" w:rsidRPr="00BD39CF" w:rsidRDefault="001168E7" w:rsidP="00280550">
      <w:pPr>
        <w:pStyle w:val="ListParagraph"/>
        <w:numPr>
          <w:ilvl w:val="0"/>
          <w:numId w:val="18"/>
        </w:numPr>
        <w:suppressAutoHyphens w:val="0"/>
        <w:spacing w:after="120"/>
        <w:jc w:val="both"/>
        <w:rPr>
          <w:rFonts w:cs="Arial"/>
          <w:sz w:val="21"/>
          <w:szCs w:val="21"/>
        </w:rPr>
      </w:pPr>
      <w:r w:rsidRPr="00BD39CF">
        <w:rPr>
          <w:rFonts w:cs="Arial"/>
          <w:sz w:val="21"/>
          <w:szCs w:val="21"/>
        </w:rPr>
        <w:t>Work</w:t>
      </w:r>
      <w:r w:rsidR="00407BBC" w:rsidRPr="00BD39CF">
        <w:rPr>
          <w:rFonts w:cs="Arial"/>
          <w:sz w:val="21"/>
          <w:szCs w:val="21"/>
        </w:rPr>
        <w:t xml:space="preserve"> with other IA-CEPA committees to establish and maintain effective communication and coordination on economic cooperation activities; and </w:t>
      </w:r>
    </w:p>
    <w:p w14:paraId="055B0F80" w14:textId="2AF4A8F0" w:rsidR="00850811" w:rsidRDefault="001168E7" w:rsidP="00280550">
      <w:pPr>
        <w:pStyle w:val="ListParagraph"/>
        <w:numPr>
          <w:ilvl w:val="0"/>
          <w:numId w:val="18"/>
        </w:numPr>
        <w:suppressAutoHyphens w:val="0"/>
        <w:spacing w:after="120"/>
        <w:jc w:val="both"/>
        <w:rPr>
          <w:rFonts w:cs="Arial"/>
          <w:sz w:val="21"/>
          <w:szCs w:val="21"/>
        </w:rPr>
      </w:pPr>
      <w:r w:rsidRPr="00BD39CF">
        <w:rPr>
          <w:rFonts w:cs="Arial"/>
          <w:sz w:val="21"/>
          <w:szCs w:val="21"/>
        </w:rPr>
        <w:t>Undertake</w:t>
      </w:r>
      <w:r w:rsidR="00407BBC" w:rsidRPr="00BD39CF">
        <w:rPr>
          <w:rFonts w:cs="Arial"/>
          <w:sz w:val="21"/>
          <w:szCs w:val="21"/>
        </w:rPr>
        <w:t xml:space="preserve"> comprehensive monitoring and evaluation throughout the program with annual performance reporting to the ECC. </w:t>
      </w:r>
    </w:p>
    <w:p w14:paraId="7A83A8CB" w14:textId="3FD49C6A" w:rsidR="00D74246" w:rsidRPr="00107DE9" w:rsidRDefault="00D74246" w:rsidP="00F46375">
      <w:pPr>
        <w:spacing w:after="120"/>
        <w:jc w:val="both"/>
        <w:rPr>
          <w:rFonts w:cs="Arial"/>
          <w:sz w:val="21"/>
          <w:szCs w:val="21"/>
        </w:rPr>
      </w:pPr>
      <w:r w:rsidRPr="00107DE9">
        <w:rPr>
          <w:rFonts w:cs="Arial"/>
          <w:sz w:val="21"/>
          <w:szCs w:val="21"/>
        </w:rPr>
        <w:t>The Collaborative Hub would be staffed to act as secretariat to the ECC, as well as having the technical capacity to deliver some activities itself or manage activities delivered in collaboration with existing programs and facilities.</w:t>
      </w:r>
    </w:p>
    <w:p w14:paraId="15B185D0" w14:textId="66AB4F9B" w:rsidR="00826075" w:rsidRDefault="00407BBC" w:rsidP="00F46375">
      <w:pPr>
        <w:spacing w:after="120"/>
        <w:jc w:val="both"/>
        <w:rPr>
          <w:rFonts w:cs="Arial"/>
          <w:sz w:val="21"/>
          <w:szCs w:val="21"/>
        </w:rPr>
      </w:pPr>
      <w:r w:rsidRPr="00BD39CF">
        <w:rPr>
          <w:rFonts w:cs="Arial"/>
          <w:sz w:val="21"/>
          <w:szCs w:val="21"/>
        </w:rPr>
        <w:t>As set out in the IA-CEPA Economic Cooperation chapter, the ECC shall be jointly chaired by Australia and Indonesia.</w:t>
      </w:r>
      <w:r w:rsidR="00826075" w:rsidRPr="00826075">
        <w:rPr>
          <w:rFonts w:cs="Arial"/>
          <w:sz w:val="21"/>
          <w:szCs w:val="21"/>
        </w:rPr>
        <w:t xml:space="preserve"> </w:t>
      </w:r>
      <w:r w:rsidR="00826075" w:rsidRPr="00BD39CF">
        <w:rPr>
          <w:rFonts w:cs="Arial"/>
          <w:sz w:val="21"/>
          <w:szCs w:val="21"/>
        </w:rPr>
        <w:t xml:space="preserve">Final approval of the ECP Annual Work Plan will be a </w:t>
      </w:r>
      <w:r w:rsidR="00CA32F6">
        <w:rPr>
          <w:rFonts w:cs="Arial"/>
          <w:sz w:val="21"/>
          <w:szCs w:val="21"/>
        </w:rPr>
        <w:t xml:space="preserve">Joint </w:t>
      </w:r>
      <w:r w:rsidR="000F30B3">
        <w:rPr>
          <w:rFonts w:cs="Arial"/>
          <w:sz w:val="21"/>
          <w:szCs w:val="21"/>
        </w:rPr>
        <w:t>Committee</w:t>
      </w:r>
      <w:r w:rsidR="00CA32F6">
        <w:rPr>
          <w:rFonts w:cs="Arial"/>
          <w:sz w:val="21"/>
          <w:szCs w:val="21"/>
        </w:rPr>
        <w:t xml:space="preserve"> </w:t>
      </w:r>
      <w:r w:rsidR="00DA5E2C">
        <w:rPr>
          <w:rFonts w:cs="Arial"/>
          <w:sz w:val="21"/>
          <w:szCs w:val="21"/>
        </w:rPr>
        <w:t xml:space="preserve">decision </w:t>
      </w:r>
      <w:r w:rsidR="00CA32F6">
        <w:rPr>
          <w:rFonts w:cs="Arial"/>
          <w:sz w:val="21"/>
          <w:szCs w:val="21"/>
        </w:rPr>
        <w:t>following consideration by the ECC</w:t>
      </w:r>
      <w:r w:rsidR="00826075" w:rsidRPr="00BD39CF">
        <w:rPr>
          <w:rFonts w:cs="Arial"/>
          <w:sz w:val="21"/>
          <w:szCs w:val="21"/>
        </w:rPr>
        <w:t xml:space="preserve">. </w:t>
      </w:r>
    </w:p>
    <w:p w14:paraId="5053BF41" w14:textId="1FFC808C" w:rsidR="00105BBF" w:rsidRPr="00A163C4" w:rsidRDefault="00105BBF" w:rsidP="00EC4B13">
      <w:pPr>
        <w:tabs>
          <w:tab w:val="left" w:pos="2835"/>
        </w:tabs>
        <w:spacing w:after="120"/>
        <w:jc w:val="both"/>
        <w:rPr>
          <w:rFonts w:cs="Arial"/>
          <w:sz w:val="21"/>
          <w:szCs w:val="21"/>
        </w:rPr>
      </w:pPr>
      <w:r w:rsidRPr="00A163C4">
        <w:rPr>
          <w:rFonts w:cs="Arial"/>
          <w:sz w:val="21"/>
          <w:szCs w:val="21"/>
        </w:rPr>
        <w:t xml:space="preserve">The Government of Indonesia, through its representative on the ECC (which is likely to be </w:t>
      </w:r>
      <w:proofErr w:type="spellStart"/>
      <w:r w:rsidRPr="00A163C4">
        <w:rPr>
          <w:rFonts w:cs="Arial"/>
          <w:sz w:val="21"/>
          <w:szCs w:val="21"/>
        </w:rPr>
        <w:t>Bappenas</w:t>
      </w:r>
      <w:proofErr w:type="spellEnd"/>
      <w:r w:rsidRPr="00A163C4">
        <w:rPr>
          <w:rFonts w:cs="Arial"/>
          <w:sz w:val="21"/>
          <w:szCs w:val="21"/>
        </w:rPr>
        <w:t xml:space="preserve">), will be responsible for </w:t>
      </w:r>
      <w:r w:rsidRPr="00A163C4">
        <w:rPr>
          <w:rFonts w:cs="Arial"/>
          <w:b/>
          <w:sz w:val="21"/>
          <w:szCs w:val="21"/>
        </w:rPr>
        <w:t>working with DFAT to have a Subsidiary Agreement supporting the ECP in place</w:t>
      </w:r>
      <w:r w:rsidRPr="00A163C4">
        <w:rPr>
          <w:rFonts w:cs="Arial"/>
          <w:sz w:val="21"/>
          <w:szCs w:val="21"/>
        </w:rPr>
        <w:t xml:space="preserve">, a requirement of the Government of Indonesia, prior to the commencement of activities. To ensure efficient implementation of the ECP, </w:t>
      </w:r>
      <w:proofErr w:type="spellStart"/>
      <w:r w:rsidRPr="00A163C4">
        <w:rPr>
          <w:rFonts w:cs="Arial"/>
          <w:sz w:val="21"/>
          <w:szCs w:val="21"/>
        </w:rPr>
        <w:t>Bappenas</w:t>
      </w:r>
      <w:proofErr w:type="spellEnd"/>
      <w:r w:rsidRPr="00A163C4">
        <w:rPr>
          <w:rFonts w:cs="Arial"/>
          <w:sz w:val="21"/>
          <w:szCs w:val="21"/>
        </w:rPr>
        <w:t xml:space="preserve"> will have responsibility for Development Budget Reporting (known as ‘</w:t>
      </w:r>
      <w:r w:rsidRPr="00A163C4">
        <w:rPr>
          <w:rFonts w:cs="Arial"/>
          <w:b/>
          <w:sz w:val="21"/>
          <w:szCs w:val="21"/>
        </w:rPr>
        <w:t>BAST</w:t>
      </w:r>
      <w:r w:rsidRPr="00A163C4">
        <w:rPr>
          <w:rFonts w:cs="Arial"/>
          <w:sz w:val="21"/>
          <w:szCs w:val="21"/>
        </w:rPr>
        <w:t xml:space="preserve">’) compliance and reporting for all ECP activities. </w:t>
      </w:r>
    </w:p>
    <w:p w14:paraId="5AAA714B" w14:textId="534FDE32" w:rsidR="00107DE9" w:rsidRDefault="00107DE9" w:rsidP="00107DE9">
      <w:pPr>
        <w:suppressAutoHyphens w:val="0"/>
        <w:spacing w:after="120"/>
        <w:jc w:val="both"/>
        <w:rPr>
          <w:rFonts w:cs="Arial"/>
          <w:sz w:val="21"/>
          <w:szCs w:val="21"/>
        </w:rPr>
      </w:pPr>
      <w:r w:rsidRPr="00107DE9">
        <w:rPr>
          <w:rFonts w:eastAsia="Times New Roman" w:cs="Arial"/>
          <w:sz w:val="21"/>
          <w:szCs w:val="21"/>
          <w:lang w:val="en-AU" w:eastAsia="en-AU"/>
        </w:rPr>
        <w:t xml:space="preserve">The </w:t>
      </w:r>
      <w:r w:rsidR="00710C2D">
        <w:rPr>
          <w:rFonts w:eastAsia="Times New Roman" w:cs="Arial"/>
          <w:sz w:val="21"/>
          <w:szCs w:val="21"/>
          <w:lang w:val="en-AU" w:eastAsia="en-AU"/>
        </w:rPr>
        <w:t xml:space="preserve">Collaborative </w:t>
      </w:r>
      <w:r w:rsidRPr="00107DE9">
        <w:rPr>
          <w:rFonts w:eastAsia="Times New Roman" w:cs="Arial"/>
          <w:sz w:val="21"/>
          <w:szCs w:val="21"/>
          <w:lang w:val="en-AU" w:eastAsia="en-AU"/>
        </w:rPr>
        <w:t>Hub will have scope to accept both official development assistance (ODA) and potential non-ODA funding, depending on the nature of the proposed activity.</w:t>
      </w:r>
      <w:r w:rsidR="000B55B0">
        <w:rPr>
          <w:rFonts w:eastAsia="Times New Roman" w:cs="Arial"/>
          <w:sz w:val="21"/>
          <w:szCs w:val="21"/>
          <w:lang w:val="en-AU" w:eastAsia="en-AU"/>
        </w:rPr>
        <w:t xml:space="preserve"> All activity proposals will need to demonstrate compliance with ECP objectives. </w:t>
      </w:r>
    </w:p>
    <w:p w14:paraId="3A08446A" w14:textId="3121EE5B" w:rsidR="00105BBF" w:rsidRPr="00EC4B13" w:rsidRDefault="00105BBF" w:rsidP="00EC4B13">
      <w:pPr>
        <w:rPr>
          <w:rFonts w:cs="Arial"/>
          <w:b/>
          <w:i/>
          <w:sz w:val="21"/>
          <w:szCs w:val="21"/>
        </w:rPr>
      </w:pPr>
      <w:r w:rsidRPr="00EC4B13">
        <w:rPr>
          <w:rFonts w:cs="Arial"/>
          <w:b/>
          <w:i/>
          <w:sz w:val="21"/>
          <w:szCs w:val="21"/>
        </w:rPr>
        <w:t>Coordinating Australia’s Whole-of-Government Approach to the ECP</w:t>
      </w:r>
    </w:p>
    <w:p w14:paraId="1ADA94C7" w14:textId="35CE0370" w:rsidR="00B56942" w:rsidRDefault="003451D7" w:rsidP="00105BBF">
      <w:pPr>
        <w:spacing w:after="120"/>
        <w:jc w:val="both"/>
        <w:rPr>
          <w:rFonts w:cs="Arial"/>
          <w:sz w:val="21"/>
          <w:szCs w:val="21"/>
        </w:rPr>
      </w:pPr>
      <w:r>
        <w:rPr>
          <w:rFonts w:cs="Arial"/>
          <w:sz w:val="21"/>
          <w:szCs w:val="21"/>
        </w:rPr>
        <w:lastRenderedPageBreak/>
        <w:t xml:space="preserve">The nature of the ECP being a largely Australian ODA funded program tied to a bilateral trade agreement and formally reporting to a series of treaty-established committees under IA-CEPA requires a </w:t>
      </w:r>
      <w:r w:rsidRPr="00EC4B13">
        <w:rPr>
          <w:rFonts w:cs="Arial"/>
          <w:b/>
          <w:sz w:val="21"/>
          <w:szCs w:val="21"/>
        </w:rPr>
        <w:t>coordinated approach to managing Australia’s interests</w:t>
      </w:r>
      <w:r>
        <w:rPr>
          <w:rFonts w:cs="Arial"/>
          <w:sz w:val="21"/>
          <w:szCs w:val="21"/>
        </w:rPr>
        <w:t xml:space="preserve">. </w:t>
      </w:r>
      <w:r w:rsidR="00B56942">
        <w:rPr>
          <w:rFonts w:cs="Arial"/>
          <w:sz w:val="21"/>
          <w:szCs w:val="21"/>
        </w:rPr>
        <w:t xml:space="preserve">Diagram 3 below </w:t>
      </w:r>
      <w:r w:rsidR="00A3719C">
        <w:rPr>
          <w:rFonts w:cs="Arial"/>
          <w:sz w:val="21"/>
          <w:szCs w:val="21"/>
        </w:rPr>
        <w:t>depict</w:t>
      </w:r>
      <w:r w:rsidR="00B56942">
        <w:rPr>
          <w:rFonts w:cs="Arial"/>
          <w:sz w:val="21"/>
          <w:szCs w:val="21"/>
        </w:rPr>
        <w:t>s</w:t>
      </w:r>
      <w:r w:rsidR="00A3719C">
        <w:rPr>
          <w:rFonts w:cs="Arial"/>
          <w:sz w:val="21"/>
          <w:szCs w:val="21"/>
        </w:rPr>
        <w:t xml:space="preserve"> the coordination of Australia’s oversight of the ECP.</w:t>
      </w:r>
      <w:r w:rsidR="00B56942">
        <w:rPr>
          <w:rFonts w:cs="Arial"/>
          <w:sz w:val="21"/>
          <w:szCs w:val="21"/>
        </w:rPr>
        <w:t xml:space="preserve"> </w:t>
      </w:r>
    </w:p>
    <w:p w14:paraId="13290EBF" w14:textId="34A137FB" w:rsidR="00B56942" w:rsidRDefault="00B56942" w:rsidP="00105BBF">
      <w:pPr>
        <w:spacing w:after="120"/>
        <w:jc w:val="both"/>
        <w:rPr>
          <w:rFonts w:cs="Arial"/>
          <w:sz w:val="21"/>
          <w:szCs w:val="21"/>
        </w:rPr>
      </w:pPr>
      <w:r>
        <w:rPr>
          <w:rFonts w:cs="Arial"/>
          <w:sz w:val="21"/>
          <w:szCs w:val="21"/>
        </w:rPr>
        <w:t xml:space="preserve">Australia </w:t>
      </w:r>
      <w:r w:rsidRPr="00A163C4">
        <w:rPr>
          <w:rFonts w:cs="Arial"/>
          <w:sz w:val="21"/>
          <w:szCs w:val="21"/>
        </w:rPr>
        <w:t>will be represented on the ECC through DFAT Jakarta Post at the Deputy Ambassador level</w:t>
      </w:r>
      <w:r>
        <w:rPr>
          <w:rFonts w:cs="Arial"/>
          <w:sz w:val="21"/>
          <w:szCs w:val="21"/>
        </w:rPr>
        <w:t xml:space="preserve"> (or their delegate as appropriate)</w:t>
      </w:r>
      <w:r w:rsidRPr="00A163C4">
        <w:rPr>
          <w:rFonts w:cs="Arial"/>
          <w:sz w:val="21"/>
          <w:szCs w:val="21"/>
        </w:rPr>
        <w:t>, ensuring a broad understanding of the bilateral development program</w:t>
      </w:r>
      <w:r>
        <w:rPr>
          <w:rFonts w:cs="Arial"/>
          <w:sz w:val="21"/>
          <w:szCs w:val="21"/>
        </w:rPr>
        <w:t xml:space="preserve"> and </w:t>
      </w:r>
      <w:r w:rsidRPr="00A163C4">
        <w:rPr>
          <w:rFonts w:cs="Arial"/>
          <w:sz w:val="21"/>
          <w:szCs w:val="21"/>
        </w:rPr>
        <w:t xml:space="preserve">the bilateral economic relationship. Australia’s Deputy Ambassador would also act as the </w:t>
      </w:r>
      <w:r w:rsidRPr="00B612AB">
        <w:rPr>
          <w:rFonts w:cs="Arial"/>
          <w:b/>
          <w:sz w:val="21"/>
          <w:szCs w:val="21"/>
        </w:rPr>
        <w:t>Senior Responsible Officer (SRO)</w:t>
      </w:r>
      <w:r w:rsidRPr="00A163C4">
        <w:rPr>
          <w:rFonts w:cs="Arial"/>
          <w:sz w:val="21"/>
          <w:szCs w:val="21"/>
        </w:rPr>
        <w:t xml:space="preserve"> for the ECP, to coordinate the views of Australian Government stakeholders into a single voice regarding the operation of the Collaborative Hub.</w:t>
      </w:r>
    </w:p>
    <w:p w14:paraId="59FA2B3F" w14:textId="3B66B69B" w:rsidR="00B56942" w:rsidRDefault="00B56942" w:rsidP="00105BBF">
      <w:pPr>
        <w:spacing w:after="120"/>
        <w:jc w:val="both"/>
        <w:rPr>
          <w:rFonts w:cs="Arial"/>
          <w:sz w:val="21"/>
          <w:szCs w:val="21"/>
        </w:rPr>
      </w:pPr>
      <w:r>
        <w:rPr>
          <w:rFonts w:cs="Arial"/>
          <w:sz w:val="21"/>
          <w:szCs w:val="21"/>
        </w:rPr>
        <w:t xml:space="preserve">The SRO will have oversight of the Managing Contractor of the Collaborative Hub, which implements the ECP. The SRO will play a critical role in coordinating the views of the three key Government stakeholders in the ECP, being DFAT Canberra, Jakarta Post, and the Regional Trade Division. Through at least </w:t>
      </w:r>
      <w:r w:rsidRPr="00B612AB">
        <w:rPr>
          <w:rFonts w:cs="Arial"/>
          <w:b/>
          <w:sz w:val="21"/>
          <w:szCs w:val="21"/>
        </w:rPr>
        <w:t>monthly meetings between the Managing Contractor, Jakarta Post, DFAT Canberra and the Regional Trade Division</w:t>
      </w:r>
      <w:r>
        <w:rPr>
          <w:rFonts w:cs="Arial"/>
          <w:sz w:val="21"/>
          <w:szCs w:val="21"/>
        </w:rPr>
        <w:t xml:space="preserve">, the SRO (or their delegate as appropriate) will ensure that the Managing Contractor is effectively pursuing Australia’s </w:t>
      </w:r>
      <w:r w:rsidRPr="00EC4B13">
        <w:rPr>
          <w:rFonts w:cs="Arial"/>
          <w:sz w:val="21"/>
          <w:szCs w:val="21"/>
        </w:rPr>
        <w:t>economic diplomacy objectives, while also ensuring high-quality technical trade/investment inputs are made</w:t>
      </w:r>
      <w:r w:rsidRPr="0001122D">
        <w:rPr>
          <w:rFonts w:cs="Arial"/>
          <w:sz w:val="21"/>
          <w:szCs w:val="21"/>
        </w:rPr>
        <w:t>.</w:t>
      </w:r>
      <w:r>
        <w:rPr>
          <w:rFonts w:cs="Arial"/>
          <w:sz w:val="21"/>
          <w:szCs w:val="21"/>
        </w:rPr>
        <w:t xml:space="preserve"> </w:t>
      </w:r>
    </w:p>
    <w:p w14:paraId="6EE4615F" w14:textId="3258E6E9" w:rsidR="00314A3E" w:rsidRDefault="00BE3A49" w:rsidP="00314A3E">
      <w:pPr>
        <w:spacing w:after="120"/>
        <w:jc w:val="both"/>
        <w:rPr>
          <w:rFonts w:cs="Arial"/>
          <w:sz w:val="21"/>
          <w:szCs w:val="21"/>
        </w:rPr>
      </w:pPr>
      <w:r>
        <w:rPr>
          <w:rFonts w:cs="Arial"/>
          <w:noProof/>
          <w:sz w:val="21"/>
          <w:szCs w:val="21"/>
          <w:lang w:val="en-AU" w:eastAsia="en-AU"/>
        </w:rPr>
        <w:drawing>
          <wp:anchor distT="0" distB="0" distL="114300" distR="114300" simplePos="0" relativeHeight="251720704" behindDoc="0" locked="0" layoutInCell="1" allowOverlap="1" wp14:anchorId="0CF15FB8" wp14:editId="5F28CEE5">
            <wp:simplePos x="0" y="0"/>
            <wp:positionH relativeFrom="column">
              <wp:posOffset>1066289</wp:posOffset>
            </wp:positionH>
            <wp:positionV relativeFrom="paragraph">
              <wp:posOffset>337192</wp:posOffset>
            </wp:positionV>
            <wp:extent cx="3958689" cy="2912260"/>
            <wp:effectExtent l="0" t="0" r="3810" b="0"/>
            <wp:wrapTopAndBottom/>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a:extLst>
                        <a:ext uri="{28A0092B-C50C-407E-A947-70E740481C1C}">
                          <a14:useLocalDpi xmlns:a14="http://schemas.microsoft.com/office/drawing/2010/main" val="0"/>
                        </a:ext>
                      </a:extLst>
                    </a:blip>
                    <a:srcRect l="9530" t="2058" r="9624" b="18497"/>
                    <a:stretch/>
                  </pic:blipFill>
                  <pic:spPr bwMode="auto">
                    <a:xfrm>
                      <a:off x="0" y="0"/>
                      <a:ext cx="3958689" cy="2912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6942" w:rsidRPr="00A3719C">
        <w:rPr>
          <w:rFonts w:cs="Arial"/>
          <w:noProof/>
          <w:sz w:val="21"/>
          <w:szCs w:val="21"/>
          <w:lang w:val="en-AU" w:eastAsia="en-AU"/>
        </w:rPr>
        <mc:AlternateContent>
          <mc:Choice Requires="wps">
            <w:drawing>
              <wp:anchor distT="45720" distB="45720" distL="114300" distR="114300" simplePos="0" relativeHeight="251717632" behindDoc="1" locked="0" layoutInCell="1" allowOverlap="1" wp14:anchorId="6050A8ED" wp14:editId="6D8A8BAF">
                <wp:simplePos x="0" y="0"/>
                <wp:positionH relativeFrom="column">
                  <wp:posOffset>1882199</wp:posOffset>
                </wp:positionH>
                <wp:positionV relativeFrom="paragraph">
                  <wp:posOffset>203</wp:posOffset>
                </wp:positionV>
                <wp:extent cx="2360930" cy="1404620"/>
                <wp:effectExtent l="0" t="0" r="9525" b="1270"/>
                <wp:wrapTight wrapText="bothSides">
                  <wp:wrapPolygon edited="0">
                    <wp:start x="0" y="0"/>
                    <wp:lineTo x="0" y="20153"/>
                    <wp:lineTo x="21516" y="20153"/>
                    <wp:lineTo x="21516" y="0"/>
                    <wp:lineTo x="0" y="0"/>
                  </wp:wrapPolygon>
                </wp:wrapTight>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39CA319" w14:textId="74D2418B" w:rsidR="00525A2A" w:rsidRPr="007C4ABD" w:rsidRDefault="00525A2A" w:rsidP="007C4ABD">
                            <w:pPr>
                              <w:spacing w:before="0" w:after="0"/>
                              <w:jc w:val="center"/>
                              <w:rPr>
                                <w:b/>
                              </w:rPr>
                            </w:pPr>
                            <w:r w:rsidRPr="00B56942">
                              <w:rPr>
                                <w:b/>
                                <w:sz w:val="21"/>
                                <w:szCs w:val="21"/>
                              </w:rPr>
                              <w:t>Diagram 3</w:t>
                            </w:r>
                            <w:r w:rsidRPr="00B56942">
                              <w:rPr>
                                <w:b/>
                                <w:noProof/>
                                <w:sz w:val="21"/>
                                <w:szCs w:val="21"/>
                              </w:rPr>
                              <w:t>. Roles and Responsibilities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050A8ED" id="_x0000_t202" coordsize="21600,21600" o:spt="202" path="m,l,21600r21600,l21600,xe">
                <v:stroke joinstyle="miter"/>
                <v:path gradientshapeok="t" o:connecttype="rect"/>
              </v:shapetype>
              <v:shape id="Text Box 2" o:spid="_x0000_s1026" type="#_x0000_t202" style="position:absolute;left:0;text-align:left;margin-left:148.2pt;margin-top:0;width:185.9pt;height:110.6pt;z-index:-2515988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" stroked="f">
                <v:textbox style="mso-fit-shape-to-text:t">
                  <w:txbxContent>
                    <w:p w14:paraId="639CA319" w14:textId="74D2418B" w:rsidR="00525A2A" w:rsidRPr="007C4ABD" w:rsidRDefault="00525A2A" w:rsidP="007C4ABD">
                      <w:pPr>
                        <w:spacing w:before="0" w:after="0"/>
                        <w:jc w:val="center"/>
                        <w:rPr>
                          <w:b/>
                        </w:rPr>
                      </w:pPr>
                      <w:r w:rsidRPr="00B56942">
                        <w:rPr>
                          <w:b/>
                          <w:sz w:val="21"/>
                          <w:szCs w:val="21"/>
                        </w:rPr>
                        <w:t>Diagram 3</w:t>
                      </w:r>
                      <w:r w:rsidRPr="00B56942">
                        <w:rPr>
                          <w:b/>
                          <w:noProof/>
                          <w:sz w:val="21"/>
                          <w:szCs w:val="21"/>
                        </w:rPr>
                        <w:t>. Roles and Responsibilities</w:t>
                      </w:r>
                    </w:p>
                  </w:txbxContent>
                </v:textbox>
                <w10:wrap type="tight"/>
              </v:shape>
            </w:pict>
          </mc:Fallback>
        </mc:AlternateContent>
      </w:r>
    </w:p>
    <w:p w14:paraId="17232E98" w14:textId="27556172" w:rsidR="00407BBC" w:rsidRPr="00811BBD" w:rsidRDefault="00D12C27" w:rsidP="007C4ABD">
      <w:pPr>
        <w:rPr>
          <w:b/>
        </w:rPr>
      </w:pPr>
      <w:r w:rsidRPr="00811BBD">
        <w:rPr>
          <w:b/>
        </w:rPr>
        <w:t>Guiding Principles</w:t>
      </w:r>
    </w:p>
    <w:p w14:paraId="286264BB" w14:textId="6529250C" w:rsidR="009B3421" w:rsidRPr="0092021F" w:rsidRDefault="00C96950" w:rsidP="00F46375">
      <w:pPr>
        <w:spacing w:after="120"/>
        <w:jc w:val="both"/>
        <w:rPr>
          <w:rFonts w:cstheme="majorHAnsi"/>
          <w:sz w:val="21"/>
          <w:szCs w:val="21"/>
        </w:rPr>
      </w:pPr>
      <w:r w:rsidRPr="0092021F">
        <w:rPr>
          <w:rFonts w:cstheme="majorHAnsi"/>
          <w:sz w:val="21"/>
          <w:szCs w:val="21"/>
        </w:rPr>
        <w:t xml:space="preserve">The </w:t>
      </w:r>
      <w:r w:rsidR="009B3421" w:rsidRPr="0092021F">
        <w:rPr>
          <w:rFonts w:cstheme="majorHAnsi"/>
          <w:sz w:val="21"/>
          <w:szCs w:val="21"/>
        </w:rPr>
        <w:t xml:space="preserve">ECP will adopt a flexible approach to deliver activities that support Australia’s commercial and economic diplomacy agenda and Indonesia’s economic reform outcomes. Each activity will be selected noting the objectives of ECP; to encourage implementation, support trade facilitation, and Indonesia’s economic reform agenda. </w:t>
      </w:r>
    </w:p>
    <w:p w14:paraId="6230EE77" w14:textId="3E73A0F6" w:rsidR="009B3421" w:rsidRPr="0092021F" w:rsidRDefault="00C96950" w:rsidP="00F46375">
      <w:pPr>
        <w:spacing w:after="120"/>
        <w:jc w:val="both"/>
        <w:rPr>
          <w:rFonts w:cstheme="majorHAnsi"/>
          <w:sz w:val="21"/>
          <w:szCs w:val="21"/>
        </w:rPr>
      </w:pPr>
      <w:r w:rsidRPr="0092021F">
        <w:rPr>
          <w:rFonts w:cstheme="majorHAnsi"/>
          <w:sz w:val="21"/>
          <w:szCs w:val="21"/>
        </w:rPr>
        <w:t>To guide the design and selection of activities under the ECP, the following</w:t>
      </w:r>
      <w:r w:rsidR="009B3421" w:rsidRPr="0092021F">
        <w:rPr>
          <w:rFonts w:cstheme="majorHAnsi"/>
          <w:sz w:val="21"/>
          <w:szCs w:val="21"/>
        </w:rPr>
        <w:t xml:space="preserve"> overarching principles</w:t>
      </w:r>
      <w:r w:rsidRPr="0092021F">
        <w:rPr>
          <w:rFonts w:cstheme="majorHAnsi"/>
          <w:sz w:val="21"/>
          <w:szCs w:val="21"/>
        </w:rPr>
        <w:t xml:space="preserve"> are proposed</w:t>
      </w:r>
      <w:r w:rsidR="009B3421" w:rsidRPr="0092021F">
        <w:rPr>
          <w:rFonts w:cstheme="majorHAnsi"/>
          <w:sz w:val="21"/>
          <w:szCs w:val="21"/>
        </w:rPr>
        <w:t xml:space="preserve">: </w:t>
      </w:r>
    </w:p>
    <w:p w14:paraId="4E3B61B3" w14:textId="77777777" w:rsidR="00696FA4" w:rsidRPr="0092021F" w:rsidRDefault="00696FA4" w:rsidP="00696FA4">
      <w:pPr>
        <w:pStyle w:val="ListParagraph"/>
        <w:numPr>
          <w:ilvl w:val="0"/>
          <w:numId w:val="15"/>
        </w:numPr>
        <w:suppressAutoHyphens w:val="0"/>
        <w:spacing w:after="120"/>
        <w:jc w:val="both"/>
        <w:rPr>
          <w:rFonts w:cstheme="majorHAnsi"/>
          <w:sz w:val="21"/>
          <w:szCs w:val="21"/>
        </w:rPr>
      </w:pPr>
      <w:r w:rsidRPr="0092021F">
        <w:rPr>
          <w:rFonts w:cstheme="majorHAnsi"/>
          <w:b/>
          <w:sz w:val="21"/>
          <w:szCs w:val="21"/>
        </w:rPr>
        <w:t xml:space="preserve">Maximises the outcomes of IA-CEPA: </w:t>
      </w:r>
      <w:r w:rsidRPr="0092021F">
        <w:rPr>
          <w:rFonts w:cstheme="majorHAnsi"/>
          <w:sz w:val="21"/>
          <w:szCs w:val="21"/>
        </w:rPr>
        <w:t>activities</w:t>
      </w:r>
      <w:r w:rsidRPr="0092021F">
        <w:rPr>
          <w:rFonts w:cstheme="majorHAnsi"/>
          <w:b/>
          <w:sz w:val="21"/>
          <w:szCs w:val="21"/>
        </w:rPr>
        <w:t xml:space="preserve"> </w:t>
      </w:r>
      <w:r w:rsidRPr="0092021F">
        <w:rPr>
          <w:rFonts w:cstheme="majorHAnsi"/>
          <w:sz w:val="21"/>
          <w:szCs w:val="21"/>
        </w:rPr>
        <w:t>should be tied to the outcomes of the IA-CEPA in goods, services and investment. Activities should seek to maximise IA-CEPA outcome</w:t>
      </w:r>
      <w:r>
        <w:rPr>
          <w:rFonts w:cstheme="majorHAnsi"/>
          <w:sz w:val="21"/>
          <w:szCs w:val="21"/>
        </w:rPr>
        <w:t>s;</w:t>
      </w:r>
    </w:p>
    <w:p w14:paraId="1FD8D65C" w14:textId="77777777" w:rsidR="00696FA4" w:rsidRPr="0092021F" w:rsidRDefault="00696FA4" w:rsidP="00696FA4">
      <w:pPr>
        <w:pStyle w:val="ListParagraph"/>
        <w:numPr>
          <w:ilvl w:val="0"/>
          <w:numId w:val="15"/>
        </w:numPr>
        <w:suppressAutoHyphens w:val="0"/>
        <w:spacing w:after="120"/>
        <w:jc w:val="both"/>
        <w:rPr>
          <w:rFonts w:cstheme="majorHAnsi"/>
          <w:sz w:val="21"/>
          <w:szCs w:val="21"/>
        </w:rPr>
      </w:pPr>
      <w:r w:rsidRPr="0092021F">
        <w:rPr>
          <w:rFonts w:cstheme="majorHAnsi"/>
          <w:b/>
          <w:sz w:val="21"/>
          <w:szCs w:val="21"/>
        </w:rPr>
        <w:t xml:space="preserve">Aligned to bilateral and regional interests: </w:t>
      </w:r>
      <w:r w:rsidRPr="0092021F">
        <w:rPr>
          <w:rFonts w:cstheme="majorHAnsi"/>
          <w:sz w:val="21"/>
          <w:szCs w:val="21"/>
        </w:rPr>
        <w:t>activities</w:t>
      </w:r>
      <w:r w:rsidRPr="0092021F">
        <w:rPr>
          <w:rFonts w:cstheme="majorHAnsi"/>
          <w:b/>
          <w:sz w:val="21"/>
          <w:szCs w:val="21"/>
        </w:rPr>
        <w:t xml:space="preserve"> </w:t>
      </w:r>
      <w:r w:rsidRPr="0092021F">
        <w:rPr>
          <w:rFonts w:cstheme="majorHAnsi"/>
          <w:sz w:val="21"/>
          <w:szCs w:val="21"/>
        </w:rPr>
        <w:t>should</w:t>
      </w:r>
      <w:r w:rsidRPr="0092021F">
        <w:rPr>
          <w:rFonts w:cstheme="majorHAnsi"/>
          <w:b/>
          <w:sz w:val="21"/>
          <w:szCs w:val="21"/>
        </w:rPr>
        <w:t xml:space="preserve"> </w:t>
      </w:r>
      <w:r w:rsidRPr="0092021F">
        <w:rPr>
          <w:rFonts w:cstheme="majorHAnsi"/>
          <w:sz w:val="21"/>
          <w:szCs w:val="21"/>
        </w:rPr>
        <w:t>align with and not duplicate Australia’s existing bilateral or regional economic objectives</w:t>
      </w:r>
      <w:r>
        <w:rPr>
          <w:rFonts w:cstheme="majorHAnsi"/>
          <w:sz w:val="21"/>
          <w:szCs w:val="21"/>
        </w:rPr>
        <w:t>;</w:t>
      </w:r>
    </w:p>
    <w:p w14:paraId="4B912BEB" w14:textId="77777777" w:rsidR="00696FA4" w:rsidRPr="0092021F" w:rsidRDefault="00696FA4" w:rsidP="00696FA4">
      <w:pPr>
        <w:pStyle w:val="ListParagraph"/>
        <w:numPr>
          <w:ilvl w:val="0"/>
          <w:numId w:val="15"/>
        </w:numPr>
        <w:suppressAutoHyphens w:val="0"/>
        <w:spacing w:after="120"/>
        <w:jc w:val="both"/>
        <w:rPr>
          <w:rFonts w:cstheme="majorHAnsi"/>
          <w:b/>
          <w:sz w:val="21"/>
          <w:szCs w:val="21"/>
        </w:rPr>
      </w:pPr>
      <w:r w:rsidRPr="0092021F">
        <w:rPr>
          <w:rFonts w:cstheme="majorHAnsi"/>
          <w:b/>
          <w:sz w:val="21"/>
          <w:szCs w:val="21"/>
        </w:rPr>
        <w:t xml:space="preserve">Mutually beneficial: </w:t>
      </w:r>
      <w:r w:rsidRPr="0092021F">
        <w:rPr>
          <w:rFonts w:cstheme="majorHAnsi"/>
          <w:sz w:val="21"/>
          <w:szCs w:val="21"/>
        </w:rPr>
        <w:t>activities should further trade and investment outcomes that are mutually beneficial. This will also reinforce the ‘Australia-Indonesia powerhouse’ idea,</w:t>
      </w:r>
      <w:r w:rsidRPr="004037BC">
        <w:rPr>
          <w:rStyle w:val="Style"/>
        </w:rPr>
        <w:footnoteReference w:id="30"/>
      </w:r>
      <w:r w:rsidRPr="0092021F">
        <w:rPr>
          <w:rFonts w:cstheme="majorHAnsi"/>
          <w:sz w:val="21"/>
          <w:szCs w:val="21"/>
        </w:rPr>
        <w:t xml:space="preserve"> where Australian and Indonesian inputs secure trade outcomes in their mutual interest in global markets;</w:t>
      </w:r>
      <w:r w:rsidRPr="0092021F">
        <w:rPr>
          <w:rFonts w:cstheme="majorHAnsi"/>
          <w:b/>
          <w:sz w:val="21"/>
          <w:szCs w:val="21"/>
        </w:rPr>
        <w:t xml:space="preserve"> </w:t>
      </w:r>
    </w:p>
    <w:p w14:paraId="0A3944B1" w14:textId="14C2FE0D" w:rsidR="009B3421" w:rsidRPr="0092021F" w:rsidRDefault="002C2D80" w:rsidP="00280550">
      <w:pPr>
        <w:pStyle w:val="ListParagraph"/>
        <w:numPr>
          <w:ilvl w:val="0"/>
          <w:numId w:val="15"/>
        </w:numPr>
        <w:suppressAutoHyphens w:val="0"/>
        <w:spacing w:after="120"/>
        <w:jc w:val="both"/>
        <w:rPr>
          <w:rFonts w:cstheme="majorHAnsi"/>
          <w:sz w:val="21"/>
          <w:szCs w:val="21"/>
        </w:rPr>
      </w:pPr>
      <w:r w:rsidRPr="0092021F">
        <w:rPr>
          <w:rFonts w:cstheme="majorHAnsi"/>
          <w:b/>
          <w:sz w:val="21"/>
          <w:szCs w:val="21"/>
        </w:rPr>
        <w:t>P</w:t>
      </w:r>
      <w:r w:rsidR="009B3421" w:rsidRPr="0092021F">
        <w:rPr>
          <w:rFonts w:cstheme="majorHAnsi"/>
          <w:b/>
          <w:sz w:val="21"/>
          <w:szCs w:val="21"/>
        </w:rPr>
        <w:t xml:space="preserve">olitically feasible and practical: </w:t>
      </w:r>
      <w:r w:rsidR="009B3421" w:rsidRPr="0092021F">
        <w:rPr>
          <w:rFonts w:cstheme="majorHAnsi"/>
          <w:sz w:val="21"/>
          <w:szCs w:val="21"/>
        </w:rPr>
        <w:t>activities that are feasible (factoring in available budget and time) and are supported by relevant government and private sector counterparts;</w:t>
      </w:r>
    </w:p>
    <w:p w14:paraId="4E5F691E" w14:textId="77777777" w:rsidR="0082663B" w:rsidRDefault="002C2D80" w:rsidP="00280550">
      <w:pPr>
        <w:pStyle w:val="ListParagraph"/>
        <w:numPr>
          <w:ilvl w:val="0"/>
          <w:numId w:val="15"/>
        </w:numPr>
        <w:suppressAutoHyphens w:val="0"/>
        <w:spacing w:after="120"/>
        <w:jc w:val="both"/>
        <w:rPr>
          <w:rFonts w:cstheme="majorHAnsi"/>
          <w:sz w:val="21"/>
          <w:szCs w:val="21"/>
        </w:rPr>
      </w:pPr>
      <w:r w:rsidRPr="0092021F">
        <w:rPr>
          <w:rFonts w:cstheme="majorHAnsi"/>
          <w:b/>
          <w:sz w:val="21"/>
          <w:szCs w:val="21"/>
        </w:rPr>
        <w:t>R</w:t>
      </w:r>
      <w:r w:rsidR="009B3421" w:rsidRPr="0092021F">
        <w:rPr>
          <w:rFonts w:cstheme="majorHAnsi"/>
          <w:b/>
          <w:sz w:val="21"/>
          <w:szCs w:val="21"/>
        </w:rPr>
        <w:t xml:space="preserve">eflects parties’ comparative advantage: </w:t>
      </w:r>
      <w:r w:rsidR="009B3421" w:rsidRPr="0092021F">
        <w:rPr>
          <w:rFonts w:cstheme="majorHAnsi"/>
          <w:sz w:val="21"/>
          <w:szCs w:val="21"/>
        </w:rPr>
        <w:t xml:space="preserve">activities </w:t>
      </w:r>
      <w:r w:rsidR="001168E7" w:rsidRPr="0092021F">
        <w:rPr>
          <w:rFonts w:cstheme="majorHAnsi"/>
          <w:sz w:val="21"/>
          <w:szCs w:val="21"/>
        </w:rPr>
        <w:t>that align</w:t>
      </w:r>
      <w:r w:rsidR="009B3421" w:rsidRPr="0092021F">
        <w:rPr>
          <w:rFonts w:cstheme="majorHAnsi"/>
          <w:sz w:val="21"/>
          <w:szCs w:val="21"/>
        </w:rPr>
        <w:t xml:space="preserve"> and build-on Australian capabilities and expertise, and not duplicate what other countrie</w:t>
      </w:r>
      <w:r w:rsidR="00F74393">
        <w:rPr>
          <w:rFonts w:cstheme="majorHAnsi"/>
          <w:sz w:val="21"/>
          <w:szCs w:val="21"/>
        </w:rPr>
        <w:t xml:space="preserve">s </w:t>
      </w:r>
      <w:r w:rsidR="009B3421" w:rsidRPr="0092021F">
        <w:rPr>
          <w:rFonts w:cstheme="majorHAnsi"/>
          <w:sz w:val="21"/>
          <w:szCs w:val="21"/>
        </w:rPr>
        <w:t xml:space="preserve">might do as part of their economic cooperation activities; </w:t>
      </w:r>
    </w:p>
    <w:p w14:paraId="594B884D" w14:textId="58D0692B" w:rsidR="00D12C27" w:rsidRPr="0092021F" w:rsidRDefault="002C2D80" w:rsidP="00280550">
      <w:pPr>
        <w:pStyle w:val="ListParagraph"/>
        <w:numPr>
          <w:ilvl w:val="0"/>
          <w:numId w:val="15"/>
        </w:numPr>
        <w:suppressAutoHyphens w:val="0"/>
        <w:spacing w:after="120"/>
        <w:jc w:val="both"/>
        <w:rPr>
          <w:rFonts w:cstheme="majorHAnsi"/>
          <w:sz w:val="21"/>
          <w:szCs w:val="21"/>
        </w:rPr>
      </w:pPr>
      <w:r w:rsidRPr="0092021F">
        <w:rPr>
          <w:rFonts w:cstheme="majorHAnsi"/>
          <w:b/>
          <w:sz w:val="21"/>
          <w:szCs w:val="21"/>
        </w:rPr>
        <w:t>P</w:t>
      </w:r>
      <w:r w:rsidR="009B3421" w:rsidRPr="0092021F">
        <w:rPr>
          <w:rFonts w:cstheme="majorHAnsi"/>
          <w:b/>
          <w:sz w:val="21"/>
          <w:szCs w:val="21"/>
        </w:rPr>
        <w:t xml:space="preserve">rioritises catalytic outcomes: </w:t>
      </w:r>
      <w:r w:rsidR="009B3421" w:rsidRPr="0092021F">
        <w:rPr>
          <w:rFonts w:cstheme="majorHAnsi"/>
          <w:sz w:val="21"/>
          <w:szCs w:val="21"/>
        </w:rPr>
        <w:t>where possible, and reflecting resource constraints, prioritise activities that have the potential for a strategic, system</w:t>
      </w:r>
      <w:r w:rsidR="00F74393">
        <w:rPr>
          <w:rFonts w:cstheme="majorHAnsi"/>
          <w:sz w:val="21"/>
          <w:szCs w:val="21"/>
        </w:rPr>
        <w:t>ic</w:t>
      </w:r>
      <w:r w:rsidR="009B3421" w:rsidRPr="0092021F">
        <w:rPr>
          <w:rFonts w:cstheme="majorHAnsi"/>
          <w:sz w:val="21"/>
          <w:szCs w:val="21"/>
        </w:rPr>
        <w:t xml:space="preserve"> impact (beyond just the immediate stakeholders). </w:t>
      </w:r>
      <w:r w:rsidR="00B61838">
        <w:rPr>
          <w:rFonts w:cstheme="majorHAnsi"/>
          <w:sz w:val="21"/>
          <w:szCs w:val="21"/>
        </w:rPr>
        <w:t xml:space="preserve">This will require that </w:t>
      </w:r>
      <w:r w:rsidR="00B61838">
        <w:rPr>
          <w:rFonts w:cstheme="majorHAnsi"/>
          <w:sz w:val="21"/>
          <w:szCs w:val="21"/>
        </w:rPr>
        <w:lastRenderedPageBreak/>
        <w:t xml:space="preserve">activities are demand-driven (as tested by stakeholder consultations), and </w:t>
      </w:r>
      <w:r w:rsidR="009B3421" w:rsidRPr="0092021F">
        <w:rPr>
          <w:rFonts w:cstheme="majorHAnsi"/>
          <w:sz w:val="21"/>
          <w:szCs w:val="21"/>
        </w:rPr>
        <w:t>could include activities that signal broader opportunities to the wider industry and</w:t>
      </w:r>
      <w:r w:rsidR="008826E2">
        <w:rPr>
          <w:rFonts w:cstheme="majorHAnsi"/>
          <w:sz w:val="21"/>
          <w:szCs w:val="21"/>
        </w:rPr>
        <w:t xml:space="preserve"> that support regulatory reform;</w:t>
      </w:r>
      <w:r w:rsidR="009B3421" w:rsidRPr="0092021F">
        <w:rPr>
          <w:rFonts w:cstheme="majorHAnsi"/>
          <w:sz w:val="21"/>
          <w:szCs w:val="21"/>
        </w:rPr>
        <w:t xml:space="preserve"> </w:t>
      </w:r>
      <w:r w:rsidR="00F74393">
        <w:rPr>
          <w:rFonts w:cstheme="majorHAnsi"/>
          <w:sz w:val="21"/>
          <w:szCs w:val="21"/>
        </w:rPr>
        <w:t>a</w:t>
      </w:r>
      <w:r w:rsidR="009B3421" w:rsidRPr="0092021F">
        <w:rPr>
          <w:rFonts w:cstheme="majorHAnsi"/>
          <w:sz w:val="21"/>
          <w:szCs w:val="21"/>
        </w:rPr>
        <w:t xml:space="preserve"> portion of funding for these activities </w:t>
      </w:r>
      <w:r w:rsidR="008826E2">
        <w:rPr>
          <w:rFonts w:cstheme="majorHAnsi"/>
          <w:sz w:val="21"/>
          <w:szCs w:val="21"/>
        </w:rPr>
        <w:t>will</w:t>
      </w:r>
      <w:r w:rsidR="009B3421" w:rsidRPr="0092021F">
        <w:rPr>
          <w:rFonts w:cstheme="majorHAnsi"/>
          <w:sz w:val="21"/>
          <w:szCs w:val="21"/>
        </w:rPr>
        <w:t xml:space="preserve"> be dedicated to socialisation of outcomes; and</w:t>
      </w:r>
    </w:p>
    <w:p w14:paraId="0A91B1C2" w14:textId="383394DC" w:rsidR="002C2D80" w:rsidRPr="0092021F" w:rsidRDefault="002C2D80" w:rsidP="00280550">
      <w:pPr>
        <w:pStyle w:val="ListParagraph"/>
        <w:numPr>
          <w:ilvl w:val="0"/>
          <w:numId w:val="15"/>
        </w:numPr>
        <w:suppressAutoHyphens w:val="0"/>
        <w:spacing w:after="120"/>
        <w:jc w:val="both"/>
        <w:rPr>
          <w:rFonts w:cstheme="majorHAnsi"/>
          <w:sz w:val="21"/>
          <w:szCs w:val="21"/>
        </w:rPr>
      </w:pPr>
      <w:r w:rsidRPr="0092021F">
        <w:rPr>
          <w:rFonts w:cstheme="majorHAnsi"/>
          <w:b/>
          <w:bCs/>
          <w:sz w:val="21"/>
          <w:szCs w:val="21"/>
        </w:rPr>
        <w:t>C</w:t>
      </w:r>
      <w:r w:rsidR="009B3421" w:rsidRPr="0092021F">
        <w:rPr>
          <w:rFonts w:cstheme="majorHAnsi"/>
          <w:b/>
          <w:bCs/>
          <w:sz w:val="21"/>
          <w:szCs w:val="21"/>
        </w:rPr>
        <w:t>o-contribution:</w:t>
      </w:r>
      <w:r w:rsidR="009B3421" w:rsidRPr="0092021F">
        <w:rPr>
          <w:rFonts w:cstheme="majorHAnsi"/>
          <w:b/>
          <w:bCs/>
          <w:i/>
          <w:sz w:val="21"/>
          <w:szCs w:val="21"/>
        </w:rPr>
        <w:t xml:space="preserve"> </w:t>
      </w:r>
      <w:r w:rsidR="009B3421" w:rsidRPr="0092021F">
        <w:rPr>
          <w:rFonts w:cstheme="majorHAnsi"/>
          <w:bCs/>
          <w:sz w:val="21"/>
          <w:szCs w:val="21"/>
        </w:rPr>
        <w:t>the</w:t>
      </w:r>
      <w:r w:rsidR="009B3421" w:rsidRPr="0092021F">
        <w:rPr>
          <w:rFonts w:cstheme="majorHAnsi"/>
          <w:b/>
          <w:bCs/>
          <w:sz w:val="21"/>
          <w:szCs w:val="21"/>
        </w:rPr>
        <w:t xml:space="preserve"> </w:t>
      </w:r>
      <w:r w:rsidR="009B3421" w:rsidRPr="0092021F">
        <w:rPr>
          <w:rFonts w:cstheme="majorHAnsi"/>
          <w:bCs/>
          <w:sz w:val="21"/>
          <w:szCs w:val="21"/>
        </w:rPr>
        <w:t xml:space="preserve">ECP is open to both Australian and Indonesian Government contribution of funds, </w:t>
      </w:r>
      <w:r w:rsidR="009B3421" w:rsidRPr="0092021F">
        <w:rPr>
          <w:rFonts w:cstheme="majorHAnsi"/>
          <w:sz w:val="21"/>
          <w:szCs w:val="21"/>
        </w:rPr>
        <w:t xml:space="preserve">technical capabilities, and in-kind support. The ECP will also actively encourage the contribution of activity-linked private sector funding, which underscores the importance of industry engagement to the success of the ECP. It is therefore a ‘hybrid’ programming approach — </w:t>
      </w:r>
      <w:r w:rsidR="00F26BBB">
        <w:rPr>
          <w:rFonts w:cstheme="majorHAnsi"/>
          <w:sz w:val="21"/>
          <w:szCs w:val="21"/>
        </w:rPr>
        <w:t xml:space="preserve">it may utilise </w:t>
      </w:r>
      <w:r w:rsidR="009B3421" w:rsidRPr="0092021F">
        <w:rPr>
          <w:rFonts w:cstheme="majorHAnsi"/>
          <w:sz w:val="21"/>
          <w:szCs w:val="21"/>
        </w:rPr>
        <w:t xml:space="preserve">both ODA and non-ODA funds. </w:t>
      </w:r>
    </w:p>
    <w:p w14:paraId="52FBDA78" w14:textId="56AF8752" w:rsidR="009B3421" w:rsidRPr="00C96950" w:rsidRDefault="00407BBC" w:rsidP="009C750B">
      <w:pPr>
        <w:suppressAutoHyphens w:val="0"/>
        <w:spacing w:before="0" w:after="120" w:line="440" w:lineRule="atLeast"/>
        <w:rPr>
          <w:b/>
          <w:lang w:val="en-AU" w:eastAsia="en-AU"/>
        </w:rPr>
      </w:pPr>
      <w:r w:rsidRPr="00C96950">
        <w:rPr>
          <w:b/>
          <w:lang w:val="en-AU" w:eastAsia="en-AU"/>
        </w:rPr>
        <w:t>Annual work plan</w:t>
      </w:r>
    </w:p>
    <w:p w14:paraId="0A103AED" w14:textId="71A296B8" w:rsidR="00D12C27" w:rsidRPr="0092021F" w:rsidRDefault="00394F1C" w:rsidP="00F46375">
      <w:pPr>
        <w:spacing w:after="120"/>
        <w:jc w:val="both"/>
        <w:rPr>
          <w:rFonts w:cstheme="minorHAnsi"/>
          <w:sz w:val="21"/>
          <w:szCs w:val="21"/>
        </w:rPr>
      </w:pPr>
      <w:r>
        <w:rPr>
          <w:rFonts w:cs="Arial"/>
          <w:sz w:val="21"/>
          <w:szCs w:val="21"/>
        </w:rPr>
        <w:t>As summarised in the diagram below, t</w:t>
      </w:r>
      <w:r w:rsidR="00D12C27" w:rsidRPr="0092021F">
        <w:rPr>
          <w:rFonts w:cs="Arial"/>
          <w:sz w:val="21"/>
          <w:szCs w:val="21"/>
        </w:rPr>
        <w:t>he process for formulating the Annual Work Plan for consideration by the ECC will include the following steps</w:t>
      </w:r>
      <w:r w:rsidR="006E6B76" w:rsidRPr="004037BC">
        <w:rPr>
          <w:rStyle w:val="Style"/>
        </w:rPr>
        <w:footnoteReference w:id="31"/>
      </w:r>
      <w:r w:rsidR="00D12C27" w:rsidRPr="0092021F">
        <w:rPr>
          <w:rFonts w:cs="Arial"/>
          <w:sz w:val="21"/>
          <w:szCs w:val="21"/>
        </w:rPr>
        <w:t>:</w:t>
      </w:r>
    </w:p>
    <w:p w14:paraId="3D6A3206" w14:textId="6CF7A781" w:rsidR="0028172A" w:rsidRPr="00826075" w:rsidRDefault="0028172A" w:rsidP="009D3124">
      <w:pPr>
        <w:pStyle w:val="ListParagraph"/>
        <w:numPr>
          <w:ilvl w:val="0"/>
          <w:numId w:val="31"/>
        </w:numPr>
        <w:spacing w:after="120"/>
        <w:jc w:val="both"/>
        <w:rPr>
          <w:rFonts w:cs="Arial"/>
          <w:sz w:val="21"/>
          <w:szCs w:val="21"/>
        </w:rPr>
      </w:pPr>
      <w:r w:rsidRPr="00F84B29">
        <w:rPr>
          <w:rFonts w:cs="Arial"/>
          <w:b/>
          <w:sz w:val="21"/>
          <w:szCs w:val="21"/>
        </w:rPr>
        <w:t>Scoping and review</w:t>
      </w:r>
      <w:r w:rsidRPr="00826075">
        <w:rPr>
          <w:rFonts w:cs="Arial"/>
          <w:sz w:val="21"/>
          <w:szCs w:val="21"/>
        </w:rPr>
        <w:t xml:space="preserve">: The </w:t>
      </w:r>
      <w:r w:rsidR="00C33433">
        <w:rPr>
          <w:rFonts w:cs="Arial"/>
          <w:sz w:val="21"/>
          <w:szCs w:val="21"/>
        </w:rPr>
        <w:t>Collaborative Hub</w:t>
      </w:r>
      <w:r w:rsidRPr="00826075">
        <w:rPr>
          <w:rFonts w:cs="Arial"/>
          <w:sz w:val="21"/>
          <w:szCs w:val="21"/>
        </w:rPr>
        <w:t xml:space="preserve"> will begin the annual activity planning process with a review of existing activities, </w:t>
      </w:r>
      <w:r w:rsidR="009F68EF" w:rsidRPr="00826075">
        <w:rPr>
          <w:rFonts w:cs="Arial"/>
          <w:sz w:val="21"/>
          <w:szCs w:val="21"/>
        </w:rPr>
        <w:t xml:space="preserve">identification of </w:t>
      </w:r>
      <w:r w:rsidRPr="00826075">
        <w:rPr>
          <w:rFonts w:cs="Arial"/>
          <w:sz w:val="21"/>
          <w:szCs w:val="21"/>
        </w:rPr>
        <w:t>gaps in the</w:t>
      </w:r>
      <w:r w:rsidR="009F68EF" w:rsidRPr="00826075">
        <w:rPr>
          <w:rFonts w:cs="Arial"/>
          <w:sz w:val="21"/>
          <w:szCs w:val="21"/>
        </w:rPr>
        <w:t xml:space="preserve"> implementation of IA-CEPA and workshop with</w:t>
      </w:r>
      <w:r w:rsidR="003150C2">
        <w:rPr>
          <w:rFonts w:cs="Arial"/>
          <w:sz w:val="21"/>
          <w:szCs w:val="21"/>
        </w:rPr>
        <w:t xml:space="preserve"> DFAT, </w:t>
      </w:r>
      <w:proofErr w:type="spellStart"/>
      <w:r w:rsidR="003150C2">
        <w:rPr>
          <w:rFonts w:cs="Arial"/>
          <w:sz w:val="21"/>
          <w:szCs w:val="21"/>
        </w:rPr>
        <w:t>Bappenas</w:t>
      </w:r>
      <w:proofErr w:type="spellEnd"/>
      <w:r w:rsidR="003150C2">
        <w:rPr>
          <w:rFonts w:cs="Arial"/>
          <w:sz w:val="21"/>
          <w:szCs w:val="21"/>
        </w:rPr>
        <w:t xml:space="preserve"> and existing DFAT programs</w:t>
      </w:r>
      <w:r w:rsidR="009F68EF" w:rsidRPr="00826075">
        <w:rPr>
          <w:rFonts w:cs="Arial"/>
          <w:sz w:val="21"/>
          <w:szCs w:val="21"/>
        </w:rPr>
        <w:t xml:space="preserve"> </w:t>
      </w:r>
      <w:r w:rsidRPr="00826075">
        <w:rPr>
          <w:rFonts w:cs="Arial"/>
          <w:sz w:val="21"/>
          <w:szCs w:val="21"/>
        </w:rPr>
        <w:t>to identify potential gaps</w:t>
      </w:r>
      <w:r w:rsidR="009F68EF" w:rsidRPr="00826075">
        <w:rPr>
          <w:rFonts w:cs="Arial"/>
          <w:sz w:val="21"/>
          <w:szCs w:val="21"/>
        </w:rPr>
        <w:t xml:space="preserve">. </w:t>
      </w:r>
    </w:p>
    <w:p w14:paraId="37FA0EA7" w14:textId="767F2655" w:rsidR="00995466" w:rsidRPr="00B612AB" w:rsidRDefault="00004AC6" w:rsidP="009D3124">
      <w:pPr>
        <w:pStyle w:val="ListParagraph"/>
        <w:numPr>
          <w:ilvl w:val="0"/>
          <w:numId w:val="31"/>
        </w:numPr>
        <w:suppressAutoHyphens w:val="0"/>
        <w:spacing w:after="120"/>
        <w:jc w:val="both"/>
        <w:rPr>
          <w:rFonts w:cs="Arial"/>
          <w:sz w:val="21"/>
          <w:szCs w:val="21"/>
        </w:rPr>
      </w:pPr>
      <w:r w:rsidRPr="003150C2">
        <w:rPr>
          <w:rFonts w:cs="Arial"/>
          <w:b/>
          <w:sz w:val="21"/>
          <w:szCs w:val="21"/>
        </w:rPr>
        <w:t>Acti</w:t>
      </w:r>
      <w:r w:rsidR="007F40E9" w:rsidRPr="003150C2">
        <w:rPr>
          <w:rFonts w:cs="Arial"/>
          <w:b/>
          <w:sz w:val="21"/>
          <w:szCs w:val="21"/>
        </w:rPr>
        <w:t>v</w:t>
      </w:r>
      <w:r w:rsidRPr="003150C2">
        <w:rPr>
          <w:rFonts w:cs="Arial"/>
          <w:b/>
          <w:sz w:val="21"/>
          <w:szCs w:val="21"/>
        </w:rPr>
        <w:t>ity proposals</w:t>
      </w:r>
      <w:r w:rsidRPr="003150C2">
        <w:rPr>
          <w:rFonts w:cs="Arial"/>
          <w:sz w:val="21"/>
          <w:szCs w:val="21"/>
        </w:rPr>
        <w:t xml:space="preserve">: </w:t>
      </w:r>
      <w:r w:rsidR="00F13C80" w:rsidRPr="009C750B">
        <w:rPr>
          <w:rFonts w:cs="Arial"/>
          <w:sz w:val="21"/>
          <w:szCs w:val="21"/>
        </w:rPr>
        <w:t>T</w:t>
      </w:r>
      <w:r w:rsidR="00D12C27" w:rsidRPr="009C750B">
        <w:rPr>
          <w:rFonts w:cs="Arial"/>
          <w:sz w:val="21"/>
          <w:szCs w:val="21"/>
        </w:rPr>
        <w:t xml:space="preserve">he </w:t>
      </w:r>
      <w:r w:rsidR="00C33433" w:rsidRPr="009C750B">
        <w:rPr>
          <w:rFonts w:cs="Arial"/>
          <w:sz w:val="21"/>
          <w:szCs w:val="21"/>
        </w:rPr>
        <w:t>Collaborative Hub</w:t>
      </w:r>
      <w:r w:rsidR="009F68EF" w:rsidRPr="009C750B">
        <w:rPr>
          <w:rFonts w:cs="Arial"/>
          <w:sz w:val="21"/>
          <w:szCs w:val="21"/>
        </w:rPr>
        <w:t xml:space="preserve"> will invite activity proposals</w:t>
      </w:r>
      <w:r w:rsidR="003150C2" w:rsidRPr="009C750B">
        <w:rPr>
          <w:rFonts w:cs="Arial"/>
          <w:sz w:val="21"/>
          <w:szCs w:val="21"/>
        </w:rPr>
        <w:t xml:space="preserve"> through the co-chairs of the IA-CEPA Joint </w:t>
      </w:r>
      <w:r w:rsidR="00FB426D" w:rsidRPr="009C750B">
        <w:rPr>
          <w:rFonts w:cs="Arial"/>
          <w:sz w:val="21"/>
          <w:szCs w:val="21"/>
        </w:rPr>
        <w:t>Committee,</w:t>
      </w:r>
      <w:r w:rsidR="003150C2" w:rsidRPr="009C750B">
        <w:rPr>
          <w:rFonts w:cs="Arial"/>
          <w:sz w:val="21"/>
          <w:szCs w:val="21"/>
        </w:rPr>
        <w:t xml:space="preserve"> and subsidiary committees</w:t>
      </w:r>
      <w:r w:rsidR="009F68EF" w:rsidRPr="009C750B">
        <w:rPr>
          <w:rFonts w:cs="Arial"/>
          <w:sz w:val="21"/>
          <w:szCs w:val="21"/>
        </w:rPr>
        <w:t xml:space="preserve">. </w:t>
      </w:r>
      <w:r w:rsidR="00D12C27" w:rsidRPr="009C750B">
        <w:rPr>
          <w:rFonts w:cs="Arial"/>
          <w:sz w:val="21"/>
          <w:szCs w:val="21"/>
        </w:rPr>
        <w:t xml:space="preserve">The ECP may wish to </w:t>
      </w:r>
      <w:r w:rsidR="00B61838" w:rsidRPr="009C750B">
        <w:rPr>
          <w:rFonts w:cs="Arial"/>
          <w:sz w:val="21"/>
          <w:szCs w:val="21"/>
        </w:rPr>
        <w:t xml:space="preserve">notify </w:t>
      </w:r>
      <w:r w:rsidR="00D12C27" w:rsidRPr="009C750B">
        <w:rPr>
          <w:rFonts w:cs="Arial"/>
          <w:sz w:val="21"/>
          <w:szCs w:val="21"/>
        </w:rPr>
        <w:t xml:space="preserve">dates </w:t>
      </w:r>
      <w:r w:rsidRPr="009C750B">
        <w:rPr>
          <w:rFonts w:cs="Arial"/>
          <w:sz w:val="21"/>
          <w:szCs w:val="21"/>
        </w:rPr>
        <w:t>and templates</w:t>
      </w:r>
      <w:r w:rsidRPr="001469E1">
        <w:rPr>
          <w:rFonts w:cs="Arial"/>
          <w:sz w:val="21"/>
          <w:szCs w:val="21"/>
        </w:rPr>
        <w:t xml:space="preserve"> </w:t>
      </w:r>
      <w:r w:rsidR="00D12C27" w:rsidRPr="001469E1">
        <w:rPr>
          <w:rFonts w:cs="Arial"/>
          <w:sz w:val="21"/>
          <w:szCs w:val="21"/>
        </w:rPr>
        <w:t xml:space="preserve">for submission of </w:t>
      </w:r>
      <w:r w:rsidR="009F68EF" w:rsidRPr="001469E1">
        <w:rPr>
          <w:rFonts w:cs="Arial"/>
          <w:sz w:val="21"/>
          <w:szCs w:val="21"/>
        </w:rPr>
        <w:t>activity proposals</w:t>
      </w:r>
      <w:r w:rsidR="00B61838">
        <w:rPr>
          <w:rFonts w:cs="Arial"/>
          <w:sz w:val="21"/>
          <w:szCs w:val="21"/>
        </w:rPr>
        <w:t xml:space="preserve"> through the co-chairs</w:t>
      </w:r>
      <w:r w:rsidR="009F68EF" w:rsidRPr="001469E1">
        <w:rPr>
          <w:rFonts w:cs="Arial"/>
          <w:sz w:val="21"/>
          <w:szCs w:val="21"/>
        </w:rPr>
        <w:t xml:space="preserve">, which may be developed in partnership with the </w:t>
      </w:r>
      <w:r w:rsidR="00C33433" w:rsidRPr="00375C7F">
        <w:rPr>
          <w:rFonts w:cs="Arial"/>
          <w:sz w:val="21"/>
          <w:szCs w:val="21"/>
        </w:rPr>
        <w:t>Collaborative Hub</w:t>
      </w:r>
      <w:r w:rsidR="009F68EF" w:rsidRPr="00375C7F">
        <w:rPr>
          <w:rFonts w:cs="Arial"/>
          <w:sz w:val="21"/>
          <w:szCs w:val="21"/>
        </w:rPr>
        <w:t xml:space="preserve"> or other partners and DFAT investments. </w:t>
      </w:r>
      <w:r w:rsidR="003150C2" w:rsidRPr="00375C7F">
        <w:rPr>
          <w:rFonts w:cs="Arial"/>
          <w:sz w:val="21"/>
          <w:szCs w:val="21"/>
        </w:rPr>
        <w:t>The Collaborative H</w:t>
      </w:r>
      <w:r w:rsidR="003150C2" w:rsidRPr="005D21E6">
        <w:rPr>
          <w:rFonts w:cs="Arial"/>
          <w:sz w:val="21"/>
          <w:szCs w:val="21"/>
        </w:rPr>
        <w:t>ub will help shape and prioritise activity proposals</w:t>
      </w:r>
      <w:r w:rsidR="00B61838">
        <w:rPr>
          <w:rFonts w:cs="Arial"/>
          <w:sz w:val="21"/>
          <w:szCs w:val="21"/>
        </w:rPr>
        <w:t xml:space="preserve"> proposed by co-chairs of the IA-CEPA Joint Committee or subsidiary committees</w:t>
      </w:r>
      <w:r w:rsidR="003150C2">
        <w:rPr>
          <w:rFonts w:cs="Arial"/>
          <w:sz w:val="21"/>
          <w:szCs w:val="21"/>
        </w:rPr>
        <w:t>, liaising with technical officials from the relevant IA-CEPA committee.</w:t>
      </w:r>
      <w:r w:rsidR="00995466" w:rsidRPr="00995466">
        <w:rPr>
          <w:rFonts w:cs="Arial"/>
          <w:b/>
          <w:noProof/>
          <w:sz w:val="21"/>
          <w:szCs w:val="21"/>
          <w:lang w:val="en-AU" w:eastAsia="en-AU"/>
        </w:rPr>
        <w:t xml:space="preserve"> </w:t>
      </w:r>
    </w:p>
    <w:p w14:paraId="7E1A0EB0" w14:textId="1F829770" w:rsidR="003150C2" w:rsidRPr="00BD39CF" w:rsidRDefault="00F84B29" w:rsidP="009D3124">
      <w:pPr>
        <w:pStyle w:val="ListParagraph"/>
        <w:numPr>
          <w:ilvl w:val="0"/>
          <w:numId w:val="31"/>
        </w:numPr>
      </w:pPr>
      <w:r w:rsidRPr="00F84B29">
        <w:rPr>
          <w:b/>
        </w:rPr>
        <w:t>Outcomes assessment</w:t>
      </w:r>
      <w:r>
        <w:t xml:space="preserve">: </w:t>
      </w:r>
      <w:r w:rsidR="00D12C27" w:rsidRPr="006466E1">
        <w:t xml:space="preserve">The proposals will be prioritised against the </w:t>
      </w:r>
      <w:r w:rsidR="008423EC" w:rsidRPr="00A83067">
        <w:t>Outcomes Framework</w:t>
      </w:r>
      <w:r w:rsidR="00004AC6" w:rsidRPr="00A83067">
        <w:t>,</w:t>
      </w:r>
      <w:r w:rsidR="008423EC" w:rsidRPr="00A83067">
        <w:t xml:space="preserve"> </w:t>
      </w:r>
      <w:r w:rsidR="00004AC6" w:rsidRPr="00A83067">
        <w:t xml:space="preserve">the program activity criteria, alignment with IA-CEPA priorities </w:t>
      </w:r>
      <w:r w:rsidR="00004AC6" w:rsidRPr="00826075">
        <w:t xml:space="preserve">and </w:t>
      </w:r>
      <w:r w:rsidR="00F26BBB" w:rsidRPr="00826075">
        <w:t>prioriti</w:t>
      </w:r>
      <w:r w:rsidR="00F26BBB">
        <w:t>s</w:t>
      </w:r>
      <w:r w:rsidR="00F26BBB" w:rsidRPr="00826075">
        <w:t xml:space="preserve">ed </w:t>
      </w:r>
      <w:r w:rsidR="00004AC6" w:rsidRPr="00826075">
        <w:t>according to available resourcing.</w:t>
      </w:r>
      <w:r w:rsidR="003150C2">
        <w:t xml:space="preserve"> The Collaborative Hub will prepare</w:t>
      </w:r>
      <w:r w:rsidR="003150C2" w:rsidRPr="00BD39CF">
        <w:t xml:space="preserve"> briefing material and recommendations to the ECC</w:t>
      </w:r>
      <w:r w:rsidR="003150C2">
        <w:t>.</w:t>
      </w:r>
    </w:p>
    <w:p w14:paraId="38B9FC3E" w14:textId="2AF3B43C" w:rsidR="00394F1C" w:rsidRDefault="00F84B29" w:rsidP="009D3124">
      <w:pPr>
        <w:pStyle w:val="ListParagraph"/>
        <w:numPr>
          <w:ilvl w:val="0"/>
          <w:numId w:val="31"/>
        </w:numPr>
        <w:spacing w:after="120"/>
        <w:jc w:val="both"/>
        <w:rPr>
          <w:rFonts w:cs="Arial"/>
          <w:sz w:val="21"/>
          <w:szCs w:val="21"/>
        </w:rPr>
      </w:pPr>
      <w:r w:rsidRPr="00F84B29">
        <w:rPr>
          <w:rFonts w:cs="Arial"/>
          <w:b/>
          <w:sz w:val="21"/>
          <w:szCs w:val="21"/>
        </w:rPr>
        <w:t>Annual Work Plan</w:t>
      </w:r>
      <w:r>
        <w:rPr>
          <w:rFonts w:cs="Arial"/>
          <w:sz w:val="21"/>
          <w:szCs w:val="21"/>
        </w:rPr>
        <w:t xml:space="preserve">: </w:t>
      </w:r>
      <w:r w:rsidR="008423EC" w:rsidRPr="00826075">
        <w:rPr>
          <w:rFonts w:cs="Arial"/>
          <w:sz w:val="21"/>
          <w:szCs w:val="21"/>
        </w:rPr>
        <w:t xml:space="preserve">The ECP will present a recommended Annual Work </w:t>
      </w:r>
      <w:r>
        <w:rPr>
          <w:rFonts w:cs="Arial"/>
          <w:sz w:val="21"/>
          <w:szCs w:val="21"/>
        </w:rPr>
        <w:t xml:space="preserve">Plan </w:t>
      </w:r>
      <w:r w:rsidR="008423EC" w:rsidRPr="00826075">
        <w:rPr>
          <w:rFonts w:cs="Arial"/>
          <w:sz w:val="21"/>
          <w:szCs w:val="21"/>
        </w:rPr>
        <w:t xml:space="preserve">for consideration by the </w:t>
      </w:r>
      <w:r w:rsidR="008423EC" w:rsidRPr="008C407F">
        <w:rPr>
          <w:rFonts w:cs="Arial"/>
          <w:sz w:val="21"/>
          <w:szCs w:val="21"/>
        </w:rPr>
        <w:t>ECC and finally</w:t>
      </w:r>
      <w:r w:rsidR="00D12C27" w:rsidRPr="008C407F">
        <w:rPr>
          <w:rFonts w:cs="Arial"/>
          <w:sz w:val="21"/>
          <w:szCs w:val="21"/>
        </w:rPr>
        <w:t xml:space="preserve"> the IA-CEPA Joint Committee’s approval.</w:t>
      </w:r>
    </w:p>
    <w:p w14:paraId="64A89703" w14:textId="77777777" w:rsidR="009C6B27" w:rsidRDefault="009C6B27" w:rsidP="007C4ABD">
      <w:pPr>
        <w:pStyle w:val="ListParagraph"/>
        <w:spacing w:after="120"/>
        <w:jc w:val="both"/>
        <w:rPr>
          <w:rFonts w:cs="Arial"/>
          <w:sz w:val="21"/>
          <w:szCs w:val="21"/>
        </w:rPr>
      </w:pPr>
    </w:p>
    <w:p w14:paraId="5AEB45DC" w14:textId="6F47A2C0" w:rsidR="009C6B27" w:rsidRPr="007C4ABD" w:rsidRDefault="00893D32" w:rsidP="007C4ABD">
      <w:pPr>
        <w:pStyle w:val="ListParagraph"/>
        <w:spacing w:before="0" w:after="0"/>
        <w:jc w:val="center"/>
        <w:rPr>
          <w:rFonts w:cs="Arial"/>
          <w:b/>
          <w:sz w:val="21"/>
          <w:szCs w:val="21"/>
        </w:rPr>
      </w:pPr>
      <w:r w:rsidRPr="00314A3E">
        <w:rPr>
          <w:rFonts w:cs="Arial"/>
          <w:b/>
          <w:noProof/>
          <w:sz w:val="21"/>
          <w:szCs w:val="21"/>
          <w:lang w:val="en-AU" w:eastAsia="en-AU"/>
        </w:rPr>
        <mc:AlternateContent>
          <mc:Choice Requires="wps">
            <w:drawing>
              <wp:anchor distT="45720" distB="45720" distL="114300" distR="114300" simplePos="0" relativeHeight="251704320" behindDoc="0" locked="0" layoutInCell="1" allowOverlap="1" wp14:anchorId="4D9CFE64" wp14:editId="4BFF0213">
                <wp:simplePos x="0" y="0"/>
                <wp:positionH relativeFrom="column">
                  <wp:posOffset>1987550</wp:posOffset>
                </wp:positionH>
                <wp:positionV relativeFrom="paragraph">
                  <wp:posOffset>1402715</wp:posOffset>
                </wp:positionV>
                <wp:extent cx="1965960" cy="263525"/>
                <wp:effectExtent l="0" t="0" r="15240" b="15875"/>
                <wp:wrapSquare wrapText="bothSides"/>
                <wp:docPr id="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960" cy="2635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EF0308B" w14:textId="77777777" w:rsidR="00525A2A" w:rsidRPr="00B612AB" w:rsidRDefault="00525A2A" w:rsidP="006E6B76">
                            <w:pPr>
                              <w:spacing w:before="0" w:after="0"/>
                              <w:rPr>
                                <w:sz w:val="16"/>
                                <w:lang w:val="en-AU"/>
                              </w:rPr>
                            </w:pPr>
                            <w:r>
                              <w:rPr>
                                <w:sz w:val="16"/>
                                <w:lang w:val="en-AU"/>
                              </w:rPr>
                              <w:t>3. Hub submits recommendations to ECC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CFE64" id="_x0000_s1027" type="#_x0000_t202" style="position:absolute;left:0;text-align:left;margin-left:156.5pt;margin-top:110.45pt;width:154.8pt;height:20.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" fillcolor="white [3201]" strokecolor="black [3200]" strokeweight="1pt">
                <v:textbox>
                  <w:txbxContent>
                    <w:p w14:paraId="7EF0308B" w14:textId="77777777" w:rsidR="00525A2A" w:rsidRPr="00B612AB" w:rsidRDefault="00525A2A" w:rsidP="006E6B76">
                      <w:pPr>
                        <w:spacing w:before="0" w:after="0"/>
                        <w:rPr>
                          <w:sz w:val="16"/>
                          <w:lang w:val="en-AU"/>
                        </w:rPr>
                      </w:pPr>
                      <w:r>
                        <w:rPr>
                          <w:sz w:val="16"/>
                          <w:lang w:val="en-AU"/>
                        </w:rPr>
                        <w:t>3. Hub submits recommendations to ECC</w:t>
                      </w:r>
                    </w:p>
                  </w:txbxContent>
                </v:textbox>
                <w10:wrap type="square"/>
              </v:shape>
            </w:pict>
          </mc:Fallback>
        </mc:AlternateContent>
      </w:r>
      <w:r w:rsidR="009C6B27" w:rsidRPr="007C4ABD">
        <w:rPr>
          <w:rFonts w:cs="Arial"/>
          <w:b/>
          <w:sz w:val="21"/>
          <w:szCs w:val="21"/>
        </w:rPr>
        <w:t>Diagram 4 – Annual Work Plan Development</w:t>
      </w:r>
    </w:p>
    <w:p w14:paraId="06264686" w14:textId="118E5E21" w:rsidR="00C418F9" w:rsidRPr="0092021F" w:rsidRDefault="00314A3E" w:rsidP="00432451">
      <w:pPr>
        <w:spacing w:after="120"/>
        <w:jc w:val="both"/>
        <w:rPr>
          <w:rFonts w:cs="Arial"/>
          <w:sz w:val="21"/>
          <w:szCs w:val="21"/>
        </w:rPr>
      </w:pPr>
      <w:r w:rsidRPr="00314A3E">
        <w:rPr>
          <w:rFonts w:cs="Arial"/>
          <w:b/>
          <w:noProof/>
          <w:sz w:val="21"/>
          <w:szCs w:val="21"/>
          <w:lang w:val="en-AU" w:eastAsia="en-AU"/>
        </w:rPr>
        <mc:AlternateContent>
          <mc:Choice Requires="wps">
            <w:drawing>
              <wp:anchor distT="0" distB="0" distL="114300" distR="114300" simplePos="0" relativeHeight="251693056" behindDoc="0" locked="0" layoutInCell="1" allowOverlap="1" wp14:anchorId="76157F9A" wp14:editId="4DDE79CA">
                <wp:simplePos x="0" y="0"/>
                <wp:positionH relativeFrom="column">
                  <wp:posOffset>513080</wp:posOffset>
                </wp:positionH>
                <wp:positionV relativeFrom="paragraph">
                  <wp:posOffset>86360</wp:posOffset>
                </wp:positionV>
                <wp:extent cx="5200015" cy="1500505"/>
                <wp:effectExtent l="0" t="0" r="32385" b="23495"/>
                <wp:wrapTopAndBottom/>
                <wp:docPr id="69" name="Rectangle 69"/>
                <wp:cNvGraphicFramePr/>
                <a:graphic xmlns:a="http://schemas.openxmlformats.org/drawingml/2006/main">
                  <a:graphicData uri="http://schemas.microsoft.com/office/word/2010/wordprocessingShape">
                    <wps:wsp>
                      <wps:cNvSpPr/>
                      <wps:spPr>
                        <a:xfrm>
                          <a:off x="0" y="0"/>
                          <a:ext cx="5200015" cy="15005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2C9FB" id="Rectangle 69" o:spid="_x0000_s1026" style="position:absolute;margin-left:40.4pt;margin-top:6.8pt;width:409.45pt;height:118.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" filled="f" strokecolor="#286b5f [1604]" strokeweight="1pt">
                <w10:wrap type="topAndBottom"/>
              </v:rect>
            </w:pict>
          </mc:Fallback>
        </mc:AlternateContent>
      </w:r>
      <w:r w:rsidRPr="00314A3E">
        <w:rPr>
          <w:rFonts w:cs="Arial"/>
          <w:b/>
          <w:noProof/>
          <w:sz w:val="21"/>
          <w:szCs w:val="21"/>
          <w:lang w:val="en-AU" w:eastAsia="en-AU"/>
        </w:rPr>
        <mc:AlternateContent>
          <mc:Choice Requires="wps">
            <w:drawing>
              <wp:anchor distT="0" distB="0" distL="114300" distR="114300" simplePos="0" relativeHeight="251694080" behindDoc="0" locked="0" layoutInCell="1" allowOverlap="1" wp14:anchorId="273150EB" wp14:editId="6AF31DBC">
                <wp:simplePos x="0" y="0"/>
                <wp:positionH relativeFrom="column">
                  <wp:posOffset>685800</wp:posOffset>
                </wp:positionH>
                <wp:positionV relativeFrom="paragraph">
                  <wp:posOffset>114300</wp:posOffset>
                </wp:positionV>
                <wp:extent cx="718820" cy="485775"/>
                <wp:effectExtent l="0" t="0" r="17780" b="22225"/>
                <wp:wrapNone/>
                <wp:docPr id="70" name="Rectangle 70"/>
                <wp:cNvGraphicFramePr/>
                <a:graphic xmlns:a="http://schemas.openxmlformats.org/drawingml/2006/main">
                  <a:graphicData uri="http://schemas.microsoft.com/office/word/2010/wordprocessingShape">
                    <wps:wsp>
                      <wps:cNvSpPr/>
                      <wps:spPr>
                        <a:xfrm>
                          <a:off x="0" y="0"/>
                          <a:ext cx="718820" cy="4857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156D07" w14:textId="77777777" w:rsidR="00525A2A" w:rsidRPr="00B612AB" w:rsidRDefault="00525A2A" w:rsidP="006E6B76">
                            <w:pPr>
                              <w:spacing w:before="0" w:after="0"/>
                              <w:jc w:val="center"/>
                              <w:rPr>
                                <w:sz w:val="16"/>
                                <w:lang w:val="en-AU"/>
                              </w:rPr>
                            </w:pPr>
                            <w:r w:rsidRPr="00B612AB">
                              <w:rPr>
                                <w:sz w:val="16"/>
                                <w:lang w:val="en-AU"/>
                              </w:rPr>
                              <w:t>Joint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150EB" id="Rectangle 70" o:spid="_x0000_s1028" style="position:absolute;left:0;text-align:left;margin-left:54pt;margin-top:9pt;width:56.6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" fillcolor="#65c5b4 [3204]" strokecolor="#286b5f [1604]" strokeweight="1pt">
                <v:textbox>
                  <w:txbxContent>
                    <w:p w14:paraId="41156D07" w14:textId="77777777" w:rsidR="00525A2A" w:rsidRPr="00B612AB" w:rsidRDefault="00525A2A" w:rsidP="006E6B76">
                      <w:pPr>
                        <w:spacing w:before="0" w:after="0"/>
                        <w:jc w:val="center"/>
                        <w:rPr>
                          <w:sz w:val="16"/>
                          <w:lang w:val="en-AU"/>
                        </w:rPr>
                      </w:pPr>
                      <w:r w:rsidRPr="00B612AB">
                        <w:rPr>
                          <w:sz w:val="16"/>
                          <w:lang w:val="en-AU"/>
                        </w:rPr>
                        <w:t>Joint Committee</w:t>
                      </w:r>
                    </w:p>
                  </w:txbxContent>
                </v:textbox>
              </v:rect>
            </w:pict>
          </mc:Fallback>
        </mc:AlternateContent>
      </w:r>
      <w:r w:rsidRPr="00314A3E">
        <w:rPr>
          <w:rFonts w:cs="Arial"/>
          <w:b/>
          <w:noProof/>
          <w:sz w:val="21"/>
          <w:szCs w:val="21"/>
          <w:lang w:val="en-AU" w:eastAsia="en-AU"/>
        </w:rPr>
        <mc:AlternateContent>
          <mc:Choice Requires="wps">
            <w:drawing>
              <wp:anchor distT="0" distB="0" distL="114300" distR="114300" simplePos="0" relativeHeight="251695104" behindDoc="0" locked="0" layoutInCell="1" allowOverlap="1" wp14:anchorId="7888EC70" wp14:editId="0BC8AFF5">
                <wp:simplePos x="0" y="0"/>
                <wp:positionH relativeFrom="column">
                  <wp:posOffset>800100</wp:posOffset>
                </wp:positionH>
                <wp:positionV relativeFrom="paragraph">
                  <wp:posOffset>571500</wp:posOffset>
                </wp:positionV>
                <wp:extent cx="491490" cy="443230"/>
                <wp:effectExtent l="0" t="0" r="16510" b="13970"/>
                <wp:wrapNone/>
                <wp:docPr id="71" name="Rectangle 71"/>
                <wp:cNvGraphicFramePr/>
                <a:graphic xmlns:a="http://schemas.openxmlformats.org/drawingml/2006/main">
                  <a:graphicData uri="http://schemas.microsoft.com/office/word/2010/wordprocessingShape">
                    <wps:wsp>
                      <wps:cNvSpPr/>
                      <wps:spPr>
                        <a:xfrm>
                          <a:off x="0" y="0"/>
                          <a:ext cx="491490" cy="4432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671D7E" w14:textId="77777777" w:rsidR="00525A2A" w:rsidRPr="00B612AB" w:rsidRDefault="00525A2A" w:rsidP="006E6B76">
                            <w:pPr>
                              <w:spacing w:before="0" w:after="0"/>
                              <w:jc w:val="center"/>
                              <w:rPr>
                                <w:sz w:val="16"/>
                                <w:lang w:val="en-AU"/>
                              </w:rPr>
                            </w:pPr>
                            <w:r>
                              <w:rPr>
                                <w:sz w:val="16"/>
                                <w:lang w:val="en-AU"/>
                              </w:rPr>
                              <w:t>ECC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8EC70" id="Rectangle 71" o:spid="_x0000_s1029" style="position:absolute;left:0;text-align:left;margin-left:63pt;margin-top:45pt;width:38.7pt;height:34.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" fillcolor="#65c5b4 [3204]" strokecolor="#286b5f [1604]" strokeweight="1pt">
                <v:textbox>
                  <w:txbxContent>
                    <w:p w14:paraId="3B671D7E" w14:textId="77777777" w:rsidR="00525A2A" w:rsidRPr="00B612AB" w:rsidRDefault="00525A2A" w:rsidP="006E6B76">
                      <w:pPr>
                        <w:spacing w:before="0" w:after="0"/>
                        <w:jc w:val="center"/>
                        <w:rPr>
                          <w:sz w:val="16"/>
                          <w:lang w:val="en-AU"/>
                        </w:rPr>
                      </w:pPr>
                      <w:r>
                        <w:rPr>
                          <w:sz w:val="16"/>
                          <w:lang w:val="en-AU"/>
                        </w:rPr>
                        <w:t>ECC</w:t>
                      </w:r>
                    </w:p>
                  </w:txbxContent>
                </v:textbox>
              </v:rect>
            </w:pict>
          </mc:Fallback>
        </mc:AlternateContent>
      </w:r>
      <w:r w:rsidRPr="00314A3E">
        <w:rPr>
          <w:rFonts w:cs="Arial"/>
          <w:b/>
          <w:noProof/>
          <w:sz w:val="21"/>
          <w:szCs w:val="21"/>
          <w:lang w:val="en-AU" w:eastAsia="en-AU"/>
        </w:rPr>
        <mc:AlternateContent>
          <mc:Choice Requires="wps">
            <w:drawing>
              <wp:anchor distT="0" distB="0" distL="114300" distR="114300" simplePos="0" relativeHeight="251696128" behindDoc="0" locked="0" layoutInCell="1" allowOverlap="1" wp14:anchorId="2C93A5FD" wp14:editId="2D130AD2">
                <wp:simplePos x="0" y="0"/>
                <wp:positionH relativeFrom="column">
                  <wp:posOffset>685800</wp:posOffset>
                </wp:positionH>
                <wp:positionV relativeFrom="paragraph">
                  <wp:posOffset>1028700</wp:posOffset>
                </wp:positionV>
                <wp:extent cx="739775" cy="475615"/>
                <wp:effectExtent l="0" t="0" r="22225" b="32385"/>
                <wp:wrapNone/>
                <wp:docPr id="72" name="Rectangle 72"/>
                <wp:cNvGraphicFramePr/>
                <a:graphic xmlns:a="http://schemas.openxmlformats.org/drawingml/2006/main">
                  <a:graphicData uri="http://schemas.microsoft.com/office/word/2010/wordprocessingShape">
                    <wps:wsp>
                      <wps:cNvSpPr/>
                      <wps:spPr>
                        <a:xfrm>
                          <a:off x="0" y="0"/>
                          <a:ext cx="739775" cy="4756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27010D9" w14:textId="77777777" w:rsidR="00525A2A" w:rsidRPr="00B612AB" w:rsidRDefault="00525A2A" w:rsidP="006E6B76">
                            <w:pPr>
                              <w:spacing w:before="0" w:after="0"/>
                              <w:jc w:val="center"/>
                              <w:rPr>
                                <w:sz w:val="16"/>
                                <w:lang w:val="en-AU"/>
                              </w:rPr>
                            </w:pPr>
                            <w:r>
                              <w:rPr>
                                <w:sz w:val="16"/>
                                <w:lang w:val="en-AU"/>
                              </w:rPr>
                              <w:t>Other Committees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3A5FD" id="Rectangle 72" o:spid="_x0000_s1030" style="position:absolute;left:0;text-align:left;margin-left:54pt;margin-top:81pt;width:58.25pt;height:37.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" fillcolor="#65c5b4 [3204]" strokecolor="#286b5f [1604]" strokeweight="1pt">
                <v:textbox>
                  <w:txbxContent>
                    <w:p w14:paraId="127010D9" w14:textId="77777777" w:rsidR="00525A2A" w:rsidRPr="00B612AB" w:rsidRDefault="00525A2A" w:rsidP="006E6B76">
                      <w:pPr>
                        <w:spacing w:before="0" w:after="0"/>
                        <w:jc w:val="center"/>
                        <w:rPr>
                          <w:sz w:val="16"/>
                          <w:lang w:val="en-AU"/>
                        </w:rPr>
                      </w:pPr>
                      <w:r>
                        <w:rPr>
                          <w:sz w:val="16"/>
                          <w:lang w:val="en-AU"/>
                        </w:rPr>
                        <w:t>Other Committees</w:t>
                      </w:r>
                    </w:p>
                  </w:txbxContent>
                </v:textbox>
              </v:rect>
            </w:pict>
          </mc:Fallback>
        </mc:AlternateContent>
      </w:r>
      <w:r w:rsidRPr="00314A3E">
        <w:rPr>
          <w:rFonts w:cs="Arial"/>
          <w:b/>
          <w:noProof/>
          <w:sz w:val="21"/>
          <w:szCs w:val="21"/>
          <w:lang w:val="en-AU" w:eastAsia="en-AU"/>
        </w:rPr>
        <mc:AlternateContent>
          <mc:Choice Requires="wps">
            <w:drawing>
              <wp:anchor distT="0" distB="0" distL="114300" distR="114300" simplePos="0" relativeHeight="251697152" behindDoc="0" locked="0" layoutInCell="1" allowOverlap="1" wp14:anchorId="21BA1661" wp14:editId="4E92D256">
                <wp:simplePos x="0" y="0"/>
                <wp:positionH relativeFrom="column">
                  <wp:posOffset>3689350</wp:posOffset>
                </wp:positionH>
                <wp:positionV relativeFrom="paragraph">
                  <wp:posOffset>413385</wp:posOffset>
                </wp:positionV>
                <wp:extent cx="770890" cy="765810"/>
                <wp:effectExtent l="0" t="0" r="16510" b="21590"/>
                <wp:wrapNone/>
                <wp:docPr id="73" name="Rectangle 73"/>
                <wp:cNvGraphicFramePr/>
                <a:graphic xmlns:a="http://schemas.openxmlformats.org/drawingml/2006/main">
                  <a:graphicData uri="http://schemas.microsoft.com/office/word/2010/wordprocessingShape">
                    <wps:wsp>
                      <wps:cNvSpPr/>
                      <wps:spPr>
                        <a:xfrm>
                          <a:off x="0" y="0"/>
                          <a:ext cx="770890" cy="7658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1AF3EB" w14:textId="77777777" w:rsidR="00525A2A" w:rsidRDefault="00525A2A" w:rsidP="006E6B76">
                            <w:pPr>
                              <w:spacing w:before="0" w:after="0"/>
                              <w:jc w:val="center"/>
                              <w:rPr>
                                <w:sz w:val="16"/>
                                <w:lang w:val="en-AU"/>
                              </w:rPr>
                            </w:pPr>
                            <w:r>
                              <w:rPr>
                                <w:sz w:val="16"/>
                                <w:lang w:val="en-AU"/>
                              </w:rPr>
                              <w:t xml:space="preserve">Collaborative </w:t>
                            </w:r>
                          </w:p>
                          <w:p w14:paraId="7A0C65FE" w14:textId="77777777" w:rsidR="00525A2A" w:rsidRPr="00B612AB" w:rsidRDefault="00525A2A" w:rsidP="006E6B76">
                            <w:pPr>
                              <w:spacing w:before="0" w:after="0"/>
                              <w:jc w:val="center"/>
                              <w:rPr>
                                <w:sz w:val="16"/>
                                <w:lang w:val="en-AU"/>
                              </w:rPr>
                            </w:pPr>
                            <w:r>
                              <w:rPr>
                                <w:sz w:val="16"/>
                                <w:lang w:val="en-AU"/>
                              </w:rPr>
                              <w:t>Hub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BA1661" id="Rectangle 73" o:spid="_x0000_s1031" style="position:absolute;left:0;text-align:left;margin-left:290.5pt;margin-top:32.55pt;width:60.7pt;height:60.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" fillcolor="#65c5b4 [3204]" strokecolor="#286b5f [1604]" strokeweight="1pt">
                <v:textbox>
                  <w:txbxContent>
                    <w:p w14:paraId="591AF3EB" w14:textId="77777777" w:rsidR="00525A2A" w:rsidRDefault="00525A2A" w:rsidP="006E6B76">
                      <w:pPr>
                        <w:spacing w:before="0" w:after="0"/>
                        <w:jc w:val="center"/>
                        <w:rPr>
                          <w:sz w:val="16"/>
                          <w:lang w:val="en-AU"/>
                        </w:rPr>
                      </w:pPr>
                      <w:r>
                        <w:rPr>
                          <w:sz w:val="16"/>
                          <w:lang w:val="en-AU"/>
                        </w:rPr>
                        <w:t xml:space="preserve">Collaborative </w:t>
                      </w:r>
                    </w:p>
                    <w:p w14:paraId="7A0C65FE" w14:textId="77777777" w:rsidR="00525A2A" w:rsidRPr="00B612AB" w:rsidRDefault="00525A2A" w:rsidP="006E6B76">
                      <w:pPr>
                        <w:spacing w:before="0" w:after="0"/>
                        <w:jc w:val="center"/>
                        <w:rPr>
                          <w:sz w:val="16"/>
                          <w:lang w:val="en-AU"/>
                        </w:rPr>
                      </w:pPr>
                      <w:r>
                        <w:rPr>
                          <w:sz w:val="16"/>
                          <w:lang w:val="en-AU"/>
                        </w:rPr>
                        <w:t>Hub</w:t>
                      </w:r>
                    </w:p>
                  </w:txbxContent>
                </v:textbox>
              </v:rect>
            </w:pict>
          </mc:Fallback>
        </mc:AlternateContent>
      </w:r>
      <w:r w:rsidRPr="00314A3E">
        <w:rPr>
          <w:rFonts w:cs="Arial"/>
          <w:b/>
          <w:noProof/>
          <w:sz w:val="21"/>
          <w:szCs w:val="21"/>
          <w:lang w:val="en-AU" w:eastAsia="en-AU"/>
        </w:rPr>
        <mc:AlternateContent>
          <mc:Choice Requires="wps">
            <w:drawing>
              <wp:anchor distT="0" distB="0" distL="114300" distR="114300" simplePos="0" relativeHeight="251698176" behindDoc="0" locked="0" layoutInCell="1" allowOverlap="1" wp14:anchorId="4AE5FB42" wp14:editId="719C01FC">
                <wp:simplePos x="0" y="0"/>
                <wp:positionH relativeFrom="column">
                  <wp:posOffset>1348105</wp:posOffset>
                </wp:positionH>
                <wp:positionV relativeFrom="paragraph">
                  <wp:posOffset>763270</wp:posOffset>
                </wp:positionV>
                <wp:extent cx="2383155" cy="232410"/>
                <wp:effectExtent l="0" t="25400" r="106045" b="0"/>
                <wp:wrapNone/>
                <wp:docPr id="74" name="Arc 74"/>
                <wp:cNvGraphicFramePr/>
                <a:graphic xmlns:a="http://schemas.openxmlformats.org/drawingml/2006/main">
                  <a:graphicData uri="http://schemas.microsoft.com/office/word/2010/wordprocessingShape">
                    <wps:wsp>
                      <wps:cNvSpPr/>
                      <wps:spPr>
                        <a:xfrm rot="10800000" flipV="1">
                          <a:off x="0" y="0"/>
                          <a:ext cx="2383155" cy="232410"/>
                        </a:xfrm>
                        <a:prstGeom prst="arc">
                          <a:avLst>
                            <a:gd name="adj1" fmla="val 10859644"/>
                            <a:gd name="adj2" fmla="val 21520424"/>
                          </a:avLst>
                        </a:prstGeom>
                        <a:ln w="22225">
                          <a:solidFill>
                            <a:schemeClr val="tx1"/>
                          </a:solidFill>
                          <a:head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3AD0" id="Arc 74" o:spid="_x0000_s1026" style="position:absolute;margin-left:106.15pt;margin-top:60.1pt;width:187.65pt;height:18.3pt;rotation:180;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83155,23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" path="m18424,95849nsc119576,40406,613799,16,1191241,v552191,-15,1032146,36969,1159692,89364l1191578,116205,18424,95849xem18424,95849nfc119576,40406,613799,16,1191241,v552191,-15,1032146,36969,1159692,89364e" filled="f" strokecolor="black [3213]" strokeweight="1.75pt">
                <v:stroke startarrow="block" joinstyle="miter"/>
                <v:path arrowok="t" o:connecttype="custom" o:connectlocs="18424,95849;1191241,0;2350933,89364" o:connectangles="0,0,0"/>
              </v:shape>
            </w:pict>
          </mc:Fallback>
        </mc:AlternateContent>
      </w:r>
      <w:r w:rsidRPr="00314A3E">
        <w:rPr>
          <w:rFonts w:cs="Arial"/>
          <w:b/>
          <w:noProof/>
          <w:sz w:val="21"/>
          <w:szCs w:val="21"/>
          <w:lang w:val="en-AU" w:eastAsia="en-AU"/>
        </w:rPr>
        <mc:AlternateContent>
          <mc:Choice Requires="wps">
            <w:drawing>
              <wp:anchor distT="0" distB="0" distL="114300" distR="114300" simplePos="0" relativeHeight="251699200" behindDoc="0" locked="0" layoutInCell="1" allowOverlap="1" wp14:anchorId="30AE5BFA" wp14:editId="09050B19">
                <wp:simplePos x="0" y="0"/>
                <wp:positionH relativeFrom="column">
                  <wp:posOffset>1316355</wp:posOffset>
                </wp:positionH>
                <wp:positionV relativeFrom="paragraph">
                  <wp:posOffset>455930</wp:posOffset>
                </wp:positionV>
                <wp:extent cx="2520950" cy="269240"/>
                <wp:effectExtent l="0" t="25400" r="44450" b="0"/>
                <wp:wrapNone/>
                <wp:docPr id="75" name="Arc 75"/>
                <wp:cNvGraphicFramePr/>
                <a:graphic xmlns:a="http://schemas.openxmlformats.org/drawingml/2006/main">
                  <a:graphicData uri="http://schemas.microsoft.com/office/word/2010/wordprocessingShape">
                    <wps:wsp>
                      <wps:cNvSpPr/>
                      <wps:spPr>
                        <a:xfrm rot="10800000" flipV="1">
                          <a:off x="0" y="0"/>
                          <a:ext cx="2520950" cy="269240"/>
                        </a:xfrm>
                        <a:prstGeom prst="arc">
                          <a:avLst>
                            <a:gd name="adj1" fmla="val 10935050"/>
                            <a:gd name="adj2" fmla="val 21407012"/>
                          </a:avLst>
                        </a:prstGeom>
                        <a:ln w="22225">
                          <a:solidFill>
                            <a:schemeClr val="tx1"/>
                          </a:solidFill>
                          <a:head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412F9" id="Arc 75" o:spid="_x0000_s1026" style="position:absolute;margin-left:103.65pt;margin-top:35.9pt;width:198.5pt;height:21.2pt;rotation:180;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20950,26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" path="m77562,88126nsc259862,35221,731503,51,1259340,v468442,-45,898480,27658,1116612,71933l1260475,134620,77562,88126xem77562,88126nfc259862,35221,731503,51,1259340,v468442,-45,898480,27658,1116612,71933e" filled="f" strokecolor="black [3213]" strokeweight="1.75pt">
                <v:stroke startarrow="block" joinstyle="miter"/>
                <v:path arrowok="t" o:connecttype="custom" o:connectlocs="77562,88126;1259340,0;2375952,71933" o:connectangles="0,0,0"/>
              </v:shape>
            </w:pict>
          </mc:Fallback>
        </mc:AlternateContent>
      </w:r>
      <w:r w:rsidRPr="00314A3E">
        <w:rPr>
          <w:rFonts w:cs="Arial"/>
          <w:b/>
          <w:noProof/>
          <w:sz w:val="21"/>
          <w:szCs w:val="21"/>
          <w:lang w:val="en-AU" w:eastAsia="en-AU"/>
        </w:rPr>
        <mc:AlternateContent>
          <mc:Choice Requires="wps">
            <w:drawing>
              <wp:anchor distT="0" distB="0" distL="114300" distR="114300" simplePos="0" relativeHeight="251700224" behindDoc="0" locked="0" layoutInCell="1" allowOverlap="1" wp14:anchorId="4B4AA91A" wp14:editId="21877CF3">
                <wp:simplePos x="0" y="0"/>
                <wp:positionH relativeFrom="column">
                  <wp:posOffset>1426845</wp:posOffset>
                </wp:positionH>
                <wp:positionV relativeFrom="paragraph">
                  <wp:posOffset>1101090</wp:posOffset>
                </wp:positionV>
                <wp:extent cx="2795905" cy="269240"/>
                <wp:effectExtent l="0" t="50800" r="0" b="0"/>
                <wp:wrapNone/>
                <wp:docPr id="76" name="Arc 76"/>
                <wp:cNvGraphicFramePr/>
                <a:graphic xmlns:a="http://schemas.openxmlformats.org/drawingml/2006/main">
                  <a:graphicData uri="http://schemas.microsoft.com/office/word/2010/wordprocessingShape">
                    <wps:wsp>
                      <wps:cNvSpPr/>
                      <wps:spPr>
                        <a:xfrm rot="10800000" flipV="1">
                          <a:off x="0" y="0"/>
                          <a:ext cx="2795905" cy="269240"/>
                        </a:xfrm>
                        <a:prstGeom prst="arc">
                          <a:avLst>
                            <a:gd name="adj1" fmla="val 11159390"/>
                            <a:gd name="adj2" fmla="val 21493369"/>
                          </a:avLst>
                        </a:prstGeom>
                        <a:ln w="22225">
                          <a:solidFill>
                            <a:schemeClr val="tx1"/>
                          </a:solidFill>
                          <a:head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AD1E9" id="Arc 76" o:spid="_x0000_s1026" style="position:absolute;margin-left:112.35pt;margin-top:86.7pt;width:220.15pt;height:21.2pt;rotation:180;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95905,26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" path="m452698,35439nsc711853,12535,1051149,-119,1402903,1v605068,206,1140076,37875,1325639,93334l1397953,134620,452698,35439xem452698,35439nfc711853,12535,1051149,-119,1402903,1v605068,206,1140076,37875,1325639,93334e" filled="f" strokecolor="black [3213]" strokeweight="1.75pt">
                <v:stroke startarrow="block" joinstyle="miter"/>
                <v:path arrowok="t" o:connecttype="custom" o:connectlocs="452698,35439;1402903,1;2728542,93335" o:connectangles="0,0,0"/>
              </v:shape>
            </w:pict>
          </mc:Fallback>
        </mc:AlternateContent>
      </w:r>
      <w:r w:rsidRPr="00314A3E">
        <w:rPr>
          <w:rFonts w:cs="Arial"/>
          <w:b/>
          <w:noProof/>
          <w:sz w:val="21"/>
          <w:szCs w:val="21"/>
          <w:lang w:val="en-AU" w:eastAsia="en-AU"/>
        </w:rPr>
        <mc:AlternateContent>
          <mc:Choice Requires="wps">
            <w:drawing>
              <wp:anchor distT="45720" distB="45720" distL="114300" distR="114300" simplePos="0" relativeHeight="251701248" behindDoc="0" locked="0" layoutInCell="1" allowOverlap="1" wp14:anchorId="3F0AA047" wp14:editId="65D138F6">
                <wp:simplePos x="0" y="0"/>
                <wp:positionH relativeFrom="column">
                  <wp:posOffset>1485900</wp:posOffset>
                </wp:positionH>
                <wp:positionV relativeFrom="paragraph">
                  <wp:posOffset>114300</wp:posOffset>
                </wp:positionV>
                <wp:extent cx="4229100" cy="263525"/>
                <wp:effectExtent l="0" t="0" r="38100" b="15875"/>
                <wp:wrapSquare wrapText="bothSides"/>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635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78BC94D" w14:textId="597DF313" w:rsidR="00525A2A" w:rsidRPr="00B612AB" w:rsidRDefault="00525A2A" w:rsidP="006E6B76">
                            <w:pPr>
                              <w:spacing w:before="0" w:after="0"/>
                              <w:rPr>
                                <w:sz w:val="16"/>
                              </w:rPr>
                            </w:pPr>
                            <w:r>
                              <w:rPr>
                                <w:sz w:val="16"/>
                              </w:rPr>
                              <w:t>1. Hub calls for</w:t>
                            </w:r>
                            <w:r w:rsidRPr="00B612AB">
                              <w:rPr>
                                <w:sz w:val="16"/>
                              </w:rPr>
                              <w:t xml:space="preserve"> </w:t>
                            </w:r>
                            <w:r>
                              <w:rPr>
                                <w:sz w:val="16"/>
                              </w:rPr>
                              <w:t xml:space="preserve">activity </w:t>
                            </w:r>
                            <w:r w:rsidRPr="00B612AB">
                              <w:rPr>
                                <w:sz w:val="16"/>
                              </w:rPr>
                              <w:t>proposals</w:t>
                            </w:r>
                            <w:r>
                              <w:rPr>
                                <w:sz w:val="16"/>
                              </w:rPr>
                              <w:t>, including proposals by the Hub and other IA-CEPA Committees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0AA047" id="_x0000_s1032" type="#_x0000_t202" style="position:absolute;left:0;text-align:left;margin-left:117pt;margin-top:9pt;width:333pt;height:20.7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" fillcolor="white [3201]" strokecolor="black [3200]" strokeweight="1pt">
                <v:textbox>
                  <w:txbxContent>
                    <w:p w14:paraId="678BC94D" w14:textId="597DF313" w:rsidR="00525A2A" w:rsidRPr="00B612AB" w:rsidRDefault="00525A2A" w:rsidP="006E6B76">
                      <w:pPr>
                        <w:spacing w:before="0" w:after="0"/>
                        <w:rPr>
                          <w:sz w:val="16"/>
                        </w:rPr>
                      </w:pPr>
                      <w:r>
                        <w:rPr>
                          <w:sz w:val="16"/>
                        </w:rPr>
                        <w:t>1. Hub calls for</w:t>
                      </w:r>
                      <w:r w:rsidRPr="00B612AB">
                        <w:rPr>
                          <w:sz w:val="16"/>
                        </w:rPr>
                        <w:t xml:space="preserve"> </w:t>
                      </w:r>
                      <w:r>
                        <w:rPr>
                          <w:sz w:val="16"/>
                        </w:rPr>
                        <w:t xml:space="preserve">activity </w:t>
                      </w:r>
                      <w:r w:rsidRPr="00B612AB">
                        <w:rPr>
                          <w:sz w:val="16"/>
                        </w:rPr>
                        <w:t>proposals</w:t>
                      </w:r>
                      <w:r>
                        <w:rPr>
                          <w:sz w:val="16"/>
                        </w:rPr>
                        <w:t>, including proposals by the Hub and other IA-CEPA Committees</w:t>
                      </w:r>
                    </w:p>
                  </w:txbxContent>
                </v:textbox>
                <w10:wrap type="square"/>
              </v:shape>
            </w:pict>
          </mc:Fallback>
        </mc:AlternateContent>
      </w:r>
      <w:r w:rsidRPr="00314A3E">
        <w:rPr>
          <w:rFonts w:cs="Arial"/>
          <w:b/>
          <w:noProof/>
          <w:sz w:val="21"/>
          <w:szCs w:val="21"/>
          <w:lang w:val="en-AU" w:eastAsia="en-AU"/>
        </w:rPr>
        <mc:AlternateContent>
          <mc:Choice Requires="wps">
            <w:drawing>
              <wp:anchor distT="45720" distB="45720" distL="114300" distR="114300" simplePos="0" relativeHeight="251702272" behindDoc="0" locked="0" layoutInCell="1" allowOverlap="1" wp14:anchorId="28CF8936" wp14:editId="26832889">
                <wp:simplePos x="0" y="0"/>
                <wp:positionH relativeFrom="column">
                  <wp:posOffset>4800600</wp:posOffset>
                </wp:positionH>
                <wp:positionV relativeFrom="paragraph">
                  <wp:posOffset>457200</wp:posOffset>
                </wp:positionV>
                <wp:extent cx="873760" cy="1028700"/>
                <wp:effectExtent l="0" t="0" r="15240" b="38100"/>
                <wp:wrapSquare wrapText="bothSides"/>
                <wp:docPr id="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760" cy="10287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DCDAC77" w14:textId="3C359DAA" w:rsidR="00525A2A" w:rsidRPr="00B612AB" w:rsidRDefault="00525A2A" w:rsidP="006E6B76">
                            <w:pPr>
                              <w:spacing w:before="0" w:after="0" w:line="240" w:lineRule="auto"/>
                              <w:jc w:val="center"/>
                              <w:rPr>
                                <w:sz w:val="16"/>
                                <w:lang w:val="en-AU"/>
                              </w:rPr>
                            </w:pPr>
                            <w:r>
                              <w:rPr>
                                <w:sz w:val="16"/>
                                <w:lang w:val="en-AU"/>
                              </w:rPr>
                              <w:t>2. Hub provides guidance on activity proposals including templates and criteria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F8936" id="_x0000_s1033" type="#_x0000_t202" style="position:absolute;left:0;text-align:left;margin-left:378pt;margin-top:36pt;width:68.8pt;height:81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" fillcolor="white [3201]" strokecolor="black [3200]" strokeweight="1pt">
                <v:textbox>
                  <w:txbxContent>
                    <w:p w14:paraId="0DCDAC77" w14:textId="3C359DAA" w:rsidR="00525A2A" w:rsidRPr="00B612AB" w:rsidRDefault="00525A2A" w:rsidP="006E6B76">
                      <w:pPr>
                        <w:spacing w:before="0" w:after="0" w:line="240" w:lineRule="auto"/>
                        <w:jc w:val="center"/>
                        <w:rPr>
                          <w:sz w:val="16"/>
                          <w:lang w:val="en-AU"/>
                        </w:rPr>
                      </w:pPr>
                      <w:r>
                        <w:rPr>
                          <w:sz w:val="16"/>
                          <w:lang w:val="en-AU"/>
                        </w:rPr>
                        <w:t>2. Hub provides guidance on activity proposals including templates and criteria</w:t>
                      </w:r>
                    </w:p>
                  </w:txbxContent>
                </v:textbox>
                <w10:wrap type="square"/>
              </v:shape>
            </w:pict>
          </mc:Fallback>
        </mc:AlternateContent>
      </w:r>
      <w:r w:rsidRPr="00314A3E">
        <w:rPr>
          <w:rFonts w:cs="Arial"/>
          <w:b/>
          <w:noProof/>
          <w:sz w:val="21"/>
          <w:szCs w:val="21"/>
          <w:lang w:val="en-AU" w:eastAsia="en-AU"/>
        </w:rPr>
        <mc:AlternateContent>
          <mc:Choice Requires="wps">
            <w:drawing>
              <wp:anchor distT="0" distB="0" distL="114300" distR="114300" simplePos="0" relativeHeight="251703296" behindDoc="0" locked="0" layoutInCell="1" allowOverlap="1" wp14:anchorId="0666C5E3" wp14:editId="2A3BA38D">
                <wp:simplePos x="0" y="0"/>
                <wp:positionH relativeFrom="column">
                  <wp:posOffset>2619375</wp:posOffset>
                </wp:positionH>
                <wp:positionV relativeFrom="paragraph">
                  <wp:posOffset>-755650</wp:posOffset>
                </wp:positionV>
                <wp:extent cx="900430" cy="3766185"/>
                <wp:effectExtent l="14922" t="0" r="54293" b="54292"/>
                <wp:wrapNone/>
                <wp:docPr id="79" name="Arc 79"/>
                <wp:cNvGraphicFramePr/>
                <a:graphic xmlns:a="http://schemas.openxmlformats.org/drawingml/2006/main">
                  <a:graphicData uri="http://schemas.microsoft.com/office/word/2010/wordprocessingShape">
                    <wps:wsp>
                      <wps:cNvSpPr/>
                      <wps:spPr>
                        <a:xfrm rot="16200000" flipV="1">
                          <a:off x="0" y="0"/>
                          <a:ext cx="900430" cy="3766185"/>
                        </a:xfrm>
                        <a:prstGeom prst="arc">
                          <a:avLst>
                            <a:gd name="adj1" fmla="val 5092512"/>
                            <a:gd name="adj2" fmla="val 16949999"/>
                          </a:avLst>
                        </a:prstGeom>
                        <a:ln w="22225">
                          <a:solidFill>
                            <a:schemeClr val="tx1"/>
                          </a:solidFill>
                          <a:head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48486" id="Arc 79" o:spid="_x0000_s1026" style="position:absolute;margin-left:206.25pt;margin-top:-59.5pt;width:70.9pt;height:296.55pt;rotation:90;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00430,3766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" path="m608339,3646219nsc337435,4071263,42379,3332484,3982,2132993,-2184,1940376,-1184,1744928,6946,1553590,69289,86354,495079,-510985,756334,502278l450215,1883093,608339,3646219xem608339,3646219nfc337435,4071263,42379,3332484,3982,2132993,-2184,1940376,-1184,1744928,6946,1553590,69289,86354,495079,-510985,756334,502278e" filled="f" strokecolor="black [3213]" strokeweight="1.75pt">
                <v:stroke startarrow="block" joinstyle="miter"/>
                <v:path arrowok="t" o:connecttype="custom" o:connectlocs="608339,3646219;3982,2132993;6946,1553590;756334,502278" o:connectangles="0,0,0,0"/>
              </v:shape>
            </w:pict>
          </mc:Fallback>
        </mc:AlternateContent>
      </w:r>
      <w:r w:rsidR="008423EC" w:rsidRPr="0092021F">
        <w:rPr>
          <w:rFonts w:cs="Arial"/>
          <w:sz w:val="21"/>
          <w:szCs w:val="21"/>
        </w:rPr>
        <w:t>T</w:t>
      </w:r>
      <w:r w:rsidR="00433706" w:rsidRPr="0092021F">
        <w:rPr>
          <w:rFonts w:cs="Arial"/>
          <w:sz w:val="21"/>
          <w:szCs w:val="21"/>
        </w:rPr>
        <w:t xml:space="preserve">o aid early implementation of the ECP following ratification, the </w:t>
      </w:r>
      <w:r w:rsidR="00F26BBB">
        <w:rPr>
          <w:rFonts w:cs="Arial"/>
          <w:sz w:val="21"/>
          <w:szCs w:val="21"/>
        </w:rPr>
        <w:t>d</w:t>
      </w:r>
      <w:r w:rsidR="00433706" w:rsidRPr="0092021F">
        <w:rPr>
          <w:rFonts w:cs="Arial"/>
          <w:sz w:val="21"/>
          <w:szCs w:val="21"/>
        </w:rPr>
        <w:t xml:space="preserve">esign team has prepared a </w:t>
      </w:r>
      <w:r w:rsidR="006B427E" w:rsidRPr="0092021F">
        <w:rPr>
          <w:rFonts w:cs="Arial"/>
          <w:sz w:val="21"/>
          <w:szCs w:val="21"/>
        </w:rPr>
        <w:t xml:space="preserve">proposed </w:t>
      </w:r>
      <w:r w:rsidR="00F74393">
        <w:rPr>
          <w:rFonts w:cs="Arial"/>
          <w:sz w:val="21"/>
          <w:szCs w:val="21"/>
        </w:rPr>
        <w:t>annual work</w:t>
      </w:r>
      <w:r w:rsidR="00F74393" w:rsidRPr="0092021F">
        <w:rPr>
          <w:rFonts w:cs="Arial"/>
          <w:sz w:val="21"/>
          <w:szCs w:val="21"/>
        </w:rPr>
        <w:t xml:space="preserve"> </w:t>
      </w:r>
      <w:r w:rsidR="008423EC" w:rsidRPr="0092021F">
        <w:rPr>
          <w:rFonts w:cs="Arial"/>
          <w:sz w:val="21"/>
          <w:szCs w:val="21"/>
        </w:rPr>
        <w:t>program</w:t>
      </w:r>
      <w:r w:rsidR="006B427E" w:rsidRPr="0092021F">
        <w:rPr>
          <w:rFonts w:cs="Arial"/>
          <w:sz w:val="21"/>
          <w:szCs w:val="21"/>
        </w:rPr>
        <w:t xml:space="preserve"> for the first 12 months </w:t>
      </w:r>
      <w:r w:rsidR="00004AC6">
        <w:rPr>
          <w:rFonts w:cs="Arial"/>
          <w:sz w:val="21"/>
          <w:szCs w:val="21"/>
        </w:rPr>
        <w:t>of the program</w:t>
      </w:r>
      <w:r w:rsidR="00A84F38">
        <w:rPr>
          <w:rFonts w:cs="Arial"/>
          <w:sz w:val="21"/>
          <w:szCs w:val="21"/>
        </w:rPr>
        <w:t xml:space="preserve"> </w:t>
      </w:r>
      <w:r w:rsidR="00A84F38" w:rsidRPr="001E3B85">
        <w:rPr>
          <w:rFonts w:cs="Arial"/>
          <w:sz w:val="21"/>
          <w:szCs w:val="21"/>
        </w:rPr>
        <w:t>(</w:t>
      </w:r>
      <w:r w:rsidR="001E3B85">
        <w:rPr>
          <w:rFonts w:cs="Arial"/>
          <w:sz w:val="21"/>
          <w:szCs w:val="21"/>
        </w:rPr>
        <w:t xml:space="preserve">see </w:t>
      </w:r>
      <w:r w:rsidR="00A84F38" w:rsidRPr="001E3B85">
        <w:rPr>
          <w:rFonts w:cs="Arial"/>
          <w:sz w:val="21"/>
          <w:szCs w:val="21"/>
          <w:u w:val="single"/>
        </w:rPr>
        <w:t>Annex 2</w:t>
      </w:r>
      <w:r w:rsidR="00432451" w:rsidRPr="001E3B85">
        <w:rPr>
          <w:rFonts w:cs="Arial"/>
          <w:sz w:val="21"/>
          <w:szCs w:val="21"/>
        </w:rPr>
        <w:t>).</w:t>
      </w:r>
      <w:r w:rsidR="00F26BBB">
        <w:rPr>
          <w:rFonts w:cs="Arial"/>
          <w:sz w:val="21"/>
          <w:szCs w:val="21"/>
        </w:rPr>
        <w:t xml:space="preserve"> </w:t>
      </w:r>
    </w:p>
    <w:p w14:paraId="73BE95E9" w14:textId="7957EEB2" w:rsidR="002D2766" w:rsidRDefault="00C418F9" w:rsidP="00530ABE">
      <w:pPr>
        <w:spacing w:after="120"/>
        <w:jc w:val="both"/>
        <w:rPr>
          <w:rFonts w:cs="Arial"/>
          <w:sz w:val="21"/>
          <w:szCs w:val="21"/>
        </w:rPr>
      </w:pPr>
      <w:r w:rsidRPr="0092021F">
        <w:rPr>
          <w:rFonts w:cs="Arial"/>
          <w:sz w:val="21"/>
          <w:szCs w:val="21"/>
        </w:rPr>
        <w:t>Given resource limitations, not all of the indic</w:t>
      </w:r>
      <w:r w:rsidR="0092021F">
        <w:rPr>
          <w:rFonts w:cs="Arial"/>
          <w:sz w:val="21"/>
          <w:szCs w:val="21"/>
        </w:rPr>
        <w:t xml:space="preserve">ative sectors identified in IA-CEPA negotiations and side-letters </w:t>
      </w:r>
      <w:r w:rsidR="00F26BBB" w:rsidRPr="0092021F">
        <w:rPr>
          <w:rFonts w:cs="Arial"/>
          <w:sz w:val="21"/>
          <w:szCs w:val="21"/>
        </w:rPr>
        <w:t>c</w:t>
      </w:r>
      <w:r w:rsidR="00F26BBB">
        <w:rPr>
          <w:rFonts w:cs="Arial"/>
          <w:sz w:val="21"/>
          <w:szCs w:val="21"/>
        </w:rPr>
        <w:t>an</w:t>
      </w:r>
      <w:r w:rsidR="00F26BBB" w:rsidRPr="0092021F">
        <w:rPr>
          <w:rFonts w:cs="Arial"/>
          <w:sz w:val="21"/>
          <w:szCs w:val="21"/>
        </w:rPr>
        <w:t xml:space="preserve"> </w:t>
      </w:r>
      <w:r w:rsidRPr="0092021F">
        <w:rPr>
          <w:rFonts w:cs="Arial"/>
          <w:sz w:val="21"/>
          <w:szCs w:val="21"/>
        </w:rPr>
        <w:t xml:space="preserve">be delivered in the </w:t>
      </w:r>
      <w:r w:rsidR="001168E7" w:rsidRPr="0092021F">
        <w:rPr>
          <w:rFonts w:cs="Arial"/>
          <w:sz w:val="21"/>
          <w:szCs w:val="21"/>
        </w:rPr>
        <w:t>first</w:t>
      </w:r>
      <w:r w:rsidRPr="0092021F">
        <w:rPr>
          <w:rFonts w:cs="Arial"/>
          <w:sz w:val="21"/>
          <w:szCs w:val="21"/>
        </w:rPr>
        <w:t xml:space="preserve"> 12 months. </w:t>
      </w:r>
      <w:r w:rsidR="00A84F38" w:rsidRPr="0092021F">
        <w:rPr>
          <w:rFonts w:cs="Arial"/>
          <w:sz w:val="21"/>
          <w:szCs w:val="21"/>
        </w:rPr>
        <w:t xml:space="preserve">In order to build substantial outcomes from the ECP, the first annual work program lays the foundation </w:t>
      </w:r>
      <w:r w:rsidR="00A84F38">
        <w:rPr>
          <w:rFonts w:cs="Arial"/>
          <w:sz w:val="21"/>
          <w:szCs w:val="21"/>
        </w:rPr>
        <w:t xml:space="preserve">to achieve the defined outcomes </w:t>
      </w:r>
      <w:r w:rsidR="00A84F38" w:rsidRPr="0092021F">
        <w:rPr>
          <w:rFonts w:cs="Arial"/>
          <w:sz w:val="21"/>
          <w:szCs w:val="21"/>
        </w:rPr>
        <w:t>over t</w:t>
      </w:r>
      <w:r w:rsidR="00A84F38">
        <w:rPr>
          <w:rFonts w:cs="Arial"/>
          <w:sz w:val="21"/>
          <w:szCs w:val="21"/>
        </w:rPr>
        <w:t>he initial five-year timeframe and scope to incorporate other activities that align with</w:t>
      </w:r>
      <w:r w:rsidR="00A84F38" w:rsidRPr="008C407F">
        <w:rPr>
          <w:rFonts w:cs="Arial"/>
          <w:sz w:val="21"/>
          <w:szCs w:val="21"/>
        </w:rPr>
        <w:t xml:space="preserve"> </w:t>
      </w:r>
      <w:r w:rsidR="00A84F38">
        <w:rPr>
          <w:rFonts w:cs="Arial"/>
          <w:sz w:val="21"/>
          <w:szCs w:val="21"/>
        </w:rPr>
        <w:t xml:space="preserve">IA-CEPA and the Indonesian and Australian </w:t>
      </w:r>
      <w:r w:rsidR="003E61FA">
        <w:rPr>
          <w:rFonts w:cs="Arial"/>
          <w:sz w:val="21"/>
          <w:szCs w:val="21"/>
        </w:rPr>
        <w:t>G</w:t>
      </w:r>
      <w:r w:rsidR="00A84F38">
        <w:rPr>
          <w:rFonts w:cs="Arial"/>
          <w:sz w:val="21"/>
          <w:szCs w:val="21"/>
        </w:rPr>
        <w:t xml:space="preserve">overnment priorities in future years. </w:t>
      </w:r>
      <w:r w:rsidR="00A84F38" w:rsidRPr="000356EC">
        <w:rPr>
          <w:rFonts w:cs="Arial"/>
          <w:b/>
          <w:sz w:val="21"/>
          <w:szCs w:val="21"/>
        </w:rPr>
        <w:t>Through a substantial portion of funds allocated to outcomes, but not yet to specific activities</w:t>
      </w:r>
      <w:r w:rsidR="00A84F38" w:rsidRPr="000356EC">
        <w:rPr>
          <w:rFonts w:cs="Arial"/>
          <w:sz w:val="21"/>
          <w:szCs w:val="21"/>
        </w:rPr>
        <w:t xml:space="preserve">, the associated budget anticipates that the ECC will consider new priority activities as the ECP progresses. </w:t>
      </w:r>
    </w:p>
    <w:p w14:paraId="49EA1098" w14:textId="6B5BB54A" w:rsidR="002D4DE7" w:rsidRPr="00935027" w:rsidRDefault="002D4DE7" w:rsidP="00856784">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00935027">
        <w:rPr>
          <w:rFonts w:asciiTheme="majorHAnsi" w:hAnsiTheme="majorHAnsi"/>
          <w:b/>
          <w:szCs w:val="21"/>
        </w:rPr>
        <w:t>Monitoring</w:t>
      </w:r>
      <w:r>
        <w:rPr>
          <w:rFonts w:asciiTheme="majorHAnsi" w:hAnsiTheme="majorHAnsi"/>
          <w:b/>
          <w:szCs w:val="21"/>
        </w:rPr>
        <w:t xml:space="preserve"> and </w:t>
      </w:r>
      <w:r w:rsidRPr="00935027">
        <w:rPr>
          <w:rFonts w:asciiTheme="majorHAnsi" w:hAnsiTheme="majorHAnsi"/>
          <w:b/>
          <w:szCs w:val="21"/>
        </w:rPr>
        <w:t>Evaluation (How will DFAT measure performance?)</w:t>
      </w:r>
      <w:r w:rsidR="00451440">
        <w:rPr>
          <w:rFonts w:asciiTheme="majorHAnsi" w:hAnsiTheme="majorHAnsi"/>
          <w:b/>
          <w:szCs w:val="21"/>
        </w:rPr>
        <w:t xml:space="preserve"> </w:t>
      </w:r>
    </w:p>
    <w:p w14:paraId="52333B16" w14:textId="03FB3DDF" w:rsidR="00477DA9" w:rsidRPr="0092021F" w:rsidRDefault="00477DA9" w:rsidP="00477DA9">
      <w:pPr>
        <w:tabs>
          <w:tab w:val="left" w:pos="284"/>
        </w:tabs>
        <w:spacing w:after="120"/>
        <w:jc w:val="both"/>
        <w:rPr>
          <w:rFonts w:eastAsia="Times New Roman" w:cs="Arial"/>
          <w:sz w:val="21"/>
          <w:szCs w:val="21"/>
          <w:lang w:val="en-AU" w:eastAsia="en-AU"/>
        </w:rPr>
      </w:pPr>
      <w:r w:rsidRPr="0092021F">
        <w:rPr>
          <w:rFonts w:eastAsia="Times New Roman" w:cs="Arial"/>
          <w:sz w:val="21"/>
          <w:szCs w:val="21"/>
          <w:lang w:val="en-AU" w:eastAsia="en-AU"/>
        </w:rPr>
        <w:t>The purpose of the monitoring</w:t>
      </w:r>
      <w:r w:rsidR="000356EC">
        <w:rPr>
          <w:rFonts w:eastAsia="Times New Roman" w:cs="Arial"/>
          <w:sz w:val="21"/>
          <w:szCs w:val="21"/>
          <w:lang w:val="en-AU" w:eastAsia="en-AU"/>
        </w:rPr>
        <w:t xml:space="preserve">, </w:t>
      </w:r>
      <w:r w:rsidRPr="0092021F">
        <w:rPr>
          <w:rFonts w:eastAsia="Times New Roman" w:cs="Arial"/>
          <w:sz w:val="21"/>
          <w:szCs w:val="21"/>
          <w:lang w:val="en-AU" w:eastAsia="en-AU"/>
        </w:rPr>
        <w:t xml:space="preserve">evaluation </w:t>
      </w:r>
      <w:r w:rsidR="000356EC">
        <w:rPr>
          <w:rFonts w:eastAsia="Times New Roman" w:cs="Arial"/>
          <w:sz w:val="21"/>
          <w:szCs w:val="21"/>
          <w:lang w:val="en-AU" w:eastAsia="en-AU"/>
        </w:rPr>
        <w:t xml:space="preserve">and learning </w:t>
      </w:r>
      <w:r w:rsidRPr="0092021F">
        <w:rPr>
          <w:rFonts w:eastAsia="Times New Roman" w:cs="Arial"/>
          <w:sz w:val="21"/>
          <w:szCs w:val="21"/>
          <w:lang w:val="en-AU" w:eastAsia="en-AU"/>
        </w:rPr>
        <w:t>(</w:t>
      </w:r>
      <w:r w:rsidR="000356EC">
        <w:rPr>
          <w:rFonts w:eastAsia="Times New Roman" w:cs="Arial"/>
          <w:sz w:val="21"/>
          <w:szCs w:val="21"/>
          <w:lang w:val="en-AU" w:eastAsia="en-AU"/>
        </w:rPr>
        <w:t>MEL</w:t>
      </w:r>
      <w:r w:rsidRPr="0092021F">
        <w:rPr>
          <w:rFonts w:eastAsia="Times New Roman" w:cs="Arial"/>
          <w:sz w:val="21"/>
          <w:szCs w:val="21"/>
          <w:lang w:val="en-AU" w:eastAsia="en-AU"/>
        </w:rPr>
        <w:t xml:space="preserve">) system is </w:t>
      </w:r>
      <w:r w:rsidR="00F26BBB">
        <w:rPr>
          <w:rFonts w:eastAsia="Times New Roman" w:cs="Arial"/>
          <w:sz w:val="21"/>
          <w:szCs w:val="21"/>
          <w:lang w:val="en-AU" w:eastAsia="en-AU"/>
        </w:rPr>
        <w:t>to</w:t>
      </w:r>
      <w:r w:rsidRPr="0092021F">
        <w:rPr>
          <w:rFonts w:eastAsia="Times New Roman" w:cs="Arial"/>
          <w:sz w:val="21"/>
          <w:szCs w:val="21"/>
          <w:lang w:val="en-AU" w:eastAsia="en-AU"/>
        </w:rPr>
        <w:t>:</w:t>
      </w:r>
    </w:p>
    <w:p w14:paraId="126EA026" w14:textId="70F12B7A" w:rsidR="00477DA9" w:rsidRPr="0092021F" w:rsidRDefault="00F26BBB" w:rsidP="00280550">
      <w:pPr>
        <w:pStyle w:val="ListParagraph"/>
        <w:numPr>
          <w:ilvl w:val="0"/>
          <w:numId w:val="19"/>
        </w:numPr>
        <w:suppressAutoHyphens w:val="0"/>
        <w:spacing w:after="120"/>
        <w:jc w:val="both"/>
        <w:rPr>
          <w:rFonts w:cs="Arial"/>
          <w:sz w:val="21"/>
          <w:szCs w:val="21"/>
        </w:rPr>
      </w:pPr>
      <w:r>
        <w:rPr>
          <w:rFonts w:cs="Arial"/>
          <w:sz w:val="21"/>
          <w:szCs w:val="21"/>
        </w:rPr>
        <w:t>P</w:t>
      </w:r>
      <w:r w:rsidRPr="0092021F">
        <w:rPr>
          <w:rFonts w:cs="Arial"/>
          <w:sz w:val="21"/>
          <w:szCs w:val="21"/>
        </w:rPr>
        <w:t>rovid</w:t>
      </w:r>
      <w:r>
        <w:rPr>
          <w:rFonts w:cs="Arial"/>
          <w:sz w:val="21"/>
          <w:szCs w:val="21"/>
        </w:rPr>
        <w:t>e</w:t>
      </w:r>
      <w:r w:rsidRPr="0092021F">
        <w:rPr>
          <w:rFonts w:cs="Arial"/>
          <w:sz w:val="21"/>
          <w:szCs w:val="21"/>
        </w:rPr>
        <w:t xml:space="preserve"> </w:t>
      </w:r>
      <w:r w:rsidR="00477DA9" w:rsidRPr="0092021F">
        <w:rPr>
          <w:rFonts w:cs="Arial"/>
          <w:sz w:val="21"/>
          <w:szCs w:val="21"/>
        </w:rPr>
        <w:t xml:space="preserve">the mechanism to evaluate the performance of ECP implementation, based on the proposed program outcomes. Monitoring and evaluation need to be able to inform decision makers on the extent to which implementation is delivering these outcomes.  </w:t>
      </w:r>
    </w:p>
    <w:p w14:paraId="39028D86" w14:textId="01B6BD45" w:rsidR="00477DA9" w:rsidRPr="0092021F" w:rsidRDefault="00F26BBB" w:rsidP="00280550">
      <w:pPr>
        <w:pStyle w:val="ListParagraph"/>
        <w:numPr>
          <w:ilvl w:val="0"/>
          <w:numId w:val="19"/>
        </w:numPr>
        <w:suppressAutoHyphens w:val="0"/>
        <w:spacing w:after="120"/>
        <w:jc w:val="both"/>
        <w:rPr>
          <w:rFonts w:cs="Arial"/>
          <w:sz w:val="21"/>
          <w:szCs w:val="21"/>
        </w:rPr>
      </w:pPr>
      <w:r w:rsidRPr="0092021F">
        <w:rPr>
          <w:rFonts w:cs="Arial"/>
          <w:sz w:val="21"/>
          <w:szCs w:val="21"/>
        </w:rPr>
        <w:lastRenderedPageBreak/>
        <w:t>Ensur</w:t>
      </w:r>
      <w:r>
        <w:rPr>
          <w:rFonts w:cs="Arial"/>
          <w:sz w:val="21"/>
          <w:szCs w:val="21"/>
        </w:rPr>
        <w:t>e</w:t>
      </w:r>
      <w:r w:rsidRPr="0092021F">
        <w:rPr>
          <w:rFonts w:cs="Arial"/>
          <w:sz w:val="21"/>
          <w:szCs w:val="21"/>
        </w:rPr>
        <w:t xml:space="preserve"> </w:t>
      </w:r>
      <w:r w:rsidR="00253683">
        <w:rPr>
          <w:rFonts w:cs="Arial"/>
          <w:sz w:val="21"/>
          <w:szCs w:val="21"/>
        </w:rPr>
        <w:t xml:space="preserve">mutual </w:t>
      </w:r>
      <w:r w:rsidR="00477DA9" w:rsidRPr="0092021F">
        <w:rPr>
          <w:rFonts w:cs="Arial"/>
          <w:sz w:val="21"/>
          <w:szCs w:val="21"/>
        </w:rPr>
        <w:t>accountability for the use of ODA funding and delivering value-for-money in the choice and implementation of activities.</w:t>
      </w:r>
    </w:p>
    <w:p w14:paraId="31FC1E9A" w14:textId="69DD4AB3" w:rsidR="00477DA9" w:rsidRPr="0092021F" w:rsidRDefault="00477DA9" w:rsidP="00280550">
      <w:pPr>
        <w:pStyle w:val="ListParagraph"/>
        <w:numPr>
          <w:ilvl w:val="0"/>
          <w:numId w:val="19"/>
        </w:numPr>
        <w:suppressAutoHyphens w:val="0"/>
        <w:spacing w:after="120"/>
        <w:jc w:val="both"/>
        <w:rPr>
          <w:rFonts w:cs="Arial"/>
          <w:sz w:val="21"/>
          <w:szCs w:val="21"/>
        </w:rPr>
      </w:pPr>
      <w:r w:rsidRPr="0092021F">
        <w:rPr>
          <w:rFonts w:cs="Arial"/>
          <w:sz w:val="21"/>
          <w:szCs w:val="21"/>
        </w:rPr>
        <w:t xml:space="preserve">Support decision makers to ensure Australia and Indonesia make informed strategic choices about the selection of activities to achieve intended outcomes. </w:t>
      </w:r>
    </w:p>
    <w:p w14:paraId="302EDA61" w14:textId="13DF0587" w:rsidR="00477DA9" w:rsidRPr="0092021F" w:rsidRDefault="00477DA9" w:rsidP="00280550">
      <w:pPr>
        <w:pStyle w:val="ListParagraph"/>
        <w:numPr>
          <w:ilvl w:val="0"/>
          <w:numId w:val="19"/>
        </w:numPr>
        <w:suppressAutoHyphens w:val="0"/>
        <w:spacing w:after="120"/>
        <w:jc w:val="both"/>
        <w:rPr>
          <w:rFonts w:cs="Arial"/>
          <w:sz w:val="21"/>
          <w:szCs w:val="21"/>
        </w:rPr>
      </w:pPr>
      <w:r w:rsidRPr="0092021F">
        <w:rPr>
          <w:rFonts w:cs="Arial"/>
          <w:sz w:val="21"/>
          <w:szCs w:val="21"/>
        </w:rPr>
        <w:t>Develop cost-effective and practical processes to ensure the ongoing review and reporting of activities and results, assessment of risks, learning and continuous improvement.</w:t>
      </w:r>
    </w:p>
    <w:p w14:paraId="107C8C50" w14:textId="7E93C97E" w:rsidR="00477DA9" w:rsidRDefault="00477DA9" w:rsidP="00477DA9">
      <w:pPr>
        <w:tabs>
          <w:tab w:val="left" w:pos="284"/>
        </w:tabs>
        <w:spacing w:after="120"/>
        <w:jc w:val="both"/>
        <w:rPr>
          <w:rFonts w:eastAsia="Times New Roman" w:cs="Arial"/>
          <w:sz w:val="21"/>
          <w:szCs w:val="21"/>
          <w:lang w:val="en-AU" w:eastAsia="en-AU"/>
        </w:rPr>
      </w:pPr>
      <w:r>
        <w:rPr>
          <w:rFonts w:eastAsia="Times New Roman" w:cs="Arial"/>
          <w:sz w:val="21"/>
          <w:szCs w:val="21"/>
          <w:lang w:val="en-AU" w:eastAsia="en-AU"/>
        </w:rPr>
        <w:t xml:space="preserve">The key components of ECP’s </w:t>
      </w:r>
      <w:r w:rsidR="000356EC">
        <w:rPr>
          <w:rFonts w:eastAsia="Times New Roman" w:cs="Arial"/>
          <w:sz w:val="21"/>
          <w:szCs w:val="21"/>
          <w:lang w:val="en-AU" w:eastAsia="en-AU"/>
        </w:rPr>
        <w:t xml:space="preserve">MEL </w:t>
      </w:r>
      <w:r>
        <w:rPr>
          <w:rFonts w:eastAsia="Times New Roman" w:cs="Arial"/>
          <w:sz w:val="21"/>
          <w:szCs w:val="21"/>
          <w:lang w:val="en-AU" w:eastAsia="en-AU"/>
        </w:rPr>
        <w:t xml:space="preserve">system, including the </w:t>
      </w:r>
      <w:r w:rsidR="000356EC">
        <w:rPr>
          <w:rFonts w:eastAsia="Times New Roman" w:cs="Arial"/>
          <w:sz w:val="21"/>
          <w:szCs w:val="21"/>
          <w:lang w:val="en-AU" w:eastAsia="en-AU"/>
        </w:rPr>
        <w:t>MEL</w:t>
      </w:r>
      <w:r>
        <w:rPr>
          <w:rFonts w:eastAsia="Times New Roman" w:cs="Arial"/>
          <w:sz w:val="21"/>
          <w:szCs w:val="21"/>
          <w:lang w:val="en-AU" w:eastAsia="en-AU"/>
        </w:rPr>
        <w:t xml:space="preserve"> Results Framework and Key Evaluation Questions are provided </w:t>
      </w:r>
      <w:r w:rsidR="001E3B85">
        <w:rPr>
          <w:rFonts w:eastAsia="Times New Roman" w:cs="Arial"/>
          <w:sz w:val="21"/>
          <w:szCs w:val="21"/>
          <w:lang w:val="en-AU" w:eastAsia="en-AU"/>
        </w:rPr>
        <w:t>at</w:t>
      </w:r>
      <w:r>
        <w:rPr>
          <w:rFonts w:eastAsia="Times New Roman" w:cs="Arial"/>
          <w:sz w:val="21"/>
          <w:szCs w:val="21"/>
          <w:lang w:val="en-AU" w:eastAsia="en-AU"/>
        </w:rPr>
        <w:t xml:space="preserve"> </w:t>
      </w:r>
      <w:r w:rsidRPr="001E3B85">
        <w:rPr>
          <w:rFonts w:eastAsia="Times New Roman" w:cs="Arial"/>
          <w:sz w:val="21"/>
          <w:szCs w:val="21"/>
          <w:u w:val="single"/>
          <w:lang w:val="en-AU" w:eastAsia="en-AU"/>
        </w:rPr>
        <w:t>Annex 3</w:t>
      </w:r>
      <w:r>
        <w:rPr>
          <w:rFonts w:eastAsia="Times New Roman" w:cs="Arial"/>
          <w:sz w:val="21"/>
          <w:szCs w:val="21"/>
          <w:lang w:val="en-AU" w:eastAsia="en-AU"/>
        </w:rPr>
        <w:t>.</w:t>
      </w:r>
    </w:p>
    <w:p w14:paraId="151FA112" w14:textId="5EE4545A" w:rsidR="00477DA9" w:rsidRDefault="00477DA9" w:rsidP="00477DA9">
      <w:pPr>
        <w:tabs>
          <w:tab w:val="left" w:pos="284"/>
        </w:tabs>
        <w:spacing w:after="120"/>
        <w:jc w:val="both"/>
        <w:rPr>
          <w:rFonts w:eastAsia="Times New Roman" w:cs="Arial"/>
          <w:sz w:val="21"/>
          <w:szCs w:val="21"/>
          <w:lang w:val="en-AU" w:eastAsia="en-AU"/>
        </w:rPr>
      </w:pPr>
      <w:r w:rsidRPr="0092021F">
        <w:rPr>
          <w:rFonts w:eastAsia="Times New Roman" w:cs="Arial"/>
          <w:sz w:val="21"/>
          <w:szCs w:val="21"/>
          <w:lang w:val="en-AU" w:eastAsia="en-AU"/>
        </w:rPr>
        <w:t>The</w:t>
      </w:r>
      <w:r w:rsidR="00481C51">
        <w:rPr>
          <w:rFonts w:eastAsia="Times New Roman" w:cs="Arial"/>
          <w:sz w:val="21"/>
          <w:szCs w:val="21"/>
          <w:lang w:val="en-AU" w:eastAsia="en-AU"/>
        </w:rPr>
        <w:t xml:space="preserve"> </w:t>
      </w:r>
      <w:r w:rsidR="000356EC">
        <w:rPr>
          <w:rFonts w:eastAsia="Times New Roman" w:cs="Arial"/>
          <w:sz w:val="21"/>
          <w:szCs w:val="21"/>
          <w:lang w:val="en-AU" w:eastAsia="en-AU"/>
        </w:rPr>
        <w:t>MEL</w:t>
      </w:r>
      <w:r w:rsidRPr="0092021F">
        <w:rPr>
          <w:rFonts w:eastAsia="Times New Roman" w:cs="Arial"/>
          <w:sz w:val="21"/>
          <w:szCs w:val="21"/>
          <w:lang w:val="en-AU" w:eastAsia="en-AU"/>
        </w:rPr>
        <w:t xml:space="preserve"> system also supports the communication and advocacy functions of the Collaborative Hub to build strong partnerships, support ongoing collaboration and facilitate evidence-based </w:t>
      </w:r>
      <w:r w:rsidR="00B8499B">
        <w:rPr>
          <w:rFonts w:eastAsia="Times New Roman" w:cs="Arial"/>
          <w:sz w:val="21"/>
          <w:szCs w:val="21"/>
          <w:lang w:val="en-AU" w:eastAsia="en-AU"/>
        </w:rPr>
        <w:t>decision-</w:t>
      </w:r>
      <w:r w:rsidRPr="0092021F">
        <w:rPr>
          <w:rFonts w:eastAsia="Times New Roman" w:cs="Arial"/>
          <w:sz w:val="21"/>
          <w:szCs w:val="21"/>
          <w:lang w:val="en-AU" w:eastAsia="en-AU"/>
        </w:rPr>
        <w:t xml:space="preserve">making. It will be designed to support soft power objectives by providing compelling evidence that improvements in trade and investment between Indonesia and Australia will improve social and economic conditions for its citizens. </w:t>
      </w:r>
      <w:r>
        <w:rPr>
          <w:rFonts w:eastAsia="Times New Roman" w:cs="Arial"/>
          <w:sz w:val="21"/>
          <w:szCs w:val="21"/>
          <w:lang w:val="en-AU" w:eastAsia="en-AU"/>
        </w:rPr>
        <w:t xml:space="preserve"> </w:t>
      </w:r>
    </w:p>
    <w:p w14:paraId="7E0BDB88" w14:textId="2A062EF5" w:rsidR="0010542F" w:rsidRDefault="00477DA9">
      <w:pPr>
        <w:tabs>
          <w:tab w:val="left" w:pos="284"/>
        </w:tabs>
        <w:spacing w:after="120"/>
        <w:jc w:val="both"/>
        <w:rPr>
          <w:rFonts w:eastAsia="Times New Roman" w:cs="Arial"/>
          <w:b/>
          <w:sz w:val="21"/>
          <w:szCs w:val="21"/>
          <w:lang w:val="en-AU" w:eastAsia="en-AU"/>
        </w:rPr>
      </w:pPr>
      <w:r>
        <w:rPr>
          <w:rFonts w:eastAsia="Times New Roman" w:cs="Arial"/>
          <w:sz w:val="21"/>
          <w:szCs w:val="21"/>
          <w:lang w:val="en-AU" w:eastAsia="en-AU"/>
        </w:rPr>
        <w:t xml:space="preserve">The ECP </w:t>
      </w:r>
      <w:r w:rsidR="000356EC">
        <w:rPr>
          <w:rFonts w:eastAsia="Times New Roman" w:cs="Arial"/>
          <w:sz w:val="21"/>
          <w:szCs w:val="21"/>
          <w:lang w:val="en-AU" w:eastAsia="en-AU"/>
        </w:rPr>
        <w:t>MEL</w:t>
      </w:r>
      <w:r>
        <w:rPr>
          <w:rFonts w:eastAsia="Times New Roman" w:cs="Arial"/>
          <w:sz w:val="21"/>
          <w:szCs w:val="21"/>
          <w:lang w:val="en-AU" w:eastAsia="en-AU"/>
        </w:rPr>
        <w:t xml:space="preserve"> system will </w:t>
      </w:r>
      <w:r w:rsidR="00B018E7">
        <w:rPr>
          <w:rFonts w:eastAsia="Times New Roman" w:cs="Arial"/>
          <w:sz w:val="21"/>
          <w:szCs w:val="21"/>
          <w:lang w:val="en-AU" w:eastAsia="en-AU"/>
        </w:rPr>
        <w:t xml:space="preserve">be developed to </w:t>
      </w:r>
      <w:r>
        <w:rPr>
          <w:rFonts w:eastAsia="Times New Roman" w:cs="Arial"/>
          <w:sz w:val="21"/>
          <w:szCs w:val="21"/>
          <w:lang w:val="en-AU" w:eastAsia="en-AU"/>
        </w:rPr>
        <w:t>work closely with other DFAT programs to ensure alignment of reporting on progress towards outcomes, ensure positive feedback loops are established and the contribution of each program is recognised.</w:t>
      </w:r>
      <w:r w:rsidR="00B018E7">
        <w:rPr>
          <w:rFonts w:eastAsia="Times New Roman" w:cs="Arial"/>
          <w:sz w:val="21"/>
          <w:szCs w:val="21"/>
          <w:lang w:val="en-AU" w:eastAsia="en-AU"/>
        </w:rPr>
        <w:t xml:space="preserve"> Adopting the Hub model will place greater emphasis and requirements on MEL to adequately measure performance across the range of activities and partnerships. This is broader in scope than conventional </w:t>
      </w:r>
      <w:r w:rsidR="00C908E5">
        <w:rPr>
          <w:rFonts w:eastAsia="Times New Roman" w:cs="Arial"/>
          <w:sz w:val="21"/>
          <w:szCs w:val="21"/>
          <w:lang w:val="en-AU" w:eastAsia="en-AU"/>
        </w:rPr>
        <w:t xml:space="preserve">bilateral </w:t>
      </w:r>
      <w:r w:rsidR="00B018E7">
        <w:rPr>
          <w:rFonts w:eastAsia="Times New Roman" w:cs="Arial"/>
          <w:sz w:val="21"/>
          <w:szCs w:val="21"/>
          <w:lang w:val="en-AU" w:eastAsia="en-AU"/>
        </w:rPr>
        <w:t xml:space="preserve">delivery models. </w:t>
      </w:r>
      <w:r>
        <w:rPr>
          <w:rFonts w:eastAsia="Times New Roman" w:cs="Arial"/>
          <w:sz w:val="21"/>
          <w:szCs w:val="21"/>
          <w:lang w:val="en-AU" w:eastAsia="en-AU"/>
        </w:rPr>
        <w:t xml:space="preserve">A </w:t>
      </w:r>
      <w:r w:rsidR="00EB13EB">
        <w:rPr>
          <w:rFonts w:eastAsia="Times New Roman" w:cs="Arial"/>
          <w:sz w:val="21"/>
          <w:szCs w:val="21"/>
          <w:lang w:val="en-AU" w:eastAsia="en-AU"/>
        </w:rPr>
        <w:t>‘</w:t>
      </w:r>
      <w:r>
        <w:rPr>
          <w:rFonts w:eastAsia="Times New Roman" w:cs="Arial"/>
          <w:sz w:val="21"/>
          <w:szCs w:val="21"/>
          <w:lang w:val="en-AU" w:eastAsia="en-AU"/>
        </w:rPr>
        <w:t>help desk</w:t>
      </w:r>
      <w:r w:rsidR="00EB13EB">
        <w:rPr>
          <w:rFonts w:eastAsia="Times New Roman" w:cs="Arial"/>
          <w:sz w:val="21"/>
          <w:szCs w:val="21"/>
          <w:lang w:val="en-AU" w:eastAsia="en-AU"/>
        </w:rPr>
        <w:t xml:space="preserve">’ </w:t>
      </w:r>
      <w:r>
        <w:rPr>
          <w:rFonts w:eastAsia="Times New Roman" w:cs="Arial"/>
          <w:sz w:val="21"/>
          <w:szCs w:val="21"/>
          <w:lang w:val="en-AU" w:eastAsia="en-AU"/>
        </w:rPr>
        <w:t xml:space="preserve">function will also be provided to </w:t>
      </w:r>
      <w:proofErr w:type="spellStart"/>
      <w:r>
        <w:rPr>
          <w:rFonts w:eastAsia="Times New Roman" w:cs="Arial"/>
          <w:sz w:val="21"/>
          <w:szCs w:val="21"/>
          <w:lang w:val="en-AU" w:eastAsia="en-AU"/>
        </w:rPr>
        <w:t>Bappenas</w:t>
      </w:r>
      <w:proofErr w:type="spellEnd"/>
      <w:r>
        <w:rPr>
          <w:rFonts w:eastAsia="Times New Roman" w:cs="Arial"/>
          <w:sz w:val="21"/>
          <w:szCs w:val="21"/>
          <w:lang w:val="en-AU" w:eastAsia="en-AU"/>
        </w:rPr>
        <w:t xml:space="preserve"> and other DFAT programs to standardis</w:t>
      </w:r>
      <w:r w:rsidR="00893D32">
        <w:rPr>
          <w:rFonts w:eastAsia="Times New Roman" w:cs="Arial"/>
          <w:sz w:val="21"/>
          <w:szCs w:val="21"/>
          <w:lang w:val="en-AU" w:eastAsia="en-AU"/>
        </w:rPr>
        <w:t>e</w:t>
      </w:r>
      <w:r>
        <w:rPr>
          <w:rFonts w:eastAsia="Times New Roman" w:cs="Arial"/>
          <w:sz w:val="21"/>
          <w:szCs w:val="21"/>
          <w:lang w:val="en-AU" w:eastAsia="en-AU"/>
        </w:rPr>
        <w:t xml:space="preserve"> reporting and aggregation of indicators under DFAT’s Performance Assessment Framework</w:t>
      </w:r>
      <w:r w:rsidR="00893D32">
        <w:rPr>
          <w:rFonts w:eastAsia="Times New Roman" w:cs="Arial"/>
          <w:sz w:val="21"/>
          <w:szCs w:val="21"/>
          <w:lang w:val="en-AU" w:eastAsia="en-AU"/>
        </w:rPr>
        <w:t xml:space="preserve">, to help </w:t>
      </w:r>
      <w:r w:rsidRPr="0092021F">
        <w:rPr>
          <w:rFonts w:eastAsia="Times New Roman" w:cs="Arial"/>
          <w:sz w:val="21"/>
          <w:szCs w:val="21"/>
          <w:lang w:val="en-AU" w:eastAsia="en-AU"/>
        </w:rPr>
        <w:t>deliver accurate and timely information about performance, programming and risks</w:t>
      </w:r>
      <w:r w:rsidR="00893D32">
        <w:rPr>
          <w:rFonts w:eastAsia="Times New Roman" w:cs="Arial"/>
          <w:sz w:val="21"/>
          <w:szCs w:val="21"/>
          <w:lang w:val="en-AU" w:eastAsia="en-AU"/>
        </w:rPr>
        <w:t>.</w:t>
      </w:r>
    </w:p>
    <w:p w14:paraId="3B02A1EE" w14:textId="77777777" w:rsidR="00477DA9" w:rsidRPr="0092021F" w:rsidRDefault="00477DA9" w:rsidP="00314A3E">
      <w:pPr>
        <w:tabs>
          <w:tab w:val="left" w:pos="284"/>
        </w:tabs>
        <w:spacing w:before="240" w:after="120" w:line="276" w:lineRule="auto"/>
        <w:jc w:val="both"/>
        <w:rPr>
          <w:rFonts w:eastAsia="Times New Roman" w:cs="Arial"/>
          <w:b/>
          <w:sz w:val="21"/>
          <w:szCs w:val="21"/>
          <w:lang w:val="en-AU" w:eastAsia="en-AU"/>
        </w:rPr>
      </w:pPr>
      <w:r w:rsidRPr="0092021F">
        <w:rPr>
          <w:rFonts w:eastAsia="Times New Roman" w:cs="Arial"/>
          <w:b/>
          <w:sz w:val="21"/>
          <w:szCs w:val="21"/>
          <w:lang w:val="en-AU" w:eastAsia="en-AU"/>
        </w:rPr>
        <w:t>Levels of Performance Monitoring</w:t>
      </w:r>
    </w:p>
    <w:p w14:paraId="6F0AF456" w14:textId="46E51956" w:rsidR="00477DA9" w:rsidRPr="0092021F" w:rsidRDefault="00477DA9" w:rsidP="00475BF4">
      <w:pPr>
        <w:tabs>
          <w:tab w:val="left" w:pos="284"/>
        </w:tabs>
        <w:suppressAutoHyphens w:val="0"/>
        <w:spacing w:after="120"/>
        <w:jc w:val="both"/>
        <w:rPr>
          <w:rFonts w:eastAsia="Times New Roman" w:cs="Arial"/>
          <w:sz w:val="21"/>
          <w:szCs w:val="21"/>
          <w:lang w:val="en-AU" w:eastAsia="en-AU"/>
        </w:rPr>
      </w:pPr>
      <w:r w:rsidRPr="0092021F">
        <w:rPr>
          <w:rFonts w:eastAsia="Times New Roman" w:cs="Arial"/>
          <w:sz w:val="21"/>
          <w:szCs w:val="21"/>
          <w:lang w:val="en-AU" w:eastAsia="en-AU"/>
        </w:rPr>
        <w:t xml:space="preserve">Due to the nature of the Collaborative Hub implementation model the </w:t>
      </w:r>
      <w:r w:rsidR="000356EC">
        <w:rPr>
          <w:rFonts w:eastAsia="Times New Roman" w:cs="Arial"/>
          <w:sz w:val="21"/>
          <w:szCs w:val="21"/>
          <w:lang w:val="en-AU" w:eastAsia="en-AU"/>
        </w:rPr>
        <w:t>MEL</w:t>
      </w:r>
      <w:r w:rsidRPr="0092021F">
        <w:rPr>
          <w:rFonts w:eastAsia="Times New Roman" w:cs="Arial"/>
          <w:sz w:val="21"/>
          <w:szCs w:val="21"/>
          <w:lang w:val="en-AU" w:eastAsia="en-AU"/>
        </w:rPr>
        <w:t xml:space="preserve"> system will </w:t>
      </w:r>
      <w:r>
        <w:rPr>
          <w:rFonts w:eastAsia="Times New Roman" w:cs="Arial"/>
          <w:sz w:val="21"/>
          <w:szCs w:val="21"/>
          <w:lang w:val="en-AU" w:eastAsia="en-AU"/>
        </w:rPr>
        <w:t xml:space="preserve">need to </w:t>
      </w:r>
      <w:r w:rsidRPr="0092021F">
        <w:rPr>
          <w:rFonts w:eastAsia="Times New Roman" w:cs="Arial"/>
          <w:sz w:val="21"/>
          <w:szCs w:val="21"/>
          <w:lang w:val="en-AU" w:eastAsia="en-AU"/>
        </w:rPr>
        <w:t xml:space="preserve">operate at </w:t>
      </w:r>
      <w:r w:rsidR="00EB13EB">
        <w:rPr>
          <w:rFonts w:eastAsia="Times New Roman" w:cs="Arial"/>
          <w:sz w:val="21"/>
          <w:szCs w:val="21"/>
          <w:lang w:val="en-AU" w:eastAsia="en-AU"/>
        </w:rPr>
        <w:t>three</w:t>
      </w:r>
      <w:r w:rsidR="00EB13EB" w:rsidRPr="0092021F">
        <w:rPr>
          <w:rFonts w:eastAsia="Times New Roman" w:cs="Arial"/>
          <w:sz w:val="21"/>
          <w:szCs w:val="21"/>
          <w:lang w:val="en-AU" w:eastAsia="en-AU"/>
        </w:rPr>
        <w:t xml:space="preserve"> </w:t>
      </w:r>
      <w:r w:rsidRPr="0092021F">
        <w:rPr>
          <w:rFonts w:eastAsia="Times New Roman" w:cs="Arial"/>
          <w:sz w:val="21"/>
          <w:szCs w:val="21"/>
          <w:lang w:val="en-AU" w:eastAsia="en-AU"/>
        </w:rPr>
        <w:t>different levels to measure performance and support decision makers:</w:t>
      </w:r>
    </w:p>
    <w:p w14:paraId="124C6F05" w14:textId="3CB125F6" w:rsidR="00477DA9" w:rsidRPr="0092021F" w:rsidRDefault="00477DA9" w:rsidP="00537B0B">
      <w:pPr>
        <w:pStyle w:val="ListParagraph"/>
        <w:numPr>
          <w:ilvl w:val="0"/>
          <w:numId w:val="21"/>
        </w:numPr>
        <w:tabs>
          <w:tab w:val="left" w:pos="284"/>
        </w:tabs>
        <w:suppressAutoHyphens w:val="0"/>
        <w:spacing w:after="120"/>
        <w:ind w:left="360"/>
        <w:jc w:val="both"/>
        <w:rPr>
          <w:rFonts w:eastAsia="Times New Roman" w:cs="Arial"/>
          <w:sz w:val="21"/>
          <w:szCs w:val="21"/>
          <w:lang w:val="en-AU" w:eastAsia="en-AU"/>
        </w:rPr>
      </w:pPr>
      <w:r w:rsidRPr="0092021F">
        <w:rPr>
          <w:rFonts w:eastAsia="Times New Roman" w:cs="Arial"/>
          <w:b/>
          <w:sz w:val="21"/>
          <w:szCs w:val="21"/>
          <w:lang w:val="en-AU" w:eastAsia="en-AU"/>
        </w:rPr>
        <w:t>Programmatic level:</w:t>
      </w:r>
      <w:r w:rsidRPr="0092021F">
        <w:rPr>
          <w:rFonts w:eastAsia="Times New Roman" w:cs="Arial"/>
          <w:sz w:val="21"/>
          <w:szCs w:val="21"/>
          <w:lang w:val="en-AU" w:eastAsia="en-AU"/>
        </w:rPr>
        <w:t xml:space="preserve"> This requires an analysis of progress towards intended end of program outcomes (EOPOs) based on aggregated and cumulative performance data across all activities supported by ECP. This function supports both (1) strategic decision making in terms of whether the ECP activities are having a catalytic effect and working in synergy with other Australian and Indonesian interventions to achieve EOPOs, and (2) management decisions on whether the model represents the most efficient and effective mechanism to deliver results. Accountability and value for money is demonstrated through the most efficient and effective use of resources across the program of activities. Analysis and reporting on programmatic level </w:t>
      </w:r>
      <w:r w:rsidR="000356EC">
        <w:rPr>
          <w:rFonts w:eastAsia="Times New Roman" w:cs="Arial"/>
          <w:sz w:val="21"/>
          <w:szCs w:val="21"/>
          <w:lang w:val="en-AU" w:eastAsia="en-AU"/>
        </w:rPr>
        <w:t>MEL</w:t>
      </w:r>
      <w:r w:rsidRPr="0092021F">
        <w:rPr>
          <w:rFonts w:eastAsia="Times New Roman" w:cs="Arial"/>
          <w:sz w:val="21"/>
          <w:szCs w:val="21"/>
          <w:lang w:val="en-AU" w:eastAsia="en-AU"/>
        </w:rPr>
        <w:t xml:space="preserve"> will be the responsibility of the </w:t>
      </w:r>
      <w:r w:rsidR="00270B2C">
        <w:rPr>
          <w:rFonts w:eastAsia="Times New Roman" w:cs="Arial"/>
          <w:sz w:val="21"/>
          <w:szCs w:val="21"/>
          <w:lang w:val="en-AU" w:eastAsia="en-AU"/>
        </w:rPr>
        <w:t xml:space="preserve">ECP </w:t>
      </w:r>
      <w:r w:rsidRPr="0092021F">
        <w:rPr>
          <w:rFonts w:eastAsia="Times New Roman" w:cs="Arial"/>
          <w:sz w:val="21"/>
          <w:szCs w:val="21"/>
          <w:lang w:val="en-AU" w:eastAsia="en-AU"/>
        </w:rPr>
        <w:t xml:space="preserve">M&amp;E </w:t>
      </w:r>
      <w:r w:rsidR="00270B2C">
        <w:rPr>
          <w:rFonts w:eastAsia="Times New Roman" w:cs="Arial"/>
          <w:sz w:val="21"/>
          <w:szCs w:val="21"/>
          <w:lang w:val="en-AU" w:eastAsia="en-AU"/>
        </w:rPr>
        <w:t xml:space="preserve">function </w:t>
      </w:r>
      <w:r w:rsidRPr="0092021F">
        <w:rPr>
          <w:rFonts w:eastAsia="Times New Roman" w:cs="Arial"/>
          <w:sz w:val="21"/>
          <w:szCs w:val="21"/>
          <w:lang w:val="en-AU" w:eastAsia="en-AU"/>
        </w:rPr>
        <w:t xml:space="preserve">working with implementing partners and </w:t>
      </w:r>
      <w:proofErr w:type="spellStart"/>
      <w:r w:rsidRPr="0092021F">
        <w:rPr>
          <w:rFonts w:eastAsia="Times New Roman" w:cs="Arial"/>
          <w:sz w:val="21"/>
          <w:szCs w:val="21"/>
          <w:lang w:val="en-AU" w:eastAsia="en-AU"/>
        </w:rPr>
        <w:t>Bappenas</w:t>
      </w:r>
      <w:proofErr w:type="spellEnd"/>
      <w:r w:rsidRPr="0092021F">
        <w:rPr>
          <w:rFonts w:eastAsia="Times New Roman" w:cs="Arial"/>
          <w:sz w:val="21"/>
          <w:szCs w:val="21"/>
          <w:lang w:val="en-AU" w:eastAsia="en-AU"/>
        </w:rPr>
        <w:t xml:space="preserve">. The main evaluation technique used will be contribution analysis which takes into account external factors. Overall reporting of </w:t>
      </w:r>
      <w:r w:rsidR="00EC11CE">
        <w:rPr>
          <w:rFonts w:eastAsia="Times New Roman" w:cs="Arial"/>
          <w:sz w:val="21"/>
          <w:szCs w:val="21"/>
          <w:lang w:val="en-AU" w:eastAsia="en-AU"/>
        </w:rPr>
        <w:t xml:space="preserve">ECP </w:t>
      </w:r>
      <w:r w:rsidRPr="0092021F">
        <w:rPr>
          <w:rFonts w:eastAsia="Times New Roman" w:cs="Arial"/>
          <w:sz w:val="21"/>
          <w:szCs w:val="21"/>
          <w:lang w:val="en-AU" w:eastAsia="en-AU"/>
        </w:rPr>
        <w:t xml:space="preserve">performance will be done by the </w:t>
      </w:r>
      <w:r w:rsidR="00270B2C">
        <w:rPr>
          <w:rFonts w:eastAsia="Times New Roman" w:cs="Arial"/>
          <w:sz w:val="21"/>
          <w:szCs w:val="21"/>
          <w:lang w:val="en-AU" w:eastAsia="en-AU"/>
        </w:rPr>
        <w:t xml:space="preserve">ECP </w:t>
      </w:r>
      <w:r w:rsidR="00C96D05">
        <w:rPr>
          <w:rFonts w:eastAsia="Times New Roman" w:cs="Arial"/>
          <w:sz w:val="21"/>
          <w:szCs w:val="21"/>
          <w:lang w:val="en-AU" w:eastAsia="en-AU"/>
        </w:rPr>
        <w:t xml:space="preserve">monitoring and evaluation </w:t>
      </w:r>
      <w:r w:rsidR="00270B2C">
        <w:rPr>
          <w:rFonts w:eastAsia="Times New Roman" w:cs="Arial"/>
          <w:sz w:val="21"/>
          <w:szCs w:val="21"/>
          <w:lang w:val="en-AU" w:eastAsia="en-AU"/>
        </w:rPr>
        <w:t xml:space="preserve">function </w:t>
      </w:r>
      <w:r w:rsidR="00EB13EB">
        <w:rPr>
          <w:rFonts w:eastAsia="Times New Roman" w:cs="Arial"/>
          <w:sz w:val="21"/>
          <w:szCs w:val="21"/>
          <w:lang w:val="en-AU" w:eastAsia="en-AU"/>
        </w:rPr>
        <w:t>in line with DFAT’s</w:t>
      </w:r>
      <w:r w:rsidR="00EB13EB" w:rsidRPr="0092021F">
        <w:rPr>
          <w:rFonts w:eastAsia="Times New Roman" w:cs="Arial"/>
          <w:sz w:val="21"/>
          <w:szCs w:val="21"/>
          <w:lang w:val="en-AU" w:eastAsia="en-AU"/>
        </w:rPr>
        <w:t xml:space="preserve"> </w:t>
      </w:r>
      <w:r w:rsidRPr="0092021F">
        <w:rPr>
          <w:rFonts w:eastAsia="Times New Roman" w:cs="Arial"/>
          <w:sz w:val="21"/>
          <w:szCs w:val="21"/>
          <w:lang w:val="en-AU" w:eastAsia="en-AU"/>
        </w:rPr>
        <w:t>Aid Quality Check (AQC) criteria.</w:t>
      </w:r>
    </w:p>
    <w:p w14:paraId="194BDC53" w14:textId="496FA469" w:rsidR="00477DA9" w:rsidRPr="0092021F" w:rsidRDefault="00477DA9" w:rsidP="00537B0B">
      <w:pPr>
        <w:pStyle w:val="ListParagraph"/>
        <w:numPr>
          <w:ilvl w:val="0"/>
          <w:numId w:val="21"/>
        </w:numPr>
        <w:tabs>
          <w:tab w:val="left" w:pos="284"/>
        </w:tabs>
        <w:suppressAutoHyphens w:val="0"/>
        <w:spacing w:after="120"/>
        <w:ind w:left="360"/>
        <w:jc w:val="both"/>
        <w:rPr>
          <w:rFonts w:eastAsia="Times New Roman" w:cs="Arial"/>
          <w:sz w:val="21"/>
          <w:szCs w:val="21"/>
          <w:lang w:val="en-AU" w:eastAsia="en-AU"/>
        </w:rPr>
      </w:pPr>
      <w:r w:rsidRPr="0092021F">
        <w:rPr>
          <w:rFonts w:eastAsia="Times New Roman" w:cs="Arial"/>
          <w:b/>
          <w:sz w:val="21"/>
          <w:szCs w:val="21"/>
          <w:lang w:val="en-AU" w:eastAsia="en-AU"/>
        </w:rPr>
        <w:t>Partnership level:</w:t>
      </w:r>
      <w:r w:rsidRPr="0092021F">
        <w:rPr>
          <w:rFonts w:eastAsia="Times New Roman" w:cs="Arial"/>
          <w:sz w:val="21"/>
          <w:szCs w:val="21"/>
          <w:lang w:val="en-AU" w:eastAsia="en-AU"/>
        </w:rPr>
        <w:t xml:space="preserve"> This requires an analysis of the effectiveness and health of Australian-Indonesian partnerships across all sectors being supported by ECP. A key outcome of ECP will be the extent to which IA-CEPA implementation can deepen and strengthen </w:t>
      </w:r>
      <w:r w:rsidR="00070451">
        <w:rPr>
          <w:rFonts w:eastAsia="Times New Roman" w:cs="Arial"/>
          <w:sz w:val="21"/>
          <w:szCs w:val="21"/>
          <w:lang w:val="en-AU" w:eastAsia="en-AU"/>
        </w:rPr>
        <w:t xml:space="preserve">industry </w:t>
      </w:r>
      <w:r w:rsidRPr="0092021F">
        <w:rPr>
          <w:rFonts w:eastAsia="Times New Roman" w:cs="Arial"/>
          <w:sz w:val="21"/>
          <w:szCs w:val="21"/>
          <w:lang w:val="en-AU" w:eastAsia="en-AU"/>
        </w:rPr>
        <w:t xml:space="preserve">partnerships to sustain the benefits. The ECP intends to position and maintain Australia as a trusted partner and </w:t>
      </w:r>
      <w:r>
        <w:rPr>
          <w:rFonts w:eastAsia="Times New Roman" w:cs="Arial"/>
          <w:sz w:val="21"/>
          <w:szCs w:val="21"/>
          <w:lang w:val="en-AU" w:eastAsia="en-AU"/>
        </w:rPr>
        <w:t xml:space="preserve">strong </w:t>
      </w:r>
      <w:r w:rsidRPr="0092021F">
        <w:rPr>
          <w:rFonts w:eastAsia="Times New Roman" w:cs="Arial"/>
          <w:sz w:val="21"/>
          <w:szCs w:val="21"/>
          <w:lang w:val="en-AU" w:eastAsia="en-AU"/>
        </w:rPr>
        <w:t xml:space="preserve">ally of Indonesia. The </w:t>
      </w:r>
      <w:r w:rsidR="000356EC">
        <w:rPr>
          <w:rFonts w:eastAsia="Times New Roman" w:cs="Arial"/>
          <w:sz w:val="21"/>
          <w:szCs w:val="21"/>
          <w:lang w:val="en-AU" w:eastAsia="en-AU"/>
        </w:rPr>
        <w:t xml:space="preserve">MEL </w:t>
      </w:r>
      <w:r w:rsidRPr="0092021F">
        <w:rPr>
          <w:rFonts w:eastAsia="Times New Roman" w:cs="Arial"/>
          <w:sz w:val="21"/>
          <w:szCs w:val="21"/>
          <w:lang w:val="en-AU" w:eastAsia="en-AU"/>
        </w:rPr>
        <w:t xml:space="preserve">system will include key performance indicators </w:t>
      </w:r>
      <w:r w:rsidR="00070451">
        <w:rPr>
          <w:rFonts w:eastAsia="Times New Roman" w:cs="Arial"/>
          <w:sz w:val="21"/>
          <w:szCs w:val="21"/>
          <w:lang w:val="en-AU" w:eastAsia="en-AU"/>
        </w:rPr>
        <w:t xml:space="preserve">(to be determined) </w:t>
      </w:r>
      <w:r w:rsidRPr="0092021F">
        <w:rPr>
          <w:rFonts w:eastAsia="Times New Roman" w:cs="Arial"/>
          <w:sz w:val="21"/>
          <w:szCs w:val="21"/>
          <w:lang w:val="en-AU" w:eastAsia="en-AU"/>
        </w:rPr>
        <w:t xml:space="preserve">to track the strength and health of </w:t>
      </w:r>
      <w:r w:rsidR="00070451">
        <w:rPr>
          <w:rFonts w:eastAsia="Times New Roman" w:cs="Arial"/>
          <w:sz w:val="21"/>
          <w:szCs w:val="21"/>
          <w:lang w:val="en-AU" w:eastAsia="en-AU"/>
        </w:rPr>
        <w:t xml:space="preserve">industry </w:t>
      </w:r>
      <w:r w:rsidRPr="0092021F">
        <w:rPr>
          <w:rFonts w:eastAsia="Times New Roman" w:cs="Arial"/>
          <w:sz w:val="21"/>
          <w:szCs w:val="21"/>
          <w:lang w:val="en-AU" w:eastAsia="en-AU"/>
        </w:rPr>
        <w:t xml:space="preserve">partnerships associated with increasing and sustaining two-way trade and investment. This will be the responsibility of the </w:t>
      </w:r>
      <w:r w:rsidR="00270B2C">
        <w:rPr>
          <w:rFonts w:eastAsia="Times New Roman" w:cs="Arial"/>
          <w:sz w:val="21"/>
          <w:szCs w:val="21"/>
          <w:lang w:val="en-AU" w:eastAsia="en-AU"/>
        </w:rPr>
        <w:t xml:space="preserve">ECP M&amp;E function </w:t>
      </w:r>
      <w:r w:rsidRPr="0092021F">
        <w:rPr>
          <w:rFonts w:eastAsia="Times New Roman" w:cs="Arial"/>
          <w:sz w:val="21"/>
          <w:szCs w:val="21"/>
          <w:lang w:val="en-AU" w:eastAsia="en-AU"/>
        </w:rPr>
        <w:t>using annual partnership surveys and key informant interviews.</w:t>
      </w:r>
    </w:p>
    <w:p w14:paraId="0E5016E6" w14:textId="2F8A8845" w:rsidR="00477DA9" w:rsidRPr="0092021F" w:rsidRDefault="00477DA9" w:rsidP="00537B0B">
      <w:pPr>
        <w:pStyle w:val="ListParagraph"/>
        <w:numPr>
          <w:ilvl w:val="0"/>
          <w:numId w:val="21"/>
        </w:numPr>
        <w:tabs>
          <w:tab w:val="left" w:pos="284"/>
        </w:tabs>
        <w:suppressAutoHyphens w:val="0"/>
        <w:spacing w:after="120"/>
        <w:ind w:left="360"/>
        <w:jc w:val="both"/>
        <w:rPr>
          <w:rFonts w:eastAsia="Times New Roman" w:cs="Arial"/>
          <w:sz w:val="21"/>
          <w:szCs w:val="21"/>
          <w:lang w:val="en-AU" w:eastAsia="en-AU"/>
        </w:rPr>
      </w:pPr>
      <w:r w:rsidRPr="0092021F">
        <w:rPr>
          <w:rFonts w:eastAsia="Times New Roman" w:cs="Arial"/>
          <w:b/>
          <w:sz w:val="21"/>
          <w:szCs w:val="21"/>
          <w:lang w:val="en-AU" w:eastAsia="en-AU"/>
        </w:rPr>
        <w:t xml:space="preserve">Activity level: </w:t>
      </w:r>
      <w:r w:rsidRPr="0092021F">
        <w:rPr>
          <w:rFonts w:eastAsia="Times New Roman" w:cs="Arial"/>
          <w:sz w:val="21"/>
          <w:szCs w:val="21"/>
          <w:lang w:val="en-AU" w:eastAsia="en-AU"/>
        </w:rPr>
        <w:t>All activities funded by ECP will be monitored and evaluated for quality of outputs, value for money, and contributions towards program outcomes according to each of the sectors. Each funded activity will include requirements in their terms of reference for a monitoring and evaluation component to report on performance.</w:t>
      </w:r>
      <w:r w:rsidR="00253683">
        <w:rPr>
          <w:rFonts w:eastAsia="Times New Roman" w:cs="Arial"/>
          <w:sz w:val="21"/>
          <w:szCs w:val="21"/>
          <w:lang w:val="en-AU" w:eastAsia="en-AU"/>
        </w:rPr>
        <w:t xml:space="preserve"> </w:t>
      </w:r>
      <w:r w:rsidR="00253683" w:rsidRPr="007C4ABD">
        <w:rPr>
          <w:rFonts w:eastAsia="Times New Roman" w:cs="Arial"/>
          <w:b/>
          <w:sz w:val="21"/>
          <w:szCs w:val="21"/>
          <w:lang w:val="en-AU" w:eastAsia="en-AU"/>
        </w:rPr>
        <w:t>This should amount to approximately 5% of the total budget for each activity.</w:t>
      </w:r>
      <w:r w:rsidRPr="0092021F">
        <w:rPr>
          <w:rFonts w:eastAsia="Times New Roman" w:cs="Arial"/>
          <w:sz w:val="21"/>
          <w:szCs w:val="21"/>
          <w:lang w:val="en-AU" w:eastAsia="en-AU"/>
        </w:rPr>
        <w:t xml:space="preserve"> KPIs will be stipulated for each activity to allow for aggregation of results at the programmatic level. Each funded activity (or group of related activities) will require a program logic model to demonstrate contribution to outcomes. Reporting at the activity level will be overseen by the </w:t>
      </w:r>
      <w:r w:rsidR="00270B2C">
        <w:rPr>
          <w:rFonts w:eastAsia="Times New Roman" w:cs="Arial"/>
          <w:sz w:val="21"/>
          <w:szCs w:val="21"/>
          <w:lang w:val="en-AU" w:eastAsia="en-AU"/>
        </w:rPr>
        <w:t xml:space="preserve">ECP M&amp;E function </w:t>
      </w:r>
      <w:r w:rsidRPr="0092021F">
        <w:rPr>
          <w:rFonts w:eastAsia="Times New Roman" w:cs="Arial"/>
          <w:sz w:val="21"/>
          <w:szCs w:val="21"/>
          <w:lang w:val="en-AU" w:eastAsia="en-AU"/>
        </w:rPr>
        <w:t>with each implementing partner being responsible for reporting against the terms of reference for the activity using standard project management approaches.</w:t>
      </w:r>
      <w:r w:rsidR="00B018E7">
        <w:rPr>
          <w:rFonts w:eastAsia="Times New Roman" w:cs="Arial"/>
          <w:sz w:val="21"/>
          <w:szCs w:val="21"/>
          <w:lang w:val="en-AU" w:eastAsia="en-AU"/>
        </w:rPr>
        <w:t xml:space="preserve"> Data at activity level will be disaggregated </w:t>
      </w:r>
      <w:r w:rsidR="00EC11CE">
        <w:rPr>
          <w:rFonts w:eastAsia="Times New Roman" w:cs="Arial"/>
          <w:sz w:val="21"/>
          <w:szCs w:val="21"/>
          <w:lang w:val="en-AU" w:eastAsia="en-AU"/>
        </w:rPr>
        <w:t xml:space="preserve">for </w:t>
      </w:r>
      <w:r w:rsidR="00B018E7">
        <w:rPr>
          <w:rFonts w:eastAsia="Times New Roman" w:cs="Arial"/>
          <w:sz w:val="21"/>
          <w:szCs w:val="21"/>
          <w:lang w:val="en-AU" w:eastAsia="en-AU"/>
        </w:rPr>
        <w:t>location, sector and gender where appropriate.</w:t>
      </w:r>
    </w:p>
    <w:p w14:paraId="318B389E" w14:textId="534E38AA" w:rsidR="00477DA9" w:rsidRPr="0092021F" w:rsidRDefault="00477DA9" w:rsidP="00477DA9">
      <w:pPr>
        <w:tabs>
          <w:tab w:val="left" w:pos="284"/>
        </w:tabs>
        <w:spacing w:after="120"/>
        <w:jc w:val="both"/>
        <w:rPr>
          <w:rFonts w:eastAsia="Times New Roman" w:cs="Arial"/>
          <w:sz w:val="21"/>
          <w:szCs w:val="21"/>
          <w:lang w:val="en-AU" w:eastAsia="en-AU"/>
        </w:rPr>
      </w:pPr>
      <w:r w:rsidRPr="0092021F">
        <w:rPr>
          <w:rFonts w:eastAsia="Times New Roman" w:cs="Arial"/>
          <w:sz w:val="21"/>
          <w:szCs w:val="21"/>
          <w:lang w:val="en-AU" w:eastAsia="en-AU"/>
        </w:rPr>
        <w:t xml:space="preserve">The Collaborative Hub will be responsible for reporting to government and industry satisfying program quality processes </w:t>
      </w:r>
      <w:r w:rsidR="007A5BF2">
        <w:rPr>
          <w:rFonts w:eastAsia="Times New Roman" w:cs="Arial"/>
          <w:sz w:val="21"/>
          <w:szCs w:val="21"/>
          <w:lang w:val="en-AU" w:eastAsia="en-AU"/>
        </w:rPr>
        <w:t xml:space="preserve">of both Governments </w:t>
      </w:r>
      <w:r w:rsidRPr="0092021F">
        <w:rPr>
          <w:rFonts w:eastAsia="Times New Roman" w:cs="Arial"/>
          <w:sz w:val="21"/>
          <w:szCs w:val="21"/>
          <w:lang w:val="en-AU" w:eastAsia="en-AU"/>
        </w:rPr>
        <w:t xml:space="preserve">and communicating results to the public and other stakeholders. </w:t>
      </w:r>
    </w:p>
    <w:p w14:paraId="4507CEAE" w14:textId="730A16D2" w:rsidR="00477DA9" w:rsidRPr="00070451" w:rsidRDefault="00070451" w:rsidP="00477DA9">
      <w:pPr>
        <w:tabs>
          <w:tab w:val="left" w:pos="284"/>
        </w:tabs>
        <w:spacing w:after="120"/>
        <w:jc w:val="both"/>
        <w:rPr>
          <w:rFonts w:eastAsia="Times New Roman" w:cs="Arial"/>
          <w:b/>
          <w:sz w:val="21"/>
          <w:szCs w:val="21"/>
          <w:lang w:val="en-AU" w:eastAsia="en-AU"/>
        </w:rPr>
      </w:pPr>
      <w:r>
        <w:rPr>
          <w:rFonts w:eastAsia="Times New Roman" w:cs="Arial"/>
          <w:b/>
          <w:sz w:val="21"/>
          <w:szCs w:val="21"/>
          <w:lang w:val="en-AU" w:eastAsia="en-AU"/>
        </w:rPr>
        <w:lastRenderedPageBreak/>
        <w:t>The Government of Indonesia’s nominated agency (</w:t>
      </w:r>
      <w:proofErr w:type="spellStart"/>
      <w:r w:rsidR="00477DA9" w:rsidRPr="00F819C7">
        <w:rPr>
          <w:rFonts w:eastAsia="Times New Roman" w:cs="Arial"/>
          <w:b/>
          <w:sz w:val="21"/>
          <w:szCs w:val="21"/>
          <w:lang w:val="en-AU" w:eastAsia="en-AU"/>
        </w:rPr>
        <w:t>Bappenas</w:t>
      </w:r>
      <w:proofErr w:type="spellEnd"/>
      <w:r>
        <w:rPr>
          <w:rFonts w:eastAsia="Times New Roman" w:cs="Arial"/>
          <w:b/>
          <w:sz w:val="21"/>
          <w:szCs w:val="21"/>
          <w:lang w:val="en-AU" w:eastAsia="en-AU"/>
        </w:rPr>
        <w:t xml:space="preserve">) </w:t>
      </w:r>
      <w:r w:rsidR="00EB13EB">
        <w:rPr>
          <w:rFonts w:eastAsia="Times New Roman" w:cs="Arial"/>
          <w:b/>
          <w:sz w:val="21"/>
          <w:szCs w:val="21"/>
          <w:lang w:val="en-AU" w:eastAsia="en-AU"/>
        </w:rPr>
        <w:t>should</w:t>
      </w:r>
      <w:r w:rsidR="00EB13EB" w:rsidRPr="00F819C7">
        <w:rPr>
          <w:rFonts w:eastAsia="Times New Roman" w:cs="Arial"/>
          <w:b/>
          <w:sz w:val="21"/>
          <w:szCs w:val="21"/>
          <w:lang w:val="en-AU" w:eastAsia="en-AU"/>
        </w:rPr>
        <w:t xml:space="preserve"> </w:t>
      </w:r>
      <w:r w:rsidR="00477DA9" w:rsidRPr="00F819C7">
        <w:rPr>
          <w:rFonts w:eastAsia="Times New Roman" w:cs="Arial"/>
          <w:b/>
          <w:sz w:val="21"/>
          <w:szCs w:val="21"/>
          <w:lang w:val="en-AU" w:eastAsia="en-AU"/>
        </w:rPr>
        <w:t xml:space="preserve">be closely involved in developing the monitoring and evaluation framework. </w:t>
      </w:r>
      <w:r w:rsidR="00477DA9" w:rsidRPr="0092021F">
        <w:rPr>
          <w:rFonts w:eastAsia="Times New Roman" w:cs="Arial"/>
          <w:sz w:val="21"/>
          <w:szCs w:val="21"/>
          <w:lang w:val="en-AU" w:eastAsia="en-AU"/>
        </w:rPr>
        <w:t xml:space="preserve">ECP will work with </w:t>
      </w:r>
      <w:proofErr w:type="spellStart"/>
      <w:r w:rsidR="00477DA9" w:rsidRPr="0092021F">
        <w:rPr>
          <w:rFonts w:eastAsia="Times New Roman" w:cs="Arial"/>
          <w:sz w:val="21"/>
          <w:szCs w:val="21"/>
          <w:lang w:val="en-AU" w:eastAsia="en-AU"/>
        </w:rPr>
        <w:t>Bappenas</w:t>
      </w:r>
      <w:proofErr w:type="spellEnd"/>
      <w:r w:rsidR="00477DA9" w:rsidRPr="0092021F">
        <w:rPr>
          <w:rFonts w:eastAsia="Times New Roman" w:cs="Arial"/>
          <w:sz w:val="21"/>
          <w:szCs w:val="21"/>
          <w:lang w:val="en-AU" w:eastAsia="en-AU"/>
        </w:rPr>
        <w:t xml:space="preserve"> to jointly research and develop approaches that can assess the contribution ECP and IA-CEPA make to economic and social development through relevant line Ministries’ KPIs incorporated in the </w:t>
      </w:r>
      <w:r w:rsidR="00CC07B9" w:rsidRPr="0092021F">
        <w:rPr>
          <w:rFonts w:eastAsia="Times New Roman" w:cs="Arial"/>
          <w:sz w:val="21"/>
          <w:szCs w:val="21"/>
          <w:lang w:val="en-AU" w:eastAsia="en-AU"/>
        </w:rPr>
        <w:t>medium-term</w:t>
      </w:r>
      <w:r w:rsidR="00477DA9" w:rsidRPr="0092021F">
        <w:rPr>
          <w:rFonts w:eastAsia="Times New Roman" w:cs="Arial"/>
          <w:sz w:val="21"/>
          <w:szCs w:val="21"/>
          <w:lang w:val="en-AU" w:eastAsia="en-AU"/>
        </w:rPr>
        <w:t xml:space="preserve"> development plan (RPJMN).  </w:t>
      </w:r>
      <w:r>
        <w:rPr>
          <w:rFonts w:eastAsia="Times New Roman" w:cs="Arial"/>
          <w:sz w:val="21"/>
          <w:szCs w:val="21"/>
          <w:lang w:val="en-AU" w:eastAsia="en-AU"/>
        </w:rPr>
        <w:t xml:space="preserve">The ECP will also assess key metrics such as trade utilisation and the impact of the IA-CEPA in creating new trade opportunities. </w:t>
      </w:r>
      <w:r w:rsidR="00477DA9" w:rsidRPr="0092021F">
        <w:rPr>
          <w:rFonts w:eastAsia="Times New Roman" w:cs="Arial"/>
          <w:sz w:val="21"/>
          <w:szCs w:val="21"/>
          <w:lang w:val="en-AU" w:eastAsia="en-AU"/>
        </w:rPr>
        <w:t>In this regard IA-CEPA FTA contribution analysis will be used as a pilot project. This innovation would have ongoing application to the Indonesian and Australian Governments to evaluate and demonstrate the value of trade agreements. Positive results will contribute to soft power objectives.</w:t>
      </w:r>
    </w:p>
    <w:p w14:paraId="5790B569" w14:textId="77D1E537" w:rsidR="00477DA9" w:rsidRPr="0092021F" w:rsidRDefault="00477DA9" w:rsidP="00477DA9">
      <w:pPr>
        <w:tabs>
          <w:tab w:val="left" w:pos="284"/>
        </w:tabs>
        <w:spacing w:after="120"/>
        <w:jc w:val="both"/>
        <w:rPr>
          <w:rFonts w:eastAsia="Times New Roman" w:cs="Arial"/>
          <w:sz w:val="21"/>
          <w:szCs w:val="21"/>
          <w:lang w:val="en-AU" w:eastAsia="en-AU"/>
        </w:rPr>
      </w:pPr>
      <w:r w:rsidRPr="0092021F">
        <w:rPr>
          <w:rFonts w:eastAsia="Times New Roman" w:cs="Arial"/>
          <w:sz w:val="21"/>
          <w:szCs w:val="21"/>
          <w:lang w:val="en-AU" w:eastAsia="en-AU"/>
        </w:rPr>
        <w:t xml:space="preserve">The approach to </w:t>
      </w:r>
      <w:r w:rsidR="00EC11CE">
        <w:rPr>
          <w:rFonts w:eastAsia="Times New Roman" w:cs="Arial"/>
          <w:sz w:val="21"/>
          <w:szCs w:val="21"/>
          <w:lang w:val="en-AU" w:eastAsia="en-AU"/>
        </w:rPr>
        <w:t xml:space="preserve">gender equality </w:t>
      </w:r>
      <w:r w:rsidR="000356EC">
        <w:rPr>
          <w:rFonts w:eastAsia="Times New Roman" w:cs="Arial"/>
          <w:sz w:val="21"/>
          <w:szCs w:val="21"/>
          <w:lang w:val="en-AU" w:eastAsia="en-AU"/>
        </w:rPr>
        <w:t>MEL</w:t>
      </w:r>
      <w:r w:rsidRPr="0092021F">
        <w:rPr>
          <w:rFonts w:eastAsia="Times New Roman" w:cs="Arial"/>
          <w:sz w:val="21"/>
          <w:szCs w:val="21"/>
          <w:lang w:val="en-AU" w:eastAsia="en-AU"/>
        </w:rPr>
        <w:t xml:space="preserve"> and social inclusion will go well beyond just monitoring training participation levels. A gender and social inclusion lens will be applied to all supported activities and where practical evaluation approaches will be used to assess policy influence, management influence, partnership influence and economic drivers to achieve systemic change. A case study approach will be adopted to clearly demonstrate outcomes in these areas. </w:t>
      </w:r>
      <w:r w:rsidR="000356EC">
        <w:rPr>
          <w:rFonts w:eastAsia="Times New Roman" w:cs="Arial"/>
          <w:sz w:val="21"/>
          <w:szCs w:val="21"/>
          <w:lang w:val="en-AU" w:eastAsia="en-AU"/>
        </w:rPr>
        <w:t>MEL</w:t>
      </w:r>
      <w:r w:rsidRPr="0092021F">
        <w:rPr>
          <w:rFonts w:eastAsia="Times New Roman" w:cs="Arial"/>
          <w:sz w:val="21"/>
          <w:szCs w:val="21"/>
          <w:lang w:val="en-AU" w:eastAsia="en-AU"/>
        </w:rPr>
        <w:t xml:space="preserve"> data will be disaggregated by disability and gender, drawing on the wide range of existing tools.</w:t>
      </w:r>
    </w:p>
    <w:p w14:paraId="658C72EE" w14:textId="06B5A327" w:rsidR="00477DA9" w:rsidRPr="0092021F" w:rsidRDefault="00477DA9" w:rsidP="00477DA9">
      <w:pPr>
        <w:tabs>
          <w:tab w:val="left" w:pos="284"/>
        </w:tabs>
        <w:spacing w:after="120" w:line="276" w:lineRule="auto"/>
        <w:jc w:val="both"/>
        <w:rPr>
          <w:rFonts w:eastAsia="Times New Roman" w:cs="Arial"/>
          <w:b/>
          <w:sz w:val="21"/>
          <w:szCs w:val="21"/>
          <w:lang w:val="en-AU" w:eastAsia="en-AU"/>
        </w:rPr>
      </w:pPr>
      <w:r w:rsidRPr="0092021F">
        <w:rPr>
          <w:rFonts w:eastAsia="Times New Roman" w:cs="Arial"/>
          <w:b/>
          <w:sz w:val="21"/>
          <w:szCs w:val="21"/>
          <w:lang w:val="en-AU" w:eastAsia="en-AU"/>
        </w:rPr>
        <w:t>Key Performance Indicators</w:t>
      </w:r>
      <w:r w:rsidR="00EB13EB">
        <w:rPr>
          <w:rFonts w:eastAsia="Times New Roman" w:cs="Arial"/>
          <w:b/>
          <w:sz w:val="21"/>
          <w:szCs w:val="21"/>
          <w:lang w:val="en-AU" w:eastAsia="en-AU"/>
        </w:rPr>
        <w:t xml:space="preserve"> (KPIs)</w:t>
      </w:r>
    </w:p>
    <w:p w14:paraId="582202FB" w14:textId="72C7DE9D" w:rsidR="00477DA9" w:rsidRPr="0092021F" w:rsidRDefault="00477DA9" w:rsidP="00477DA9">
      <w:pPr>
        <w:tabs>
          <w:tab w:val="left" w:pos="284"/>
        </w:tabs>
        <w:spacing w:after="120"/>
        <w:jc w:val="both"/>
        <w:rPr>
          <w:rFonts w:eastAsia="Times New Roman" w:cs="Arial"/>
          <w:sz w:val="21"/>
          <w:szCs w:val="21"/>
          <w:lang w:val="en-AU" w:eastAsia="en-AU"/>
        </w:rPr>
      </w:pPr>
      <w:r w:rsidRPr="0092021F">
        <w:rPr>
          <w:rFonts w:eastAsia="Times New Roman" w:cs="Arial"/>
          <w:sz w:val="21"/>
          <w:szCs w:val="21"/>
          <w:lang w:val="en-AU" w:eastAsia="en-AU"/>
        </w:rPr>
        <w:t xml:space="preserve">KPIs are critical in determining which activities receive the attention of decision makers, given they are intended to reflect the achievement of intended outcomes. The availability and quality of data used in reporting therefore plays a decisive role in achieving program outcomes. KPIs and targets need to be carefully selected and fit-for-purpose at each level.  KPIs are aligned with the program logic model in order to determine whether progress is being made, track major achievements, and to monitor how these are contributing to the end of program outcomes. These ensure that there is a direct line of sight between the activities conducted by implementing partners, and the intended end of program outcomes. KPIs to measure progress towards intended outcomes are included in the </w:t>
      </w:r>
      <w:r w:rsidR="000356EC">
        <w:rPr>
          <w:rFonts w:eastAsia="Times New Roman" w:cs="Arial"/>
          <w:sz w:val="21"/>
          <w:szCs w:val="21"/>
          <w:lang w:val="en-AU" w:eastAsia="en-AU"/>
        </w:rPr>
        <w:t>MEL</w:t>
      </w:r>
      <w:r w:rsidRPr="0092021F">
        <w:rPr>
          <w:rFonts w:eastAsia="Times New Roman" w:cs="Arial"/>
          <w:sz w:val="21"/>
          <w:szCs w:val="21"/>
          <w:lang w:val="en-AU" w:eastAsia="en-AU"/>
        </w:rPr>
        <w:t xml:space="preserve"> Framework in </w:t>
      </w:r>
      <w:r w:rsidRPr="001E3B85">
        <w:rPr>
          <w:rFonts w:eastAsia="Times New Roman" w:cs="Arial"/>
          <w:sz w:val="21"/>
          <w:szCs w:val="21"/>
          <w:u w:val="single"/>
          <w:lang w:val="en-AU" w:eastAsia="en-AU"/>
        </w:rPr>
        <w:t>Annex 3</w:t>
      </w:r>
      <w:r w:rsidRPr="0092021F">
        <w:rPr>
          <w:rFonts w:eastAsia="Times New Roman" w:cs="Arial"/>
          <w:sz w:val="21"/>
          <w:szCs w:val="21"/>
          <w:lang w:val="en-AU" w:eastAsia="en-AU"/>
        </w:rPr>
        <w:t>.</w:t>
      </w:r>
    </w:p>
    <w:p w14:paraId="2BD92DF4" w14:textId="77777777" w:rsidR="00477DA9" w:rsidRPr="0092021F" w:rsidRDefault="00477DA9" w:rsidP="00477DA9">
      <w:pPr>
        <w:tabs>
          <w:tab w:val="left" w:pos="284"/>
        </w:tabs>
        <w:spacing w:after="120"/>
        <w:jc w:val="both"/>
        <w:rPr>
          <w:rFonts w:eastAsia="Times New Roman" w:cs="Arial"/>
          <w:sz w:val="21"/>
          <w:szCs w:val="21"/>
          <w:lang w:val="en-AU" w:eastAsia="en-AU"/>
        </w:rPr>
      </w:pPr>
      <w:r w:rsidRPr="0092021F">
        <w:rPr>
          <w:rFonts w:eastAsia="Times New Roman" w:cs="Arial"/>
          <w:sz w:val="21"/>
          <w:szCs w:val="21"/>
          <w:lang w:val="en-AU" w:eastAsia="en-AU"/>
        </w:rPr>
        <w:t>In terms of the operational performance of the ECP and the Collaborative Hub model, there are seven key operational and management indicators that will be tracked over the course of the program:</w:t>
      </w:r>
    </w:p>
    <w:p w14:paraId="45C4AA27" w14:textId="0BA84CB5" w:rsidR="00477DA9" w:rsidRPr="0092021F" w:rsidRDefault="00477DA9" w:rsidP="009D3124">
      <w:pPr>
        <w:pStyle w:val="ListParagraph"/>
        <w:numPr>
          <w:ilvl w:val="0"/>
          <w:numId w:val="73"/>
        </w:numPr>
        <w:tabs>
          <w:tab w:val="left" w:pos="284"/>
        </w:tabs>
        <w:spacing w:after="120"/>
        <w:jc w:val="both"/>
        <w:rPr>
          <w:rFonts w:eastAsia="Times New Roman" w:cs="Arial"/>
          <w:sz w:val="21"/>
          <w:szCs w:val="21"/>
          <w:lang w:val="en-AU" w:eastAsia="en-AU"/>
        </w:rPr>
      </w:pPr>
      <w:r w:rsidRPr="0092021F">
        <w:rPr>
          <w:rFonts w:eastAsia="Times New Roman" w:cs="Arial"/>
          <w:b/>
          <w:sz w:val="21"/>
          <w:szCs w:val="21"/>
          <w:lang w:val="en-AU" w:eastAsia="en-AU"/>
        </w:rPr>
        <w:t>Ratio of Management to Activity Costs</w:t>
      </w:r>
      <w:r w:rsidRPr="0092021F">
        <w:rPr>
          <w:rFonts w:eastAsia="Times New Roman" w:cs="Arial"/>
          <w:sz w:val="21"/>
          <w:szCs w:val="21"/>
          <w:lang w:val="en-AU" w:eastAsia="en-AU"/>
        </w:rPr>
        <w:t xml:space="preserve"> </w:t>
      </w:r>
      <w:r w:rsidR="00C83755">
        <w:rPr>
          <w:rFonts w:eastAsia="Times New Roman" w:cs="Arial"/>
          <w:sz w:val="21"/>
          <w:szCs w:val="21"/>
          <w:lang w:val="en-AU" w:eastAsia="en-AU"/>
        </w:rPr>
        <w:t>—</w:t>
      </w:r>
      <w:r w:rsidRPr="0092021F">
        <w:rPr>
          <w:rFonts w:eastAsia="Times New Roman" w:cs="Arial"/>
          <w:sz w:val="21"/>
          <w:szCs w:val="21"/>
          <w:lang w:val="en-AU" w:eastAsia="en-AU"/>
        </w:rPr>
        <w:t xml:space="preserve"> this measures the overheads against activities delivered. </w:t>
      </w:r>
      <w:r w:rsidR="00377D3F">
        <w:rPr>
          <w:rFonts w:eastAsia="Times New Roman" w:cs="Arial"/>
          <w:sz w:val="21"/>
          <w:szCs w:val="21"/>
          <w:lang w:val="en-AU" w:eastAsia="en-AU"/>
        </w:rPr>
        <w:t>Operational</w:t>
      </w:r>
      <w:r w:rsidR="006E6B76">
        <w:rPr>
          <w:rFonts w:eastAsia="Times New Roman" w:cs="Arial"/>
          <w:sz w:val="21"/>
          <w:szCs w:val="21"/>
          <w:lang w:val="en-AU" w:eastAsia="en-AU"/>
        </w:rPr>
        <w:t xml:space="preserve"> costs of less than 30% will be targeted </w:t>
      </w:r>
      <w:r w:rsidRPr="0092021F">
        <w:rPr>
          <w:rFonts w:eastAsia="Times New Roman" w:cs="Arial"/>
          <w:sz w:val="21"/>
          <w:szCs w:val="21"/>
          <w:lang w:val="en-AU" w:eastAsia="en-AU"/>
        </w:rPr>
        <w:t xml:space="preserve">to </w:t>
      </w:r>
      <w:r w:rsidR="006E6B76">
        <w:rPr>
          <w:rFonts w:eastAsia="Times New Roman" w:cs="Arial"/>
          <w:sz w:val="21"/>
          <w:szCs w:val="21"/>
          <w:lang w:val="en-AU" w:eastAsia="en-AU"/>
        </w:rPr>
        <w:t>maximise delivery of activities</w:t>
      </w:r>
      <w:r w:rsidRPr="0092021F">
        <w:rPr>
          <w:rFonts w:eastAsia="Times New Roman" w:cs="Arial"/>
          <w:sz w:val="21"/>
          <w:szCs w:val="21"/>
          <w:lang w:val="en-AU" w:eastAsia="en-AU"/>
        </w:rPr>
        <w:t>.</w:t>
      </w:r>
    </w:p>
    <w:p w14:paraId="24C08312" w14:textId="1F54400E" w:rsidR="00477DA9" w:rsidRPr="0092021F" w:rsidRDefault="00477DA9" w:rsidP="009D3124">
      <w:pPr>
        <w:pStyle w:val="ListParagraph"/>
        <w:numPr>
          <w:ilvl w:val="0"/>
          <w:numId w:val="73"/>
        </w:numPr>
        <w:tabs>
          <w:tab w:val="left" w:pos="284"/>
        </w:tabs>
        <w:spacing w:after="120"/>
        <w:jc w:val="both"/>
        <w:rPr>
          <w:rFonts w:eastAsia="Times New Roman" w:cs="Arial"/>
          <w:sz w:val="21"/>
          <w:szCs w:val="21"/>
          <w:lang w:val="en-AU" w:eastAsia="en-AU"/>
        </w:rPr>
      </w:pPr>
      <w:r w:rsidRPr="0092021F">
        <w:rPr>
          <w:rFonts w:eastAsia="Times New Roman" w:cs="Arial"/>
          <w:b/>
          <w:sz w:val="21"/>
          <w:szCs w:val="21"/>
          <w:lang w:val="en-AU" w:eastAsia="en-AU"/>
        </w:rPr>
        <w:t>Actual versus planned activities and expenditure</w:t>
      </w:r>
      <w:r w:rsidRPr="0092021F">
        <w:rPr>
          <w:rFonts w:eastAsia="Times New Roman" w:cs="Arial"/>
          <w:sz w:val="21"/>
          <w:szCs w:val="21"/>
          <w:lang w:val="en-AU" w:eastAsia="en-AU"/>
        </w:rPr>
        <w:t xml:space="preserve"> </w:t>
      </w:r>
      <w:r w:rsidR="00C83755">
        <w:rPr>
          <w:rFonts w:eastAsia="Times New Roman" w:cs="Arial"/>
          <w:sz w:val="21"/>
          <w:szCs w:val="21"/>
          <w:lang w:val="en-AU" w:eastAsia="en-AU"/>
        </w:rPr>
        <w:t>—</w:t>
      </w:r>
      <w:r w:rsidRPr="0092021F">
        <w:rPr>
          <w:rFonts w:eastAsia="Times New Roman" w:cs="Arial"/>
          <w:sz w:val="21"/>
          <w:szCs w:val="21"/>
          <w:lang w:val="en-AU" w:eastAsia="en-AU"/>
        </w:rPr>
        <w:t xml:space="preserve"> this tracks contractual performance and expenditure of funded activities under each sector</w:t>
      </w:r>
      <w:r>
        <w:rPr>
          <w:rFonts w:eastAsia="Times New Roman" w:cs="Arial"/>
          <w:sz w:val="21"/>
          <w:szCs w:val="21"/>
          <w:lang w:val="en-AU" w:eastAsia="en-AU"/>
        </w:rPr>
        <w:t>.</w:t>
      </w:r>
    </w:p>
    <w:p w14:paraId="08710868" w14:textId="258FD787" w:rsidR="00477DA9" w:rsidRPr="0092021F" w:rsidRDefault="00477DA9" w:rsidP="009D3124">
      <w:pPr>
        <w:pStyle w:val="ListParagraph"/>
        <w:numPr>
          <w:ilvl w:val="0"/>
          <w:numId w:val="73"/>
        </w:numPr>
        <w:tabs>
          <w:tab w:val="left" w:pos="284"/>
        </w:tabs>
        <w:spacing w:after="120"/>
        <w:jc w:val="both"/>
        <w:rPr>
          <w:rFonts w:eastAsia="Times New Roman" w:cs="Arial"/>
          <w:sz w:val="21"/>
          <w:szCs w:val="21"/>
          <w:lang w:val="en-AU" w:eastAsia="en-AU"/>
        </w:rPr>
      </w:pPr>
      <w:r w:rsidRPr="0092021F">
        <w:rPr>
          <w:rFonts w:eastAsia="Times New Roman" w:cs="Arial"/>
          <w:b/>
          <w:sz w:val="21"/>
          <w:szCs w:val="21"/>
          <w:lang w:val="en-AU" w:eastAsia="en-AU"/>
        </w:rPr>
        <w:t>Number and nature of new tasks, innovations, opportunities and requests for assistance</w:t>
      </w:r>
      <w:r w:rsidR="00C83755">
        <w:rPr>
          <w:rFonts w:eastAsia="Times New Roman" w:cs="Arial"/>
          <w:b/>
          <w:sz w:val="21"/>
          <w:szCs w:val="21"/>
          <w:lang w:val="en-AU" w:eastAsia="en-AU"/>
        </w:rPr>
        <w:t xml:space="preserve"> </w:t>
      </w:r>
      <w:r w:rsidR="00C83755">
        <w:rPr>
          <w:rFonts w:eastAsia="Times New Roman" w:cs="Arial"/>
          <w:sz w:val="21"/>
          <w:szCs w:val="21"/>
          <w:lang w:val="en-AU" w:eastAsia="en-AU"/>
        </w:rPr>
        <w:t>—</w:t>
      </w:r>
      <w:r w:rsidRPr="0092021F">
        <w:rPr>
          <w:rFonts w:eastAsia="Times New Roman" w:cs="Arial"/>
          <w:sz w:val="21"/>
          <w:szCs w:val="21"/>
          <w:lang w:val="en-AU" w:eastAsia="en-AU"/>
        </w:rPr>
        <w:t xml:space="preserve"> this monitors requests for services (unplanned)</w:t>
      </w:r>
      <w:r w:rsidR="006E6B76">
        <w:rPr>
          <w:rFonts w:eastAsia="Times New Roman" w:cs="Arial"/>
          <w:sz w:val="21"/>
          <w:szCs w:val="21"/>
          <w:lang w:val="en-AU" w:eastAsia="en-AU"/>
        </w:rPr>
        <w:t xml:space="preserve"> from government, the private sector or other stakeholders,</w:t>
      </w:r>
      <w:r w:rsidRPr="0092021F">
        <w:rPr>
          <w:rFonts w:eastAsia="Times New Roman" w:cs="Arial"/>
          <w:sz w:val="21"/>
          <w:szCs w:val="21"/>
          <w:lang w:val="en-AU" w:eastAsia="en-AU"/>
        </w:rPr>
        <w:t xml:space="preserve"> to understand the impact on resources</w:t>
      </w:r>
      <w:r>
        <w:rPr>
          <w:rFonts w:eastAsia="Times New Roman" w:cs="Arial"/>
          <w:sz w:val="21"/>
          <w:szCs w:val="21"/>
          <w:lang w:val="en-AU" w:eastAsia="en-AU"/>
        </w:rPr>
        <w:t xml:space="preserve"> while maintaining flexibility</w:t>
      </w:r>
      <w:r w:rsidRPr="0092021F">
        <w:rPr>
          <w:rFonts w:eastAsia="Times New Roman" w:cs="Arial"/>
          <w:sz w:val="21"/>
          <w:szCs w:val="21"/>
          <w:lang w:val="en-AU" w:eastAsia="en-AU"/>
        </w:rPr>
        <w:t>.</w:t>
      </w:r>
    </w:p>
    <w:p w14:paraId="735C4077" w14:textId="526A971F" w:rsidR="00477DA9" w:rsidRPr="0092021F" w:rsidRDefault="00477DA9" w:rsidP="009D3124">
      <w:pPr>
        <w:pStyle w:val="ListParagraph"/>
        <w:numPr>
          <w:ilvl w:val="0"/>
          <w:numId w:val="73"/>
        </w:numPr>
        <w:tabs>
          <w:tab w:val="left" w:pos="284"/>
        </w:tabs>
        <w:spacing w:after="120"/>
        <w:jc w:val="both"/>
        <w:rPr>
          <w:rFonts w:eastAsia="Times New Roman" w:cs="Arial"/>
          <w:sz w:val="21"/>
          <w:szCs w:val="21"/>
          <w:lang w:val="en-AU" w:eastAsia="en-AU"/>
        </w:rPr>
      </w:pPr>
      <w:r w:rsidRPr="0092021F">
        <w:rPr>
          <w:rFonts w:eastAsia="Times New Roman" w:cs="Arial"/>
          <w:b/>
          <w:sz w:val="21"/>
          <w:szCs w:val="21"/>
          <w:lang w:val="en-AU" w:eastAsia="en-AU"/>
        </w:rPr>
        <w:t>Output type, cost and quality</w:t>
      </w:r>
      <w:r w:rsidRPr="0092021F">
        <w:rPr>
          <w:rFonts w:eastAsia="Times New Roman" w:cs="Arial"/>
          <w:sz w:val="21"/>
          <w:szCs w:val="21"/>
          <w:lang w:val="en-AU" w:eastAsia="en-AU"/>
        </w:rPr>
        <w:t xml:space="preserve"> </w:t>
      </w:r>
      <w:r w:rsidR="00C83755">
        <w:rPr>
          <w:rFonts w:eastAsia="Times New Roman" w:cs="Arial"/>
          <w:sz w:val="21"/>
          <w:szCs w:val="21"/>
          <w:lang w:val="en-AU" w:eastAsia="en-AU"/>
        </w:rPr>
        <w:t>—</w:t>
      </w:r>
      <w:r w:rsidRPr="0092021F">
        <w:rPr>
          <w:rFonts w:eastAsia="Times New Roman" w:cs="Arial"/>
          <w:sz w:val="21"/>
          <w:szCs w:val="21"/>
          <w:lang w:val="en-AU" w:eastAsia="en-AU"/>
        </w:rPr>
        <w:t xml:space="preserve"> this tracks the quality of outputs according to agreed specifications.</w:t>
      </w:r>
    </w:p>
    <w:p w14:paraId="35220865" w14:textId="0B3FB127" w:rsidR="00477DA9" w:rsidRPr="0092021F" w:rsidRDefault="00477DA9" w:rsidP="009D3124">
      <w:pPr>
        <w:pStyle w:val="ListParagraph"/>
        <w:numPr>
          <w:ilvl w:val="0"/>
          <w:numId w:val="73"/>
        </w:numPr>
        <w:tabs>
          <w:tab w:val="left" w:pos="284"/>
        </w:tabs>
        <w:spacing w:after="120"/>
        <w:jc w:val="both"/>
        <w:rPr>
          <w:rFonts w:eastAsia="Times New Roman" w:cs="Arial"/>
          <w:sz w:val="21"/>
          <w:szCs w:val="21"/>
          <w:lang w:val="en-AU" w:eastAsia="en-AU"/>
        </w:rPr>
      </w:pPr>
      <w:r w:rsidRPr="0092021F">
        <w:rPr>
          <w:rFonts w:eastAsia="Times New Roman" w:cs="Arial"/>
          <w:b/>
          <w:sz w:val="21"/>
          <w:szCs w:val="21"/>
          <w:lang w:val="en-AU" w:eastAsia="en-AU"/>
        </w:rPr>
        <w:t>Relative contribution of outputs to achieving outcomes</w:t>
      </w:r>
      <w:r w:rsidRPr="0092021F">
        <w:rPr>
          <w:rFonts w:eastAsia="Times New Roman" w:cs="Arial"/>
          <w:sz w:val="21"/>
          <w:szCs w:val="21"/>
          <w:lang w:val="en-AU" w:eastAsia="en-AU"/>
        </w:rPr>
        <w:t xml:space="preserve"> </w:t>
      </w:r>
      <w:r w:rsidR="00C83755">
        <w:rPr>
          <w:rFonts w:eastAsia="Times New Roman" w:cs="Arial"/>
          <w:sz w:val="21"/>
          <w:szCs w:val="21"/>
          <w:lang w:val="en-AU" w:eastAsia="en-AU"/>
        </w:rPr>
        <w:t>—</w:t>
      </w:r>
      <w:r w:rsidRPr="0092021F">
        <w:rPr>
          <w:rFonts w:eastAsia="Times New Roman" w:cs="Arial"/>
          <w:sz w:val="21"/>
          <w:szCs w:val="21"/>
          <w:lang w:val="en-AU" w:eastAsia="en-AU"/>
        </w:rPr>
        <w:t xml:space="preserve"> this maps the contribution of funded activities to progressing intended outcomes (intermediate or end of program). It tracks resources allocated to achieving outcomes under each sector.</w:t>
      </w:r>
    </w:p>
    <w:p w14:paraId="75A8EB92" w14:textId="51AF3668" w:rsidR="00477DA9" w:rsidRPr="0092021F" w:rsidRDefault="00477DA9" w:rsidP="009D3124">
      <w:pPr>
        <w:pStyle w:val="ListParagraph"/>
        <w:numPr>
          <w:ilvl w:val="0"/>
          <w:numId w:val="73"/>
        </w:numPr>
        <w:tabs>
          <w:tab w:val="left" w:pos="284"/>
        </w:tabs>
        <w:spacing w:after="120"/>
        <w:jc w:val="both"/>
        <w:rPr>
          <w:rFonts w:eastAsia="Times New Roman" w:cs="Arial"/>
          <w:sz w:val="21"/>
          <w:szCs w:val="21"/>
          <w:lang w:val="en-AU" w:eastAsia="en-AU"/>
        </w:rPr>
      </w:pPr>
      <w:r w:rsidRPr="0092021F">
        <w:rPr>
          <w:rFonts w:eastAsia="Times New Roman" w:cs="Arial"/>
          <w:b/>
          <w:sz w:val="21"/>
          <w:szCs w:val="21"/>
          <w:lang w:val="en-AU" w:eastAsia="en-AU"/>
        </w:rPr>
        <w:t>Risks and safeguards</w:t>
      </w:r>
      <w:r w:rsidRPr="0092021F">
        <w:rPr>
          <w:rFonts w:eastAsia="Times New Roman" w:cs="Arial"/>
          <w:sz w:val="21"/>
          <w:szCs w:val="21"/>
          <w:lang w:val="en-AU" w:eastAsia="en-AU"/>
        </w:rPr>
        <w:t xml:space="preserve"> </w:t>
      </w:r>
      <w:r w:rsidR="00C83755">
        <w:rPr>
          <w:rFonts w:eastAsia="Times New Roman" w:cs="Arial"/>
          <w:sz w:val="21"/>
          <w:szCs w:val="21"/>
          <w:lang w:val="en-AU" w:eastAsia="en-AU"/>
        </w:rPr>
        <w:t>—</w:t>
      </w:r>
      <w:r w:rsidRPr="0092021F">
        <w:rPr>
          <w:rFonts w:eastAsia="Times New Roman" w:cs="Arial"/>
          <w:sz w:val="21"/>
          <w:szCs w:val="21"/>
          <w:lang w:val="en-AU" w:eastAsia="en-AU"/>
        </w:rPr>
        <w:t xml:space="preserve"> this is a monthly management tracking device to closely monitor risks and mitigation measures, including partnership relationships and media.</w:t>
      </w:r>
    </w:p>
    <w:p w14:paraId="6C623AEB" w14:textId="27CB6E2F" w:rsidR="00477DA9" w:rsidRPr="0092021F" w:rsidRDefault="00477DA9" w:rsidP="009D3124">
      <w:pPr>
        <w:pStyle w:val="ListParagraph"/>
        <w:numPr>
          <w:ilvl w:val="0"/>
          <w:numId w:val="73"/>
        </w:numPr>
        <w:tabs>
          <w:tab w:val="left" w:pos="284"/>
        </w:tabs>
        <w:spacing w:after="120"/>
        <w:jc w:val="both"/>
        <w:rPr>
          <w:rFonts w:eastAsia="Times New Roman" w:cs="Arial"/>
          <w:sz w:val="21"/>
          <w:szCs w:val="21"/>
          <w:lang w:val="en-AU" w:eastAsia="en-AU"/>
        </w:rPr>
      </w:pPr>
      <w:r w:rsidRPr="0092021F">
        <w:rPr>
          <w:rFonts w:eastAsia="Times New Roman" w:cs="Arial"/>
          <w:b/>
          <w:sz w:val="21"/>
          <w:szCs w:val="21"/>
          <w:lang w:val="en-AU" w:eastAsia="en-AU"/>
        </w:rPr>
        <w:t>Major event tracking, externalities and policy monitoring</w:t>
      </w:r>
      <w:r w:rsidRPr="0092021F">
        <w:rPr>
          <w:rFonts w:eastAsia="Times New Roman" w:cs="Arial"/>
          <w:sz w:val="21"/>
          <w:szCs w:val="21"/>
          <w:lang w:val="en-AU" w:eastAsia="en-AU"/>
        </w:rPr>
        <w:t xml:space="preserve"> </w:t>
      </w:r>
      <w:r w:rsidR="00C83755">
        <w:rPr>
          <w:rFonts w:eastAsia="Times New Roman" w:cs="Arial"/>
          <w:sz w:val="21"/>
          <w:szCs w:val="21"/>
          <w:lang w:val="en-AU" w:eastAsia="en-AU"/>
        </w:rPr>
        <w:t>—</w:t>
      </w:r>
      <w:r w:rsidRPr="0092021F">
        <w:rPr>
          <w:rFonts w:eastAsia="Times New Roman" w:cs="Arial"/>
          <w:sz w:val="21"/>
          <w:szCs w:val="21"/>
          <w:lang w:val="en-AU" w:eastAsia="en-AU"/>
        </w:rPr>
        <w:t xml:space="preserve"> this </w:t>
      </w:r>
      <w:r w:rsidR="00EB13EB">
        <w:rPr>
          <w:rFonts w:eastAsia="Times New Roman" w:cs="Arial"/>
          <w:sz w:val="21"/>
          <w:szCs w:val="21"/>
          <w:lang w:val="en-AU" w:eastAsia="en-AU"/>
        </w:rPr>
        <w:t>will</w:t>
      </w:r>
      <w:r w:rsidRPr="0092021F">
        <w:rPr>
          <w:rFonts w:eastAsia="Times New Roman" w:cs="Arial"/>
          <w:sz w:val="21"/>
          <w:szCs w:val="21"/>
          <w:lang w:val="en-AU" w:eastAsia="en-AU"/>
        </w:rPr>
        <w:t xml:space="preserve"> to track external events that may have a positive or negative impact on the program but are beyond the control of the program. This aids in evaluating progress and understanding any unforeseen circumstances (e.g. changes in government policy or direction; natural disasters; or changes in leadership)</w:t>
      </w:r>
      <w:r w:rsidR="00C83755">
        <w:rPr>
          <w:rFonts w:eastAsia="Times New Roman" w:cs="Arial"/>
          <w:sz w:val="21"/>
          <w:szCs w:val="21"/>
          <w:lang w:val="en-AU" w:eastAsia="en-AU"/>
        </w:rPr>
        <w:t xml:space="preserve">. </w:t>
      </w:r>
    </w:p>
    <w:p w14:paraId="0F7B4561" w14:textId="77777777" w:rsidR="00477DA9" w:rsidRPr="0092021F" w:rsidRDefault="00477DA9" w:rsidP="007C4ABD">
      <w:pPr>
        <w:tabs>
          <w:tab w:val="left" w:pos="284"/>
        </w:tabs>
        <w:spacing w:before="0" w:after="0" w:line="276" w:lineRule="auto"/>
        <w:jc w:val="both"/>
        <w:rPr>
          <w:rFonts w:eastAsia="Times New Roman" w:cs="Arial"/>
          <w:b/>
          <w:sz w:val="21"/>
          <w:szCs w:val="21"/>
          <w:lang w:val="en-AU" w:eastAsia="en-AU"/>
        </w:rPr>
      </w:pPr>
      <w:r w:rsidRPr="0092021F">
        <w:rPr>
          <w:rFonts w:eastAsia="Times New Roman" w:cs="Arial"/>
          <w:b/>
          <w:sz w:val="21"/>
          <w:szCs w:val="21"/>
          <w:lang w:val="en-AU" w:eastAsia="en-AU"/>
        </w:rPr>
        <w:t>Reporting and Learning Cycles</w:t>
      </w:r>
    </w:p>
    <w:p w14:paraId="07216565" w14:textId="7653D58B" w:rsidR="00477DA9" w:rsidRDefault="00477DA9" w:rsidP="00477DA9">
      <w:pPr>
        <w:tabs>
          <w:tab w:val="left" w:pos="284"/>
        </w:tabs>
        <w:spacing w:after="120"/>
        <w:jc w:val="both"/>
        <w:rPr>
          <w:rFonts w:eastAsia="Times New Roman" w:cs="Arial"/>
          <w:sz w:val="21"/>
          <w:szCs w:val="21"/>
          <w:lang w:val="en-AU" w:eastAsia="en-AU"/>
        </w:rPr>
      </w:pPr>
      <w:r w:rsidRPr="0092021F">
        <w:rPr>
          <w:rFonts w:eastAsia="Times New Roman" w:cs="Arial"/>
          <w:sz w:val="21"/>
          <w:szCs w:val="21"/>
          <w:lang w:val="en-AU" w:eastAsia="en-AU"/>
        </w:rPr>
        <w:t xml:space="preserve">Performance reports will be produced by the ECP every </w:t>
      </w:r>
      <w:r w:rsidR="00EB13EB">
        <w:rPr>
          <w:rFonts w:eastAsia="Times New Roman" w:cs="Arial"/>
          <w:sz w:val="21"/>
          <w:szCs w:val="21"/>
          <w:lang w:val="en-AU" w:eastAsia="en-AU"/>
        </w:rPr>
        <w:t>six</w:t>
      </w:r>
      <w:r w:rsidR="00EB13EB" w:rsidRPr="0092021F">
        <w:rPr>
          <w:rFonts w:eastAsia="Times New Roman" w:cs="Arial"/>
          <w:sz w:val="21"/>
          <w:szCs w:val="21"/>
          <w:lang w:val="en-AU" w:eastAsia="en-AU"/>
        </w:rPr>
        <w:t xml:space="preserve"> </w:t>
      </w:r>
      <w:r w:rsidRPr="0092021F">
        <w:rPr>
          <w:rFonts w:eastAsia="Times New Roman" w:cs="Arial"/>
          <w:sz w:val="21"/>
          <w:szCs w:val="21"/>
          <w:lang w:val="en-AU" w:eastAsia="en-AU"/>
        </w:rPr>
        <w:t xml:space="preserve">months, summarising progress towards intended outcomes, key achievements, lessons learned and recommended improvements. </w:t>
      </w:r>
      <w:r w:rsidR="00250176">
        <w:rPr>
          <w:rFonts w:eastAsia="Times New Roman" w:cs="Arial"/>
          <w:sz w:val="21"/>
          <w:szCs w:val="21"/>
          <w:lang w:val="en-AU" w:eastAsia="en-AU"/>
        </w:rPr>
        <w:t xml:space="preserve">It is anticipated that these reports would be shared with the ECC and Joint Committee. </w:t>
      </w:r>
      <w:r w:rsidRPr="0092021F">
        <w:rPr>
          <w:rFonts w:eastAsia="Times New Roman" w:cs="Arial"/>
          <w:sz w:val="21"/>
          <w:szCs w:val="21"/>
          <w:lang w:val="en-AU" w:eastAsia="en-AU"/>
        </w:rPr>
        <w:t xml:space="preserve">Performance will be summarised according to </w:t>
      </w:r>
      <w:r w:rsidR="00EB13EB">
        <w:rPr>
          <w:rFonts w:eastAsia="Times New Roman" w:cs="Arial"/>
          <w:sz w:val="21"/>
          <w:szCs w:val="21"/>
          <w:lang w:val="en-AU" w:eastAsia="en-AU"/>
        </w:rPr>
        <w:t>DFAT A</w:t>
      </w:r>
      <w:r w:rsidR="00EB13EB" w:rsidRPr="0092021F">
        <w:rPr>
          <w:rFonts w:eastAsia="Times New Roman" w:cs="Arial"/>
          <w:sz w:val="21"/>
          <w:szCs w:val="21"/>
          <w:lang w:val="en-AU" w:eastAsia="en-AU"/>
        </w:rPr>
        <w:t xml:space="preserve">id </w:t>
      </w:r>
      <w:r w:rsidR="00EB13EB">
        <w:rPr>
          <w:rFonts w:eastAsia="Times New Roman" w:cs="Arial"/>
          <w:sz w:val="21"/>
          <w:szCs w:val="21"/>
          <w:lang w:val="en-AU" w:eastAsia="en-AU"/>
        </w:rPr>
        <w:t>Q</w:t>
      </w:r>
      <w:r w:rsidR="00EB13EB" w:rsidRPr="0092021F">
        <w:rPr>
          <w:rFonts w:eastAsia="Times New Roman" w:cs="Arial"/>
          <w:sz w:val="21"/>
          <w:szCs w:val="21"/>
          <w:lang w:val="en-AU" w:eastAsia="en-AU"/>
        </w:rPr>
        <w:t xml:space="preserve">uality </w:t>
      </w:r>
      <w:r w:rsidR="00EB13EB">
        <w:rPr>
          <w:rFonts w:eastAsia="Times New Roman" w:cs="Arial"/>
          <w:sz w:val="21"/>
          <w:szCs w:val="21"/>
          <w:lang w:val="en-AU" w:eastAsia="en-AU"/>
        </w:rPr>
        <w:t>C</w:t>
      </w:r>
      <w:r w:rsidR="00EB13EB" w:rsidRPr="0092021F">
        <w:rPr>
          <w:rFonts w:eastAsia="Times New Roman" w:cs="Arial"/>
          <w:sz w:val="21"/>
          <w:szCs w:val="21"/>
          <w:lang w:val="en-AU" w:eastAsia="en-AU"/>
        </w:rPr>
        <w:t xml:space="preserve">heck </w:t>
      </w:r>
      <w:r w:rsidRPr="0092021F">
        <w:rPr>
          <w:rFonts w:eastAsia="Times New Roman" w:cs="Arial"/>
          <w:sz w:val="21"/>
          <w:szCs w:val="21"/>
          <w:lang w:val="en-AU" w:eastAsia="en-AU"/>
        </w:rPr>
        <w:t xml:space="preserve">criteria including relevance, effectiveness, efficiency, </w:t>
      </w:r>
      <w:r w:rsidR="00EB13EB">
        <w:rPr>
          <w:rFonts w:eastAsia="Times New Roman" w:cs="Arial"/>
          <w:sz w:val="21"/>
          <w:szCs w:val="21"/>
          <w:lang w:val="en-AU" w:eastAsia="en-AU"/>
        </w:rPr>
        <w:t xml:space="preserve">environment and </w:t>
      </w:r>
      <w:r w:rsidRPr="0092021F">
        <w:rPr>
          <w:rFonts w:eastAsia="Times New Roman" w:cs="Arial"/>
          <w:sz w:val="21"/>
          <w:szCs w:val="21"/>
          <w:lang w:val="en-AU" w:eastAsia="en-AU"/>
        </w:rPr>
        <w:t>sustainability, monitoring and evaluation, gender quality and social inclusion, private sector engagement and innovation, risks and safeguards.</w:t>
      </w:r>
    </w:p>
    <w:p w14:paraId="273B8E4A" w14:textId="4A536FA2" w:rsidR="00477DA9" w:rsidRPr="0092021F" w:rsidRDefault="00477DA9" w:rsidP="00477DA9">
      <w:pPr>
        <w:tabs>
          <w:tab w:val="left" w:pos="284"/>
        </w:tabs>
        <w:spacing w:after="120"/>
        <w:jc w:val="both"/>
        <w:rPr>
          <w:rFonts w:eastAsia="Times New Roman" w:cs="Arial"/>
          <w:sz w:val="21"/>
          <w:szCs w:val="21"/>
          <w:lang w:val="en-AU" w:eastAsia="en-AU"/>
        </w:rPr>
      </w:pPr>
      <w:r>
        <w:rPr>
          <w:rFonts w:eastAsia="Times New Roman" w:cs="Arial"/>
          <w:sz w:val="21"/>
          <w:szCs w:val="21"/>
          <w:lang w:val="en-AU" w:eastAsia="en-AU"/>
        </w:rPr>
        <w:t>Monthly reports will also be produced for management purposes. These will track expenditure as well as the progress and quality of activities, outputs and risks.</w:t>
      </w:r>
    </w:p>
    <w:p w14:paraId="63D536DA" w14:textId="55EFEB7A" w:rsidR="003B6054" w:rsidRDefault="00477DA9" w:rsidP="00A83067">
      <w:pPr>
        <w:tabs>
          <w:tab w:val="left" w:pos="284"/>
        </w:tabs>
        <w:spacing w:after="120"/>
        <w:jc w:val="both"/>
        <w:rPr>
          <w:rFonts w:eastAsia="Times New Roman" w:cs="Arial"/>
          <w:sz w:val="21"/>
          <w:szCs w:val="21"/>
          <w:lang w:val="en-AU" w:eastAsia="en-AU"/>
        </w:rPr>
      </w:pPr>
      <w:r w:rsidRPr="0092021F">
        <w:rPr>
          <w:rFonts w:eastAsia="Times New Roman" w:cs="Arial"/>
          <w:sz w:val="21"/>
          <w:szCs w:val="21"/>
          <w:lang w:val="en-AU" w:eastAsia="en-AU"/>
        </w:rPr>
        <w:t xml:space="preserve">As part of the approach to </w:t>
      </w:r>
      <w:r w:rsidR="000356EC">
        <w:rPr>
          <w:rFonts w:eastAsia="Times New Roman" w:cs="Arial"/>
          <w:sz w:val="21"/>
          <w:szCs w:val="21"/>
          <w:lang w:val="en-AU" w:eastAsia="en-AU"/>
        </w:rPr>
        <w:t>MEL</w:t>
      </w:r>
      <w:r w:rsidRPr="0092021F">
        <w:rPr>
          <w:rFonts w:eastAsia="Times New Roman" w:cs="Arial"/>
          <w:sz w:val="21"/>
          <w:szCs w:val="21"/>
          <w:lang w:val="en-AU" w:eastAsia="en-AU"/>
        </w:rPr>
        <w:t xml:space="preserve">, and to support meaningful collaboration, an annual planning and reflection workshop will be held with key implementing partners. </w:t>
      </w:r>
      <w:r w:rsidR="002B01C4">
        <w:rPr>
          <w:rFonts w:eastAsia="Times New Roman" w:cs="Arial"/>
          <w:sz w:val="21"/>
          <w:szCs w:val="21"/>
          <w:lang w:val="en-AU" w:eastAsia="en-AU"/>
        </w:rPr>
        <w:t xml:space="preserve">This will be critical, particularly after the first 12 months of implementing a new program. </w:t>
      </w:r>
      <w:r w:rsidRPr="0092021F">
        <w:rPr>
          <w:rFonts w:eastAsia="Times New Roman" w:cs="Arial"/>
          <w:sz w:val="21"/>
          <w:szCs w:val="21"/>
          <w:lang w:val="en-AU" w:eastAsia="en-AU"/>
        </w:rPr>
        <w:t xml:space="preserve">This workshop will be used to evaluate past performance, identify areas of potential </w:t>
      </w:r>
      <w:r w:rsidRPr="0092021F">
        <w:rPr>
          <w:rFonts w:eastAsia="Times New Roman" w:cs="Arial"/>
          <w:sz w:val="21"/>
          <w:szCs w:val="21"/>
          <w:lang w:val="en-AU" w:eastAsia="en-AU"/>
        </w:rPr>
        <w:lastRenderedPageBreak/>
        <w:t xml:space="preserve">alignment with existing programs, and to identify gaps and opportunities that ECP could address. This workshop will be conducted prior to the development of the </w:t>
      </w:r>
      <w:r w:rsidR="0077116A">
        <w:rPr>
          <w:rFonts w:eastAsia="Times New Roman" w:cs="Arial"/>
          <w:sz w:val="21"/>
          <w:szCs w:val="21"/>
          <w:lang w:val="en-AU" w:eastAsia="en-AU"/>
        </w:rPr>
        <w:t>A</w:t>
      </w:r>
      <w:r w:rsidRPr="0092021F">
        <w:rPr>
          <w:rFonts w:eastAsia="Times New Roman" w:cs="Arial"/>
          <w:sz w:val="21"/>
          <w:szCs w:val="21"/>
          <w:lang w:val="en-AU" w:eastAsia="en-AU"/>
        </w:rPr>
        <w:t xml:space="preserve">nnual </w:t>
      </w:r>
      <w:r w:rsidR="0077116A">
        <w:rPr>
          <w:rFonts w:eastAsia="Times New Roman" w:cs="Arial"/>
          <w:sz w:val="21"/>
          <w:szCs w:val="21"/>
          <w:lang w:val="en-AU" w:eastAsia="en-AU"/>
        </w:rPr>
        <w:t>W</w:t>
      </w:r>
      <w:r w:rsidRPr="0092021F">
        <w:rPr>
          <w:rFonts w:eastAsia="Times New Roman" w:cs="Arial"/>
          <w:sz w:val="21"/>
          <w:szCs w:val="21"/>
          <w:lang w:val="en-AU" w:eastAsia="en-AU"/>
        </w:rPr>
        <w:t>ork</w:t>
      </w:r>
      <w:r w:rsidR="0077116A">
        <w:rPr>
          <w:rFonts w:eastAsia="Times New Roman" w:cs="Arial"/>
          <w:sz w:val="21"/>
          <w:szCs w:val="21"/>
          <w:lang w:val="en-AU" w:eastAsia="en-AU"/>
        </w:rPr>
        <w:t xml:space="preserve"> P</w:t>
      </w:r>
      <w:r w:rsidRPr="0092021F">
        <w:rPr>
          <w:rFonts w:eastAsia="Times New Roman" w:cs="Arial"/>
          <w:sz w:val="21"/>
          <w:szCs w:val="21"/>
          <w:lang w:val="en-AU" w:eastAsia="en-AU"/>
        </w:rPr>
        <w:t xml:space="preserve">lan for ECC </w:t>
      </w:r>
      <w:r w:rsidR="000F30B3">
        <w:rPr>
          <w:rFonts w:eastAsia="Times New Roman" w:cs="Arial"/>
          <w:sz w:val="21"/>
          <w:szCs w:val="21"/>
          <w:lang w:val="en-AU" w:eastAsia="en-AU"/>
        </w:rPr>
        <w:t>consideration</w:t>
      </w:r>
      <w:r w:rsidRPr="0092021F">
        <w:rPr>
          <w:rFonts w:eastAsia="Times New Roman" w:cs="Arial"/>
          <w:sz w:val="21"/>
          <w:szCs w:val="21"/>
          <w:lang w:val="en-AU" w:eastAsia="en-AU"/>
        </w:rPr>
        <w:t>.</w:t>
      </w:r>
    </w:p>
    <w:p w14:paraId="37C5E91B" w14:textId="28D0C3C0" w:rsidR="000B50BA" w:rsidRDefault="000B50BA" w:rsidP="00A83067">
      <w:pPr>
        <w:tabs>
          <w:tab w:val="left" w:pos="284"/>
        </w:tabs>
        <w:spacing w:after="120"/>
        <w:jc w:val="both"/>
        <w:rPr>
          <w:rFonts w:eastAsia="Times New Roman" w:cs="Arial"/>
          <w:sz w:val="21"/>
          <w:szCs w:val="21"/>
          <w:lang w:val="en-AU" w:eastAsia="en-AU"/>
        </w:rPr>
      </w:pPr>
      <w:r>
        <w:rPr>
          <w:rFonts w:eastAsia="Times New Roman" w:cs="Arial"/>
          <w:sz w:val="21"/>
          <w:szCs w:val="21"/>
          <w:lang w:val="en-AU" w:eastAsia="en-AU"/>
        </w:rPr>
        <w:t xml:space="preserve">An independent </w:t>
      </w:r>
      <w:r w:rsidR="00D26D04">
        <w:rPr>
          <w:rFonts w:eastAsia="Times New Roman" w:cs="Arial"/>
          <w:sz w:val="21"/>
          <w:szCs w:val="21"/>
          <w:lang w:val="en-AU" w:eastAsia="en-AU"/>
        </w:rPr>
        <w:t>mid-term</w:t>
      </w:r>
      <w:r>
        <w:rPr>
          <w:rFonts w:eastAsia="Times New Roman" w:cs="Arial"/>
          <w:sz w:val="21"/>
          <w:szCs w:val="21"/>
          <w:lang w:val="en-AU" w:eastAsia="en-AU"/>
        </w:rPr>
        <w:t xml:space="preserve"> review (MTR) will be commissioned in 2023 to undertake a formative evaluation.  This MTR will focus on the extent to which IA-CEPA is being implemented efficiently and effectively to deliver intended outcomes, specifically facilitating market access, supporting trade and investment, promoting economic partnerships, and addressing labour market skills requirements. </w:t>
      </w:r>
    </w:p>
    <w:p w14:paraId="5FE4BA98" w14:textId="66BB7DEC" w:rsidR="006B427E" w:rsidRPr="00F46375" w:rsidRDefault="006F116F" w:rsidP="006B427E">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Cs w:val="21"/>
        </w:rPr>
      </w:pPr>
      <w:r w:rsidRPr="00A32858">
        <w:rPr>
          <w:rFonts w:asciiTheme="majorHAnsi" w:hAnsiTheme="majorHAnsi"/>
          <w:b/>
          <w:szCs w:val="21"/>
        </w:rPr>
        <w:t>Gender, Disability and Other Cross Cutting Issues</w:t>
      </w:r>
      <w:r w:rsidR="00451440">
        <w:rPr>
          <w:rFonts w:asciiTheme="majorHAnsi" w:hAnsiTheme="majorHAnsi"/>
          <w:b/>
          <w:szCs w:val="21"/>
        </w:rPr>
        <w:t xml:space="preserve"> </w:t>
      </w:r>
    </w:p>
    <w:p w14:paraId="7C4ED91B" w14:textId="651A68ED" w:rsidR="0044084B" w:rsidRPr="0044084B" w:rsidRDefault="0044084B" w:rsidP="00475BF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iCs/>
          <w:sz w:val="21"/>
          <w:szCs w:val="21"/>
        </w:rPr>
      </w:pPr>
      <w:r w:rsidRPr="0044084B">
        <w:rPr>
          <w:rFonts w:cs="Arial"/>
          <w:iCs/>
          <w:sz w:val="21"/>
          <w:szCs w:val="21"/>
        </w:rPr>
        <w:t xml:space="preserve">Closing the gender </w:t>
      </w:r>
      <w:r w:rsidR="001E46E9" w:rsidRPr="0044084B">
        <w:rPr>
          <w:rFonts w:cs="Arial"/>
          <w:iCs/>
          <w:sz w:val="21"/>
          <w:szCs w:val="21"/>
        </w:rPr>
        <w:t>equality</w:t>
      </w:r>
      <w:r w:rsidRPr="0044084B">
        <w:rPr>
          <w:rFonts w:cs="Arial"/>
          <w:iCs/>
          <w:sz w:val="21"/>
          <w:szCs w:val="21"/>
        </w:rPr>
        <w:t xml:space="preserve"> gap</w:t>
      </w:r>
      <w:r>
        <w:rPr>
          <w:rFonts w:cs="Arial"/>
          <w:iCs/>
          <w:sz w:val="21"/>
          <w:szCs w:val="21"/>
        </w:rPr>
        <w:t xml:space="preserve"> and supporting greater inclusion</w:t>
      </w:r>
      <w:r w:rsidRPr="0044084B">
        <w:rPr>
          <w:rFonts w:cs="Arial"/>
          <w:iCs/>
          <w:sz w:val="21"/>
          <w:szCs w:val="21"/>
        </w:rPr>
        <w:t xml:space="preserve"> </w:t>
      </w:r>
      <w:r>
        <w:rPr>
          <w:rFonts w:cs="Arial"/>
          <w:iCs/>
          <w:sz w:val="21"/>
          <w:szCs w:val="21"/>
        </w:rPr>
        <w:t xml:space="preserve">in Indonesia and Australia </w:t>
      </w:r>
      <w:r w:rsidRPr="0044084B">
        <w:rPr>
          <w:rFonts w:cs="Arial"/>
          <w:iCs/>
          <w:sz w:val="21"/>
          <w:szCs w:val="21"/>
        </w:rPr>
        <w:t>has been i</w:t>
      </w:r>
      <w:r>
        <w:rPr>
          <w:rFonts w:cs="Arial"/>
          <w:iCs/>
          <w:sz w:val="21"/>
          <w:szCs w:val="21"/>
        </w:rPr>
        <w:t>ntegrated throughout the ECP design.</w:t>
      </w:r>
      <w:r w:rsidRPr="0044084B">
        <w:rPr>
          <w:rFonts w:cs="Arial"/>
          <w:iCs/>
          <w:sz w:val="21"/>
          <w:szCs w:val="21"/>
        </w:rPr>
        <w:t xml:space="preserve">  The ECP team </w:t>
      </w:r>
      <w:r w:rsidR="00270B2C">
        <w:rPr>
          <w:rFonts w:cs="Arial"/>
          <w:iCs/>
          <w:sz w:val="21"/>
          <w:szCs w:val="21"/>
        </w:rPr>
        <w:t xml:space="preserve">will </w:t>
      </w:r>
      <w:r w:rsidRPr="0044084B">
        <w:rPr>
          <w:rFonts w:cs="Arial"/>
          <w:iCs/>
          <w:sz w:val="21"/>
          <w:szCs w:val="21"/>
        </w:rPr>
        <w:t>include</w:t>
      </w:r>
      <w:r w:rsidR="00270B2C">
        <w:rPr>
          <w:rFonts w:cs="Arial"/>
          <w:iCs/>
          <w:sz w:val="21"/>
          <w:szCs w:val="21"/>
        </w:rPr>
        <w:t xml:space="preserve"> </w:t>
      </w:r>
      <w:r w:rsidRPr="0044084B">
        <w:rPr>
          <w:rFonts w:cs="Arial"/>
          <w:iCs/>
          <w:sz w:val="21"/>
          <w:szCs w:val="21"/>
        </w:rPr>
        <w:t xml:space="preserve">a Gender and Social Inclusion </w:t>
      </w:r>
      <w:r w:rsidR="00270B2C">
        <w:rPr>
          <w:rFonts w:cs="Arial"/>
          <w:iCs/>
          <w:sz w:val="21"/>
          <w:szCs w:val="21"/>
        </w:rPr>
        <w:t>capability</w:t>
      </w:r>
      <w:r w:rsidRPr="0044084B">
        <w:rPr>
          <w:rFonts w:cs="Arial"/>
          <w:iCs/>
          <w:sz w:val="21"/>
          <w:szCs w:val="21"/>
        </w:rPr>
        <w:t xml:space="preserve"> </w:t>
      </w:r>
      <w:r w:rsidR="00270B2C">
        <w:rPr>
          <w:rFonts w:cs="Arial"/>
          <w:iCs/>
          <w:sz w:val="21"/>
          <w:szCs w:val="21"/>
        </w:rPr>
        <w:t xml:space="preserve">that </w:t>
      </w:r>
      <w:r w:rsidRPr="0044084B">
        <w:rPr>
          <w:rFonts w:cs="Arial"/>
          <w:iCs/>
          <w:sz w:val="21"/>
          <w:szCs w:val="21"/>
        </w:rPr>
        <w:t xml:space="preserve">will bring both trade and investment expertise and focus on supporting greater inclusion across the entire program and activities. An early deliverable (first 3 months) will be the development of a gender and inclusion action strategy, informed by the following activities </w:t>
      </w:r>
      <w:r w:rsidR="001E46E9">
        <w:rPr>
          <w:rFonts w:cs="Arial"/>
          <w:iCs/>
          <w:sz w:val="21"/>
          <w:szCs w:val="21"/>
        </w:rPr>
        <w:t>integrated</w:t>
      </w:r>
      <w:r>
        <w:rPr>
          <w:rFonts w:cs="Arial"/>
          <w:iCs/>
          <w:sz w:val="21"/>
          <w:szCs w:val="21"/>
        </w:rPr>
        <w:t xml:space="preserve"> into</w:t>
      </w:r>
      <w:r w:rsidRPr="0044084B">
        <w:rPr>
          <w:rFonts w:cs="Arial"/>
          <w:iCs/>
          <w:sz w:val="21"/>
          <w:szCs w:val="21"/>
        </w:rPr>
        <w:t xml:space="preserve"> the first </w:t>
      </w:r>
      <w:r w:rsidR="00CC07B9" w:rsidRPr="0044084B">
        <w:rPr>
          <w:rFonts w:cs="Arial"/>
          <w:iCs/>
          <w:sz w:val="21"/>
          <w:szCs w:val="21"/>
        </w:rPr>
        <w:t>12-month</w:t>
      </w:r>
      <w:r w:rsidRPr="0044084B">
        <w:rPr>
          <w:rFonts w:cs="Arial"/>
          <w:iCs/>
          <w:sz w:val="21"/>
          <w:szCs w:val="21"/>
        </w:rPr>
        <w:t xml:space="preserve"> annual work plan:</w:t>
      </w:r>
    </w:p>
    <w:p w14:paraId="268F7FCF" w14:textId="77777777" w:rsidR="006F116F" w:rsidRPr="00C27542" w:rsidRDefault="006F116F" w:rsidP="00475BF4">
      <w:pPr>
        <w:spacing w:after="0"/>
        <w:jc w:val="both"/>
        <w:rPr>
          <w:b/>
          <w:i/>
        </w:rPr>
      </w:pPr>
      <w:r w:rsidRPr="00C27542">
        <w:rPr>
          <w:b/>
          <w:i/>
        </w:rPr>
        <w:t>Gender Equality</w:t>
      </w:r>
    </w:p>
    <w:p w14:paraId="27F78F73" w14:textId="0626C546" w:rsidR="000D760A" w:rsidRDefault="000D760A" w:rsidP="009D3124">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rFonts w:cs="Arial"/>
          <w:iCs/>
          <w:sz w:val="21"/>
          <w:szCs w:val="21"/>
        </w:rPr>
      </w:pPr>
      <w:r w:rsidRPr="000D760A">
        <w:rPr>
          <w:rFonts w:cs="Arial"/>
          <w:iCs/>
          <w:sz w:val="21"/>
          <w:szCs w:val="21"/>
        </w:rPr>
        <w:t>Opportunities to</w:t>
      </w:r>
      <w:r w:rsidR="004307A7" w:rsidRPr="000D760A">
        <w:rPr>
          <w:rFonts w:cs="Arial"/>
          <w:iCs/>
          <w:sz w:val="21"/>
          <w:szCs w:val="21"/>
        </w:rPr>
        <w:t xml:space="preserve"> promote women </w:t>
      </w:r>
      <w:r w:rsidRPr="000D760A">
        <w:rPr>
          <w:rFonts w:cs="Arial"/>
          <w:iCs/>
          <w:sz w:val="21"/>
          <w:szCs w:val="21"/>
        </w:rPr>
        <w:t>in trade will be pursued</w:t>
      </w:r>
      <w:r w:rsidR="004307A7" w:rsidRPr="000D760A">
        <w:rPr>
          <w:rFonts w:cs="Arial"/>
          <w:iCs/>
          <w:sz w:val="21"/>
          <w:szCs w:val="21"/>
        </w:rPr>
        <w:t xml:space="preserve"> through greater market access and investment </w:t>
      </w:r>
      <w:r w:rsidRPr="000D760A">
        <w:rPr>
          <w:rFonts w:cs="Arial"/>
          <w:iCs/>
          <w:sz w:val="21"/>
          <w:szCs w:val="21"/>
        </w:rPr>
        <w:t xml:space="preserve">in female led businesses and industries. </w:t>
      </w:r>
      <w:r>
        <w:rPr>
          <w:rFonts w:cs="Arial"/>
          <w:iCs/>
          <w:sz w:val="21"/>
          <w:szCs w:val="21"/>
        </w:rPr>
        <w:t>The ECP will a</w:t>
      </w:r>
      <w:r w:rsidRPr="000D760A">
        <w:rPr>
          <w:rFonts w:cs="Arial"/>
          <w:iCs/>
          <w:sz w:val="21"/>
          <w:szCs w:val="21"/>
        </w:rPr>
        <w:t>pply the UN Trade and Gender toolkit to IA-CEPA and t</w:t>
      </w:r>
      <w:r>
        <w:rPr>
          <w:rFonts w:cs="Arial"/>
          <w:iCs/>
          <w:sz w:val="21"/>
          <w:szCs w:val="21"/>
        </w:rPr>
        <w:t xml:space="preserve">he ECP’s program of activities, identifying </w:t>
      </w:r>
      <w:r w:rsidRPr="000D760A">
        <w:rPr>
          <w:rFonts w:cs="Arial"/>
          <w:iCs/>
          <w:sz w:val="21"/>
          <w:szCs w:val="21"/>
        </w:rPr>
        <w:t>opportunities to support female led trade and investment i</w:t>
      </w:r>
      <w:r>
        <w:rPr>
          <w:rFonts w:cs="Arial"/>
          <w:iCs/>
          <w:sz w:val="21"/>
          <w:szCs w:val="21"/>
        </w:rPr>
        <w:t xml:space="preserve">n the IA-CEPA priority sectors </w:t>
      </w:r>
      <w:r w:rsidRPr="000D760A">
        <w:rPr>
          <w:rFonts w:cs="Arial"/>
          <w:iCs/>
          <w:sz w:val="21"/>
          <w:szCs w:val="21"/>
        </w:rPr>
        <w:t>and for the first time bring a deep analysis of the potential to support gender equality and inclusion through closer economic partnership.</w:t>
      </w:r>
    </w:p>
    <w:p w14:paraId="5349E30E" w14:textId="7DEE6F0B" w:rsidR="00457A76" w:rsidRDefault="000D760A" w:rsidP="009D3124">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rFonts w:cs="Arial"/>
          <w:iCs/>
          <w:sz w:val="21"/>
          <w:szCs w:val="21"/>
        </w:rPr>
      </w:pPr>
      <w:r>
        <w:rPr>
          <w:rFonts w:cs="Arial"/>
          <w:iCs/>
          <w:sz w:val="21"/>
          <w:szCs w:val="21"/>
        </w:rPr>
        <w:t xml:space="preserve">The ECP will </w:t>
      </w:r>
      <w:r w:rsidR="00736D96" w:rsidRPr="000D760A">
        <w:rPr>
          <w:rFonts w:cs="Arial"/>
          <w:iCs/>
          <w:sz w:val="21"/>
          <w:szCs w:val="21"/>
        </w:rPr>
        <w:t xml:space="preserve">support a partnership between Australia’s Chief Executive Women and the </w:t>
      </w:r>
      <w:r w:rsidR="00724169" w:rsidRPr="00724169">
        <w:rPr>
          <w:rFonts w:cs="Arial"/>
          <w:iCs/>
          <w:sz w:val="21"/>
          <w:szCs w:val="21"/>
        </w:rPr>
        <w:t>Indonesian Business Coalition for Women Empowerment.</w:t>
      </w:r>
      <w:r>
        <w:rPr>
          <w:rFonts w:cs="Arial"/>
          <w:iCs/>
          <w:sz w:val="21"/>
          <w:szCs w:val="21"/>
        </w:rPr>
        <w:t>, in partnership with Investing in Women</w:t>
      </w:r>
      <w:r w:rsidR="00736D96" w:rsidRPr="000D760A">
        <w:rPr>
          <w:rFonts w:cs="Arial"/>
          <w:iCs/>
          <w:sz w:val="21"/>
          <w:szCs w:val="21"/>
        </w:rPr>
        <w:t xml:space="preserve">. The partnership will support women in business, including exploring opportunities </w:t>
      </w:r>
      <w:r>
        <w:rPr>
          <w:rFonts w:cs="Arial"/>
          <w:iCs/>
          <w:sz w:val="21"/>
          <w:szCs w:val="21"/>
        </w:rPr>
        <w:t xml:space="preserve">to support women in non-traditional roles and sectors through skills and training in STEM, where significant trade and investment opportunities exist. </w:t>
      </w:r>
    </w:p>
    <w:p w14:paraId="78C74427" w14:textId="1F21C6D7" w:rsidR="003B3CA7" w:rsidRDefault="00740DBF" w:rsidP="009D3124">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rFonts w:cs="Arial"/>
          <w:iCs/>
          <w:sz w:val="21"/>
          <w:szCs w:val="21"/>
        </w:rPr>
      </w:pPr>
      <w:r w:rsidRPr="00842DC6">
        <w:rPr>
          <w:rFonts w:cs="Arial"/>
          <w:iCs/>
          <w:sz w:val="21"/>
          <w:szCs w:val="21"/>
        </w:rPr>
        <w:t xml:space="preserve">There is significant potential to increase female labour force participation in </w:t>
      </w:r>
      <w:proofErr w:type="spellStart"/>
      <w:r w:rsidRPr="00842DC6">
        <w:rPr>
          <w:rFonts w:cs="Arial"/>
          <w:iCs/>
          <w:sz w:val="21"/>
          <w:szCs w:val="21"/>
        </w:rPr>
        <w:t>agrifood</w:t>
      </w:r>
      <w:proofErr w:type="spellEnd"/>
      <w:r w:rsidRPr="00842DC6">
        <w:rPr>
          <w:rFonts w:cs="Arial"/>
          <w:iCs/>
          <w:sz w:val="21"/>
          <w:szCs w:val="21"/>
        </w:rPr>
        <w:t xml:space="preserve"> value-chain businesses in Indonesi</w:t>
      </w:r>
      <w:r w:rsidR="00ED66B4" w:rsidRPr="00842DC6">
        <w:rPr>
          <w:rFonts w:cs="Arial"/>
          <w:iCs/>
          <w:sz w:val="21"/>
          <w:szCs w:val="21"/>
        </w:rPr>
        <w:t>a at all levels. The Grains P</w:t>
      </w:r>
      <w:r w:rsidRPr="00842DC6">
        <w:rPr>
          <w:rFonts w:cs="Arial"/>
          <w:iCs/>
          <w:sz w:val="21"/>
          <w:szCs w:val="21"/>
        </w:rPr>
        <w:t>artnership will support greater gender equality through the active engagement of women in the baked goods and fresh noodle business sectors</w:t>
      </w:r>
      <w:r w:rsidR="00842DC6" w:rsidRPr="00842DC6">
        <w:rPr>
          <w:rFonts w:cs="Arial"/>
          <w:iCs/>
          <w:sz w:val="21"/>
          <w:szCs w:val="21"/>
        </w:rPr>
        <w:t>, being priority sectors identified during consultations with the Indonesian industry</w:t>
      </w:r>
      <w:r w:rsidRPr="00842DC6">
        <w:rPr>
          <w:rFonts w:cs="Arial"/>
          <w:iCs/>
          <w:sz w:val="21"/>
          <w:szCs w:val="21"/>
        </w:rPr>
        <w:t xml:space="preserve">. </w:t>
      </w:r>
      <w:r w:rsidR="008C5DE0">
        <w:rPr>
          <w:rFonts w:cs="Arial"/>
          <w:iCs/>
          <w:sz w:val="21"/>
          <w:szCs w:val="21"/>
        </w:rPr>
        <w:t>This activity will seek to collaborate and build on existing efforts in this area, inc</w:t>
      </w:r>
      <w:r w:rsidR="007A5BF2">
        <w:rPr>
          <w:rFonts w:cs="Arial"/>
          <w:iCs/>
          <w:sz w:val="21"/>
          <w:szCs w:val="21"/>
        </w:rPr>
        <w:t>l</w:t>
      </w:r>
      <w:r w:rsidR="008C5DE0">
        <w:rPr>
          <w:rFonts w:cs="Arial"/>
          <w:iCs/>
          <w:sz w:val="21"/>
          <w:szCs w:val="21"/>
        </w:rPr>
        <w:t xml:space="preserve">uding in Australia by the Women’s Gender Equality Agency (WGEA) and in Indonesia through the GRI program funded by DFAT. </w:t>
      </w:r>
    </w:p>
    <w:p w14:paraId="7BEF1BB5" w14:textId="410BAF29" w:rsidR="00736D96" w:rsidRPr="003B3CA7" w:rsidRDefault="003B3CA7" w:rsidP="009D3124">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rFonts w:cs="Arial"/>
          <w:iCs/>
          <w:sz w:val="21"/>
          <w:szCs w:val="21"/>
        </w:rPr>
      </w:pPr>
      <w:r>
        <w:rPr>
          <w:rFonts w:cs="Arial"/>
          <w:iCs/>
          <w:sz w:val="21"/>
          <w:szCs w:val="21"/>
        </w:rPr>
        <w:t>While agriculture and services are currently the major employers of women in Indonesia, significant opportunities exist to address gender gaps in manufacturing through t</w:t>
      </w:r>
      <w:r w:rsidR="00E82F5A" w:rsidRPr="00842DC6">
        <w:rPr>
          <w:rFonts w:cs="Arial"/>
          <w:iCs/>
          <w:sz w:val="21"/>
          <w:szCs w:val="21"/>
        </w:rPr>
        <w:t xml:space="preserve">echnological advances and rising skills amongst women. </w:t>
      </w:r>
      <w:r>
        <w:rPr>
          <w:rFonts w:cs="Arial"/>
          <w:iCs/>
          <w:sz w:val="21"/>
          <w:szCs w:val="21"/>
        </w:rPr>
        <w:t>The</w:t>
      </w:r>
      <w:r w:rsidR="00842DC6" w:rsidRPr="003B3CA7">
        <w:rPr>
          <w:rFonts w:cs="Arial"/>
          <w:iCs/>
          <w:sz w:val="21"/>
          <w:szCs w:val="21"/>
        </w:rPr>
        <w:t xml:space="preserve"> </w:t>
      </w:r>
      <w:r>
        <w:rPr>
          <w:rFonts w:cs="Arial"/>
          <w:iCs/>
          <w:sz w:val="21"/>
          <w:szCs w:val="21"/>
        </w:rPr>
        <w:t>Advanced Manufacturing I</w:t>
      </w:r>
      <w:r w:rsidR="00842DC6" w:rsidRPr="003B3CA7">
        <w:rPr>
          <w:rFonts w:cs="Arial"/>
          <w:iCs/>
          <w:sz w:val="21"/>
          <w:szCs w:val="21"/>
        </w:rPr>
        <w:t xml:space="preserve">ndustry </w:t>
      </w:r>
      <w:r>
        <w:rPr>
          <w:rFonts w:cs="Arial"/>
          <w:iCs/>
          <w:sz w:val="21"/>
          <w:szCs w:val="21"/>
        </w:rPr>
        <w:t>D</w:t>
      </w:r>
      <w:r w:rsidR="00E82F5A" w:rsidRPr="003B3CA7">
        <w:rPr>
          <w:rFonts w:cs="Arial"/>
          <w:iCs/>
          <w:sz w:val="21"/>
          <w:szCs w:val="21"/>
        </w:rPr>
        <w:t>ialogue will give priority to manufacturing industries that have the potential to be significant employers of women, such as food processing and nutraceuticals</w:t>
      </w:r>
      <w:r>
        <w:rPr>
          <w:rFonts w:cs="Arial"/>
          <w:iCs/>
          <w:sz w:val="21"/>
          <w:szCs w:val="21"/>
        </w:rPr>
        <w:t xml:space="preserve">, </w:t>
      </w:r>
      <w:r w:rsidR="008B3508">
        <w:rPr>
          <w:rFonts w:cs="Arial"/>
          <w:iCs/>
          <w:sz w:val="21"/>
          <w:szCs w:val="21"/>
        </w:rPr>
        <w:t>to improve female employment</w:t>
      </w:r>
      <w:r w:rsidR="00EB13EB">
        <w:rPr>
          <w:rFonts w:cs="Arial"/>
          <w:iCs/>
          <w:sz w:val="21"/>
          <w:szCs w:val="21"/>
        </w:rPr>
        <w:t xml:space="preserve"> </w:t>
      </w:r>
      <w:r w:rsidR="00991A77">
        <w:rPr>
          <w:rFonts w:cs="Arial"/>
          <w:iCs/>
          <w:sz w:val="21"/>
          <w:szCs w:val="21"/>
        </w:rPr>
        <w:t xml:space="preserve">mobility, </w:t>
      </w:r>
      <w:r w:rsidR="008B3508">
        <w:rPr>
          <w:rFonts w:cs="Arial"/>
          <w:iCs/>
          <w:sz w:val="21"/>
          <w:szCs w:val="21"/>
        </w:rPr>
        <w:t xml:space="preserve">representation and leadership in manufacturing. </w:t>
      </w:r>
    </w:p>
    <w:p w14:paraId="0EB58881" w14:textId="5F620F9D" w:rsidR="0044084B" w:rsidRDefault="00842DC6" w:rsidP="009D3124">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rFonts w:cs="Arial"/>
          <w:iCs/>
          <w:sz w:val="21"/>
          <w:szCs w:val="21"/>
        </w:rPr>
      </w:pPr>
      <w:r>
        <w:rPr>
          <w:rFonts w:cs="Arial"/>
          <w:iCs/>
          <w:sz w:val="21"/>
          <w:szCs w:val="21"/>
        </w:rPr>
        <w:t>All training, exchanges and industry events will seek the participation of female led firms and</w:t>
      </w:r>
      <w:r w:rsidRPr="00ED66B4">
        <w:rPr>
          <w:rFonts w:cs="Arial"/>
          <w:iCs/>
          <w:sz w:val="21"/>
          <w:szCs w:val="21"/>
        </w:rPr>
        <w:t xml:space="preserve"> require at least </w:t>
      </w:r>
      <w:r>
        <w:rPr>
          <w:rFonts w:cs="Arial"/>
          <w:iCs/>
          <w:sz w:val="21"/>
          <w:szCs w:val="21"/>
        </w:rPr>
        <w:t xml:space="preserve">50 percent female participants in training and as speakers at events. This will apply to Australian and Indonesian trainers and </w:t>
      </w:r>
      <w:r w:rsidR="001E46E9">
        <w:rPr>
          <w:rFonts w:cs="Arial"/>
          <w:iCs/>
          <w:sz w:val="21"/>
          <w:szCs w:val="21"/>
        </w:rPr>
        <w:t>participants</w:t>
      </w:r>
      <w:r>
        <w:rPr>
          <w:rFonts w:cs="Arial"/>
          <w:iCs/>
          <w:sz w:val="21"/>
          <w:szCs w:val="21"/>
        </w:rPr>
        <w:t>.</w:t>
      </w:r>
    </w:p>
    <w:p w14:paraId="43800CE3" w14:textId="61A4B4CD" w:rsidR="0044084B" w:rsidRPr="0044084B" w:rsidRDefault="0044084B" w:rsidP="00475BF4">
      <w:pPr>
        <w:spacing w:after="0"/>
        <w:jc w:val="both"/>
        <w:rPr>
          <w:b/>
          <w:i/>
        </w:rPr>
      </w:pPr>
      <w:r w:rsidRPr="0044084B">
        <w:rPr>
          <w:b/>
          <w:i/>
        </w:rPr>
        <w:t>Disability Inclusiveness</w:t>
      </w:r>
    </w:p>
    <w:p w14:paraId="3FA08439" w14:textId="52BDDBE7" w:rsidR="0044084B" w:rsidRDefault="00205ED1" w:rsidP="009D3124">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rFonts w:cs="Arial"/>
          <w:iCs/>
          <w:sz w:val="21"/>
          <w:szCs w:val="21"/>
        </w:rPr>
      </w:pPr>
      <w:r w:rsidRPr="0044084B">
        <w:rPr>
          <w:sz w:val="21"/>
          <w:szCs w:val="21"/>
        </w:rPr>
        <w:t xml:space="preserve">The </w:t>
      </w:r>
      <w:r w:rsidR="00EB13EB">
        <w:rPr>
          <w:sz w:val="21"/>
          <w:szCs w:val="21"/>
        </w:rPr>
        <w:t>design team</w:t>
      </w:r>
      <w:r w:rsidR="00EB13EB" w:rsidRPr="0044084B">
        <w:rPr>
          <w:sz w:val="21"/>
          <w:szCs w:val="21"/>
        </w:rPr>
        <w:t xml:space="preserve"> </w:t>
      </w:r>
      <w:r w:rsidRPr="0044084B">
        <w:rPr>
          <w:sz w:val="21"/>
          <w:szCs w:val="21"/>
        </w:rPr>
        <w:t xml:space="preserve">is aware of </w:t>
      </w:r>
      <w:r w:rsidR="00EB13EB" w:rsidRPr="0044084B">
        <w:rPr>
          <w:sz w:val="21"/>
          <w:szCs w:val="21"/>
        </w:rPr>
        <w:t>P</w:t>
      </w:r>
      <w:r w:rsidR="00EB13EB">
        <w:rPr>
          <w:sz w:val="21"/>
          <w:szCs w:val="21"/>
        </w:rPr>
        <w:t>ROSPERA</w:t>
      </w:r>
      <w:r w:rsidR="00EB13EB" w:rsidRPr="0044084B">
        <w:rPr>
          <w:sz w:val="21"/>
          <w:szCs w:val="21"/>
        </w:rPr>
        <w:t xml:space="preserve">’s </w:t>
      </w:r>
      <w:r w:rsidR="00980A60" w:rsidRPr="0044084B">
        <w:rPr>
          <w:sz w:val="21"/>
          <w:szCs w:val="21"/>
        </w:rPr>
        <w:t>early</w:t>
      </w:r>
      <w:r w:rsidRPr="0044084B">
        <w:rPr>
          <w:sz w:val="21"/>
          <w:szCs w:val="21"/>
        </w:rPr>
        <w:t xml:space="preserve"> efforts to reduce trade and investment barriers in health aids. The </w:t>
      </w:r>
      <w:r w:rsidR="00C33433">
        <w:rPr>
          <w:sz w:val="21"/>
          <w:szCs w:val="21"/>
        </w:rPr>
        <w:t>Collaborative Hub</w:t>
      </w:r>
      <w:r w:rsidR="00980A60" w:rsidRPr="0044084B">
        <w:rPr>
          <w:sz w:val="21"/>
          <w:szCs w:val="21"/>
        </w:rPr>
        <w:t xml:space="preserve"> </w:t>
      </w:r>
      <w:r w:rsidRPr="0044084B">
        <w:rPr>
          <w:sz w:val="21"/>
          <w:szCs w:val="21"/>
        </w:rPr>
        <w:t>will look for opportunities to support this activity, including</w:t>
      </w:r>
      <w:r w:rsidR="001E46E9">
        <w:rPr>
          <w:sz w:val="21"/>
          <w:szCs w:val="21"/>
        </w:rPr>
        <w:t xml:space="preserve"> </w:t>
      </w:r>
      <w:r w:rsidR="00980A60" w:rsidRPr="0044084B">
        <w:rPr>
          <w:sz w:val="21"/>
          <w:szCs w:val="21"/>
        </w:rPr>
        <w:t>by prioritising efforts to support</w:t>
      </w:r>
      <w:r w:rsidRPr="0044084B">
        <w:rPr>
          <w:sz w:val="21"/>
          <w:szCs w:val="21"/>
        </w:rPr>
        <w:t xml:space="preserve"> implementation of IA-CEPA</w:t>
      </w:r>
      <w:r w:rsidR="00980A60" w:rsidRPr="0044084B">
        <w:rPr>
          <w:sz w:val="21"/>
          <w:szCs w:val="21"/>
        </w:rPr>
        <w:t xml:space="preserve"> </w:t>
      </w:r>
      <w:r w:rsidRPr="0044084B">
        <w:rPr>
          <w:sz w:val="21"/>
          <w:szCs w:val="21"/>
        </w:rPr>
        <w:t xml:space="preserve">as it relates to the </w:t>
      </w:r>
      <w:r w:rsidR="00980A60" w:rsidRPr="0044084B">
        <w:rPr>
          <w:sz w:val="21"/>
          <w:szCs w:val="21"/>
        </w:rPr>
        <w:t xml:space="preserve">health sector and work on standards </w:t>
      </w:r>
      <w:r w:rsidR="000E444B">
        <w:rPr>
          <w:rFonts w:cstheme="majorHAnsi"/>
          <w:sz w:val="20"/>
          <w:szCs w:val="21"/>
        </w:rPr>
        <w:t xml:space="preserve">and conformance </w:t>
      </w:r>
      <w:r w:rsidR="00980A60" w:rsidRPr="0044084B">
        <w:rPr>
          <w:sz w:val="21"/>
          <w:szCs w:val="21"/>
        </w:rPr>
        <w:t xml:space="preserve">in the health and supplements industries. </w:t>
      </w:r>
    </w:p>
    <w:p w14:paraId="6C907C23" w14:textId="46E1D389" w:rsidR="0044084B" w:rsidRDefault="00980A60" w:rsidP="009D3124">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rFonts w:cs="Arial"/>
          <w:iCs/>
          <w:sz w:val="21"/>
          <w:szCs w:val="21"/>
        </w:rPr>
      </w:pPr>
      <w:r w:rsidRPr="0044084B">
        <w:rPr>
          <w:sz w:val="21"/>
          <w:szCs w:val="21"/>
        </w:rPr>
        <w:t>The ECP’s Enabling Skills activity will pilot a range of training models that have the potential to improve access to skills and learning for persons with a disability. In particul</w:t>
      </w:r>
      <w:r w:rsidR="00E81C75">
        <w:rPr>
          <w:sz w:val="21"/>
          <w:szCs w:val="21"/>
        </w:rPr>
        <w:t>a</w:t>
      </w:r>
      <w:r w:rsidRPr="0044084B">
        <w:rPr>
          <w:sz w:val="21"/>
          <w:szCs w:val="21"/>
        </w:rPr>
        <w:t>r, online learning and online skills can bring greater opportunities for disabil</w:t>
      </w:r>
      <w:r w:rsidR="00E81C75">
        <w:rPr>
          <w:sz w:val="21"/>
          <w:szCs w:val="21"/>
        </w:rPr>
        <w:t>i</w:t>
      </w:r>
      <w:r w:rsidRPr="0044084B">
        <w:rPr>
          <w:sz w:val="21"/>
          <w:szCs w:val="21"/>
        </w:rPr>
        <w:t xml:space="preserve">ty inclusion. </w:t>
      </w:r>
      <w:r w:rsidR="0044084B" w:rsidRPr="0044084B">
        <w:rPr>
          <w:sz w:val="21"/>
          <w:szCs w:val="21"/>
        </w:rPr>
        <w:t xml:space="preserve">Disability groups will be engaged in the development of training programs with industry. </w:t>
      </w:r>
    </w:p>
    <w:p w14:paraId="71ED4F07" w14:textId="0E1ECB03" w:rsidR="00CE3294" w:rsidRPr="009C750B" w:rsidRDefault="00980A60" w:rsidP="00CE3294">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rFonts w:cs="Arial"/>
          <w:iCs/>
          <w:sz w:val="21"/>
          <w:szCs w:val="21"/>
        </w:rPr>
      </w:pPr>
      <w:r w:rsidRPr="0044084B">
        <w:rPr>
          <w:sz w:val="21"/>
          <w:szCs w:val="21"/>
        </w:rPr>
        <w:t>Business dialogue, training and industry events will seek to include organisations and representative groups from the disability sector. For instance, the Grains Partnership and Advanced Manufacturing Industry Forum will work with organisations that represent people living with disabilities</w:t>
      </w:r>
      <w:r w:rsidR="00EB13EB">
        <w:rPr>
          <w:sz w:val="21"/>
          <w:szCs w:val="21"/>
        </w:rPr>
        <w:t xml:space="preserve"> and their </w:t>
      </w:r>
      <w:proofErr w:type="spellStart"/>
      <w:r w:rsidR="00EB13EB">
        <w:rPr>
          <w:sz w:val="21"/>
          <w:szCs w:val="21"/>
        </w:rPr>
        <w:t>carers</w:t>
      </w:r>
      <w:proofErr w:type="spellEnd"/>
      <w:r w:rsidRPr="0044084B">
        <w:rPr>
          <w:sz w:val="21"/>
          <w:szCs w:val="21"/>
        </w:rPr>
        <w:t>, to explore opportunities for their participation.</w:t>
      </w:r>
    </w:p>
    <w:p w14:paraId="6EC759A5" w14:textId="1A94DED0" w:rsidR="006F116F" w:rsidRPr="00C27542" w:rsidRDefault="006F116F" w:rsidP="009D5CCA">
      <w:pPr>
        <w:spacing w:after="0"/>
        <w:rPr>
          <w:b/>
          <w:i/>
        </w:rPr>
      </w:pPr>
      <w:r w:rsidRPr="00C27542">
        <w:rPr>
          <w:b/>
          <w:i/>
        </w:rPr>
        <w:t>Private Sector</w:t>
      </w:r>
      <w:r w:rsidR="005C58C0">
        <w:rPr>
          <w:b/>
          <w:i/>
        </w:rPr>
        <w:t xml:space="preserve"> Engagement</w:t>
      </w:r>
    </w:p>
    <w:p w14:paraId="32CC97B9" w14:textId="7893FE09" w:rsidR="009D3FF1" w:rsidRDefault="009D3FF1" w:rsidP="00475BF4">
      <w:pPr>
        <w:tabs>
          <w:tab w:val="left" w:pos="284"/>
        </w:tabs>
        <w:suppressAutoHyphens w:val="0"/>
        <w:spacing w:after="0"/>
        <w:jc w:val="both"/>
        <w:rPr>
          <w:sz w:val="21"/>
          <w:szCs w:val="21"/>
        </w:rPr>
      </w:pPr>
      <w:r>
        <w:rPr>
          <w:sz w:val="21"/>
          <w:szCs w:val="21"/>
        </w:rPr>
        <w:lastRenderedPageBreak/>
        <w:t xml:space="preserve">Private sector engagement is central to the design, delivery model and outcomes of the </w:t>
      </w:r>
      <w:r w:rsidR="00C33433">
        <w:rPr>
          <w:sz w:val="21"/>
          <w:szCs w:val="21"/>
        </w:rPr>
        <w:t>Collaborative Hub</w:t>
      </w:r>
      <w:r>
        <w:rPr>
          <w:sz w:val="21"/>
          <w:szCs w:val="21"/>
        </w:rPr>
        <w:t>. Extensive private sector consultations have confirmed the strong interest from Australian and Indonesian businesses to be involved and support the goals of IA-CEPA ECP</w:t>
      </w:r>
      <w:r w:rsidR="006035DB">
        <w:rPr>
          <w:sz w:val="21"/>
          <w:szCs w:val="21"/>
        </w:rPr>
        <w:t xml:space="preserve">, including the activities proposed for the first annual </w:t>
      </w:r>
      <w:proofErr w:type="spellStart"/>
      <w:r w:rsidR="006035DB">
        <w:rPr>
          <w:sz w:val="21"/>
          <w:szCs w:val="21"/>
        </w:rPr>
        <w:t>workplan</w:t>
      </w:r>
      <w:proofErr w:type="spellEnd"/>
      <w:r>
        <w:rPr>
          <w:sz w:val="21"/>
          <w:szCs w:val="21"/>
        </w:rPr>
        <w:t xml:space="preserve">. Private sector development and engagement is central to all activities proposed for the ECP: </w:t>
      </w:r>
    </w:p>
    <w:p w14:paraId="4EBE01EF" w14:textId="77777777" w:rsidR="009D3FF1" w:rsidRDefault="00B53ADD" w:rsidP="009D3124">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sz w:val="21"/>
          <w:szCs w:val="21"/>
        </w:rPr>
      </w:pPr>
      <w:r w:rsidRPr="005819F4">
        <w:rPr>
          <w:sz w:val="21"/>
          <w:szCs w:val="21"/>
        </w:rPr>
        <w:t>The ECP</w:t>
      </w:r>
      <w:r w:rsidR="009D3FF1">
        <w:rPr>
          <w:sz w:val="21"/>
          <w:szCs w:val="21"/>
        </w:rPr>
        <w:t xml:space="preserve">’s core activity to support the implementation of IA-CEPA will involve extensive private sector engagement through research, socialisation, and monitoring and evaluating of IA-CEPA implementation. </w:t>
      </w:r>
    </w:p>
    <w:p w14:paraId="4A7EC9CD" w14:textId="2AF3731B" w:rsidR="00944961" w:rsidRDefault="00DA1653" w:rsidP="009D3124">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sz w:val="21"/>
          <w:szCs w:val="21"/>
        </w:rPr>
      </w:pPr>
      <w:r>
        <w:rPr>
          <w:sz w:val="21"/>
          <w:szCs w:val="21"/>
        </w:rPr>
        <w:t>B</w:t>
      </w:r>
      <w:r w:rsidRPr="005819F4">
        <w:rPr>
          <w:sz w:val="21"/>
          <w:szCs w:val="21"/>
        </w:rPr>
        <w:t>usiness dialogue</w:t>
      </w:r>
      <w:r>
        <w:rPr>
          <w:sz w:val="21"/>
          <w:szCs w:val="21"/>
        </w:rPr>
        <w:t>s,</w:t>
      </w:r>
      <w:r w:rsidRPr="005819F4">
        <w:rPr>
          <w:sz w:val="21"/>
          <w:szCs w:val="21"/>
        </w:rPr>
        <w:t xml:space="preserve"> workshops and seminars </w:t>
      </w:r>
      <w:r>
        <w:rPr>
          <w:sz w:val="21"/>
          <w:szCs w:val="21"/>
        </w:rPr>
        <w:t xml:space="preserve">will be held to promote IA-CEPA </w:t>
      </w:r>
      <w:r w:rsidRPr="005819F4">
        <w:rPr>
          <w:sz w:val="21"/>
          <w:szCs w:val="21"/>
        </w:rPr>
        <w:t>outcomes and opportunities</w:t>
      </w:r>
      <w:r>
        <w:rPr>
          <w:sz w:val="21"/>
          <w:szCs w:val="21"/>
        </w:rPr>
        <w:t xml:space="preserve"> including in through the </w:t>
      </w:r>
      <w:proofErr w:type="spellStart"/>
      <w:r>
        <w:rPr>
          <w:sz w:val="21"/>
          <w:szCs w:val="21"/>
        </w:rPr>
        <w:t>Agrifood</w:t>
      </w:r>
      <w:proofErr w:type="spellEnd"/>
      <w:r>
        <w:rPr>
          <w:sz w:val="21"/>
          <w:szCs w:val="21"/>
        </w:rPr>
        <w:t xml:space="preserve"> </w:t>
      </w:r>
      <w:r w:rsidR="003B726C">
        <w:rPr>
          <w:sz w:val="21"/>
          <w:szCs w:val="21"/>
        </w:rPr>
        <w:t>Innovation P</w:t>
      </w:r>
      <w:r>
        <w:rPr>
          <w:sz w:val="21"/>
          <w:szCs w:val="21"/>
        </w:rPr>
        <w:t xml:space="preserve">artnerships, </w:t>
      </w:r>
      <w:r w:rsidR="00EB13EB">
        <w:rPr>
          <w:sz w:val="21"/>
          <w:szCs w:val="21"/>
        </w:rPr>
        <w:t xml:space="preserve">an </w:t>
      </w:r>
      <w:r>
        <w:rPr>
          <w:sz w:val="21"/>
          <w:szCs w:val="21"/>
        </w:rPr>
        <w:t xml:space="preserve">Advanced Manufacturing Forum and Industry </w:t>
      </w:r>
      <w:r w:rsidR="00087429">
        <w:rPr>
          <w:sz w:val="21"/>
          <w:szCs w:val="21"/>
        </w:rPr>
        <w:t xml:space="preserve">Skills Clearinghouses </w:t>
      </w:r>
      <w:r>
        <w:rPr>
          <w:sz w:val="21"/>
          <w:szCs w:val="21"/>
        </w:rPr>
        <w:t>for skills development.  These dial</w:t>
      </w:r>
      <w:r w:rsidR="00E81C75">
        <w:rPr>
          <w:sz w:val="21"/>
          <w:szCs w:val="21"/>
        </w:rPr>
        <w:t>o</w:t>
      </w:r>
      <w:r>
        <w:rPr>
          <w:sz w:val="21"/>
          <w:szCs w:val="21"/>
        </w:rPr>
        <w:t>gues will go beyond traditional stakeholders to include</w:t>
      </w:r>
      <w:r w:rsidRPr="005819F4">
        <w:rPr>
          <w:sz w:val="21"/>
          <w:szCs w:val="21"/>
        </w:rPr>
        <w:t xml:space="preserve"> female and young entrepreneur groups, to broaden industry awareness. </w:t>
      </w:r>
    </w:p>
    <w:p w14:paraId="110E715F" w14:textId="7F72F2C9" w:rsidR="00DA1653" w:rsidRPr="00DA1653" w:rsidRDefault="00944961" w:rsidP="009D3124">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sz w:val="21"/>
          <w:szCs w:val="21"/>
        </w:rPr>
      </w:pPr>
      <w:r>
        <w:rPr>
          <w:sz w:val="21"/>
          <w:szCs w:val="21"/>
        </w:rPr>
        <w:t xml:space="preserve">The ECP will dedicate funding for </w:t>
      </w:r>
      <w:r w:rsidRPr="00944961">
        <w:rPr>
          <w:b/>
          <w:sz w:val="21"/>
          <w:szCs w:val="21"/>
        </w:rPr>
        <w:t>effective and measurable industry engagement</w:t>
      </w:r>
      <w:r>
        <w:rPr>
          <w:sz w:val="21"/>
          <w:szCs w:val="21"/>
        </w:rPr>
        <w:t>. The proposed budget for the ‘core business’ of the ECP includes funding for a dedicated ‘Industry Engagement Advisory Group’. This group, facilitated through the Collaborative Hub, will have two objectives: (</w:t>
      </w:r>
      <w:proofErr w:type="spellStart"/>
      <w:r>
        <w:rPr>
          <w:sz w:val="21"/>
          <w:szCs w:val="21"/>
        </w:rPr>
        <w:t>i</w:t>
      </w:r>
      <w:proofErr w:type="spellEnd"/>
      <w:r>
        <w:rPr>
          <w:sz w:val="21"/>
          <w:szCs w:val="21"/>
        </w:rPr>
        <w:t xml:space="preserve">) assist the Collaborative Hub to raise interest, and to increase awareness and engagement with industry groups and firms </w:t>
      </w:r>
      <w:r w:rsidR="00501AB3">
        <w:rPr>
          <w:sz w:val="21"/>
          <w:szCs w:val="21"/>
        </w:rPr>
        <w:t>(wi</w:t>
      </w:r>
      <w:r w:rsidR="00976C25">
        <w:rPr>
          <w:sz w:val="21"/>
          <w:szCs w:val="21"/>
        </w:rPr>
        <w:t xml:space="preserve">th a particular focus on MSMEs) </w:t>
      </w:r>
      <w:r>
        <w:rPr>
          <w:sz w:val="21"/>
          <w:szCs w:val="21"/>
        </w:rPr>
        <w:t xml:space="preserve">in the sectoral activities of the ECP, and (ii) work with industry groups and firms in the mobilisation of resources (cash or in-kind) for non-ODA components of ECP activities. The Collaborative Hub will set measurable targets for these objectives </w:t>
      </w:r>
      <w:r w:rsidR="00501AB3">
        <w:rPr>
          <w:sz w:val="21"/>
          <w:szCs w:val="21"/>
        </w:rPr>
        <w:t xml:space="preserve">(including on inclusion of MSMEs) </w:t>
      </w:r>
      <w:r>
        <w:rPr>
          <w:sz w:val="21"/>
          <w:szCs w:val="21"/>
        </w:rPr>
        <w:t xml:space="preserve">when determining the membership of the Industry Engagement Advisory Group, in consultation with the ECC. </w:t>
      </w:r>
    </w:p>
    <w:p w14:paraId="1028C1B4" w14:textId="1A2FBA41" w:rsidR="00DA1653" w:rsidRDefault="009D3FF1" w:rsidP="009D3124">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sz w:val="21"/>
          <w:szCs w:val="21"/>
        </w:rPr>
      </w:pPr>
      <w:r>
        <w:rPr>
          <w:sz w:val="21"/>
          <w:szCs w:val="21"/>
        </w:rPr>
        <w:t>IA</w:t>
      </w:r>
      <w:r w:rsidR="00B53ADD" w:rsidRPr="005819F4">
        <w:rPr>
          <w:sz w:val="21"/>
          <w:szCs w:val="21"/>
        </w:rPr>
        <w:t>-CEPA localisation</w:t>
      </w:r>
      <w:r>
        <w:rPr>
          <w:sz w:val="21"/>
          <w:szCs w:val="21"/>
        </w:rPr>
        <w:t xml:space="preserve"> activities will also support </w:t>
      </w:r>
      <w:r w:rsidR="00B53ADD" w:rsidRPr="005819F4">
        <w:rPr>
          <w:sz w:val="21"/>
          <w:szCs w:val="21"/>
        </w:rPr>
        <w:t>opportunities for provincial economies,</w:t>
      </w:r>
      <w:r>
        <w:rPr>
          <w:sz w:val="21"/>
          <w:szCs w:val="21"/>
        </w:rPr>
        <w:t xml:space="preserve"> with</w:t>
      </w:r>
      <w:r w:rsidR="00B53ADD" w:rsidRPr="005819F4">
        <w:rPr>
          <w:sz w:val="21"/>
          <w:szCs w:val="21"/>
        </w:rPr>
        <w:t xml:space="preserve"> fact sheets and in</w:t>
      </w:r>
      <w:r>
        <w:rPr>
          <w:sz w:val="21"/>
          <w:szCs w:val="21"/>
        </w:rPr>
        <w:t xml:space="preserve">formation sessions facilitated for local businesses, </w:t>
      </w:r>
      <w:r w:rsidR="00DA1653">
        <w:rPr>
          <w:sz w:val="21"/>
          <w:szCs w:val="21"/>
        </w:rPr>
        <w:t xml:space="preserve">chambers of commerce and interest groups, </w:t>
      </w:r>
      <w:r w:rsidR="00B53ADD" w:rsidRPr="005819F4">
        <w:rPr>
          <w:sz w:val="21"/>
          <w:szCs w:val="21"/>
        </w:rPr>
        <w:t xml:space="preserve">commencing in markets where Australia’s Consul-Generals are located. </w:t>
      </w:r>
      <w:r w:rsidR="00DA1653">
        <w:rPr>
          <w:sz w:val="21"/>
          <w:szCs w:val="21"/>
        </w:rPr>
        <w:t xml:space="preserve">The </w:t>
      </w:r>
      <w:r w:rsidR="00C33433">
        <w:rPr>
          <w:sz w:val="21"/>
          <w:szCs w:val="21"/>
        </w:rPr>
        <w:t>Collaborative Hub</w:t>
      </w:r>
      <w:r w:rsidR="00DA1653">
        <w:rPr>
          <w:sz w:val="21"/>
          <w:szCs w:val="21"/>
        </w:rPr>
        <w:t xml:space="preserve"> will look to work with e</w:t>
      </w:r>
      <w:r w:rsidR="00280A40" w:rsidRPr="00DA1653">
        <w:rPr>
          <w:sz w:val="21"/>
          <w:szCs w:val="21"/>
        </w:rPr>
        <w:t>xisting networks, such as the Australia-Indonesia Centre’s PAIR program</w:t>
      </w:r>
      <w:r w:rsidR="00DA1653">
        <w:rPr>
          <w:sz w:val="21"/>
          <w:szCs w:val="21"/>
        </w:rPr>
        <w:t>, for these activities.</w:t>
      </w:r>
    </w:p>
    <w:p w14:paraId="59D077ED" w14:textId="2837EE22" w:rsidR="00DA1653" w:rsidRDefault="00740DBF" w:rsidP="009D3124">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sz w:val="21"/>
          <w:szCs w:val="21"/>
        </w:rPr>
      </w:pPr>
      <w:r w:rsidRPr="00DA1653">
        <w:rPr>
          <w:sz w:val="21"/>
          <w:szCs w:val="21"/>
        </w:rPr>
        <w:t>There is significant potential to expand two-way trade and for value-added processing of agricultural products in Indonesia for export to third country markets.</w:t>
      </w:r>
      <w:r w:rsidR="00DA1653" w:rsidRPr="00DA1653">
        <w:rPr>
          <w:sz w:val="21"/>
          <w:szCs w:val="21"/>
        </w:rPr>
        <w:t xml:space="preserve"> The proposed </w:t>
      </w:r>
      <w:proofErr w:type="spellStart"/>
      <w:r w:rsidR="00DA1653" w:rsidRPr="00DA1653">
        <w:rPr>
          <w:sz w:val="21"/>
          <w:szCs w:val="21"/>
        </w:rPr>
        <w:t>Agrifood</w:t>
      </w:r>
      <w:proofErr w:type="spellEnd"/>
      <w:r w:rsidR="00DA1653" w:rsidRPr="00DA1653">
        <w:rPr>
          <w:sz w:val="21"/>
          <w:szCs w:val="21"/>
        </w:rPr>
        <w:t xml:space="preserve"> </w:t>
      </w:r>
      <w:r w:rsidR="003B726C">
        <w:rPr>
          <w:sz w:val="21"/>
          <w:szCs w:val="21"/>
        </w:rPr>
        <w:t xml:space="preserve">Innovation </w:t>
      </w:r>
      <w:r w:rsidR="00DA1653" w:rsidRPr="00DA1653">
        <w:rPr>
          <w:sz w:val="21"/>
          <w:szCs w:val="21"/>
        </w:rPr>
        <w:t xml:space="preserve">Partnerships will be industry led, such as the initial Grains </w:t>
      </w:r>
      <w:r w:rsidR="00375C7F">
        <w:rPr>
          <w:sz w:val="21"/>
          <w:szCs w:val="21"/>
        </w:rPr>
        <w:t>P</w:t>
      </w:r>
      <w:r w:rsidR="00DA1653" w:rsidRPr="00DA1653">
        <w:rPr>
          <w:sz w:val="21"/>
          <w:szCs w:val="21"/>
        </w:rPr>
        <w:t>artnership</w:t>
      </w:r>
      <w:r w:rsidR="00EC79AE">
        <w:rPr>
          <w:sz w:val="21"/>
          <w:szCs w:val="21"/>
        </w:rPr>
        <w:t xml:space="preserve"> and subsequent partnerships</w:t>
      </w:r>
      <w:r w:rsidR="00DA1653" w:rsidRPr="00DA1653">
        <w:rPr>
          <w:sz w:val="21"/>
          <w:szCs w:val="21"/>
        </w:rPr>
        <w:t xml:space="preserve">, and depend on deep private sector engagement and leadership. </w:t>
      </w:r>
      <w:r w:rsidR="00DA1653">
        <w:rPr>
          <w:sz w:val="21"/>
          <w:szCs w:val="21"/>
        </w:rPr>
        <w:t>The</w:t>
      </w:r>
      <w:r w:rsidRPr="00DA1653">
        <w:rPr>
          <w:sz w:val="21"/>
          <w:szCs w:val="21"/>
        </w:rPr>
        <w:t xml:space="preserve"> </w:t>
      </w:r>
      <w:proofErr w:type="spellStart"/>
      <w:r w:rsidR="003B726C">
        <w:rPr>
          <w:sz w:val="21"/>
          <w:szCs w:val="21"/>
        </w:rPr>
        <w:t>A</w:t>
      </w:r>
      <w:r w:rsidRPr="00DA1653">
        <w:rPr>
          <w:sz w:val="21"/>
          <w:szCs w:val="21"/>
        </w:rPr>
        <w:t>grifood</w:t>
      </w:r>
      <w:proofErr w:type="spellEnd"/>
      <w:r w:rsidRPr="00DA1653">
        <w:rPr>
          <w:sz w:val="21"/>
          <w:szCs w:val="21"/>
        </w:rPr>
        <w:t xml:space="preserve"> </w:t>
      </w:r>
      <w:r w:rsidR="003B726C">
        <w:rPr>
          <w:sz w:val="21"/>
          <w:szCs w:val="21"/>
        </w:rPr>
        <w:t>Innovation P</w:t>
      </w:r>
      <w:r w:rsidRPr="00DA1653">
        <w:rPr>
          <w:sz w:val="21"/>
          <w:szCs w:val="21"/>
        </w:rPr>
        <w:t xml:space="preserve">artnerships will </w:t>
      </w:r>
      <w:r w:rsidR="00DA1653">
        <w:rPr>
          <w:sz w:val="21"/>
          <w:szCs w:val="21"/>
        </w:rPr>
        <w:t xml:space="preserve">support </w:t>
      </w:r>
      <w:r w:rsidRPr="00DA1653">
        <w:rPr>
          <w:sz w:val="21"/>
          <w:szCs w:val="21"/>
        </w:rPr>
        <w:t>more resilient industries, with increased trade and investment based on deeper relationships, knowledge and technical skills across value chains.</w:t>
      </w:r>
    </w:p>
    <w:p w14:paraId="42BEC3F1" w14:textId="290C6126" w:rsidR="00DA1653" w:rsidRDefault="00DA1653" w:rsidP="009D3124">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sz w:val="21"/>
          <w:szCs w:val="21"/>
        </w:rPr>
      </w:pPr>
      <w:r>
        <w:rPr>
          <w:sz w:val="21"/>
          <w:szCs w:val="21"/>
        </w:rPr>
        <w:t>In advanced manufacturing, the ECP will scope private sector compl</w:t>
      </w:r>
      <w:r w:rsidR="00E81C75">
        <w:rPr>
          <w:sz w:val="21"/>
          <w:szCs w:val="21"/>
        </w:rPr>
        <w:t>e</w:t>
      </w:r>
      <w:r>
        <w:rPr>
          <w:sz w:val="21"/>
          <w:szCs w:val="21"/>
        </w:rPr>
        <w:t>mentarities, including exploring an early opportunity to support Indonesia’s plans for an electric vehicle through Australia’s comparative advantage in precis</w:t>
      </w:r>
      <w:r w:rsidR="00B04ED1">
        <w:rPr>
          <w:sz w:val="21"/>
          <w:szCs w:val="21"/>
        </w:rPr>
        <w:t>ion</w:t>
      </w:r>
      <w:r>
        <w:rPr>
          <w:sz w:val="21"/>
          <w:szCs w:val="21"/>
        </w:rPr>
        <w:t xml:space="preserve"> engineering and lithium batter</w:t>
      </w:r>
      <w:r w:rsidR="003D73E6">
        <w:rPr>
          <w:sz w:val="21"/>
          <w:szCs w:val="21"/>
        </w:rPr>
        <w:t>y inputs</w:t>
      </w:r>
      <w:r>
        <w:rPr>
          <w:sz w:val="21"/>
          <w:szCs w:val="21"/>
        </w:rPr>
        <w:t xml:space="preserve">. </w:t>
      </w:r>
      <w:r w:rsidR="0089115F" w:rsidRPr="00DA1653">
        <w:rPr>
          <w:sz w:val="21"/>
          <w:szCs w:val="21"/>
        </w:rPr>
        <w:t xml:space="preserve">A range of private sector providers will be engaged to support advanced manufacturing. Toyota, </w:t>
      </w:r>
      <w:r w:rsidR="00302D1E">
        <w:rPr>
          <w:sz w:val="21"/>
          <w:szCs w:val="21"/>
        </w:rPr>
        <w:t xml:space="preserve">which </w:t>
      </w:r>
      <w:r w:rsidR="0089115F" w:rsidRPr="00DA1653">
        <w:rPr>
          <w:sz w:val="21"/>
          <w:szCs w:val="21"/>
        </w:rPr>
        <w:t>is working in partnership with the Governments of Indonesia and Japan to design an electric vehicle, has expressed interest in working with Australian manufacturers.</w:t>
      </w:r>
      <w:r>
        <w:rPr>
          <w:sz w:val="21"/>
          <w:szCs w:val="21"/>
        </w:rPr>
        <w:t xml:space="preserve"> A dialogue will also be</w:t>
      </w:r>
      <w:r w:rsidR="0089115F" w:rsidRPr="00DA1653">
        <w:rPr>
          <w:sz w:val="21"/>
          <w:szCs w:val="21"/>
        </w:rPr>
        <w:t xml:space="preserve"> convened drawing tog</w:t>
      </w:r>
      <w:r w:rsidR="00BE2A06">
        <w:rPr>
          <w:sz w:val="21"/>
          <w:szCs w:val="21"/>
        </w:rPr>
        <w:t>ether government,</w:t>
      </w:r>
      <w:r w:rsidR="0089115F" w:rsidRPr="00DA1653">
        <w:rPr>
          <w:sz w:val="21"/>
          <w:szCs w:val="21"/>
        </w:rPr>
        <w:t xml:space="preserve"> and </w:t>
      </w:r>
      <w:r w:rsidR="00D62015">
        <w:rPr>
          <w:sz w:val="21"/>
          <w:szCs w:val="21"/>
        </w:rPr>
        <w:t xml:space="preserve">the </w:t>
      </w:r>
      <w:r w:rsidR="0089115F" w:rsidRPr="00DA1653">
        <w:rPr>
          <w:sz w:val="21"/>
          <w:szCs w:val="21"/>
        </w:rPr>
        <w:t>Indonesian and Australian manufacturing sector. The dialogue will bring the private sector together to share experiences in manufacturing, identify needs and opportunities and navigate barriers to partnership, trade and investment. It is proposed that the Advanced Manufacturing Growth Centre (AMGC) be engaged to support the dialogue, given their existing networks and experience driving growth in advanced manufacturing. Indonesian Industry associations would also be engaged in the dialogue.</w:t>
      </w:r>
      <w:r w:rsidR="00C5596E">
        <w:rPr>
          <w:sz w:val="21"/>
          <w:szCs w:val="21"/>
        </w:rPr>
        <w:t xml:space="preserve"> Dialogue will be </w:t>
      </w:r>
      <w:r w:rsidR="003D73E6">
        <w:rPr>
          <w:sz w:val="21"/>
          <w:szCs w:val="21"/>
        </w:rPr>
        <w:t>coordinated</w:t>
      </w:r>
      <w:r w:rsidR="00C5596E">
        <w:rPr>
          <w:sz w:val="21"/>
          <w:szCs w:val="21"/>
        </w:rPr>
        <w:t xml:space="preserve"> with business delegations or major trade events.</w:t>
      </w:r>
      <w:r w:rsidR="0089115F" w:rsidRPr="00DA1653">
        <w:rPr>
          <w:sz w:val="21"/>
          <w:szCs w:val="21"/>
        </w:rPr>
        <w:t xml:space="preserve"> </w:t>
      </w:r>
    </w:p>
    <w:p w14:paraId="3B38557E" w14:textId="77777777" w:rsidR="00C805FD" w:rsidRDefault="00C805FD" w:rsidP="00C805FD">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sz w:val="21"/>
          <w:szCs w:val="21"/>
        </w:rPr>
      </w:pPr>
      <w:r w:rsidRPr="00DA1653">
        <w:rPr>
          <w:sz w:val="21"/>
          <w:szCs w:val="21"/>
        </w:rPr>
        <w:t xml:space="preserve">Standards Australia will be engaged to update the 2015 Standards Report, developed and delivered in collaboration with BSN. </w:t>
      </w:r>
      <w:r w:rsidRPr="00645951">
        <w:rPr>
          <w:rFonts w:cstheme="majorHAnsi"/>
          <w:iCs/>
          <w:sz w:val="21"/>
          <w:szCs w:val="21"/>
        </w:rPr>
        <w:t>This work will involve overarching research, consultations</w:t>
      </w:r>
      <w:r>
        <w:rPr>
          <w:rFonts w:cstheme="majorHAnsi"/>
          <w:iCs/>
          <w:sz w:val="21"/>
          <w:szCs w:val="21"/>
        </w:rPr>
        <w:t xml:space="preserve">, standards/conformance infrastructure mapping </w:t>
      </w:r>
      <w:r w:rsidRPr="00645951">
        <w:rPr>
          <w:rFonts w:cstheme="majorHAnsi"/>
          <w:iCs/>
          <w:sz w:val="21"/>
          <w:szCs w:val="21"/>
        </w:rPr>
        <w:t xml:space="preserve">and capacity building to strengthen the standards </w:t>
      </w:r>
      <w:r>
        <w:rPr>
          <w:rFonts w:cstheme="majorHAnsi"/>
          <w:sz w:val="20"/>
          <w:szCs w:val="21"/>
        </w:rPr>
        <w:t xml:space="preserve">and conformance </w:t>
      </w:r>
      <w:r w:rsidRPr="00645951">
        <w:rPr>
          <w:rFonts w:cstheme="majorHAnsi"/>
          <w:iCs/>
          <w:sz w:val="21"/>
          <w:szCs w:val="21"/>
        </w:rPr>
        <w:t xml:space="preserve">ecosystem in Indonesia for advanced manufacturing. </w:t>
      </w:r>
      <w:r>
        <w:rPr>
          <w:sz w:val="21"/>
          <w:szCs w:val="21"/>
        </w:rPr>
        <w:t xml:space="preserve">This work is an important enabler for private sector development, trade and investment and deeper partnerships between Australia and Indonesia. </w:t>
      </w:r>
    </w:p>
    <w:p w14:paraId="2523306C" w14:textId="77800914" w:rsidR="005819F4" w:rsidRPr="005357B1" w:rsidRDefault="005819F4" w:rsidP="009D3124">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rPr>
          <w:sz w:val="21"/>
          <w:szCs w:val="21"/>
        </w:rPr>
      </w:pPr>
      <w:r w:rsidRPr="005357B1">
        <w:rPr>
          <w:sz w:val="21"/>
          <w:szCs w:val="21"/>
        </w:rPr>
        <w:t>The ECP will support greater partnership in technical vocational education and training (TVET) between Indonesian industry and Australian TVET providers. The activity will connect Indonesian employers to high quality skills and training, addressing a major constraint to growth and productivity in Indonesia.  This activity will contribute to the goal of increasing productivity and innovation in Indonesia through skil</w:t>
      </w:r>
      <w:r w:rsidR="005357B1">
        <w:rPr>
          <w:sz w:val="21"/>
          <w:szCs w:val="21"/>
        </w:rPr>
        <w:t xml:space="preserve">ls development of the workforce, being critical to private sector development in Indonesia.  </w:t>
      </w:r>
      <w:r w:rsidRPr="005357B1">
        <w:rPr>
          <w:sz w:val="21"/>
          <w:szCs w:val="21"/>
        </w:rPr>
        <w:t>Th</w:t>
      </w:r>
      <w:r w:rsidR="005357B1">
        <w:rPr>
          <w:sz w:val="21"/>
          <w:szCs w:val="21"/>
        </w:rPr>
        <w:t>e Australian Government has</w:t>
      </w:r>
      <w:r w:rsidRPr="005357B1">
        <w:rPr>
          <w:sz w:val="21"/>
          <w:szCs w:val="21"/>
        </w:rPr>
        <w:t xml:space="preserve"> committed to position Australia as a world leader in delivering quality vocational education and training (VET), with the launch of the VET International Engagement Strategy 2025.</w:t>
      </w:r>
      <w:r w:rsidRPr="004037BC">
        <w:rPr>
          <w:rStyle w:val="Style"/>
        </w:rPr>
        <w:footnoteReference w:id="32"/>
      </w:r>
      <w:r w:rsidR="005357B1">
        <w:rPr>
          <w:sz w:val="21"/>
          <w:szCs w:val="21"/>
        </w:rPr>
        <w:t xml:space="preserve"> The ECP will seek to build on this strategy in partnership with groups such as the Australia-Indonesia Centre to support Australia and Indonesia’s mutual interest in a thriving market for quality skills and training. </w:t>
      </w:r>
    </w:p>
    <w:p w14:paraId="0114BBC0" w14:textId="1CEB518D" w:rsidR="0010542F" w:rsidRDefault="005357B1" w:rsidP="009D3124">
      <w:pPr>
        <w:pStyle w:val="ListParagraph"/>
        <w:widowControl w:val="0"/>
        <w:numPr>
          <w:ilvl w:val="0"/>
          <w:numId w:val="2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207"/>
        <w:jc w:val="both"/>
      </w:pPr>
      <w:r>
        <w:rPr>
          <w:sz w:val="21"/>
          <w:szCs w:val="21"/>
        </w:rPr>
        <w:lastRenderedPageBreak/>
        <w:t xml:space="preserve">The private sector will also contribute to the ECP through financial and in-kind contributions. Industry groups, such as the </w:t>
      </w:r>
      <w:r w:rsidR="007A5BF2">
        <w:rPr>
          <w:sz w:val="21"/>
          <w:szCs w:val="21"/>
        </w:rPr>
        <w:t>g</w:t>
      </w:r>
      <w:r>
        <w:rPr>
          <w:sz w:val="21"/>
          <w:szCs w:val="21"/>
        </w:rPr>
        <w:t>rains industry, have already commi</w:t>
      </w:r>
      <w:r w:rsidR="00E81C75">
        <w:rPr>
          <w:sz w:val="21"/>
          <w:szCs w:val="21"/>
        </w:rPr>
        <w:t>t</w:t>
      </w:r>
      <w:r>
        <w:rPr>
          <w:sz w:val="21"/>
          <w:szCs w:val="21"/>
        </w:rPr>
        <w:t xml:space="preserve">ted significant funding to support closer economic partnership with Indonesia. Similarly, private sector support will be sought for other activities such as the training courses and programs with Australia’s Registered Training Organisations (RTOs). </w:t>
      </w:r>
      <w:r w:rsidR="001D5BE3">
        <w:rPr>
          <w:sz w:val="21"/>
          <w:szCs w:val="21"/>
        </w:rPr>
        <w:t xml:space="preserve"> </w:t>
      </w:r>
      <w:r w:rsidR="001D5BE3" w:rsidRPr="001D5BE3">
        <w:rPr>
          <w:rFonts w:eastAsia="Times New Roman" w:cs="Arial"/>
          <w:sz w:val="21"/>
          <w:szCs w:val="21"/>
          <w:lang w:val="en-AU" w:eastAsia="en-AU"/>
        </w:rPr>
        <w:t>A number of activities involve the promotion of market access and investment in priority sectors, with significant potential to generate economic returns and growth. The design incorporates commercialisation activities that have the potential to achieve a financial return and support the sustainability of this investment</w:t>
      </w:r>
      <w:r w:rsidR="001D5BE3">
        <w:rPr>
          <w:rFonts w:eastAsia="Times New Roman" w:cs="Arial"/>
          <w:sz w:val="21"/>
          <w:szCs w:val="21"/>
          <w:lang w:val="en-AU" w:eastAsia="en-AU"/>
        </w:rPr>
        <w:t>.</w:t>
      </w:r>
    </w:p>
    <w:p w14:paraId="1F6072FB" w14:textId="4B62FC8A" w:rsidR="006F116F" w:rsidRPr="00C27542" w:rsidRDefault="006F116F" w:rsidP="009D5CCA">
      <w:pPr>
        <w:spacing w:after="0"/>
        <w:rPr>
          <w:b/>
          <w:i/>
        </w:rPr>
      </w:pPr>
      <w:r w:rsidRPr="00C27542">
        <w:rPr>
          <w:b/>
          <w:i/>
        </w:rPr>
        <w:t>Innovation</w:t>
      </w:r>
    </w:p>
    <w:p w14:paraId="58C647A8" w14:textId="04B8C859" w:rsidR="00CE09E2" w:rsidRDefault="00CE09E2" w:rsidP="00475BF4">
      <w:pPr>
        <w:tabs>
          <w:tab w:val="left" w:pos="284"/>
        </w:tabs>
        <w:suppressAutoHyphens w:val="0"/>
        <w:spacing w:after="0"/>
        <w:jc w:val="both"/>
        <w:rPr>
          <w:rFonts w:eastAsia="Times New Roman" w:cs="Times New Roman"/>
          <w:sz w:val="21"/>
          <w:szCs w:val="24"/>
          <w:lang w:val="en-AU"/>
        </w:rPr>
      </w:pPr>
      <w:r>
        <w:rPr>
          <w:rFonts w:eastAsia="Times New Roman" w:cs="Times New Roman"/>
          <w:sz w:val="21"/>
          <w:szCs w:val="24"/>
          <w:lang w:val="en-AU"/>
        </w:rPr>
        <w:t xml:space="preserve">The ECP design has adopted a range of innovations to achieve program effectiveness, value for money and advance development practice. </w:t>
      </w:r>
    </w:p>
    <w:p w14:paraId="420417E9" w14:textId="0D407DD4" w:rsidR="0070586B" w:rsidRPr="0070586B" w:rsidRDefault="00CE09E2" w:rsidP="008C5DE0">
      <w:pPr>
        <w:suppressAutoHyphens w:val="0"/>
        <w:spacing w:after="120" w:line="240" w:lineRule="auto"/>
        <w:jc w:val="both"/>
        <w:rPr>
          <w:rFonts w:eastAsia="Times New Roman" w:cs="Times New Roman"/>
          <w:b/>
          <w:szCs w:val="24"/>
          <w:lang w:val="en-AU"/>
        </w:rPr>
      </w:pPr>
      <w:r>
        <w:rPr>
          <w:rFonts w:eastAsia="Times New Roman" w:cs="Times New Roman"/>
          <w:b/>
          <w:szCs w:val="24"/>
          <w:lang w:val="en-AU"/>
        </w:rPr>
        <w:t xml:space="preserve">An </w:t>
      </w:r>
      <w:r w:rsidR="0070586B" w:rsidRPr="0070586B">
        <w:rPr>
          <w:rFonts w:eastAsia="Times New Roman" w:cs="Times New Roman"/>
          <w:b/>
          <w:szCs w:val="24"/>
          <w:lang w:val="en-AU"/>
        </w:rPr>
        <w:t>innovative development model</w:t>
      </w:r>
      <w:r>
        <w:rPr>
          <w:rFonts w:eastAsia="Times New Roman" w:cs="Times New Roman"/>
          <w:b/>
          <w:szCs w:val="24"/>
          <w:lang w:val="en-AU"/>
        </w:rPr>
        <w:t xml:space="preserve"> </w:t>
      </w:r>
      <w:r w:rsidR="00976C25">
        <w:rPr>
          <w:rFonts w:eastAsia="Times New Roman" w:cs="Times New Roman"/>
          <w:b/>
          <w:szCs w:val="24"/>
          <w:lang w:val="en-AU"/>
        </w:rPr>
        <w:t>— f</w:t>
      </w:r>
      <w:r>
        <w:rPr>
          <w:rFonts w:eastAsia="Times New Roman" w:cs="Times New Roman"/>
          <w:b/>
          <w:szCs w:val="24"/>
          <w:lang w:val="en-AU"/>
        </w:rPr>
        <w:t xml:space="preserve">rom development partner to trusted partner </w:t>
      </w:r>
    </w:p>
    <w:p w14:paraId="13A0AC85" w14:textId="3C238780" w:rsidR="00CE09E2" w:rsidRDefault="00CE09E2" w:rsidP="00475BF4">
      <w:pPr>
        <w:suppressAutoHyphens w:val="0"/>
        <w:spacing w:after="120"/>
        <w:jc w:val="both"/>
        <w:rPr>
          <w:rFonts w:eastAsia="Times New Roman" w:cs="Times New Roman"/>
          <w:sz w:val="21"/>
          <w:szCs w:val="24"/>
          <w:lang w:val="en-AU"/>
        </w:rPr>
      </w:pPr>
      <w:r>
        <w:rPr>
          <w:rFonts w:eastAsia="Times New Roman" w:cs="Times New Roman"/>
          <w:sz w:val="21"/>
          <w:szCs w:val="24"/>
          <w:lang w:val="en-AU"/>
        </w:rPr>
        <w:t>Consistent with DFAT’s policy of advancing mutual interests and development outcomes, the ECP adopts a considered approach to supporting trade and investment, as a driver of private sector development, while aligning support to development outcomes including economic growth, social inclusion and skills development. Each investment is required to meet the criteria of advancing economic cooperation and aligning with Indonesia’s development needs</w:t>
      </w:r>
      <w:r w:rsidR="00EB13EB">
        <w:rPr>
          <w:rFonts w:eastAsia="Times New Roman" w:cs="Times New Roman"/>
          <w:sz w:val="21"/>
          <w:szCs w:val="24"/>
          <w:lang w:val="en-AU"/>
        </w:rPr>
        <w:t xml:space="preserve"> (where ODA funding is being used)</w:t>
      </w:r>
      <w:r>
        <w:rPr>
          <w:rFonts w:eastAsia="Times New Roman" w:cs="Times New Roman"/>
          <w:sz w:val="21"/>
          <w:szCs w:val="24"/>
          <w:lang w:val="en-AU"/>
        </w:rPr>
        <w:t xml:space="preserve">. </w:t>
      </w:r>
    </w:p>
    <w:p w14:paraId="232E4B1B" w14:textId="1A9CD7BF" w:rsidR="0070586B" w:rsidRDefault="00CE09E2" w:rsidP="00475BF4">
      <w:pPr>
        <w:suppressAutoHyphens w:val="0"/>
        <w:spacing w:after="120"/>
        <w:jc w:val="both"/>
        <w:rPr>
          <w:rFonts w:eastAsia="Times New Roman" w:cs="Times New Roman"/>
          <w:sz w:val="21"/>
          <w:szCs w:val="24"/>
          <w:lang w:val="en-AU"/>
        </w:rPr>
      </w:pPr>
      <w:r>
        <w:rPr>
          <w:rFonts w:eastAsia="Times New Roman" w:cs="Times New Roman"/>
          <w:sz w:val="21"/>
          <w:szCs w:val="24"/>
          <w:lang w:val="en-AU"/>
        </w:rPr>
        <w:t>Exampl</w:t>
      </w:r>
      <w:r w:rsidR="00E81C75">
        <w:rPr>
          <w:rFonts w:eastAsia="Times New Roman" w:cs="Times New Roman"/>
          <w:sz w:val="21"/>
          <w:szCs w:val="24"/>
          <w:lang w:val="en-AU"/>
        </w:rPr>
        <w:t>e</w:t>
      </w:r>
      <w:r>
        <w:rPr>
          <w:rFonts w:eastAsia="Times New Roman" w:cs="Times New Roman"/>
          <w:sz w:val="21"/>
          <w:szCs w:val="24"/>
          <w:lang w:val="en-AU"/>
        </w:rPr>
        <w:t>s of this include the prop</w:t>
      </w:r>
      <w:r w:rsidR="00D32EDD">
        <w:rPr>
          <w:rFonts w:eastAsia="Times New Roman" w:cs="Times New Roman"/>
          <w:sz w:val="21"/>
          <w:szCs w:val="24"/>
          <w:lang w:val="en-AU"/>
        </w:rPr>
        <w:t>o</w:t>
      </w:r>
      <w:r>
        <w:rPr>
          <w:rFonts w:eastAsia="Times New Roman" w:cs="Times New Roman"/>
          <w:sz w:val="21"/>
          <w:szCs w:val="24"/>
          <w:lang w:val="en-AU"/>
        </w:rPr>
        <w:t xml:space="preserve">sed Grains </w:t>
      </w:r>
      <w:r w:rsidR="001E46E9">
        <w:rPr>
          <w:rFonts w:eastAsia="Times New Roman" w:cs="Times New Roman"/>
          <w:sz w:val="21"/>
          <w:szCs w:val="24"/>
          <w:lang w:val="en-AU"/>
        </w:rPr>
        <w:t>Partnership</w:t>
      </w:r>
      <w:r>
        <w:rPr>
          <w:rFonts w:eastAsia="Times New Roman" w:cs="Times New Roman"/>
          <w:sz w:val="21"/>
          <w:szCs w:val="24"/>
          <w:lang w:val="en-AU"/>
        </w:rPr>
        <w:t xml:space="preserve">, which </w:t>
      </w:r>
      <w:r w:rsidR="0070586B" w:rsidRPr="0018508E">
        <w:rPr>
          <w:rFonts w:eastAsia="Times New Roman" w:cs="Times New Roman"/>
          <w:sz w:val="21"/>
          <w:szCs w:val="24"/>
          <w:lang w:val="en-AU"/>
        </w:rPr>
        <w:t>has the potential to support immediate trade opport</w:t>
      </w:r>
      <w:r>
        <w:rPr>
          <w:rFonts w:eastAsia="Times New Roman" w:cs="Times New Roman"/>
          <w:sz w:val="21"/>
          <w:szCs w:val="24"/>
          <w:lang w:val="en-AU"/>
        </w:rPr>
        <w:t>unities while also building</w:t>
      </w:r>
      <w:r w:rsidR="0070586B" w:rsidRPr="0018508E">
        <w:rPr>
          <w:rFonts w:eastAsia="Times New Roman" w:cs="Times New Roman"/>
          <w:sz w:val="21"/>
          <w:szCs w:val="24"/>
          <w:lang w:val="en-AU"/>
        </w:rPr>
        <w:t xml:space="preserve"> capabilities</w:t>
      </w:r>
      <w:r>
        <w:rPr>
          <w:rFonts w:eastAsia="Times New Roman" w:cs="Times New Roman"/>
          <w:sz w:val="21"/>
          <w:szCs w:val="24"/>
          <w:lang w:val="en-AU"/>
        </w:rPr>
        <w:t xml:space="preserve"> and value-adding oppor</w:t>
      </w:r>
      <w:r w:rsidR="00D32EDD">
        <w:rPr>
          <w:rFonts w:eastAsia="Times New Roman" w:cs="Times New Roman"/>
          <w:sz w:val="21"/>
          <w:szCs w:val="24"/>
          <w:lang w:val="en-AU"/>
        </w:rPr>
        <w:t>t</w:t>
      </w:r>
      <w:r>
        <w:rPr>
          <w:rFonts w:eastAsia="Times New Roman" w:cs="Times New Roman"/>
          <w:sz w:val="21"/>
          <w:szCs w:val="24"/>
          <w:lang w:val="en-AU"/>
        </w:rPr>
        <w:t>u</w:t>
      </w:r>
      <w:r w:rsidR="00D32EDD">
        <w:rPr>
          <w:rFonts w:eastAsia="Times New Roman" w:cs="Times New Roman"/>
          <w:sz w:val="21"/>
          <w:szCs w:val="24"/>
          <w:lang w:val="en-AU"/>
        </w:rPr>
        <w:t>n</w:t>
      </w:r>
      <w:r>
        <w:rPr>
          <w:rFonts w:eastAsia="Times New Roman" w:cs="Times New Roman"/>
          <w:sz w:val="21"/>
          <w:szCs w:val="24"/>
          <w:lang w:val="en-AU"/>
        </w:rPr>
        <w:t xml:space="preserve">ities for Indonesia, including for domestic consumption and export to third markets, being priorities for the Indonesian </w:t>
      </w:r>
      <w:r w:rsidR="003E61FA">
        <w:rPr>
          <w:rFonts w:eastAsia="Times New Roman" w:cs="Times New Roman"/>
          <w:sz w:val="21"/>
          <w:szCs w:val="24"/>
          <w:lang w:val="en-AU"/>
        </w:rPr>
        <w:t>G</w:t>
      </w:r>
      <w:r>
        <w:rPr>
          <w:rFonts w:eastAsia="Times New Roman" w:cs="Times New Roman"/>
          <w:sz w:val="21"/>
          <w:szCs w:val="24"/>
          <w:lang w:val="en-AU"/>
        </w:rPr>
        <w:t>overnment. Similarly, supporting closer partnership between Australia’s high</w:t>
      </w:r>
      <w:r w:rsidR="00D32EDD">
        <w:rPr>
          <w:rFonts w:eastAsia="Times New Roman" w:cs="Times New Roman"/>
          <w:sz w:val="21"/>
          <w:szCs w:val="24"/>
          <w:lang w:val="en-AU"/>
        </w:rPr>
        <w:t>-</w:t>
      </w:r>
      <w:r>
        <w:rPr>
          <w:rFonts w:eastAsia="Times New Roman" w:cs="Times New Roman"/>
          <w:sz w:val="21"/>
          <w:szCs w:val="24"/>
          <w:lang w:val="en-AU"/>
        </w:rPr>
        <w:t xml:space="preserve">quality </w:t>
      </w:r>
      <w:r w:rsidR="003A75AE">
        <w:rPr>
          <w:rFonts w:eastAsia="Times New Roman" w:cs="Times New Roman"/>
          <w:sz w:val="21"/>
          <w:szCs w:val="24"/>
          <w:lang w:val="en-AU"/>
        </w:rPr>
        <w:t xml:space="preserve">TVET </w:t>
      </w:r>
      <w:r>
        <w:rPr>
          <w:rFonts w:eastAsia="Times New Roman" w:cs="Times New Roman"/>
          <w:sz w:val="21"/>
          <w:szCs w:val="24"/>
          <w:lang w:val="en-AU"/>
        </w:rPr>
        <w:t xml:space="preserve">sector and Indonesia’s industry, helps Indonesia’ meet its skills gap in the short and medium term, while informing longer-term structural reform needed to boost Indonesia’s domestic skills market. </w:t>
      </w:r>
      <w:r w:rsidR="006674B4">
        <w:rPr>
          <w:rFonts w:eastAsia="Times New Roman" w:cs="Times New Roman"/>
          <w:sz w:val="21"/>
          <w:szCs w:val="24"/>
          <w:lang w:val="en-AU"/>
        </w:rPr>
        <w:t xml:space="preserve">Finally, support for trade and investment in advanced manufacturing presents an opportunity for deep partnership in innovative industries and technologies between Indonesia and Australia, utilising </w:t>
      </w:r>
      <w:r w:rsidR="001E46E9">
        <w:rPr>
          <w:rFonts w:eastAsia="Times New Roman" w:cs="Times New Roman"/>
          <w:sz w:val="21"/>
          <w:szCs w:val="24"/>
          <w:lang w:val="en-AU"/>
        </w:rPr>
        <w:t xml:space="preserve">complementary </w:t>
      </w:r>
      <w:r w:rsidR="006674B4">
        <w:rPr>
          <w:rFonts w:eastAsia="Times New Roman" w:cs="Times New Roman"/>
          <w:sz w:val="21"/>
          <w:szCs w:val="24"/>
          <w:lang w:val="en-AU"/>
        </w:rPr>
        <w:t>skills such as Australia’s precis</w:t>
      </w:r>
      <w:r w:rsidR="00B04ED1">
        <w:rPr>
          <w:rFonts w:eastAsia="Times New Roman" w:cs="Times New Roman"/>
          <w:sz w:val="21"/>
          <w:szCs w:val="24"/>
          <w:lang w:val="en-AU"/>
        </w:rPr>
        <w:t>ion</w:t>
      </w:r>
      <w:r w:rsidR="006674B4">
        <w:rPr>
          <w:rFonts w:eastAsia="Times New Roman" w:cs="Times New Roman"/>
          <w:sz w:val="21"/>
          <w:szCs w:val="24"/>
          <w:lang w:val="en-AU"/>
        </w:rPr>
        <w:t xml:space="preserve"> engineering capabilities, while helping to boost productivity in Indonesia, being critical to achieving Indonesia’s growth and development targets.</w:t>
      </w:r>
    </w:p>
    <w:p w14:paraId="46F7A788" w14:textId="362DD296" w:rsidR="006674B4" w:rsidRPr="0018508E" w:rsidRDefault="006674B4" w:rsidP="008C5DE0">
      <w:pPr>
        <w:suppressAutoHyphens w:val="0"/>
        <w:spacing w:after="0"/>
        <w:jc w:val="both"/>
        <w:rPr>
          <w:rFonts w:eastAsia="Times New Roman" w:cs="Times New Roman"/>
          <w:sz w:val="21"/>
          <w:szCs w:val="24"/>
          <w:lang w:val="en-AU"/>
        </w:rPr>
      </w:pPr>
      <w:r>
        <w:rPr>
          <w:rFonts w:eastAsia="Times New Roman" w:cs="Times New Roman"/>
          <w:sz w:val="21"/>
          <w:szCs w:val="24"/>
          <w:lang w:val="en-AU"/>
        </w:rPr>
        <w:t xml:space="preserve">The ECP represents a transition in the Australian and Indonesian relationship from development partners to trusted economic cooperation. ECP investments will be guided by the development needs of Indonesia, </w:t>
      </w:r>
      <w:r w:rsidR="008C5DE0">
        <w:rPr>
          <w:rFonts w:eastAsia="Times New Roman" w:cs="Times New Roman"/>
          <w:sz w:val="21"/>
          <w:szCs w:val="24"/>
          <w:lang w:val="en-AU"/>
        </w:rPr>
        <w:t>while also r</w:t>
      </w:r>
      <w:r>
        <w:rPr>
          <w:rFonts w:eastAsia="Times New Roman" w:cs="Times New Roman"/>
          <w:sz w:val="21"/>
          <w:szCs w:val="24"/>
          <w:lang w:val="en-AU"/>
        </w:rPr>
        <w:t>eflect</w:t>
      </w:r>
      <w:r w:rsidR="008C5DE0">
        <w:rPr>
          <w:rFonts w:eastAsia="Times New Roman" w:cs="Times New Roman"/>
          <w:sz w:val="21"/>
          <w:szCs w:val="24"/>
          <w:lang w:val="en-AU"/>
        </w:rPr>
        <w:t>ing</w:t>
      </w:r>
      <w:r>
        <w:rPr>
          <w:rFonts w:eastAsia="Times New Roman" w:cs="Times New Roman"/>
          <w:sz w:val="21"/>
          <w:szCs w:val="24"/>
          <w:lang w:val="en-AU"/>
        </w:rPr>
        <w:t xml:space="preserve"> the role trade, investment and private sector development play in advancing Indonesia’s growth and development. </w:t>
      </w:r>
    </w:p>
    <w:p w14:paraId="0CA5E986" w14:textId="77777777" w:rsidR="00133D41" w:rsidRDefault="00133D41" w:rsidP="007C4ABD">
      <w:pPr>
        <w:suppressAutoHyphens w:val="0"/>
        <w:spacing w:before="0" w:after="0" w:line="240" w:lineRule="auto"/>
        <w:rPr>
          <w:rFonts w:eastAsia="Times New Roman" w:cs="Times New Roman"/>
          <w:b/>
          <w:szCs w:val="24"/>
          <w:lang w:val="en-AU"/>
        </w:rPr>
      </w:pPr>
    </w:p>
    <w:p w14:paraId="5D1AC0C9" w14:textId="1880E801" w:rsidR="00032790" w:rsidRDefault="00280A40" w:rsidP="007C4ABD">
      <w:pPr>
        <w:suppressAutoHyphens w:val="0"/>
        <w:spacing w:before="0" w:after="0" w:line="240" w:lineRule="auto"/>
        <w:rPr>
          <w:rFonts w:eastAsia="Times New Roman" w:cs="Times New Roman"/>
          <w:b/>
          <w:szCs w:val="24"/>
          <w:lang w:val="en-AU"/>
        </w:rPr>
      </w:pPr>
      <w:r w:rsidRPr="0070586B">
        <w:rPr>
          <w:rFonts w:eastAsia="Times New Roman" w:cs="Times New Roman"/>
          <w:b/>
          <w:szCs w:val="24"/>
          <w:lang w:val="en-AU"/>
        </w:rPr>
        <w:t>Hub model of collaboration</w:t>
      </w:r>
      <w:r w:rsidR="002B72FF" w:rsidRPr="0070586B">
        <w:rPr>
          <w:rFonts w:eastAsia="Times New Roman" w:cs="Times New Roman"/>
          <w:b/>
          <w:szCs w:val="24"/>
          <w:lang w:val="en-AU"/>
        </w:rPr>
        <w:t xml:space="preserve"> - innovative delivery model</w:t>
      </w:r>
    </w:p>
    <w:p w14:paraId="75D25264" w14:textId="1CF3079A" w:rsidR="006674B4" w:rsidRDefault="006674B4" w:rsidP="00475BF4">
      <w:pPr>
        <w:suppressAutoHyphens w:val="0"/>
        <w:spacing w:after="120"/>
        <w:jc w:val="both"/>
        <w:rPr>
          <w:rFonts w:eastAsia="Times New Roman" w:cs="Times New Roman"/>
          <w:sz w:val="21"/>
          <w:szCs w:val="24"/>
          <w:lang w:val="en-AU"/>
        </w:rPr>
      </w:pPr>
      <w:r>
        <w:rPr>
          <w:rFonts w:eastAsia="Times New Roman" w:cs="Times New Roman"/>
          <w:sz w:val="21"/>
          <w:szCs w:val="24"/>
          <w:lang w:val="en-AU"/>
        </w:rPr>
        <w:t xml:space="preserve">The delivery model adopted for the </w:t>
      </w:r>
      <w:r w:rsidR="00C33433">
        <w:rPr>
          <w:rFonts w:eastAsia="Times New Roman" w:cs="Times New Roman"/>
          <w:sz w:val="21"/>
          <w:szCs w:val="24"/>
          <w:lang w:val="en-AU"/>
        </w:rPr>
        <w:t>Collaborative Hub</w:t>
      </w:r>
      <w:r>
        <w:rPr>
          <w:rFonts w:eastAsia="Times New Roman" w:cs="Times New Roman"/>
          <w:sz w:val="21"/>
          <w:szCs w:val="24"/>
          <w:lang w:val="en-AU"/>
        </w:rPr>
        <w:t xml:space="preserve"> is a collaborative model that presents opportunities to build on existing capabilities and investments in Indonesia, while avoiding duplication and achieving better value for money. The shared services model is an innovation in the managing contractor model, drawing on estab</w:t>
      </w:r>
      <w:r w:rsidR="00A52EBB">
        <w:rPr>
          <w:rFonts w:eastAsia="Times New Roman" w:cs="Times New Roman"/>
          <w:sz w:val="21"/>
          <w:szCs w:val="24"/>
          <w:lang w:val="en-AU"/>
        </w:rPr>
        <w:t>l</w:t>
      </w:r>
      <w:r>
        <w:rPr>
          <w:rFonts w:eastAsia="Times New Roman" w:cs="Times New Roman"/>
          <w:sz w:val="21"/>
          <w:szCs w:val="24"/>
          <w:lang w:val="en-AU"/>
        </w:rPr>
        <w:t xml:space="preserve">ished capabilities in Indonesia to maximise the value of existing services through greater scale and faster roll-out. </w:t>
      </w:r>
    </w:p>
    <w:p w14:paraId="348B32BF" w14:textId="2B2DF688" w:rsidR="006674B4" w:rsidRDefault="006674B4" w:rsidP="008C5DE0">
      <w:pPr>
        <w:suppressAutoHyphens w:val="0"/>
        <w:spacing w:before="0" w:after="120"/>
        <w:jc w:val="both"/>
        <w:rPr>
          <w:rFonts w:eastAsia="Times New Roman" w:cs="Times New Roman"/>
          <w:sz w:val="21"/>
          <w:szCs w:val="24"/>
          <w:lang w:val="en-AU"/>
        </w:rPr>
      </w:pPr>
      <w:r>
        <w:rPr>
          <w:rFonts w:eastAsia="Times New Roman" w:cs="Times New Roman"/>
          <w:sz w:val="21"/>
          <w:szCs w:val="24"/>
          <w:lang w:val="en-AU"/>
        </w:rPr>
        <w:t xml:space="preserve">The </w:t>
      </w:r>
      <w:r w:rsidR="001C2B18">
        <w:rPr>
          <w:rFonts w:eastAsia="Times New Roman" w:cs="Times New Roman"/>
          <w:sz w:val="21"/>
          <w:szCs w:val="24"/>
          <w:lang w:val="en-AU"/>
        </w:rPr>
        <w:t>Collaborative Hub</w:t>
      </w:r>
      <w:r>
        <w:rPr>
          <w:rFonts w:eastAsia="Times New Roman" w:cs="Times New Roman"/>
          <w:sz w:val="21"/>
          <w:szCs w:val="24"/>
          <w:lang w:val="en-AU"/>
        </w:rPr>
        <w:t xml:space="preserve"> is a highly innovative model that will require careful implementation, monitoring and ongoing evaluation. Ensuring all stakeholders are consulted, with open dial</w:t>
      </w:r>
      <w:r w:rsidR="00A52EBB">
        <w:rPr>
          <w:rFonts w:eastAsia="Times New Roman" w:cs="Times New Roman"/>
          <w:sz w:val="21"/>
          <w:szCs w:val="24"/>
          <w:lang w:val="en-AU"/>
        </w:rPr>
        <w:t>o</w:t>
      </w:r>
      <w:r>
        <w:rPr>
          <w:rFonts w:eastAsia="Times New Roman" w:cs="Times New Roman"/>
          <w:sz w:val="21"/>
          <w:szCs w:val="24"/>
          <w:lang w:val="en-AU"/>
        </w:rPr>
        <w:t xml:space="preserve">gue and a culture of cooperation, will be critical to its success. The design proposes a range of formal and informal arrangements that will support the models success. At its core, the ECP requires a willingness on the part of DFAT, </w:t>
      </w:r>
      <w:r w:rsidR="005D21E6">
        <w:rPr>
          <w:rFonts w:eastAsia="Times New Roman" w:cs="Times New Roman"/>
          <w:sz w:val="21"/>
          <w:szCs w:val="24"/>
          <w:lang w:val="en-AU"/>
        </w:rPr>
        <w:t xml:space="preserve">the Government of Indonesia </w:t>
      </w:r>
      <w:r>
        <w:rPr>
          <w:rFonts w:eastAsia="Times New Roman" w:cs="Times New Roman"/>
          <w:sz w:val="21"/>
          <w:szCs w:val="24"/>
          <w:lang w:val="en-AU"/>
        </w:rPr>
        <w:t>and impl</w:t>
      </w:r>
      <w:r w:rsidR="00A52EBB">
        <w:rPr>
          <w:rFonts w:eastAsia="Times New Roman" w:cs="Times New Roman"/>
          <w:sz w:val="21"/>
          <w:szCs w:val="24"/>
          <w:lang w:val="en-AU"/>
        </w:rPr>
        <w:t>e</w:t>
      </w:r>
      <w:r>
        <w:rPr>
          <w:rFonts w:eastAsia="Times New Roman" w:cs="Times New Roman"/>
          <w:sz w:val="21"/>
          <w:szCs w:val="24"/>
          <w:lang w:val="en-AU"/>
        </w:rPr>
        <w:t>menting partners to work together to ma</w:t>
      </w:r>
      <w:r w:rsidR="00A52EBB">
        <w:rPr>
          <w:rFonts w:eastAsia="Times New Roman" w:cs="Times New Roman"/>
          <w:sz w:val="21"/>
          <w:szCs w:val="24"/>
          <w:lang w:val="en-AU"/>
        </w:rPr>
        <w:t>x</w:t>
      </w:r>
      <w:r>
        <w:rPr>
          <w:rFonts w:eastAsia="Times New Roman" w:cs="Times New Roman"/>
          <w:sz w:val="21"/>
          <w:szCs w:val="24"/>
          <w:lang w:val="en-AU"/>
        </w:rPr>
        <w:t xml:space="preserve">imise the benefits of IA-CEPA and the opportunity to deliver development assistance in new and highly innovative ways. </w:t>
      </w:r>
    </w:p>
    <w:p w14:paraId="01A9D5B7" w14:textId="38A2EF8E" w:rsidR="002B72FF" w:rsidRPr="0070586B" w:rsidRDefault="002B72FF" w:rsidP="008C5DE0">
      <w:pPr>
        <w:suppressAutoHyphens w:val="0"/>
        <w:spacing w:before="240" w:after="120" w:line="240" w:lineRule="auto"/>
        <w:rPr>
          <w:rFonts w:eastAsia="Times New Roman" w:cs="Times New Roman"/>
          <w:b/>
          <w:szCs w:val="24"/>
          <w:lang w:val="en-AU"/>
        </w:rPr>
      </w:pPr>
      <w:r w:rsidRPr="0070586B">
        <w:rPr>
          <w:rFonts w:eastAsia="Times New Roman" w:cs="Times New Roman"/>
          <w:b/>
          <w:szCs w:val="24"/>
          <w:lang w:val="en-AU"/>
        </w:rPr>
        <w:t xml:space="preserve">Digital strategies - innovative activities </w:t>
      </w:r>
    </w:p>
    <w:p w14:paraId="2AA23174" w14:textId="3DCD0107" w:rsidR="009C750B" w:rsidRDefault="006674B4" w:rsidP="00475BF4">
      <w:pPr>
        <w:suppressAutoHyphens w:val="0"/>
        <w:spacing w:after="120"/>
        <w:jc w:val="both"/>
        <w:rPr>
          <w:rFonts w:eastAsia="Times New Roman" w:cs="Times New Roman"/>
          <w:sz w:val="21"/>
          <w:szCs w:val="24"/>
          <w:lang w:val="en-AU"/>
        </w:rPr>
      </w:pPr>
      <w:r>
        <w:rPr>
          <w:rFonts w:eastAsia="Times New Roman" w:cs="Times New Roman"/>
          <w:sz w:val="21"/>
          <w:szCs w:val="24"/>
          <w:lang w:val="en-AU"/>
        </w:rPr>
        <w:t xml:space="preserve">Innovation extends beyond the development and delivery models, to each of the proposed ECP activity areas. In all activities opportunities to support great inclusion, the adoption and utilisation of new technologies and advance private sector engagement has been pursued. Examples abound:  In </w:t>
      </w:r>
      <w:r w:rsidR="00946622">
        <w:rPr>
          <w:rFonts w:eastAsia="Times New Roman" w:cs="Times New Roman"/>
          <w:sz w:val="21"/>
          <w:szCs w:val="24"/>
          <w:lang w:val="en-AU"/>
        </w:rPr>
        <w:t>skil</w:t>
      </w:r>
      <w:r w:rsidR="00A52EBB">
        <w:rPr>
          <w:rFonts w:eastAsia="Times New Roman" w:cs="Times New Roman"/>
          <w:sz w:val="21"/>
          <w:szCs w:val="24"/>
          <w:lang w:val="en-AU"/>
        </w:rPr>
        <w:t>l</w:t>
      </w:r>
      <w:r w:rsidR="00946622">
        <w:rPr>
          <w:rFonts w:eastAsia="Times New Roman" w:cs="Times New Roman"/>
          <w:sz w:val="21"/>
          <w:szCs w:val="24"/>
          <w:lang w:val="en-AU"/>
        </w:rPr>
        <w:t xml:space="preserve">s, innovative approaches to training will be piloted through online education and blended learning models. The Government </w:t>
      </w:r>
      <w:r w:rsidR="002E3EBE">
        <w:rPr>
          <w:rFonts w:eastAsia="Times New Roman" w:cs="Times New Roman"/>
          <w:sz w:val="21"/>
          <w:szCs w:val="24"/>
          <w:lang w:val="en-AU"/>
        </w:rPr>
        <w:t xml:space="preserve">of Indonesia </w:t>
      </w:r>
      <w:r w:rsidR="00946622">
        <w:rPr>
          <w:rFonts w:eastAsia="Times New Roman" w:cs="Times New Roman"/>
          <w:sz w:val="21"/>
          <w:szCs w:val="24"/>
          <w:lang w:val="en-AU"/>
        </w:rPr>
        <w:t xml:space="preserve">recently identified </w:t>
      </w:r>
      <w:proofErr w:type="spellStart"/>
      <w:r w:rsidR="00946622">
        <w:rPr>
          <w:rFonts w:eastAsia="Times New Roman" w:cs="Times New Roman"/>
          <w:sz w:val="21"/>
          <w:szCs w:val="24"/>
          <w:lang w:val="en-AU"/>
        </w:rPr>
        <w:t>EdTech</w:t>
      </w:r>
      <w:proofErr w:type="spellEnd"/>
      <w:r w:rsidR="00946622">
        <w:rPr>
          <w:rFonts w:eastAsia="Times New Roman" w:cs="Times New Roman"/>
          <w:sz w:val="21"/>
          <w:szCs w:val="24"/>
          <w:lang w:val="en-AU"/>
        </w:rPr>
        <w:t xml:space="preserve"> as a priority for addressing the skills gap in Indonesia, including in partnership with major digital platform businesses, and the ECP will be well placed to support these efforts. In the </w:t>
      </w:r>
      <w:proofErr w:type="spellStart"/>
      <w:r w:rsidR="00946622">
        <w:rPr>
          <w:rFonts w:eastAsia="Times New Roman" w:cs="Times New Roman"/>
          <w:sz w:val="21"/>
          <w:szCs w:val="24"/>
          <w:lang w:val="en-AU"/>
        </w:rPr>
        <w:t>AgriFood</w:t>
      </w:r>
      <w:proofErr w:type="spellEnd"/>
      <w:r w:rsidR="00946622">
        <w:rPr>
          <w:rFonts w:eastAsia="Times New Roman" w:cs="Times New Roman"/>
          <w:sz w:val="21"/>
          <w:szCs w:val="24"/>
          <w:lang w:val="en-AU"/>
        </w:rPr>
        <w:t xml:space="preserve"> </w:t>
      </w:r>
      <w:r w:rsidR="003B726C">
        <w:rPr>
          <w:rFonts w:eastAsia="Times New Roman" w:cs="Times New Roman"/>
          <w:sz w:val="21"/>
          <w:szCs w:val="24"/>
          <w:lang w:val="en-AU"/>
        </w:rPr>
        <w:t xml:space="preserve">Innovation </w:t>
      </w:r>
      <w:r w:rsidR="00946622">
        <w:rPr>
          <w:rFonts w:eastAsia="Times New Roman" w:cs="Times New Roman"/>
          <w:sz w:val="21"/>
          <w:szCs w:val="24"/>
          <w:lang w:val="en-AU"/>
        </w:rPr>
        <w:t xml:space="preserve">Partnerships, research and development activities will focus on opportunities to boost productivity and value-adding right along the supply chain. Examples include improved processing and production methods to produce higher quality, higher value products for the domestic and export markets. In advanced manufacturing, the opportunity to partner in rapidly advancing industries such as electric vehicles, as well as </w:t>
      </w:r>
      <w:r w:rsidR="00946622" w:rsidRPr="00537B0B">
        <w:rPr>
          <w:rFonts w:eastAsia="Times New Roman" w:cs="Times New Roman"/>
          <w:b/>
          <w:sz w:val="21"/>
          <w:szCs w:val="24"/>
          <w:lang w:val="en-AU"/>
        </w:rPr>
        <w:t>advanc</w:t>
      </w:r>
      <w:r w:rsidR="009C2DE6">
        <w:rPr>
          <w:rFonts w:eastAsia="Times New Roman" w:cs="Times New Roman"/>
          <w:b/>
          <w:sz w:val="21"/>
          <w:szCs w:val="24"/>
          <w:lang w:val="en-AU"/>
        </w:rPr>
        <w:t>ing</w:t>
      </w:r>
      <w:r w:rsidR="00946622" w:rsidRPr="00537B0B">
        <w:rPr>
          <w:rFonts w:eastAsia="Times New Roman" w:cs="Times New Roman"/>
          <w:b/>
          <w:sz w:val="21"/>
          <w:szCs w:val="24"/>
          <w:lang w:val="en-AU"/>
        </w:rPr>
        <w:t xml:space="preserve"> Indigenous Indonesian </w:t>
      </w:r>
      <w:r w:rsidR="005D21E6" w:rsidRPr="00537B0B">
        <w:rPr>
          <w:rFonts w:eastAsia="Times New Roman" w:cs="Times New Roman"/>
          <w:b/>
          <w:sz w:val="21"/>
          <w:szCs w:val="24"/>
          <w:lang w:val="en-AU"/>
        </w:rPr>
        <w:t xml:space="preserve">herbal and </w:t>
      </w:r>
      <w:r w:rsidR="005D21E6" w:rsidRPr="00537B0B">
        <w:rPr>
          <w:rFonts w:eastAsia="Times New Roman" w:cs="Times New Roman"/>
          <w:b/>
          <w:sz w:val="21"/>
          <w:szCs w:val="24"/>
          <w:lang w:val="en-AU"/>
        </w:rPr>
        <w:lastRenderedPageBreak/>
        <w:t xml:space="preserve">traditional medicinal </w:t>
      </w:r>
      <w:r w:rsidR="00946622" w:rsidRPr="00537B0B">
        <w:rPr>
          <w:rFonts w:eastAsia="Times New Roman" w:cs="Times New Roman"/>
          <w:b/>
          <w:sz w:val="21"/>
          <w:szCs w:val="24"/>
          <w:lang w:val="en-AU"/>
        </w:rPr>
        <w:t>products</w:t>
      </w:r>
      <w:r w:rsidR="00946622">
        <w:rPr>
          <w:rFonts w:eastAsia="Times New Roman" w:cs="Times New Roman"/>
          <w:sz w:val="21"/>
          <w:szCs w:val="24"/>
          <w:lang w:val="en-AU"/>
        </w:rPr>
        <w:t xml:space="preserve"> </w:t>
      </w:r>
      <w:r w:rsidR="005D21E6">
        <w:rPr>
          <w:rFonts w:eastAsia="Times New Roman" w:cs="Times New Roman"/>
          <w:sz w:val="21"/>
          <w:szCs w:val="24"/>
          <w:lang w:val="en-AU"/>
        </w:rPr>
        <w:t xml:space="preserve">(to complement Australia’s </w:t>
      </w:r>
      <w:r w:rsidR="009C2DE6">
        <w:rPr>
          <w:rFonts w:eastAsia="Times New Roman" w:cs="Times New Roman"/>
          <w:sz w:val="21"/>
          <w:szCs w:val="24"/>
          <w:lang w:val="en-AU"/>
        </w:rPr>
        <w:t xml:space="preserve">rapidly </w:t>
      </w:r>
      <w:r w:rsidR="005D21E6">
        <w:rPr>
          <w:rFonts w:eastAsia="Times New Roman" w:cs="Times New Roman"/>
          <w:sz w:val="21"/>
          <w:szCs w:val="24"/>
          <w:lang w:val="en-AU"/>
        </w:rPr>
        <w:t>growing</w:t>
      </w:r>
      <w:r w:rsidR="009C2DE6">
        <w:rPr>
          <w:rFonts w:eastAsia="Times New Roman" w:cs="Times New Roman"/>
          <w:sz w:val="21"/>
          <w:szCs w:val="24"/>
          <w:lang w:val="en-AU"/>
        </w:rPr>
        <w:t>, and high quality,</w:t>
      </w:r>
      <w:r w:rsidR="005D21E6">
        <w:rPr>
          <w:rFonts w:eastAsia="Times New Roman" w:cs="Times New Roman"/>
          <w:sz w:val="21"/>
          <w:szCs w:val="24"/>
          <w:lang w:val="en-AU"/>
        </w:rPr>
        <w:t xml:space="preserve"> vitamins and supplements industry)</w:t>
      </w:r>
      <w:r w:rsidR="00946622">
        <w:rPr>
          <w:rFonts w:eastAsia="Times New Roman" w:cs="Times New Roman"/>
          <w:sz w:val="21"/>
          <w:szCs w:val="24"/>
          <w:lang w:val="en-AU"/>
        </w:rPr>
        <w:t xml:space="preserve">, present exciting opportunities for </w:t>
      </w:r>
      <w:r w:rsidR="00974932">
        <w:rPr>
          <w:rFonts w:eastAsia="Times New Roman" w:cs="Times New Roman"/>
          <w:sz w:val="21"/>
          <w:szCs w:val="24"/>
          <w:lang w:val="en-AU"/>
        </w:rPr>
        <w:t>innovation</w:t>
      </w:r>
      <w:r w:rsidR="00946622">
        <w:rPr>
          <w:rFonts w:eastAsia="Times New Roman" w:cs="Times New Roman"/>
          <w:sz w:val="21"/>
          <w:szCs w:val="24"/>
          <w:lang w:val="en-AU"/>
        </w:rPr>
        <w:t xml:space="preserve"> and partnership</w:t>
      </w:r>
      <w:r w:rsidR="003238DE">
        <w:rPr>
          <w:rFonts w:eastAsia="Times New Roman" w:cs="Times New Roman"/>
          <w:sz w:val="21"/>
          <w:szCs w:val="24"/>
          <w:lang w:val="en-AU"/>
        </w:rPr>
        <w:t xml:space="preserve"> with a particular focus on the </w:t>
      </w:r>
      <w:r w:rsidR="003238DE" w:rsidRPr="00537B0B">
        <w:rPr>
          <w:rFonts w:eastAsia="Times New Roman" w:cs="Times New Roman"/>
          <w:b/>
          <w:sz w:val="21"/>
          <w:szCs w:val="24"/>
          <w:lang w:val="en-AU"/>
        </w:rPr>
        <w:t>MSME sector</w:t>
      </w:r>
      <w:r w:rsidR="00946622">
        <w:rPr>
          <w:rFonts w:eastAsia="Times New Roman" w:cs="Times New Roman"/>
          <w:sz w:val="21"/>
          <w:szCs w:val="24"/>
          <w:lang w:val="en-AU"/>
        </w:rPr>
        <w:t>.</w:t>
      </w:r>
      <w:r w:rsidR="005D21E6">
        <w:rPr>
          <w:rFonts w:eastAsia="Times New Roman" w:cs="Times New Roman"/>
          <w:sz w:val="21"/>
          <w:szCs w:val="24"/>
          <w:lang w:val="en-AU"/>
        </w:rPr>
        <w:t xml:space="preserve"> Lastly, the </w:t>
      </w:r>
      <w:r w:rsidR="00324268">
        <w:rPr>
          <w:rFonts w:eastAsia="Times New Roman" w:cs="Times New Roman"/>
          <w:sz w:val="21"/>
          <w:szCs w:val="24"/>
          <w:lang w:val="en-AU"/>
        </w:rPr>
        <w:t xml:space="preserve">study </w:t>
      </w:r>
      <w:r w:rsidR="005D21E6">
        <w:rPr>
          <w:rFonts w:eastAsia="Times New Roman" w:cs="Times New Roman"/>
          <w:sz w:val="21"/>
          <w:szCs w:val="24"/>
          <w:lang w:val="en-AU"/>
        </w:rPr>
        <w:t xml:space="preserve">to </w:t>
      </w:r>
      <w:r w:rsidR="00324268">
        <w:rPr>
          <w:rFonts w:eastAsia="Times New Roman" w:cs="Times New Roman"/>
          <w:sz w:val="21"/>
          <w:szCs w:val="24"/>
          <w:lang w:val="en-AU"/>
        </w:rPr>
        <w:t xml:space="preserve">examine stronger </w:t>
      </w:r>
      <w:r w:rsidR="005D21E6">
        <w:rPr>
          <w:rFonts w:eastAsia="Times New Roman" w:cs="Times New Roman"/>
          <w:sz w:val="21"/>
          <w:szCs w:val="24"/>
          <w:lang w:val="en-AU"/>
        </w:rPr>
        <w:t xml:space="preserve">linkages between Indonesian digital services firms and Australian capital markets has the potential to </w:t>
      </w:r>
      <w:r w:rsidR="00324268">
        <w:rPr>
          <w:rFonts w:eastAsia="Times New Roman" w:cs="Times New Roman"/>
          <w:sz w:val="21"/>
          <w:szCs w:val="24"/>
          <w:lang w:val="en-AU"/>
        </w:rPr>
        <w:t xml:space="preserve">spark </w:t>
      </w:r>
      <w:r w:rsidR="005D21E6">
        <w:rPr>
          <w:rFonts w:eastAsia="Times New Roman" w:cs="Times New Roman"/>
          <w:sz w:val="21"/>
          <w:szCs w:val="24"/>
          <w:lang w:val="en-AU"/>
        </w:rPr>
        <w:t xml:space="preserve">cooperation in a fast-growing sector of the global economy. </w:t>
      </w:r>
    </w:p>
    <w:p w14:paraId="1F12019B" w14:textId="19F1E7F4" w:rsidR="00032790" w:rsidRDefault="00032790" w:rsidP="007A1B91">
      <w:pPr>
        <w:pBdr>
          <w:top w:val="single" w:sz="4" w:space="1" w:color="auto"/>
          <w:left w:val="single" w:sz="4" w:space="4" w:color="auto"/>
          <w:bottom w:val="single" w:sz="4" w:space="1" w:color="auto"/>
          <w:right w:val="single" w:sz="4" w:space="4" w:color="auto"/>
        </w:pBdr>
        <w:spacing w:after="0"/>
        <w:jc w:val="both"/>
        <w:rPr>
          <w:rFonts w:eastAsia="Times New Roman" w:cs="Arial"/>
          <w:b/>
          <w:i/>
          <w:lang w:val="en-AU" w:eastAsia="en-AU"/>
        </w:rPr>
      </w:pPr>
      <w:r w:rsidRPr="009A387D">
        <w:rPr>
          <w:rFonts w:eastAsia="Times New Roman" w:cs="Arial"/>
          <w:b/>
          <w:i/>
          <w:lang w:val="en-AU" w:eastAsia="en-AU"/>
        </w:rPr>
        <w:t xml:space="preserve">Signature activity: </w:t>
      </w:r>
      <w:r w:rsidR="00513A79">
        <w:rPr>
          <w:rFonts w:eastAsia="Times New Roman" w:cs="Arial"/>
          <w:b/>
          <w:i/>
          <w:lang w:val="en-AU" w:eastAsia="en-AU"/>
        </w:rPr>
        <w:t>Powering Advanced Manufacturing</w:t>
      </w:r>
    </w:p>
    <w:p w14:paraId="57DBD33E" w14:textId="75FA1353" w:rsidR="0047783D" w:rsidRPr="001653CE" w:rsidRDefault="0047783D" w:rsidP="007A1B91">
      <w:pPr>
        <w:pBdr>
          <w:top w:val="single" w:sz="4" w:space="1" w:color="auto"/>
          <w:left w:val="single" w:sz="4" w:space="4" w:color="auto"/>
          <w:bottom w:val="single" w:sz="4" w:space="1" w:color="auto"/>
          <w:right w:val="single" w:sz="4" w:space="4" w:color="auto"/>
        </w:pBdr>
        <w:suppressAutoHyphens w:val="0"/>
        <w:spacing w:after="120"/>
        <w:jc w:val="both"/>
        <w:rPr>
          <w:rFonts w:eastAsia="Times New Roman" w:cs="Times New Roman"/>
          <w:sz w:val="21"/>
          <w:szCs w:val="21"/>
          <w:lang w:val="en-AU"/>
        </w:rPr>
      </w:pPr>
      <w:r w:rsidRPr="001653CE">
        <w:rPr>
          <w:rFonts w:eastAsia="Times New Roman" w:cs="Times New Roman"/>
          <w:sz w:val="21"/>
          <w:szCs w:val="21"/>
          <w:lang w:val="en-AU"/>
        </w:rPr>
        <w:t>Advanced manufacturing has the potential to add value and transform Indonesia’s productivity and industrial development. Australia has compl</w:t>
      </w:r>
      <w:r w:rsidR="00335E7B" w:rsidRPr="001653CE">
        <w:rPr>
          <w:rFonts w:eastAsia="Times New Roman" w:cs="Times New Roman"/>
          <w:sz w:val="21"/>
          <w:szCs w:val="21"/>
          <w:lang w:val="en-AU"/>
        </w:rPr>
        <w:t>e</w:t>
      </w:r>
      <w:r w:rsidRPr="001653CE">
        <w:rPr>
          <w:rFonts w:eastAsia="Times New Roman" w:cs="Times New Roman"/>
          <w:sz w:val="21"/>
          <w:szCs w:val="21"/>
          <w:lang w:val="en-AU"/>
        </w:rPr>
        <w:t>mentary skills</w:t>
      </w:r>
      <w:r w:rsidR="00B95C5C">
        <w:rPr>
          <w:rFonts w:eastAsia="Times New Roman" w:cs="Times New Roman"/>
          <w:sz w:val="21"/>
          <w:szCs w:val="21"/>
          <w:lang w:val="en-AU"/>
        </w:rPr>
        <w:t xml:space="preserve">, key resources and component manufacturing capability </w:t>
      </w:r>
      <w:r w:rsidRPr="001653CE">
        <w:rPr>
          <w:rFonts w:eastAsia="Times New Roman" w:cs="Times New Roman"/>
          <w:sz w:val="21"/>
          <w:szCs w:val="21"/>
          <w:lang w:val="en-AU"/>
        </w:rPr>
        <w:t xml:space="preserve">to support these goals in high value sectors. </w:t>
      </w:r>
      <w:r w:rsidR="00133D41">
        <w:rPr>
          <w:rFonts w:eastAsia="Times New Roman" w:cs="Times New Roman"/>
          <w:sz w:val="21"/>
          <w:szCs w:val="21"/>
          <w:lang w:val="en-AU"/>
        </w:rPr>
        <w:t xml:space="preserve">Building new supply chains to drive innovation in advanced manufacturing </w:t>
      </w:r>
      <w:r w:rsidRPr="001653CE">
        <w:rPr>
          <w:rFonts w:eastAsia="Times New Roman" w:cs="Times New Roman"/>
          <w:sz w:val="21"/>
          <w:szCs w:val="21"/>
          <w:lang w:val="en-AU"/>
        </w:rPr>
        <w:t xml:space="preserve">is a clear area of mutual interest and this activity will explore that opportunity in </w:t>
      </w:r>
      <w:r w:rsidR="00133D41">
        <w:rPr>
          <w:rFonts w:eastAsia="Times New Roman" w:cs="Times New Roman"/>
          <w:sz w:val="21"/>
          <w:szCs w:val="21"/>
          <w:lang w:val="en-AU"/>
        </w:rPr>
        <w:t>specific categories</w:t>
      </w:r>
      <w:r w:rsidRPr="001653CE">
        <w:rPr>
          <w:rFonts w:eastAsia="Times New Roman" w:cs="Times New Roman"/>
          <w:sz w:val="21"/>
          <w:szCs w:val="21"/>
          <w:lang w:val="en-AU"/>
        </w:rPr>
        <w:t>, while also demonstrating potential collaboration across the broader manufacturing sector.</w:t>
      </w:r>
    </w:p>
    <w:p w14:paraId="1E2E685B" w14:textId="379C18A3" w:rsidR="0047783D" w:rsidRPr="001653CE" w:rsidRDefault="0047783D" w:rsidP="007A1B91">
      <w:pPr>
        <w:pBdr>
          <w:top w:val="single" w:sz="4" w:space="1" w:color="auto"/>
          <w:left w:val="single" w:sz="4" w:space="4" w:color="auto"/>
          <w:bottom w:val="single" w:sz="4" w:space="1" w:color="auto"/>
          <w:right w:val="single" w:sz="4" w:space="4" w:color="auto"/>
        </w:pBdr>
        <w:suppressAutoHyphens w:val="0"/>
        <w:spacing w:after="120"/>
        <w:jc w:val="both"/>
        <w:rPr>
          <w:rFonts w:eastAsia="Times New Roman" w:cs="Times New Roman"/>
          <w:sz w:val="21"/>
          <w:szCs w:val="21"/>
          <w:lang w:val="en-AU"/>
        </w:rPr>
      </w:pPr>
      <w:r w:rsidRPr="001653CE">
        <w:rPr>
          <w:rFonts w:eastAsia="Times New Roman" w:cs="Times New Roman"/>
          <w:sz w:val="21"/>
          <w:szCs w:val="21"/>
          <w:lang w:val="en-AU"/>
        </w:rPr>
        <w:t xml:space="preserve">A range of potential opportunities for collaboration in advanced manufacturing exists between Australia and Indonesia. A particular opportunity proposed by Indonesia, is for Australian industry expertise and trade in components </w:t>
      </w:r>
      <w:r w:rsidR="00C805FD">
        <w:rPr>
          <w:rFonts w:eastAsia="Times New Roman" w:cs="Times New Roman"/>
          <w:sz w:val="21"/>
          <w:szCs w:val="21"/>
          <w:lang w:val="en-AU"/>
        </w:rPr>
        <w:t xml:space="preserve">and core material </w:t>
      </w:r>
      <w:r w:rsidRPr="001653CE">
        <w:rPr>
          <w:rFonts w:eastAsia="Times New Roman" w:cs="Times New Roman"/>
          <w:sz w:val="21"/>
          <w:szCs w:val="21"/>
          <w:lang w:val="en-AU"/>
        </w:rPr>
        <w:t xml:space="preserve">that will support the design and development of an electric vehicle, a core priority in Indonesia’s industrial development plans. Indonesia is currently partnering with Japan in the development of an electric vehicle designed for domestic and export markets, including the ASEAN region. This work has revealed major component and skills needs in sectors where Australia has a clear comparative advantage. </w:t>
      </w:r>
      <w:r w:rsidR="00C01DB1">
        <w:rPr>
          <w:rFonts w:eastAsia="Times New Roman" w:cs="Times New Roman"/>
          <w:sz w:val="21"/>
          <w:szCs w:val="21"/>
          <w:lang w:val="en-AU"/>
        </w:rPr>
        <w:t>O</w:t>
      </w:r>
      <w:r w:rsidRPr="001653CE">
        <w:rPr>
          <w:rFonts w:eastAsia="Times New Roman" w:cs="Times New Roman"/>
          <w:sz w:val="21"/>
          <w:szCs w:val="21"/>
          <w:lang w:val="en-AU"/>
        </w:rPr>
        <w:t>pportunities have been identified in</w:t>
      </w:r>
      <w:r w:rsidR="00C01DB1">
        <w:rPr>
          <w:rFonts w:eastAsia="Times New Roman" w:cs="Times New Roman"/>
          <w:sz w:val="21"/>
          <w:szCs w:val="21"/>
          <w:lang w:val="en-AU"/>
        </w:rPr>
        <w:t xml:space="preserve"> supporting inputs to</w:t>
      </w:r>
      <w:r w:rsidRPr="001653CE">
        <w:rPr>
          <w:rFonts w:eastAsia="Times New Roman" w:cs="Times New Roman"/>
          <w:sz w:val="21"/>
          <w:szCs w:val="21"/>
          <w:lang w:val="en-AU"/>
        </w:rPr>
        <w:t xml:space="preserve"> lithium batteries, being a major component of electric vehicles, and precision engineering</w:t>
      </w:r>
      <w:r w:rsidR="00C01DB1">
        <w:rPr>
          <w:rFonts w:eastAsia="Times New Roman" w:cs="Times New Roman"/>
          <w:sz w:val="21"/>
          <w:szCs w:val="21"/>
          <w:lang w:val="en-AU"/>
        </w:rPr>
        <w:t xml:space="preserve"> over time</w:t>
      </w:r>
      <w:r w:rsidRPr="001653CE">
        <w:rPr>
          <w:rFonts w:eastAsia="Times New Roman" w:cs="Times New Roman"/>
          <w:sz w:val="21"/>
          <w:szCs w:val="21"/>
          <w:lang w:val="en-AU"/>
        </w:rPr>
        <w:t xml:space="preserve">. The ECP will convene a process between </w:t>
      </w:r>
      <w:r w:rsidR="00335E7B" w:rsidRPr="001653CE">
        <w:rPr>
          <w:rFonts w:eastAsia="Times New Roman" w:cs="Times New Roman"/>
          <w:sz w:val="21"/>
          <w:szCs w:val="21"/>
          <w:lang w:val="en-AU"/>
        </w:rPr>
        <w:t xml:space="preserve">the </w:t>
      </w:r>
      <w:r w:rsidRPr="001653CE">
        <w:rPr>
          <w:rFonts w:eastAsia="Times New Roman" w:cs="Times New Roman"/>
          <w:sz w:val="21"/>
          <w:szCs w:val="21"/>
          <w:lang w:val="en-AU"/>
        </w:rPr>
        <w:t>Indonesian automotive industry and Australia’s advanced</w:t>
      </w:r>
      <w:r w:rsidRPr="001653CE">
        <w:rPr>
          <w:rFonts w:asciiTheme="majorHAnsi" w:hAnsiTheme="majorHAnsi" w:cs="Arial"/>
          <w:iCs/>
          <w:sz w:val="21"/>
          <w:szCs w:val="21"/>
        </w:rPr>
        <w:t xml:space="preserve"> </w:t>
      </w:r>
      <w:r w:rsidRPr="001653CE">
        <w:rPr>
          <w:rFonts w:eastAsia="Times New Roman" w:cs="Times New Roman"/>
          <w:sz w:val="21"/>
          <w:szCs w:val="21"/>
          <w:lang w:val="en-AU"/>
        </w:rPr>
        <w:t>manufacturing industry to explore opportunities to support these efforts</w:t>
      </w:r>
      <w:r w:rsidR="00861D2D">
        <w:rPr>
          <w:rFonts w:eastAsia="Times New Roman" w:cs="Times New Roman"/>
          <w:sz w:val="21"/>
          <w:szCs w:val="21"/>
          <w:lang w:val="en-AU"/>
        </w:rPr>
        <w:t>, commencing with a Scoping Study on complementarities and specific opportunities for supply chain collaboration</w:t>
      </w:r>
      <w:r w:rsidRPr="001653CE">
        <w:rPr>
          <w:rFonts w:eastAsia="Times New Roman" w:cs="Times New Roman"/>
          <w:sz w:val="21"/>
          <w:szCs w:val="21"/>
          <w:lang w:val="en-AU"/>
        </w:rPr>
        <w:t xml:space="preserve">. </w:t>
      </w:r>
      <w:r w:rsidR="00B95C5C">
        <w:rPr>
          <w:rFonts w:eastAsia="Times New Roman" w:cs="Times New Roman"/>
          <w:sz w:val="21"/>
          <w:szCs w:val="21"/>
          <w:lang w:val="en-AU"/>
        </w:rPr>
        <w:t>This will be overseen by a dialogue between the Australian Department of Industry, Innovation, Science, Energy and Resources (DISER)</w:t>
      </w:r>
      <w:r w:rsidR="00861D2D">
        <w:rPr>
          <w:rFonts w:eastAsia="Times New Roman" w:cs="Times New Roman"/>
          <w:sz w:val="21"/>
          <w:szCs w:val="21"/>
          <w:lang w:val="en-AU"/>
        </w:rPr>
        <w:t xml:space="preserve"> and its Indonesian counterpart to explore prospects for facilitating </w:t>
      </w:r>
      <w:r w:rsidR="00133D41">
        <w:rPr>
          <w:rFonts w:eastAsia="Times New Roman" w:cs="Times New Roman"/>
          <w:sz w:val="21"/>
          <w:szCs w:val="21"/>
          <w:lang w:val="en-AU"/>
        </w:rPr>
        <w:t xml:space="preserve">sustainable </w:t>
      </w:r>
      <w:r w:rsidR="00861D2D">
        <w:rPr>
          <w:rFonts w:eastAsia="Times New Roman" w:cs="Times New Roman"/>
          <w:sz w:val="21"/>
          <w:szCs w:val="21"/>
          <w:lang w:val="en-AU"/>
        </w:rPr>
        <w:t xml:space="preserve">supply chain development. </w:t>
      </w:r>
    </w:p>
    <w:p w14:paraId="6E430AAD" w14:textId="50E3F9BF" w:rsidR="0047783D" w:rsidRPr="001653CE" w:rsidRDefault="0047783D" w:rsidP="007A1B91">
      <w:pPr>
        <w:pBdr>
          <w:top w:val="single" w:sz="4" w:space="1" w:color="auto"/>
          <w:left w:val="single" w:sz="4" w:space="4" w:color="auto"/>
          <w:bottom w:val="single" w:sz="4" w:space="1" w:color="auto"/>
          <w:right w:val="single" w:sz="4" w:space="4" w:color="auto"/>
        </w:pBdr>
        <w:suppressAutoHyphens w:val="0"/>
        <w:spacing w:after="120"/>
        <w:jc w:val="both"/>
        <w:rPr>
          <w:rFonts w:eastAsia="Times New Roman" w:cs="Times New Roman"/>
          <w:sz w:val="21"/>
          <w:szCs w:val="21"/>
          <w:lang w:val="en-AU"/>
        </w:rPr>
      </w:pPr>
      <w:r w:rsidRPr="001653CE">
        <w:rPr>
          <w:rFonts w:eastAsia="Times New Roman" w:cs="Times New Roman"/>
          <w:sz w:val="21"/>
          <w:szCs w:val="21"/>
          <w:lang w:val="en-AU"/>
        </w:rPr>
        <w:t xml:space="preserve">This work will also explore opportunities to expand trade and investment across other advanced manufacturing </w:t>
      </w:r>
      <w:r w:rsidR="00133D41">
        <w:rPr>
          <w:rFonts w:eastAsia="Times New Roman" w:cs="Times New Roman"/>
          <w:sz w:val="21"/>
          <w:szCs w:val="21"/>
          <w:lang w:val="en-AU"/>
        </w:rPr>
        <w:t>categories</w:t>
      </w:r>
      <w:r w:rsidRPr="001653CE">
        <w:rPr>
          <w:rFonts w:eastAsia="Times New Roman" w:cs="Times New Roman"/>
          <w:sz w:val="21"/>
          <w:szCs w:val="21"/>
          <w:lang w:val="en-AU"/>
        </w:rPr>
        <w:t xml:space="preserve">. A partnership is proposed between Australia’s Advanced Manufacturing Growth Centre (AMGC) and </w:t>
      </w:r>
      <w:r w:rsidR="00133D41">
        <w:rPr>
          <w:rFonts w:eastAsia="Times New Roman" w:cs="Times New Roman"/>
          <w:sz w:val="21"/>
          <w:szCs w:val="21"/>
          <w:lang w:val="en-AU"/>
        </w:rPr>
        <w:t xml:space="preserve">(tentatively) </w:t>
      </w:r>
      <w:r w:rsidR="00501AB3">
        <w:rPr>
          <w:rFonts w:eastAsia="Times New Roman" w:cs="Times New Roman"/>
          <w:sz w:val="21"/>
          <w:szCs w:val="21"/>
          <w:lang w:val="en-AU"/>
        </w:rPr>
        <w:t xml:space="preserve">KADIN </w:t>
      </w:r>
      <w:r w:rsidR="006C39E4">
        <w:rPr>
          <w:rFonts w:eastAsia="Times New Roman" w:cs="Times New Roman"/>
          <w:sz w:val="21"/>
          <w:szCs w:val="21"/>
          <w:lang w:val="en-AU"/>
        </w:rPr>
        <w:t xml:space="preserve">or other relevant industry representative groups </w:t>
      </w:r>
      <w:r w:rsidRPr="001653CE">
        <w:rPr>
          <w:rFonts w:eastAsia="Times New Roman" w:cs="Times New Roman"/>
          <w:sz w:val="21"/>
          <w:szCs w:val="21"/>
          <w:lang w:val="en-AU"/>
        </w:rPr>
        <w:t xml:space="preserve">to establish a dialogue to explore opportunities in other sectors. This work will be </w:t>
      </w:r>
      <w:r w:rsidR="00133D41">
        <w:rPr>
          <w:rFonts w:eastAsia="Times New Roman" w:cs="Times New Roman"/>
          <w:sz w:val="21"/>
          <w:szCs w:val="21"/>
          <w:lang w:val="en-AU"/>
        </w:rPr>
        <w:t xml:space="preserve">guided by </w:t>
      </w:r>
      <w:r w:rsidR="00C01DB1">
        <w:rPr>
          <w:rFonts w:eastAsia="Times New Roman" w:cs="Times New Roman"/>
          <w:sz w:val="21"/>
          <w:szCs w:val="21"/>
          <w:lang w:val="en-AU"/>
        </w:rPr>
        <w:t>DISER</w:t>
      </w:r>
      <w:r w:rsidR="00B8499B" w:rsidRPr="001653CE">
        <w:rPr>
          <w:rFonts w:eastAsia="Times New Roman" w:cs="Times New Roman"/>
          <w:sz w:val="21"/>
          <w:szCs w:val="21"/>
          <w:lang w:val="en-AU"/>
        </w:rPr>
        <w:t>,</w:t>
      </w:r>
      <w:r w:rsidRPr="001653CE">
        <w:rPr>
          <w:rFonts w:eastAsia="Times New Roman" w:cs="Times New Roman"/>
          <w:sz w:val="21"/>
          <w:szCs w:val="21"/>
          <w:lang w:val="en-AU"/>
        </w:rPr>
        <w:t xml:space="preserve"> </w:t>
      </w:r>
      <w:r w:rsidR="00976C25" w:rsidRPr="001653CE">
        <w:rPr>
          <w:rFonts w:eastAsia="Times New Roman" w:cs="Times New Roman"/>
          <w:sz w:val="21"/>
          <w:szCs w:val="21"/>
          <w:lang w:val="en-AU"/>
        </w:rPr>
        <w:t>Aus</w:t>
      </w:r>
      <w:r w:rsidR="008B0A07">
        <w:rPr>
          <w:rFonts w:eastAsia="Times New Roman" w:cs="Times New Roman"/>
          <w:sz w:val="21"/>
          <w:szCs w:val="21"/>
          <w:lang w:val="en-AU"/>
        </w:rPr>
        <w:t>t</w:t>
      </w:r>
      <w:r w:rsidR="00976C25" w:rsidRPr="001653CE">
        <w:rPr>
          <w:rFonts w:eastAsia="Times New Roman" w:cs="Times New Roman"/>
          <w:sz w:val="21"/>
          <w:szCs w:val="21"/>
          <w:lang w:val="en-AU"/>
        </w:rPr>
        <w:t>rade</w:t>
      </w:r>
      <w:r w:rsidRPr="001653CE">
        <w:rPr>
          <w:rFonts w:eastAsia="Times New Roman" w:cs="Times New Roman"/>
          <w:sz w:val="21"/>
          <w:szCs w:val="21"/>
          <w:lang w:val="en-AU"/>
        </w:rPr>
        <w:t xml:space="preserve"> </w:t>
      </w:r>
      <w:r w:rsidR="00B8499B" w:rsidRPr="001653CE">
        <w:rPr>
          <w:rFonts w:eastAsia="Times New Roman" w:cs="Times New Roman"/>
          <w:sz w:val="21"/>
          <w:szCs w:val="21"/>
          <w:lang w:val="en-AU"/>
        </w:rPr>
        <w:t xml:space="preserve">and the Indonesian Department of Industry </w:t>
      </w:r>
      <w:r w:rsidRPr="001653CE">
        <w:rPr>
          <w:rFonts w:eastAsia="Times New Roman" w:cs="Times New Roman"/>
          <w:sz w:val="21"/>
          <w:szCs w:val="21"/>
          <w:lang w:val="en-AU"/>
        </w:rPr>
        <w:t>given their established relation</w:t>
      </w:r>
      <w:r w:rsidR="00B8499B" w:rsidRPr="001653CE">
        <w:rPr>
          <w:rFonts w:eastAsia="Times New Roman" w:cs="Times New Roman"/>
          <w:sz w:val="21"/>
          <w:szCs w:val="21"/>
          <w:lang w:val="en-AU"/>
        </w:rPr>
        <w:t>ships and role working with</w:t>
      </w:r>
      <w:r w:rsidRPr="001653CE">
        <w:rPr>
          <w:rFonts w:eastAsia="Times New Roman" w:cs="Times New Roman"/>
          <w:sz w:val="21"/>
          <w:szCs w:val="21"/>
          <w:lang w:val="en-AU"/>
        </w:rPr>
        <w:t xml:space="preserve"> these organisations. </w:t>
      </w:r>
    </w:p>
    <w:p w14:paraId="787EEECA" w14:textId="5B020FCF" w:rsidR="0047783D" w:rsidRPr="001653CE" w:rsidRDefault="0047783D" w:rsidP="007A1B91">
      <w:pPr>
        <w:pBdr>
          <w:top w:val="single" w:sz="4" w:space="1" w:color="auto"/>
          <w:left w:val="single" w:sz="4" w:space="4" w:color="auto"/>
          <w:bottom w:val="single" w:sz="4" w:space="1" w:color="auto"/>
          <w:right w:val="single" w:sz="4" w:space="4" w:color="auto"/>
        </w:pBdr>
        <w:suppressAutoHyphens w:val="0"/>
        <w:spacing w:after="120"/>
        <w:jc w:val="both"/>
        <w:rPr>
          <w:rFonts w:eastAsia="Times New Roman" w:cs="Times New Roman"/>
          <w:sz w:val="21"/>
          <w:szCs w:val="21"/>
          <w:lang w:val="en-AU"/>
        </w:rPr>
      </w:pPr>
      <w:r w:rsidRPr="001653CE">
        <w:rPr>
          <w:rFonts w:eastAsia="Times New Roman" w:cs="Times New Roman"/>
          <w:sz w:val="21"/>
          <w:szCs w:val="21"/>
          <w:lang w:val="en-AU"/>
        </w:rPr>
        <w:t xml:space="preserve">Trade and investment in advanced manufacturing requires further alignment of standards between the two countries manufacturing sectors. Standards Australia undertook a study in 2015 on opportunities to work towards agreed global standards in partnership with Indonesia. This activity will support the continuation of these efforts, looking at standards </w:t>
      </w:r>
      <w:r w:rsidR="000E444B">
        <w:rPr>
          <w:rFonts w:cstheme="majorHAnsi"/>
          <w:sz w:val="20"/>
          <w:szCs w:val="21"/>
        </w:rPr>
        <w:t xml:space="preserve">and conformance </w:t>
      </w:r>
      <w:r w:rsidRPr="001653CE">
        <w:rPr>
          <w:rFonts w:eastAsia="Times New Roman" w:cs="Times New Roman"/>
          <w:sz w:val="21"/>
          <w:szCs w:val="21"/>
          <w:lang w:val="en-AU"/>
        </w:rPr>
        <w:t>in priority sectors, potentia</w:t>
      </w:r>
      <w:r w:rsidR="00974932" w:rsidRPr="001653CE">
        <w:rPr>
          <w:rFonts w:eastAsia="Times New Roman" w:cs="Times New Roman"/>
          <w:sz w:val="21"/>
          <w:szCs w:val="21"/>
          <w:lang w:val="en-AU"/>
        </w:rPr>
        <w:t xml:space="preserve">lly electrical and vitamin and health supplement </w:t>
      </w:r>
      <w:r w:rsidRPr="001653CE">
        <w:rPr>
          <w:rFonts w:eastAsia="Times New Roman" w:cs="Times New Roman"/>
          <w:sz w:val="21"/>
          <w:szCs w:val="21"/>
          <w:lang w:val="en-AU"/>
        </w:rPr>
        <w:t>standards, in subsequent years.</w:t>
      </w:r>
    </w:p>
    <w:p w14:paraId="19A323A7" w14:textId="792565F7" w:rsidR="00503E97" w:rsidRDefault="0047783D" w:rsidP="007A1B91">
      <w:pPr>
        <w:pBdr>
          <w:top w:val="single" w:sz="4" w:space="1" w:color="auto"/>
          <w:left w:val="single" w:sz="4" w:space="4" w:color="auto"/>
          <w:bottom w:val="single" w:sz="4" w:space="1" w:color="auto"/>
          <w:right w:val="single" w:sz="4" w:space="4" w:color="auto"/>
        </w:pBdr>
        <w:suppressAutoHyphens w:val="0"/>
        <w:spacing w:after="120"/>
        <w:jc w:val="both"/>
        <w:rPr>
          <w:rFonts w:eastAsia="Times New Roman" w:cs="Times New Roman"/>
          <w:sz w:val="20"/>
          <w:szCs w:val="20"/>
          <w:lang w:val="en-AU"/>
        </w:rPr>
      </w:pPr>
      <w:r w:rsidRPr="00976C25">
        <w:rPr>
          <w:rFonts w:eastAsia="Times New Roman" w:cs="Times New Roman"/>
          <w:sz w:val="21"/>
          <w:szCs w:val="21"/>
          <w:lang w:val="en-AU"/>
        </w:rPr>
        <w:t>Over the five</w:t>
      </w:r>
      <w:r w:rsidR="00335E7B" w:rsidRPr="00976C25">
        <w:rPr>
          <w:rFonts w:eastAsia="Times New Roman" w:cs="Times New Roman"/>
          <w:sz w:val="21"/>
          <w:szCs w:val="21"/>
          <w:lang w:val="en-AU"/>
        </w:rPr>
        <w:t>-</w:t>
      </w:r>
      <w:r w:rsidRPr="00976C25">
        <w:rPr>
          <w:rFonts w:eastAsia="Times New Roman" w:cs="Times New Roman"/>
          <w:sz w:val="21"/>
          <w:szCs w:val="21"/>
          <w:lang w:val="en-AU"/>
        </w:rPr>
        <w:t xml:space="preserve">year life of ECP, this activity will expand the partnership in manufacturing to other </w:t>
      </w:r>
      <w:r w:rsidR="00133D41">
        <w:rPr>
          <w:rFonts w:eastAsia="Times New Roman" w:cs="Times New Roman"/>
          <w:sz w:val="21"/>
          <w:szCs w:val="21"/>
          <w:lang w:val="en-AU"/>
        </w:rPr>
        <w:t>categories</w:t>
      </w:r>
      <w:r w:rsidRPr="00976C25">
        <w:rPr>
          <w:rFonts w:eastAsia="Times New Roman" w:cs="Times New Roman"/>
          <w:sz w:val="21"/>
          <w:szCs w:val="21"/>
          <w:lang w:val="en-AU"/>
        </w:rPr>
        <w:t xml:space="preserve">, with food processing and health vitamins and supplements (nutraceuticals), identified as priority sectors with significant economic potential, government and private sector interest in both Indonesia and Australia, and alignment with IA-CEPA.  </w:t>
      </w:r>
      <w:r w:rsidR="003238DE" w:rsidRPr="00976C25">
        <w:rPr>
          <w:rFonts w:eastAsia="Times New Roman" w:cs="Times New Roman"/>
          <w:sz w:val="21"/>
          <w:szCs w:val="21"/>
          <w:lang w:val="en-AU"/>
        </w:rPr>
        <w:t xml:space="preserve">This will likely </w:t>
      </w:r>
      <w:r w:rsidR="003238DE" w:rsidRPr="00976C25">
        <w:rPr>
          <w:rFonts w:eastAsia="Times New Roman" w:cs="Times New Roman"/>
          <w:b/>
          <w:sz w:val="21"/>
          <w:szCs w:val="21"/>
          <w:lang w:val="en-AU"/>
        </w:rPr>
        <w:t>increase engagement with Indonesia’s MSME sector as Tier 1 and 2 suppliers</w:t>
      </w:r>
      <w:r w:rsidR="003238DE">
        <w:rPr>
          <w:rFonts w:eastAsia="Times New Roman" w:cs="Times New Roman"/>
          <w:sz w:val="20"/>
          <w:szCs w:val="20"/>
          <w:lang w:val="en-AU"/>
        </w:rPr>
        <w:t xml:space="preserve">. </w:t>
      </w:r>
    </w:p>
    <w:p w14:paraId="5CB18EB7" w14:textId="4A90B4CE" w:rsidR="004608A2" w:rsidRPr="002C2D80" w:rsidRDefault="004608A2" w:rsidP="007C4ABD">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rPr>
      </w:pPr>
      <w:r w:rsidRPr="002C2D80">
        <w:rPr>
          <w:rFonts w:asciiTheme="majorHAnsi" w:hAnsiTheme="majorHAnsi"/>
          <w:b/>
        </w:rPr>
        <w:t xml:space="preserve">Budget </w:t>
      </w:r>
      <w:r w:rsidRPr="002C2D80">
        <w:rPr>
          <w:rFonts w:asciiTheme="majorHAnsi" w:hAnsiTheme="majorHAnsi"/>
          <w:b/>
          <w:szCs w:val="21"/>
        </w:rPr>
        <w:t>and</w:t>
      </w:r>
      <w:r w:rsidRPr="002C2D80">
        <w:rPr>
          <w:rFonts w:asciiTheme="majorHAnsi" w:hAnsiTheme="majorHAnsi"/>
          <w:b/>
        </w:rPr>
        <w:t xml:space="preserve"> Resourcing (What will it cost?)</w:t>
      </w:r>
      <w:r w:rsidR="00451440">
        <w:rPr>
          <w:rFonts w:asciiTheme="majorHAnsi" w:hAnsiTheme="majorHAnsi"/>
          <w:b/>
        </w:rPr>
        <w:t xml:space="preserve"> </w:t>
      </w:r>
    </w:p>
    <w:p w14:paraId="7CAD3884" w14:textId="3AC3F113" w:rsidR="00313254" w:rsidRPr="00503E97" w:rsidRDefault="008E008C" w:rsidP="00A83067">
      <w:pPr>
        <w:tabs>
          <w:tab w:val="left" w:pos="284"/>
        </w:tabs>
        <w:suppressAutoHyphens w:val="0"/>
        <w:spacing w:before="0" w:after="0"/>
        <w:jc w:val="both"/>
        <w:rPr>
          <w:sz w:val="21"/>
          <w:szCs w:val="21"/>
        </w:rPr>
      </w:pPr>
      <w:r w:rsidRPr="0044684F">
        <w:rPr>
          <w:rFonts w:eastAsia="Times New Roman" w:cs="Arial"/>
          <w:sz w:val="21"/>
          <w:szCs w:val="21"/>
          <w:lang w:val="en-AU" w:eastAsia="en-AU"/>
        </w:rPr>
        <w:t xml:space="preserve">DFAT proposes to allocate </w:t>
      </w:r>
      <w:r w:rsidR="00BD0820" w:rsidRPr="0044684F">
        <w:rPr>
          <w:rFonts w:eastAsia="Times New Roman" w:cs="Arial"/>
          <w:sz w:val="21"/>
          <w:szCs w:val="21"/>
          <w:lang w:val="en-AU" w:eastAsia="en-AU"/>
        </w:rPr>
        <w:t xml:space="preserve">an initial </w:t>
      </w:r>
      <w:r w:rsidRPr="0044684F">
        <w:rPr>
          <w:rFonts w:eastAsia="Times New Roman" w:cs="Arial"/>
          <w:sz w:val="21"/>
          <w:szCs w:val="21"/>
          <w:lang w:val="en-AU" w:eastAsia="en-AU"/>
        </w:rPr>
        <w:t xml:space="preserve">40 million </w:t>
      </w:r>
      <w:r w:rsidR="00247C79">
        <w:rPr>
          <w:rFonts w:eastAsia="Times New Roman" w:cs="Arial"/>
          <w:sz w:val="21"/>
          <w:szCs w:val="21"/>
          <w:lang w:val="en-AU" w:eastAsia="en-AU"/>
        </w:rPr>
        <w:t xml:space="preserve">dollars </w:t>
      </w:r>
      <w:r w:rsidRPr="0044684F">
        <w:rPr>
          <w:rFonts w:eastAsia="Times New Roman" w:cs="Arial"/>
          <w:sz w:val="21"/>
          <w:szCs w:val="21"/>
          <w:lang w:val="en-AU" w:eastAsia="en-AU"/>
        </w:rPr>
        <w:t xml:space="preserve">over </w:t>
      </w:r>
      <w:r w:rsidR="00BD0820" w:rsidRPr="0044684F">
        <w:rPr>
          <w:rFonts w:eastAsia="Times New Roman" w:cs="Arial"/>
          <w:sz w:val="21"/>
          <w:szCs w:val="21"/>
          <w:lang w:val="en-AU" w:eastAsia="en-AU"/>
        </w:rPr>
        <w:t xml:space="preserve">five </w:t>
      </w:r>
      <w:r w:rsidRPr="0044684F">
        <w:rPr>
          <w:rFonts w:eastAsia="Times New Roman" w:cs="Arial"/>
          <w:sz w:val="21"/>
          <w:szCs w:val="21"/>
          <w:lang w:val="en-AU" w:eastAsia="en-AU"/>
        </w:rPr>
        <w:t xml:space="preserve">years to the ECP. </w:t>
      </w:r>
      <w:r w:rsidR="00CD7620" w:rsidRPr="0044684F">
        <w:rPr>
          <w:sz w:val="21"/>
          <w:szCs w:val="21"/>
        </w:rPr>
        <w:t>The bud</w:t>
      </w:r>
      <w:r w:rsidR="00795BAA" w:rsidRPr="0044684F">
        <w:rPr>
          <w:sz w:val="21"/>
          <w:szCs w:val="21"/>
        </w:rPr>
        <w:t>get allocation in Year 1 is $</w:t>
      </w:r>
      <w:r w:rsidR="00503E97">
        <w:rPr>
          <w:sz w:val="21"/>
          <w:szCs w:val="21"/>
        </w:rPr>
        <w:t>6</w:t>
      </w:r>
      <w:r w:rsidR="00247C79">
        <w:rPr>
          <w:sz w:val="21"/>
          <w:szCs w:val="21"/>
        </w:rPr>
        <w:t>.</w:t>
      </w:r>
      <w:r w:rsidR="00503E97">
        <w:rPr>
          <w:sz w:val="21"/>
          <w:szCs w:val="21"/>
        </w:rPr>
        <w:t>1</w:t>
      </w:r>
      <w:r w:rsidR="00CD7620" w:rsidRPr="0044684F">
        <w:rPr>
          <w:sz w:val="21"/>
          <w:szCs w:val="21"/>
        </w:rPr>
        <w:t xml:space="preserve"> million, increasing to an average of $8</w:t>
      </w:r>
      <w:r w:rsidR="00795BAA" w:rsidRPr="0044684F">
        <w:rPr>
          <w:sz w:val="21"/>
          <w:szCs w:val="21"/>
        </w:rPr>
        <w:t xml:space="preserve">.5 million in subsequent years, </w:t>
      </w:r>
      <w:r w:rsidR="00974932" w:rsidRPr="0044684F">
        <w:rPr>
          <w:sz w:val="21"/>
          <w:szCs w:val="21"/>
        </w:rPr>
        <w:t>reflecting</w:t>
      </w:r>
      <w:r w:rsidR="00795BAA" w:rsidRPr="0044684F">
        <w:rPr>
          <w:sz w:val="21"/>
          <w:szCs w:val="21"/>
        </w:rPr>
        <w:t xml:space="preserve"> the need to scale-up activities once the </w:t>
      </w:r>
      <w:r w:rsidR="00C33433" w:rsidRPr="0044684F">
        <w:rPr>
          <w:sz w:val="21"/>
          <w:szCs w:val="21"/>
        </w:rPr>
        <w:t>Collaborative Hub</w:t>
      </w:r>
      <w:r w:rsidR="00795BAA" w:rsidRPr="0044684F">
        <w:rPr>
          <w:sz w:val="21"/>
          <w:szCs w:val="21"/>
        </w:rPr>
        <w:t xml:space="preserve"> is fully </w:t>
      </w:r>
      <w:r w:rsidR="00974932" w:rsidRPr="0044684F">
        <w:rPr>
          <w:sz w:val="21"/>
          <w:szCs w:val="21"/>
        </w:rPr>
        <w:t>operationali</w:t>
      </w:r>
      <w:r w:rsidR="00976C25">
        <w:rPr>
          <w:sz w:val="21"/>
          <w:szCs w:val="21"/>
        </w:rPr>
        <w:t>s</w:t>
      </w:r>
      <w:r w:rsidR="00974932" w:rsidRPr="0044684F">
        <w:rPr>
          <w:sz w:val="21"/>
          <w:szCs w:val="21"/>
        </w:rPr>
        <w:t>ed</w:t>
      </w:r>
      <w:r w:rsidR="00795BAA" w:rsidRPr="0044684F">
        <w:rPr>
          <w:sz w:val="21"/>
          <w:szCs w:val="21"/>
        </w:rPr>
        <w:t xml:space="preserve">. </w:t>
      </w:r>
      <w:r w:rsidR="00503E97">
        <w:rPr>
          <w:sz w:val="21"/>
          <w:szCs w:val="21"/>
        </w:rPr>
        <w:t xml:space="preserve">The </w:t>
      </w:r>
      <w:r w:rsidR="007A5BF2">
        <w:rPr>
          <w:rFonts w:eastAsia="Times New Roman" w:cs="Arial"/>
          <w:sz w:val="21"/>
          <w:szCs w:val="21"/>
          <w:lang w:val="en-AU" w:eastAsia="en-AU"/>
        </w:rPr>
        <w:t xml:space="preserve">Government of Indonesia </w:t>
      </w:r>
      <w:r w:rsidR="001D5BE3" w:rsidRPr="0044684F">
        <w:rPr>
          <w:rFonts w:eastAsia="Times New Roman" w:cs="Arial"/>
          <w:sz w:val="21"/>
          <w:szCs w:val="21"/>
          <w:lang w:val="en-AU" w:eastAsia="en-AU"/>
        </w:rPr>
        <w:t>ha</w:t>
      </w:r>
      <w:r w:rsidR="00BD0820" w:rsidRPr="0044684F">
        <w:rPr>
          <w:rFonts w:eastAsia="Times New Roman" w:cs="Arial"/>
          <w:sz w:val="21"/>
          <w:szCs w:val="21"/>
          <w:lang w:val="en-AU" w:eastAsia="en-AU"/>
        </w:rPr>
        <w:t>s</w:t>
      </w:r>
      <w:r w:rsidR="001D5BE3" w:rsidRPr="0044684F">
        <w:rPr>
          <w:rFonts w:eastAsia="Times New Roman" w:cs="Arial"/>
          <w:sz w:val="21"/>
          <w:szCs w:val="21"/>
          <w:lang w:val="en-AU" w:eastAsia="en-AU"/>
        </w:rPr>
        <w:t xml:space="preserve"> </w:t>
      </w:r>
      <w:r w:rsidR="00974932" w:rsidRPr="0044684F">
        <w:rPr>
          <w:rFonts w:eastAsia="Times New Roman" w:cs="Arial"/>
          <w:sz w:val="21"/>
          <w:szCs w:val="21"/>
          <w:lang w:val="en-AU" w:eastAsia="en-AU"/>
        </w:rPr>
        <w:t>committed</w:t>
      </w:r>
      <w:r w:rsidR="001D5BE3" w:rsidRPr="0044684F">
        <w:rPr>
          <w:rFonts w:eastAsia="Times New Roman" w:cs="Arial"/>
          <w:sz w:val="21"/>
          <w:szCs w:val="21"/>
          <w:lang w:val="en-AU" w:eastAsia="en-AU"/>
        </w:rPr>
        <w:t xml:space="preserve"> their own financial and other resources to ECP</w:t>
      </w:r>
      <w:r w:rsidR="002D3BDC" w:rsidRPr="0044684F">
        <w:rPr>
          <w:rFonts w:eastAsia="Times New Roman" w:cs="Arial"/>
          <w:sz w:val="21"/>
          <w:szCs w:val="21"/>
          <w:lang w:val="en-AU" w:eastAsia="en-AU"/>
        </w:rPr>
        <w:t>, which are not included here as discussions on financial and in-kind contributions are ongoing</w:t>
      </w:r>
      <w:r w:rsidR="001D5BE3" w:rsidRPr="0044684F">
        <w:rPr>
          <w:rFonts w:eastAsia="Times New Roman" w:cs="Arial"/>
          <w:sz w:val="21"/>
          <w:szCs w:val="21"/>
          <w:lang w:val="en-AU" w:eastAsia="en-AU"/>
        </w:rPr>
        <w:t>.</w:t>
      </w:r>
      <w:r w:rsidR="001D5BE3" w:rsidRPr="0044684F">
        <w:rPr>
          <w:sz w:val="21"/>
          <w:szCs w:val="21"/>
        </w:rPr>
        <w:t xml:space="preserve"> </w:t>
      </w:r>
    </w:p>
    <w:p w14:paraId="2584E667" w14:textId="77777777" w:rsidR="00D62015" w:rsidRDefault="00D62015" w:rsidP="00525A2A">
      <w:pPr>
        <w:suppressAutoHyphens w:val="0"/>
        <w:spacing w:before="0" w:after="0" w:line="240" w:lineRule="auto"/>
        <w:rPr>
          <w:noProof/>
          <w:lang w:val="en-AU" w:eastAsia="en-AU"/>
        </w:rPr>
      </w:pPr>
    </w:p>
    <w:p w14:paraId="3ABE72F7" w14:textId="667CC87B" w:rsidR="002D3BDC" w:rsidRDefault="008C1C99" w:rsidP="00525A2A">
      <w:pPr>
        <w:suppressAutoHyphens w:val="0"/>
        <w:spacing w:before="0" w:after="0" w:line="240" w:lineRule="auto"/>
        <w:rPr>
          <w:rFonts w:eastAsia="Times New Roman" w:cs="Arial"/>
          <w:sz w:val="21"/>
          <w:szCs w:val="21"/>
          <w:lang w:val="en-AU" w:eastAsia="en-AU"/>
        </w:rPr>
      </w:pPr>
      <w:r w:rsidRPr="00BD749B">
        <w:rPr>
          <w:rFonts w:eastAsia="Times New Roman" w:cs="Arial"/>
          <w:sz w:val="21"/>
          <w:szCs w:val="21"/>
          <w:lang w:val="en-AU" w:eastAsia="en-AU"/>
        </w:rPr>
        <w:t xml:space="preserve">An allocation will be made through the competitive tender process to </w:t>
      </w:r>
      <w:r w:rsidRPr="008C1C99">
        <w:rPr>
          <w:rFonts w:eastAsia="Times New Roman" w:cs="Arial"/>
          <w:sz w:val="21"/>
          <w:szCs w:val="21"/>
          <w:lang w:val="en-AU" w:eastAsia="en-AU"/>
        </w:rPr>
        <w:t xml:space="preserve">the </w:t>
      </w:r>
      <w:r w:rsidR="00795BAA" w:rsidRPr="008C1C99">
        <w:rPr>
          <w:rFonts w:eastAsia="Times New Roman" w:cs="Arial"/>
          <w:sz w:val="21"/>
          <w:szCs w:val="21"/>
          <w:lang w:val="en-AU" w:eastAsia="en-AU"/>
        </w:rPr>
        <w:t xml:space="preserve">core activities of IA-CEPA implementation </w:t>
      </w:r>
      <w:r w:rsidR="00795BAA" w:rsidRPr="00802ACA">
        <w:rPr>
          <w:rFonts w:eastAsia="Times New Roman" w:cs="Arial"/>
          <w:sz w:val="21"/>
          <w:szCs w:val="21"/>
          <w:lang w:val="en-AU" w:eastAsia="en-AU"/>
        </w:rPr>
        <w:t>and maximisation. The remaining budget is spread across the outcome areas of Market Access, Better-Integrated Markets and Enhanced Skills.</w:t>
      </w:r>
      <w:r w:rsidR="002D3BDC" w:rsidRPr="00802ACA">
        <w:rPr>
          <w:rFonts w:eastAsia="Times New Roman" w:cs="Arial"/>
          <w:sz w:val="21"/>
          <w:szCs w:val="21"/>
          <w:lang w:val="en-AU" w:eastAsia="en-AU"/>
        </w:rPr>
        <w:t xml:space="preserve"> While the </w:t>
      </w:r>
      <w:r w:rsidR="00D04ACB">
        <w:rPr>
          <w:rFonts w:eastAsia="Times New Roman" w:cs="Arial"/>
          <w:sz w:val="21"/>
          <w:szCs w:val="21"/>
          <w:lang w:val="en-AU" w:eastAsia="en-AU"/>
        </w:rPr>
        <w:t xml:space="preserve">total </w:t>
      </w:r>
      <w:r w:rsidR="002D3BDC" w:rsidRPr="00802ACA">
        <w:rPr>
          <w:rFonts w:eastAsia="Times New Roman" w:cs="Arial"/>
          <w:sz w:val="21"/>
          <w:szCs w:val="21"/>
          <w:lang w:val="en-AU" w:eastAsia="en-AU"/>
        </w:rPr>
        <w:t xml:space="preserve">budget has been allocated across the ECP’s outcome areas, </w:t>
      </w:r>
      <w:r w:rsidR="00247C79">
        <w:rPr>
          <w:rFonts w:eastAsia="Times New Roman" w:cs="Arial"/>
          <w:sz w:val="21"/>
          <w:szCs w:val="21"/>
          <w:lang w:val="en-AU" w:eastAsia="en-AU"/>
        </w:rPr>
        <w:t xml:space="preserve">30% of </w:t>
      </w:r>
      <w:r w:rsidR="002D3BDC" w:rsidRPr="00802ACA">
        <w:rPr>
          <w:rFonts w:eastAsia="Times New Roman" w:cs="Arial"/>
          <w:sz w:val="21"/>
          <w:szCs w:val="21"/>
          <w:lang w:val="en-AU" w:eastAsia="en-AU"/>
        </w:rPr>
        <w:t xml:space="preserve">funds have </w:t>
      </w:r>
      <w:r w:rsidR="00247C79">
        <w:rPr>
          <w:rFonts w:eastAsia="Times New Roman" w:cs="Arial"/>
          <w:sz w:val="21"/>
          <w:szCs w:val="21"/>
          <w:lang w:val="en-AU" w:eastAsia="en-AU"/>
        </w:rPr>
        <w:t xml:space="preserve">not </w:t>
      </w:r>
      <w:r w:rsidR="002D3BDC" w:rsidRPr="00802ACA">
        <w:rPr>
          <w:rFonts w:eastAsia="Times New Roman" w:cs="Arial"/>
          <w:sz w:val="21"/>
          <w:szCs w:val="21"/>
          <w:lang w:val="en-AU" w:eastAsia="en-AU"/>
        </w:rPr>
        <w:t>been allocated to specific activities over the full five-years</w:t>
      </w:r>
      <w:r w:rsidR="00247C79">
        <w:rPr>
          <w:rFonts w:eastAsia="Times New Roman" w:cs="Arial"/>
          <w:sz w:val="21"/>
          <w:szCs w:val="21"/>
          <w:lang w:val="en-AU" w:eastAsia="en-AU"/>
        </w:rPr>
        <w:t xml:space="preserve">, </w:t>
      </w:r>
      <w:r w:rsidR="002D3BDC" w:rsidRPr="00802ACA">
        <w:rPr>
          <w:rFonts w:eastAsia="Times New Roman" w:cs="Arial"/>
          <w:sz w:val="21"/>
          <w:szCs w:val="21"/>
          <w:lang w:val="en-AU" w:eastAsia="en-AU"/>
        </w:rPr>
        <w:t xml:space="preserve">to allow </w:t>
      </w:r>
      <w:r w:rsidR="00F54DEE" w:rsidRPr="00802ACA">
        <w:rPr>
          <w:rFonts w:eastAsia="Times New Roman" w:cs="Arial"/>
          <w:sz w:val="21"/>
          <w:szCs w:val="21"/>
          <w:lang w:val="en-AU" w:eastAsia="en-AU"/>
        </w:rPr>
        <w:t>flexibility</w:t>
      </w:r>
      <w:r w:rsidR="002D3BDC" w:rsidRPr="00802ACA">
        <w:rPr>
          <w:rFonts w:eastAsia="Times New Roman" w:cs="Arial"/>
          <w:sz w:val="21"/>
          <w:szCs w:val="21"/>
          <w:lang w:val="en-AU" w:eastAsia="en-AU"/>
        </w:rPr>
        <w:t xml:space="preserve"> and </w:t>
      </w:r>
      <w:r w:rsidR="00F54DEE" w:rsidRPr="00802ACA">
        <w:rPr>
          <w:rFonts w:eastAsia="Times New Roman" w:cs="Arial"/>
          <w:sz w:val="21"/>
          <w:szCs w:val="21"/>
          <w:lang w:val="en-AU" w:eastAsia="en-AU"/>
        </w:rPr>
        <w:t>prioritisation</w:t>
      </w:r>
      <w:r w:rsidR="002D3BDC" w:rsidRPr="00802ACA">
        <w:rPr>
          <w:rFonts w:eastAsia="Times New Roman" w:cs="Arial"/>
          <w:sz w:val="21"/>
          <w:szCs w:val="21"/>
          <w:lang w:val="en-AU" w:eastAsia="en-AU"/>
        </w:rPr>
        <w:t xml:space="preserve"> of activities by the Indonesian and Australian </w:t>
      </w:r>
      <w:r w:rsidR="001653CE" w:rsidRPr="00802ACA">
        <w:rPr>
          <w:rFonts w:eastAsia="Times New Roman" w:cs="Arial"/>
          <w:sz w:val="21"/>
          <w:szCs w:val="21"/>
          <w:lang w:val="en-AU" w:eastAsia="en-AU"/>
        </w:rPr>
        <w:t>G</w:t>
      </w:r>
      <w:r w:rsidR="002D3BDC" w:rsidRPr="00802ACA">
        <w:rPr>
          <w:rFonts w:eastAsia="Times New Roman" w:cs="Arial"/>
          <w:sz w:val="21"/>
          <w:szCs w:val="21"/>
          <w:lang w:val="en-AU" w:eastAsia="en-AU"/>
        </w:rPr>
        <w:t>overnment</w:t>
      </w:r>
      <w:r w:rsidR="001653CE" w:rsidRPr="00802ACA">
        <w:rPr>
          <w:rFonts w:eastAsia="Times New Roman" w:cs="Arial"/>
          <w:sz w:val="21"/>
          <w:szCs w:val="21"/>
          <w:lang w:val="en-AU" w:eastAsia="en-AU"/>
        </w:rPr>
        <w:t>s</w:t>
      </w:r>
      <w:r w:rsidR="002D3BDC" w:rsidRPr="00802ACA">
        <w:rPr>
          <w:rFonts w:eastAsia="Times New Roman" w:cs="Arial"/>
          <w:sz w:val="21"/>
          <w:szCs w:val="21"/>
          <w:lang w:val="en-AU" w:eastAsia="en-AU"/>
        </w:rPr>
        <w:t>, through the ECC.</w:t>
      </w:r>
      <w:r w:rsidR="00CC5EF5">
        <w:rPr>
          <w:rFonts w:eastAsia="Times New Roman" w:cs="Arial"/>
          <w:sz w:val="21"/>
          <w:szCs w:val="21"/>
          <w:lang w:val="en-AU" w:eastAsia="en-AU"/>
        </w:rPr>
        <w:t xml:space="preserve"> </w:t>
      </w:r>
      <w:r w:rsidR="00D04ACB" w:rsidRPr="007C4ABD">
        <w:rPr>
          <w:rFonts w:eastAsia="Times New Roman" w:cs="Arial"/>
          <w:b/>
          <w:sz w:val="21"/>
          <w:szCs w:val="21"/>
          <w:lang w:val="en-AU" w:eastAsia="en-AU"/>
        </w:rPr>
        <w:t xml:space="preserve">Total </w:t>
      </w:r>
      <w:r w:rsidR="00D04ACB" w:rsidRPr="00B56942">
        <w:rPr>
          <w:rFonts w:eastAsia="Times New Roman" w:cs="Arial"/>
          <w:b/>
          <w:sz w:val="21"/>
          <w:szCs w:val="21"/>
          <w:lang w:val="en-AU" w:eastAsia="en-AU"/>
        </w:rPr>
        <w:t>b</w:t>
      </w:r>
      <w:r w:rsidR="00D04ACB" w:rsidRPr="007C4ABD">
        <w:rPr>
          <w:rFonts w:eastAsia="Times New Roman" w:cs="Arial"/>
          <w:b/>
          <w:sz w:val="21"/>
          <w:szCs w:val="21"/>
          <w:lang w:val="en-AU" w:eastAsia="en-AU"/>
        </w:rPr>
        <w:t xml:space="preserve">udget allocation to MEL </w:t>
      </w:r>
      <w:r>
        <w:rPr>
          <w:rFonts w:eastAsia="Times New Roman" w:cs="Arial"/>
          <w:b/>
          <w:sz w:val="21"/>
          <w:szCs w:val="21"/>
          <w:lang w:val="en-AU" w:eastAsia="en-AU"/>
        </w:rPr>
        <w:t xml:space="preserve">should be indicatively </w:t>
      </w:r>
      <w:r w:rsidR="00CC5EF5" w:rsidRPr="007C4ABD">
        <w:rPr>
          <w:rFonts w:eastAsia="Times New Roman" w:cs="Arial"/>
          <w:b/>
          <w:sz w:val="21"/>
          <w:szCs w:val="21"/>
          <w:lang w:val="en-AU" w:eastAsia="en-AU"/>
        </w:rPr>
        <w:t xml:space="preserve">6% </w:t>
      </w:r>
      <w:r w:rsidR="00CC5EF5">
        <w:rPr>
          <w:rFonts w:eastAsia="Times New Roman" w:cs="Arial"/>
          <w:sz w:val="21"/>
          <w:szCs w:val="21"/>
          <w:lang w:val="en-AU" w:eastAsia="en-AU"/>
        </w:rPr>
        <w:t xml:space="preserve">reflecting </w:t>
      </w:r>
      <w:r w:rsidR="00542ECB">
        <w:rPr>
          <w:rFonts w:eastAsia="Times New Roman" w:cs="Arial"/>
          <w:sz w:val="21"/>
          <w:szCs w:val="21"/>
          <w:lang w:val="en-AU" w:eastAsia="en-AU"/>
        </w:rPr>
        <w:t xml:space="preserve">its centrality </w:t>
      </w:r>
      <w:r w:rsidR="00CC5EF5">
        <w:rPr>
          <w:rFonts w:eastAsia="Times New Roman" w:cs="Arial"/>
          <w:sz w:val="21"/>
          <w:szCs w:val="21"/>
          <w:lang w:val="en-AU" w:eastAsia="en-AU"/>
        </w:rPr>
        <w:t xml:space="preserve">to inform decisions and scale activities. </w:t>
      </w:r>
    </w:p>
    <w:p w14:paraId="112330FC" w14:textId="77777777" w:rsidR="00503E97" w:rsidRDefault="00503E97" w:rsidP="00A83067">
      <w:pPr>
        <w:tabs>
          <w:tab w:val="left" w:pos="284"/>
        </w:tabs>
        <w:suppressAutoHyphens w:val="0"/>
        <w:spacing w:before="0" w:after="0"/>
        <w:jc w:val="both"/>
        <w:rPr>
          <w:rFonts w:eastAsia="Times New Roman" w:cs="Arial"/>
          <w:sz w:val="21"/>
          <w:szCs w:val="21"/>
          <w:lang w:val="en-AU" w:eastAsia="en-AU"/>
        </w:rPr>
      </w:pPr>
    </w:p>
    <w:p w14:paraId="439D4661" w14:textId="6E4CE29E" w:rsidR="00E0518A" w:rsidRPr="00503E97" w:rsidRDefault="00503E97" w:rsidP="00314A3E">
      <w:pPr>
        <w:tabs>
          <w:tab w:val="left" w:pos="284"/>
        </w:tabs>
        <w:suppressAutoHyphens w:val="0"/>
        <w:spacing w:before="0" w:after="0" w:line="240" w:lineRule="auto"/>
        <w:jc w:val="center"/>
      </w:pPr>
      <w:r w:rsidRPr="00503E97">
        <w:rPr>
          <w:noProof/>
          <w:lang w:val="en-US"/>
        </w:rPr>
        <w:t xml:space="preserve"> </w:t>
      </w:r>
    </w:p>
    <w:p w14:paraId="21A70585" w14:textId="1F8B8BD2" w:rsidR="00C36B66" w:rsidRPr="00C36B66" w:rsidRDefault="00C36B66" w:rsidP="00A83067">
      <w:pPr>
        <w:spacing w:before="0" w:after="0"/>
        <w:jc w:val="both"/>
        <w:rPr>
          <w:b/>
          <w:sz w:val="21"/>
          <w:szCs w:val="21"/>
        </w:rPr>
      </w:pPr>
      <w:r w:rsidRPr="00C36B66">
        <w:rPr>
          <w:b/>
          <w:sz w:val="21"/>
          <w:szCs w:val="21"/>
        </w:rPr>
        <w:t>DFAT Resourcing</w:t>
      </w:r>
    </w:p>
    <w:p w14:paraId="1EBEED40" w14:textId="65A369C3" w:rsidR="00D1020C" w:rsidRDefault="00A13A68" w:rsidP="00A83067">
      <w:pPr>
        <w:spacing w:after="0"/>
        <w:jc w:val="both"/>
        <w:rPr>
          <w:sz w:val="21"/>
          <w:szCs w:val="21"/>
        </w:rPr>
      </w:pPr>
      <w:r>
        <w:rPr>
          <w:sz w:val="21"/>
          <w:szCs w:val="21"/>
        </w:rPr>
        <w:lastRenderedPageBreak/>
        <w:t xml:space="preserve">DFAT Jakarta Post will require additional resourcing to manage the ECP. </w:t>
      </w:r>
      <w:r w:rsidR="00C36B66">
        <w:rPr>
          <w:sz w:val="21"/>
          <w:szCs w:val="21"/>
        </w:rPr>
        <w:t xml:space="preserve">It is proposed that the DFAT Jakarta Post be resourced with an additional A-based </w:t>
      </w:r>
      <w:r w:rsidR="006D7E27">
        <w:rPr>
          <w:sz w:val="21"/>
          <w:szCs w:val="21"/>
        </w:rPr>
        <w:t xml:space="preserve">0.5 </w:t>
      </w:r>
      <w:r w:rsidR="00C36B66">
        <w:rPr>
          <w:sz w:val="21"/>
          <w:szCs w:val="21"/>
        </w:rPr>
        <w:t>FTE and locally engaged staff (LES) team member, with the skills to support the delivery of this innovative program</w:t>
      </w:r>
      <w:r w:rsidR="00FB203B">
        <w:rPr>
          <w:sz w:val="21"/>
          <w:szCs w:val="21"/>
        </w:rPr>
        <w:t>, covering multiple and varied economic sectors and potentially disparate stakeholders, in addition to program communications and oversight of MEL</w:t>
      </w:r>
      <w:r w:rsidR="00C36B66">
        <w:rPr>
          <w:sz w:val="21"/>
          <w:szCs w:val="21"/>
        </w:rPr>
        <w:t xml:space="preserve">. </w:t>
      </w:r>
      <w:r w:rsidR="00FB203B">
        <w:rPr>
          <w:sz w:val="21"/>
          <w:szCs w:val="21"/>
        </w:rPr>
        <w:t xml:space="preserve">Support from the Indonesia Desk (0.5 FTE) in Canberra, with primary responsibility to liaise with Australian Government agencies and DFAT, would also be a valuable resource. </w:t>
      </w:r>
    </w:p>
    <w:p w14:paraId="0766F535" w14:textId="77777777" w:rsidR="008A5AE6" w:rsidRDefault="008A5AE6" w:rsidP="00A83067">
      <w:pPr>
        <w:spacing w:after="0"/>
        <w:jc w:val="both"/>
        <w:rPr>
          <w:sz w:val="21"/>
          <w:szCs w:val="21"/>
        </w:rPr>
      </w:pPr>
    </w:p>
    <w:p w14:paraId="44842CCC" w14:textId="7DF3AEF0" w:rsidR="002D4DE7" w:rsidRPr="00A01023" w:rsidRDefault="002D4DE7" w:rsidP="007C4ABD">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0" w:after="120"/>
        <w:ind w:left="284" w:hanging="284"/>
        <w:rPr>
          <w:rFonts w:asciiTheme="majorHAnsi" w:hAnsiTheme="majorHAnsi"/>
          <w:b/>
          <w:szCs w:val="21"/>
        </w:rPr>
      </w:pPr>
      <w:r w:rsidRPr="00A01023">
        <w:rPr>
          <w:rFonts w:asciiTheme="majorHAnsi" w:hAnsiTheme="majorHAnsi"/>
          <w:b/>
          <w:szCs w:val="21"/>
        </w:rPr>
        <w:t>Risk</w:t>
      </w:r>
      <w:r>
        <w:rPr>
          <w:rFonts w:asciiTheme="majorHAnsi" w:hAnsiTheme="majorHAnsi"/>
          <w:b/>
          <w:szCs w:val="21"/>
        </w:rPr>
        <w:t xml:space="preserve"> Management and Safeguards</w:t>
      </w:r>
      <w:r w:rsidRPr="00A01023">
        <w:rPr>
          <w:rFonts w:asciiTheme="majorHAnsi" w:hAnsiTheme="majorHAnsi"/>
          <w:b/>
          <w:szCs w:val="21"/>
        </w:rPr>
        <w:t xml:space="preserve"> (What might go wrong?)</w:t>
      </w:r>
      <w:r w:rsidR="00451440">
        <w:rPr>
          <w:rFonts w:asciiTheme="majorHAnsi" w:hAnsiTheme="majorHAnsi"/>
          <w:b/>
          <w:szCs w:val="21"/>
        </w:rPr>
        <w:t xml:space="preserve"> </w:t>
      </w:r>
    </w:p>
    <w:p w14:paraId="3CE5939F" w14:textId="218FD29E" w:rsidR="0062786A" w:rsidRDefault="003D73E6" w:rsidP="00313254">
      <w:pPr>
        <w:tabs>
          <w:tab w:val="left" w:pos="284"/>
        </w:tabs>
        <w:suppressAutoHyphens w:val="0"/>
        <w:spacing w:after="120"/>
        <w:jc w:val="both"/>
        <w:rPr>
          <w:rFonts w:eastAsia="Times New Roman" w:cs="Arial"/>
          <w:sz w:val="21"/>
          <w:szCs w:val="21"/>
          <w:lang w:val="en-AU" w:eastAsia="en-AU"/>
        </w:rPr>
      </w:pPr>
      <w:bookmarkStart w:id="1" w:name="_Hlk30109201"/>
      <w:r>
        <w:rPr>
          <w:rFonts w:eastAsia="Times New Roman" w:cs="Arial"/>
          <w:sz w:val="21"/>
          <w:szCs w:val="21"/>
          <w:lang w:val="en-AU" w:eastAsia="en-AU"/>
        </w:rPr>
        <w:t xml:space="preserve">The </w:t>
      </w:r>
      <w:r w:rsidRPr="007C4ABD">
        <w:rPr>
          <w:rFonts w:eastAsia="Times New Roman" w:cs="Arial"/>
          <w:b/>
          <w:sz w:val="21"/>
          <w:szCs w:val="21"/>
          <w:lang w:val="en-AU" w:eastAsia="en-AU"/>
        </w:rPr>
        <w:t>COVID-19 pandemic</w:t>
      </w:r>
      <w:r>
        <w:rPr>
          <w:rFonts w:eastAsia="Times New Roman" w:cs="Arial"/>
          <w:sz w:val="21"/>
          <w:szCs w:val="21"/>
          <w:lang w:val="en-AU" w:eastAsia="en-AU"/>
        </w:rPr>
        <w:t xml:space="preserve"> is the major emerging risk to the ECP, with </w:t>
      </w:r>
      <w:r w:rsidR="00274F52">
        <w:rPr>
          <w:rFonts w:eastAsia="Times New Roman" w:cs="Arial"/>
          <w:sz w:val="21"/>
          <w:szCs w:val="21"/>
          <w:lang w:val="en-AU" w:eastAsia="en-AU"/>
        </w:rPr>
        <w:t xml:space="preserve">the potential to </w:t>
      </w:r>
      <w:r w:rsidR="00EE2882">
        <w:rPr>
          <w:rFonts w:eastAsia="Times New Roman" w:cs="Arial"/>
          <w:sz w:val="21"/>
          <w:szCs w:val="21"/>
          <w:lang w:val="en-AU" w:eastAsia="en-AU"/>
        </w:rPr>
        <w:t xml:space="preserve">initially </w:t>
      </w:r>
      <w:r w:rsidR="00274F52">
        <w:rPr>
          <w:rFonts w:eastAsia="Times New Roman" w:cs="Arial"/>
          <w:sz w:val="21"/>
          <w:szCs w:val="21"/>
          <w:lang w:val="en-AU" w:eastAsia="en-AU"/>
        </w:rPr>
        <w:t>disrupt the program in a number of significant ways:</w:t>
      </w:r>
    </w:p>
    <w:p w14:paraId="4EC7FB9E" w14:textId="37CC6A82" w:rsidR="00274F52" w:rsidRDefault="003A75AE" w:rsidP="00F5504F">
      <w:pPr>
        <w:pStyle w:val="ListParagraph"/>
        <w:numPr>
          <w:ilvl w:val="0"/>
          <w:numId w:val="100"/>
        </w:numPr>
        <w:tabs>
          <w:tab w:val="left" w:pos="284"/>
        </w:tabs>
        <w:suppressAutoHyphens w:val="0"/>
        <w:spacing w:after="120"/>
        <w:jc w:val="both"/>
        <w:rPr>
          <w:rFonts w:eastAsia="Times New Roman" w:cs="Arial"/>
          <w:sz w:val="21"/>
          <w:szCs w:val="21"/>
          <w:lang w:val="en-AU" w:eastAsia="en-AU"/>
        </w:rPr>
      </w:pPr>
      <w:r>
        <w:rPr>
          <w:rFonts w:eastAsia="Times New Roman" w:cs="Arial"/>
          <w:sz w:val="21"/>
          <w:szCs w:val="21"/>
          <w:lang w:val="en-AU" w:eastAsia="en-AU"/>
        </w:rPr>
        <w:t>R</w:t>
      </w:r>
      <w:r w:rsidR="00274F52" w:rsidRPr="007C4ABD">
        <w:rPr>
          <w:rFonts w:eastAsia="Times New Roman" w:cs="Arial"/>
          <w:sz w:val="21"/>
          <w:szCs w:val="21"/>
          <w:lang w:val="en-AU" w:eastAsia="en-AU"/>
        </w:rPr>
        <w:t>eallocation of resources</w:t>
      </w:r>
      <w:r w:rsidR="00622D99">
        <w:rPr>
          <w:rFonts w:eastAsia="Times New Roman" w:cs="Arial"/>
          <w:sz w:val="21"/>
          <w:szCs w:val="21"/>
          <w:lang w:val="en-AU" w:eastAsia="en-AU"/>
        </w:rPr>
        <w:t xml:space="preserve"> (financial and human)</w:t>
      </w:r>
      <w:r w:rsidR="00274F52" w:rsidRPr="007C4ABD">
        <w:rPr>
          <w:rFonts w:eastAsia="Times New Roman" w:cs="Arial"/>
          <w:sz w:val="21"/>
          <w:szCs w:val="21"/>
          <w:lang w:val="en-AU" w:eastAsia="en-AU"/>
        </w:rPr>
        <w:t xml:space="preserve"> to fight the pandemic and its </w:t>
      </w:r>
      <w:r w:rsidR="003D73E6">
        <w:rPr>
          <w:rFonts w:eastAsia="Times New Roman" w:cs="Arial"/>
          <w:sz w:val="21"/>
          <w:szCs w:val="21"/>
          <w:lang w:val="en-AU" w:eastAsia="en-AU"/>
        </w:rPr>
        <w:t>impacts</w:t>
      </w:r>
      <w:r w:rsidR="00EE2882">
        <w:rPr>
          <w:rFonts w:eastAsia="Times New Roman" w:cs="Arial"/>
          <w:sz w:val="21"/>
          <w:szCs w:val="21"/>
          <w:lang w:val="en-AU" w:eastAsia="en-AU"/>
        </w:rPr>
        <w:t>;</w:t>
      </w:r>
    </w:p>
    <w:p w14:paraId="0D465175" w14:textId="21A7A3E8" w:rsidR="00274F52" w:rsidRDefault="004861CD" w:rsidP="00F5504F">
      <w:pPr>
        <w:pStyle w:val="ListParagraph"/>
        <w:numPr>
          <w:ilvl w:val="0"/>
          <w:numId w:val="100"/>
        </w:numPr>
        <w:tabs>
          <w:tab w:val="left" w:pos="284"/>
        </w:tabs>
        <w:suppressAutoHyphens w:val="0"/>
        <w:spacing w:after="120"/>
        <w:jc w:val="both"/>
        <w:rPr>
          <w:rFonts w:eastAsia="Times New Roman" w:cs="Arial"/>
          <w:sz w:val="21"/>
          <w:szCs w:val="21"/>
          <w:lang w:val="en-AU" w:eastAsia="en-AU"/>
        </w:rPr>
      </w:pPr>
      <w:r>
        <w:rPr>
          <w:rFonts w:eastAsia="Times New Roman" w:cs="Arial"/>
          <w:sz w:val="21"/>
          <w:szCs w:val="21"/>
          <w:lang w:val="en-AU" w:eastAsia="en-AU"/>
        </w:rPr>
        <w:t xml:space="preserve">Disruption of supply chains, manifested in </w:t>
      </w:r>
      <w:r w:rsidR="00274F52">
        <w:rPr>
          <w:rFonts w:eastAsia="Times New Roman" w:cs="Arial"/>
          <w:sz w:val="21"/>
          <w:szCs w:val="21"/>
          <w:lang w:val="en-AU" w:eastAsia="en-AU"/>
        </w:rPr>
        <w:t xml:space="preserve">trade </w:t>
      </w:r>
      <w:r>
        <w:rPr>
          <w:rFonts w:eastAsia="Times New Roman" w:cs="Arial"/>
          <w:sz w:val="21"/>
          <w:szCs w:val="21"/>
          <w:lang w:val="en-AU" w:eastAsia="en-AU"/>
        </w:rPr>
        <w:t xml:space="preserve">and investment </w:t>
      </w:r>
      <w:r w:rsidR="00274F52">
        <w:rPr>
          <w:rFonts w:eastAsia="Times New Roman" w:cs="Arial"/>
          <w:sz w:val="21"/>
          <w:szCs w:val="21"/>
          <w:lang w:val="en-AU" w:eastAsia="en-AU"/>
        </w:rPr>
        <w:t>volume</w:t>
      </w:r>
      <w:r w:rsidR="003A75AE">
        <w:rPr>
          <w:rFonts w:eastAsia="Times New Roman" w:cs="Arial"/>
          <w:sz w:val="21"/>
          <w:szCs w:val="21"/>
          <w:lang w:val="en-AU" w:eastAsia="en-AU"/>
        </w:rPr>
        <w:t>/</w:t>
      </w:r>
      <w:r>
        <w:rPr>
          <w:rFonts w:eastAsia="Times New Roman" w:cs="Arial"/>
          <w:sz w:val="21"/>
          <w:szCs w:val="21"/>
          <w:lang w:val="en-AU" w:eastAsia="en-AU"/>
        </w:rPr>
        <w:t>value reductions</w:t>
      </w:r>
      <w:r w:rsidR="00EE2882">
        <w:rPr>
          <w:rFonts w:eastAsia="Times New Roman" w:cs="Arial"/>
          <w:sz w:val="21"/>
          <w:szCs w:val="21"/>
          <w:lang w:val="en-AU" w:eastAsia="en-AU"/>
        </w:rPr>
        <w:t xml:space="preserve">, </w:t>
      </w:r>
      <w:r w:rsidR="00274F52">
        <w:rPr>
          <w:rFonts w:eastAsia="Times New Roman" w:cs="Arial"/>
          <w:sz w:val="21"/>
          <w:szCs w:val="21"/>
          <w:lang w:val="en-AU" w:eastAsia="en-AU"/>
        </w:rPr>
        <w:t>possible trade diversion</w:t>
      </w:r>
      <w:r>
        <w:rPr>
          <w:rFonts w:eastAsia="Times New Roman" w:cs="Arial"/>
          <w:sz w:val="21"/>
          <w:szCs w:val="21"/>
          <w:lang w:val="en-AU" w:eastAsia="en-AU"/>
        </w:rPr>
        <w:t xml:space="preserve"> (for example, for food security)</w:t>
      </w:r>
      <w:r w:rsidR="00274F52">
        <w:rPr>
          <w:rFonts w:eastAsia="Times New Roman" w:cs="Arial"/>
          <w:sz w:val="21"/>
          <w:szCs w:val="21"/>
          <w:lang w:val="en-AU" w:eastAsia="en-AU"/>
        </w:rPr>
        <w:t>,</w:t>
      </w:r>
      <w:r>
        <w:rPr>
          <w:rFonts w:eastAsia="Times New Roman" w:cs="Arial"/>
          <w:sz w:val="21"/>
          <w:szCs w:val="21"/>
          <w:lang w:val="en-AU" w:eastAsia="en-AU"/>
        </w:rPr>
        <w:t xml:space="preserve"> and an expected</w:t>
      </w:r>
      <w:r w:rsidR="00274F52">
        <w:rPr>
          <w:rFonts w:eastAsia="Times New Roman" w:cs="Arial"/>
          <w:sz w:val="21"/>
          <w:szCs w:val="21"/>
          <w:lang w:val="en-AU" w:eastAsia="en-AU"/>
        </w:rPr>
        <w:t xml:space="preserve"> negative impact </w:t>
      </w:r>
      <w:r>
        <w:rPr>
          <w:rFonts w:eastAsia="Times New Roman" w:cs="Arial"/>
          <w:sz w:val="21"/>
          <w:szCs w:val="21"/>
          <w:lang w:val="en-AU" w:eastAsia="en-AU"/>
        </w:rPr>
        <w:t xml:space="preserve">on </w:t>
      </w:r>
      <w:r w:rsidR="00274F52">
        <w:rPr>
          <w:rFonts w:eastAsia="Times New Roman" w:cs="Arial"/>
          <w:sz w:val="21"/>
          <w:szCs w:val="21"/>
          <w:lang w:val="en-AU" w:eastAsia="en-AU"/>
        </w:rPr>
        <w:t>two way trade over the next 12</w:t>
      </w:r>
      <w:r w:rsidR="006679E6">
        <w:rPr>
          <w:rFonts w:eastAsia="Times New Roman" w:cs="Arial"/>
          <w:sz w:val="21"/>
          <w:szCs w:val="21"/>
          <w:lang w:val="en-AU" w:eastAsia="en-AU"/>
        </w:rPr>
        <w:t>-18</w:t>
      </w:r>
      <w:r w:rsidR="00274F52">
        <w:rPr>
          <w:rFonts w:eastAsia="Times New Roman" w:cs="Arial"/>
          <w:sz w:val="21"/>
          <w:szCs w:val="21"/>
          <w:lang w:val="en-AU" w:eastAsia="en-AU"/>
        </w:rPr>
        <w:t xml:space="preserve"> months</w:t>
      </w:r>
      <w:r>
        <w:rPr>
          <w:rFonts w:eastAsia="Times New Roman" w:cs="Arial"/>
          <w:sz w:val="21"/>
          <w:szCs w:val="21"/>
          <w:lang w:val="en-AU" w:eastAsia="en-AU"/>
        </w:rPr>
        <w:t xml:space="preserve">. This will </w:t>
      </w:r>
      <w:r w:rsidR="00274F52">
        <w:rPr>
          <w:rFonts w:eastAsia="Times New Roman" w:cs="Arial"/>
          <w:sz w:val="21"/>
          <w:szCs w:val="21"/>
          <w:lang w:val="en-AU" w:eastAsia="en-AU"/>
        </w:rPr>
        <w:t>distort baseline assessments</w:t>
      </w:r>
      <w:r w:rsidR="006679E6">
        <w:rPr>
          <w:rFonts w:eastAsia="Times New Roman" w:cs="Arial"/>
          <w:sz w:val="21"/>
          <w:szCs w:val="21"/>
          <w:lang w:val="en-AU" w:eastAsia="en-AU"/>
        </w:rPr>
        <w:t xml:space="preserve"> against which the impact of IA-CEPA will be measured</w:t>
      </w:r>
      <w:r w:rsidR="00622D99">
        <w:rPr>
          <w:rFonts w:eastAsia="Times New Roman" w:cs="Arial"/>
          <w:sz w:val="21"/>
          <w:szCs w:val="21"/>
          <w:lang w:val="en-AU" w:eastAsia="en-AU"/>
        </w:rPr>
        <w:t>;</w:t>
      </w:r>
    </w:p>
    <w:p w14:paraId="1DBF224A" w14:textId="5674FE37" w:rsidR="00274F52" w:rsidRDefault="00274F52" w:rsidP="00F5504F">
      <w:pPr>
        <w:pStyle w:val="ListParagraph"/>
        <w:numPr>
          <w:ilvl w:val="0"/>
          <w:numId w:val="100"/>
        </w:numPr>
        <w:tabs>
          <w:tab w:val="left" w:pos="284"/>
        </w:tabs>
        <w:suppressAutoHyphens w:val="0"/>
        <w:spacing w:after="120"/>
        <w:jc w:val="both"/>
        <w:rPr>
          <w:rFonts w:eastAsia="Times New Roman" w:cs="Arial"/>
          <w:sz w:val="21"/>
          <w:szCs w:val="21"/>
          <w:lang w:val="en-AU" w:eastAsia="en-AU"/>
        </w:rPr>
      </w:pPr>
      <w:r>
        <w:rPr>
          <w:rFonts w:eastAsia="Times New Roman" w:cs="Arial"/>
          <w:sz w:val="21"/>
          <w:szCs w:val="21"/>
          <w:lang w:val="en-AU" w:eastAsia="en-AU"/>
        </w:rPr>
        <w:t>Travel and visa restrictions delaying mobilisation</w:t>
      </w:r>
      <w:r w:rsidR="006679E6">
        <w:rPr>
          <w:rFonts w:eastAsia="Times New Roman" w:cs="Arial"/>
          <w:sz w:val="21"/>
          <w:szCs w:val="21"/>
          <w:lang w:val="en-AU" w:eastAsia="en-AU"/>
        </w:rPr>
        <w:t xml:space="preserve"> and </w:t>
      </w:r>
      <w:r w:rsidR="003A75AE">
        <w:rPr>
          <w:rFonts w:eastAsia="Times New Roman" w:cs="Arial"/>
          <w:sz w:val="21"/>
          <w:szCs w:val="21"/>
          <w:lang w:val="en-AU" w:eastAsia="en-AU"/>
        </w:rPr>
        <w:t>activities</w:t>
      </w:r>
      <w:r w:rsidR="006679E6">
        <w:rPr>
          <w:rFonts w:eastAsia="Times New Roman" w:cs="Arial"/>
          <w:sz w:val="21"/>
          <w:szCs w:val="21"/>
          <w:lang w:val="en-AU" w:eastAsia="en-AU"/>
        </w:rPr>
        <w:t xml:space="preserve">, particularly impacting the first </w:t>
      </w:r>
      <w:r w:rsidR="00EE2882">
        <w:rPr>
          <w:rFonts w:eastAsia="Times New Roman" w:cs="Arial"/>
          <w:sz w:val="21"/>
          <w:szCs w:val="21"/>
          <w:lang w:val="en-AU" w:eastAsia="en-AU"/>
        </w:rPr>
        <w:t>12-month</w:t>
      </w:r>
      <w:r w:rsidR="003A75AE">
        <w:rPr>
          <w:rFonts w:eastAsia="Times New Roman" w:cs="Arial"/>
          <w:sz w:val="21"/>
          <w:szCs w:val="21"/>
          <w:lang w:val="en-AU" w:eastAsia="en-AU"/>
        </w:rPr>
        <w:t>s</w:t>
      </w:r>
      <w:r w:rsidR="00622D99">
        <w:rPr>
          <w:rFonts w:eastAsia="Times New Roman" w:cs="Arial"/>
          <w:sz w:val="21"/>
          <w:szCs w:val="21"/>
          <w:lang w:val="en-AU" w:eastAsia="en-AU"/>
        </w:rPr>
        <w:t>;</w:t>
      </w:r>
    </w:p>
    <w:p w14:paraId="2F530E53" w14:textId="1A1FC0C9" w:rsidR="006679E6" w:rsidRDefault="006679E6" w:rsidP="00F5504F">
      <w:pPr>
        <w:pStyle w:val="ListParagraph"/>
        <w:numPr>
          <w:ilvl w:val="0"/>
          <w:numId w:val="100"/>
        </w:numPr>
        <w:tabs>
          <w:tab w:val="left" w:pos="284"/>
        </w:tabs>
        <w:suppressAutoHyphens w:val="0"/>
        <w:spacing w:after="120"/>
        <w:jc w:val="both"/>
        <w:rPr>
          <w:rFonts w:eastAsia="Times New Roman" w:cs="Arial"/>
          <w:sz w:val="21"/>
          <w:szCs w:val="21"/>
          <w:lang w:val="en-AU" w:eastAsia="en-AU"/>
        </w:rPr>
      </w:pPr>
      <w:r>
        <w:rPr>
          <w:rFonts w:eastAsia="Times New Roman" w:cs="Arial"/>
          <w:sz w:val="21"/>
          <w:szCs w:val="21"/>
          <w:lang w:val="en-AU" w:eastAsia="en-AU"/>
        </w:rPr>
        <w:t>Social distancing</w:t>
      </w:r>
      <w:r w:rsidR="00EE2882">
        <w:rPr>
          <w:rFonts w:eastAsia="Times New Roman" w:cs="Arial"/>
          <w:sz w:val="21"/>
          <w:szCs w:val="21"/>
          <w:lang w:val="en-AU" w:eastAsia="en-AU"/>
        </w:rPr>
        <w:t xml:space="preserve"> </w:t>
      </w:r>
      <w:r>
        <w:rPr>
          <w:rFonts w:eastAsia="Times New Roman" w:cs="Arial"/>
          <w:sz w:val="21"/>
          <w:szCs w:val="21"/>
          <w:lang w:val="en-AU" w:eastAsia="en-AU"/>
        </w:rPr>
        <w:t>reducing the ability to conduct face to face meetings</w:t>
      </w:r>
      <w:r w:rsidR="00622D99">
        <w:rPr>
          <w:rFonts w:eastAsia="Times New Roman" w:cs="Arial"/>
          <w:sz w:val="21"/>
          <w:szCs w:val="21"/>
          <w:lang w:val="en-AU" w:eastAsia="en-AU"/>
        </w:rPr>
        <w:t>; and</w:t>
      </w:r>
    </w:p>
    <w:p w14:paraId="77C4300A" w14:textId="5228DA0D" w:rsidR="006679E6" w:rsidRPr="007C4ABD" w:rsidRDefault="00EE2882" w:rsidP="00F5504F">
      <w:pPr>
        <w:pStyle w:val="ListParagraph"/>
        <w:numPr>
          <w:ilvl w:val="0"/>
          <w:numId w:val="100"/>
        </w:numPr>
        <w:tabs>
          <w:tab w:val="left" w:pos="284"/>
        </w:tabs>
        <w:suppressAutoHyphens w:val="0"/>
        <w:spacing w:after="120"/>
        <w:jc w:val="both"/>
        <w:rPr>
          <w:rFonts w:eastAsia="Times New Roman" w:cs="Arial"/>
          <w:sz w:val="21"/>
          <w:szCs w:val="21"/>
          <w:lang w:val="en-AU" w:eastAsia="en-AU"/>
        </w:rPr>
      </w:pPr>
      <w:r>
        <w:rPr>
          <w:rFonts w:eastAsia="Times New Roman" w:cs="Arial"/>
          <w:sz w:val="21"/>
          <w:szCs w:val="21"/>
          <w:lang w:val="en-AU" w:eastAsia="en-AU"/>
        </w:rPr>
        <w:t xml:space="preserve">Recruitment </w:t>
      </w:r>
      <w:r w:rsidR="004861CD">
        <w:rPr>
          <w:rFonts w:eastAsia="Times New Roman" w:cs="Arial"/>
          <w:sz w:val="21"/>
          <w:szCs w:val="21"/>
          <w:lang w:val="en-AU" w:eastAsia="en-AU"/>
        </w:rPr>
        <w:t>and mobilisation of staff</w:t>
      </w:r>
      <w:r w:rsidR="006679E6">
        <w:rPr>
          <w:rFonts w:eastAsia="Times New Roman" w:cs="Arial"/>
          <w:sz w:val="21"/>
          <w:szCs w:val="21"/>
          <w:lang w:val="en-AU" w:eastAsia="en-AU"/>
        </w:rPr>
        <w:t>.</w:t>
      </w:r>
    </w:p>
    <w:p w14:paraId="748A0E4D" w14:textId="59E600FD" w:rsidR="00274F52" w:rsidRDefault="00187095" w:rsidP="00313254">
      <w:pPr>
        <w:tabs>
          <w:tab w:val="left" w:pos="284"/>
        </w:tabs>
        <w:suppressAutoHyphens w:val="0"/>
        <w:spacing w:after="120"/>
        <w:jc w:val="both"/>
        <w:rPr>
          <w:rFonts w:eastAsia="Times New Roman" w:cs="Arial"/>
          <w:sz w:val="21"/>
          <w:szCs w:val="21"/>
          <w:lang w:val="en-AU" w:eastAsia="en-AU"/>
        </w:rPr>
      </w:pPr>
      <w:r>
        <w:rPr>
          <w:rFonts w:eastAsia="Times New Roman" w:cs="Arial"/>
          <w:sz w:val="21"/>
          <w:szCs w:val="21"/>
          <w:lang w:val="en-AU" w:eastAsia="en-AU"/>
        </w:rPr>
        <w:t>The World Trade Organisation</w:t>
      </w:r>
      <w:r w:rsidR="006812B1">
        <w:rPr>
          <w:rFonts w:eastAsia="Times New Roman" w:cs="Arial"/>
          <w:sz w:val="21"/>
          <w:szCs w:val="21"/>
          <w:lang w:val="en-AU" w:eastAsia="en-AU"/>
        </w:rPr>
        <w:t xml:space="preserve"> (WTO)</w:t>
      </w:r>
      <w:r>
        <w:rPr>
          <w:rFonts w:eastAsia="Times New Roman" w:cs="Arial"/>
          <w:sz w:val="21"/>
          <w:szCs w:val="21"/>
          <w:lang w:val="en-AU" w:eastAsia="en-AU"/>
        </w:rPr>
        <w:t xml:space="preserve"> expects global trade volumes to reduce by between 13-32%,</w:t>
      </w:r>
      <w:r>
        <w:rPr>
          <w:rStyle w:val="FootnoteReference"/>
          <w:rFonts w:eastAsia="Times New Roman" w:cs="Arial"/>
          <w:szCs w:val="21"/>
          <w:lang w:val="en-AU" w:eastAsia="en-AU"/>
        </w:rPr>
        <w:footnoteReference w:id="33"/>
      </w:r>
      <w:r>
        <w:rPr>
          <w:rFonts w:eastAsia="Times New Roman" w:cs="Arial"/>
          <w:sz w:val="21"/>
          <w:szCs w:val="21"/>
          <w:lang w:val="en-AU" w:eastAsia="en-AU"/>
        </w:rPr>
        <w:t xml:space="preserve"> affecting sectors differently. </w:t>
      </w:r>
      <w:r w:rsidR="006812B1">
        <w:rPr>
          <w:rFonts w:eastAsia="Times New Roman" w:cs="Arial"/>
          <w:sz w:val="21"/>
          <w:szCs w:val="21"/>
          <w:lang w:val="en-AU" w:eastAsia="en-AU"/>
        </w:rPr>
        <w:t xml:space="preserve"> The degree to which this will rebound in 2021 is unknown.  </w:t>
      </w:r>
      <w:r w:rsidR="00EE2882">
        <w:rPr>
          <w:rFonts w:eastAsia="Times New Roman" w:cs="Arial"/>
          <w:sz w:val="21"/>
          <w:szCs w:val="21"/>
          <w:lang w:val="en-AU" w:eastAsia="en-AU"/>
        </w:rPr>
        <w:t>To understand the significance of the trade impacts</w:t>
      </w:r>
      <w:r w:rsidR="00651884">
        <w:rPr>
          <w:rFonts w:eastAsia="Times New Roman" w:cs="Arial"/>
          <w:sz w:val="21"/>
          <w:szCs w:val="21"/>
          <w:lang w:val="en-AU" w:eastAsia="en-AU"/>
        </w:rPr>
        <w:t>, and to mitigate risks,</w:t>
      </w:r>
      <w:r w:rsidR="00EE2882">
        <w:rPr>
          <w:rFonts w:eastAsia="Times New Roman" w:cs="Arial"/>
          <w:sz w:val="21"/>
          <w:szCs w:val="21"/>
          <w:lang w:val="en-AU" w:eastAsia="en-AU"/>
        </w:rPr>
        <w:t xml:space="preserve"> it is recommended that ECP conduct an initial impact </w:t>
      </w:r>
      <w:r w:rsidR="004D1C54">
        <w:rPr>
          <w:rFonts w:eastAsia="Times New Roman" w:cs="Arial"/>
          <w:sz w:val="21"/>
          <w:szCs w:val="21"/>
          <w:lang w:val="en-AU" w:eastAsia="en-AU"/>
        </w:rPr>
        <w:t>assessment</w:t>
      </w:r>
      <w:r>
        <w:rPr>
          <w:rFonts w:eastAsia="Times New Roman" w:cs="Arial"/>
          <w:sz w:val="21"/>
          <w:szCs w:val="21"/>
          <w:lang w:val="en-AU" w:eastAsia="en-AU"/>
        </w:rPr>
        <w:t>, followed by strategies for mitigation, restoration and growth of trade and investment, and corresponding implications for ECP programming and priorities.</w:t>
      </w:r>
      <w:r w:rsidR="006812B1">
        <w:rPr>
          <w:rFonts w:eastAsia="Times New Roman" w:cs="Arial"/>
          <w:sz w:val="21"/>
          <w:szCs w:val="21"/>
          <w:lang w:val="en-AU" w:eastAsia="en-AU"/>
        </w:rPr>
        <w:t xml:space="preserve"> This may have implications for the first year work program. </w:t>
      </w:r>
    </w:p>
    <w:p w14:paraId="67C0C492" w14:textId="4E4AD059" w:rsidR="00651884" w:rsidRDefault="00651884" w:rsidP="00313254">
      <w:pPr>
        <w:tabs>
          <w:tab w:val="left" w:pos="284"/>
        </w:tabs>
        <w:suppressAutoHyphens w:val="0"/>
        <w:spacing w:after="120"/>
        <w:jc w:val="both"/>
        <w:rPr>
          <w:rFonts w:eastAsia="Times New Roman" w:cs="Arial"/>
          <w:sz w:val="21"/>
          <w:szCs w:val="21"/>
          <w:lang w:val="en-AU" w:eastAsia="en-AU"/>
        </w:rPr>
      </w:pPr>
      <w:r>
        <w:rPr>
          <w:rFonts w:eastAsia="Times New Roman" w:cs="Arial"/>
          <w:sz w:val="21"/>
          <w:szCs w:val="21"/>
          <w:lang w:val="en-AU" w:eastAsia="en-AU"/>
        </w:rPr>
        <w:t>While some activities can be conducted remotely such as research, scoping studies, needs assessments and strategy development, other activities such as training, capacity development, socialisation, engagement and policy dialogues will most likely be delayed until it is safe to do so.</w:t>
      </w:r>
    </w:p>
    <w:p w14:paraId="0F27BAEB" w14:textId="40955CBA" w:rsidR="00F276E9" w:rsidRDefault="00187095" w:rsidP="00313254">
      <w:pPr>
        <w:tabs>
          <w:tab w:val="left" w:pos="284"/>
        </w:tabs>
        <w:suppressAutoHyphens w:val="0"/>
        <w:spacing w:after="120"/>
        <w:jc w:val="both"/>
        <w:rPr>
          <w:rFonts w:eastAsia="Times New Roman" w:cs="Arial"/>
          <w:sz w:val="21"/>
          <w:szCs w:val="21"/>
          <w:lang w:val="en-AU" w:eastAsia="en-AU"/>
        </w:rPr>
      </w:pPr>
      <w:r>
        <w:rPr>
          <w:rFonts w:eastAsia="Times New Roman" w:cs="Arial"/>
          <w:sz w:val="21"/>
          <w:szCs w:val="21"/>
          <w:lang w:val="en-AU" w:eastAsia="en-AU"/>
        </w:rPr>
        <w:t>In terms of overall programming</w:t>
      </w:r>
      <w:r w:rsidR="00F276E9" w:rsidRPr="00475BF4">
        <w:rPr>
          <w:rFonts w:eastAsia="Times New Roman" w:cs="Arial"/>
          <w:sz w:val="21"/>
          <w:szCs w:val="21"/>
          <w:lang w:val="en-AU" w:eastAsia="en-AU"/>
        </w:rPr>
        <w:t xml:space="preserve"> </w:t>
      </w:r>
      <w:r>
        <w:rPr>
          <w:rFonts w:eastAsia="Times New Roman" w:cs="Arial"/>
          <w:sz w:val="21"/>
          <w:szCs w:val="21"/>
          <w:lang w:val="en-AU" w:eastAsia="en-AU"/>
        </w:rPr>
        <w:t>this investment is</w:t>
      </w:r>
      <w:r w:rsidR="00F276E9" w:rsidRPr="00475BF4">
        <w:rPr>
          <w:rFonts w:eastAsia="Times New Roman" w:cs="Arial"/>
          <w:sz w:val="21"/>
          <w:szCs w:val="21"/>
          <w:lang w:val="en-AU" w:eastAsia="en-AU"/>
        </w:rPr>
        <w:t xml:space="preserve"> </w:t>
      </w:r>
      <w:r>
        <w:rPr>
          <w:rFonts w:eastAsia="Times New Roman" w:cs="Arial"/>
          <w:sz w:val="21"/>
          <w:szCs w:val="21"/>
          <w:lang w:val="en-AU" w:eastAsia="en-AU"/>
        </w:rPr>
        <w:t xml:space="preserve">already </w:t>
      </w:r>
      <w:r w:rsidR="00F276E9" w:rsidRPr="00475BF4">
        <w:rPr>
          <w:rFonts w:eastAsia="Times New Roman" w:cs="Arial"/>
          <w:sz w:val="21"/>
          <w:szCs w:val="21"/>
          <w:lang w:val="en-AU" w:eastAsia="en-AU"/>
        </w:rPr>
        <w:t>considered ambitious</w:t>
      </w:r>
      <w:r w:rsidR="00622D99">
        <w:rPr>
          <w:rFonts w:eastAsia="Times New Roman" w:cs="Arial"/>
          <w:sz w:val="21"/>
          <w:szCs w:val="21"/>
          <w:lang w:val="en-AU" w:eastAsia="en-AU"/>
        </w:rPr>
        <w:t>.</w:t>
      </w:r>
      <w:r w:rsidR="00F276E9" w:rsidRPr="00475BF4">
        <w:rPr>
          <w:rFonts w:eastAsia="Times New Roman" w:cs="Arial"/>
          <w:sz w:val="21"/>
          <w:szCs w:val="21"/>
          <w:lang w:val="en-AU" w:eastAsia="en-AU"/>
        </w:rPr>
        <w:t xml:space="preserve"> The major </w:t>
      </w:r>
      <w:r w:rsidR="00651884">
        <w:rPr>
          <w:rFonts w:eastAsia="Times New Roman" w:cs="Arial"/>
          <w:sz w:val="21"/>
          <w:szCs w:val="21"/>
          <w:lang w:val="en-AU" w:eastAsia="en-AU"/>
        </w:rPr>
        <w:t xml:space="preserve">overall </w:t>
      </w:r>
      <w:r w:rsidR="00F276E9" w:rsidRPr="00475BF4">
        <w:rPr>
          <w:rFonts w:eastAsia="Times New Roman" w:cs="Arial"/>
          <w:sz w:val="21"/>
          <w:szCs w:val="21"/>
          <w:lang w:val="en-AU" w:eastAsia="en-AU"/>
        </w:rPr>
        <w:t xml:space="preserve">risk is that the </w:t>
      </w:r>
      <w:r w:rsidR="00F276E9">
        <w:rPr>
          <w:rFonts w:eastAsia="Times New Roman" w:cs="Arial"/>
          <w:sz w:val="21"/>
          <w:szCs w:val="21"/>
          <w:lang w:val="en-AU" w:eastAsia="en-AU"/>
        </w:rPr>
        <w:t>ECP fails</w:t>
      </w:r>
      <w:r w:rsidR="00F276E9" w:rsidRPr="00475BF4">
        <w:rPr>
          <w:rFonts w:eastAsia="Times New Roman" w:cs="Arial"/>
          <w:sz w:val="21"/>
          <w:szCs w:val="21"/>
          <w:lang w:val="en-AU" w:eastAsia="en-AU"/>
        </w:rPr>
        <w:t xml:space="preserve"> to </w:t>
      </w:r>
      <w:r w:rsidR="00F276E9">
        <w:rPr>
          <w:rFonts w:eastAsia="Times New Roman" w:cs="Arial"/>
          <w:sz w:val="21"/>
          <w:szCs w:val="21"/>
          <w:lang w:val="en-AU" w:eastAsia="en-AU"/>
        </w:rPr>
        <w:t>achieve</w:t>
      </w:r>
      <w:r w:rsidR="00F276E9" w:rsidRPr="00475BF4">
        <w:rPr>
          <w:rFonts w:eastAsia="Times New Roman" w:cs="Arial"/>
          <w:sz w:val="21"/>
          <w:szCs w:val="21"/>
          <w:lang w:val="en-AU" w:eastAsia="en-AU"/>
        </w:rPr>
        <w:t xml:space="preserve"> its intended </w:t>
      </w:r>
      <w:bookmarkEnd w:id="1"/>
      <w:r w:rsidR="00F276E9">
        <w:rPr>
          <w:rFonts w:eastAsia="Times New Roman" w:cs="Arial"/>
          <w:sz w:val="21"/>
          <w:szCs w:val="21"/>
          <w:lang w:val="en-AU" w:eastAsia="en-AU"/>
        </w:rPr>
        <w:t>outcomes</w:t>
      </w:r>
      <w:r>
        <w:rPr>
          <w:rFonts w:eastAsia="Times New Roman" w:cs="Arial"/>
          <w:sz w:val="21"/>
          <w:szCs w:val="21"/>
          <w:lang w:val="en-AU" w:eastAsia="en-AU"/>
        </w:rPr>
        <w:t xml:space="preserve"> within the time frame, due to </w:t>
      </w:r>
      <w:r w:rsidR="005A4E59">
        <w:rPr>
          <w:rFonts w:eastAsia="Times New Roman" w:cs="Arial"/>
          <w:sz w:val="21"/>
          <w:szCs w:val="21"/>
          <w:lang w:val="en-AU" w:eastAsia="en-AU"/>
        </w:rPr>
        <w:t>COVID</w:t>
      </w:r>
      <w:r>
        <w:rPr>
          <w:rFonts w:eastAsia="Times New Roman" w:cs="Arial"/>
          <w:sz w:val="21"/>
          <w:szCs w:val="21"/>
          <w:lang w:val="en-AU" w:eastAsia="en-AU"/>
        </w:rPr>
        <w:t>-19</w:t>
      </w:r>
      <w:r w:rsidR="00622D99">
        <w:rPr>
          <w:rFonts w:eastAsia="Times New Roman" w:cs="Arial"/>
          <w:sz w:val="21"/>
          <w:szCs w:val="21"/>
          <w:lang w:val="en-AU" w:eastAsia="en-AU"/>
        </w:rPr>
        <w:t xml:space="preserve">, </w:t>
      </w:r>
      <w:r w:rsidR="00F276E9">
        <w:rPr>
          <w:rFonts w:eastAsia="Times New Roman" w:cs="Arial"/>
          <w:sz w:val="21"/>
          <w:szCs w:val="21"/>
          <w:lang w:val="en-AU" w:eastAsia="en-AU"/>
        </w:rPr>
        <w:t>lack of industry investment</w:t>
      </w:r>
      <w:r w:rsidR="00577426">
        <w:rPr>
          <w:rFonts w:eastAsia="Times New Roman" w:cs="Arial"/>
          <w:sz w:val="21"/>
          <w:szCs w:val="21"/>
          <w:lang w:val="en-AU" w:eastAsia="en-AU"/>
        </w:rPr>
        <w:t xml:space="preserve"> and government</w:t>
      </w:r>
      <w:r w:rsidR="00651884">
        <w:rPr>
          <w:rFonts w:eastAsia="Times New Roman" w:cs="Arial"/>
          <w:sz w:val="21"/>
          <w:szCs w:val="21"/>
          <w:lang w:val="en-AU" w:eastAsia="en-AU"/>
        </w:rPr>
        <w:t xml:space="preserve"> not prioritising</w:t>
      </w:r>
      <w:r w:rsidR="00577426">
        <w:rPr>
          <w:rFonts w:eastAsia="Times New Roman" w:cs="Arial"/>
          <w:sz w:val="21"/>
          <w:szCs w:val="21"/>
          <w:lang w:val="en-AU" w:eastAsia="en-AU"/>
        </w:rPr>
        <w:t xml:space="preserve"> </w:t>
      </w:r>
      <w:r w:rsidR="004861CD">
        <w:rPr>
          <w:rFonts w:eastAsia="Times New Roman" w:cs="Arial"/>
          <w:sz w:val="21"/>
          <w:szCs w:val="21"/>
          <w:lang w:val="en-AU" w:eastAsia="en-AU"/>
        </w:rPr>
        <w:t xml:space="preserve">activities </w:t>
      </w:r>
      <w:r w:rsidR="00F276E9">
        <w:rPr>
          <w:rFonts w:eastAsia="Times New Roman" w:cs="Arial"/>
          <w:sz w:val="21"/>
          <w:szCs w:val="21"/>
          <w:lang w:val="en-AU" w:eastAsia="en-AU"/>
        </w:rPr>
        <w:t xml:space="preserve">in </w:t>
      </w:r>
      <w:r w:rsidR="00577426">
        <w:rPr>
          <w:rFonts w:eastAsia="Times New Roman" w:cs="Arial"/>
          <w:sz w:val="21"/>
          <w:szCs w:val="21"/>
          <w:lang w:val="en-AU" w:eastAsia="en-AU"/>
        </w:rPr>
        <w:t xml:space="preserve">the </w:t>
      </w:r>
      <w:r w:rsidR="00F276E9">
        <w:rPr>
          <w:rFonts w:eastAsia="Times New Roman" w:cs="Arial"/>
          <w:sz w:val="21"/>
          <w:szCs w:val="21"/>
          <w:lang w:val="en-AU" w:eastAsia="en-AU"/>
        </w:rPr>
        <w:t xml:space="preserve">targeted </w:t>
      </w:r>
      <w:r w:rsidR="005A798E">
        <w:rPr>
          <w:rFonts w:eastAsia="Times New Roman" w:cs="Arial"/>
          <w:sz w:val="21"/>
          <w:szCs w:val="21"/>
          <w:lang w:val="en-AU" w:eastAsia="en-AU"/>
        </w:rPr>
        <w:t xml:space="preserve">outcome </w:t>
      </w:r>
      <w:r w:rsidR="00F276E9">
        <w:rPr>
          <w:rFonts w:eastAsia="Times New Roman" w:cs="Arial"/>
          <w:sz w:val="21"/>
          <w:szCs w:val="21"/>
          <w:lang w:val="en-AU" w:eastAsia="en-AU"/>
        </w:rPr>
        <w:t>areas</w:t>
      </w:r>
      <w:r w:rsidR="00622D99">
        <w:rPr>
          <w:rFonts w:eastAsia="Times New Roman" w:cs="Arial"/>
          <w:sz w:val="21"/>
          <w:szCs w:val="21"/>
          <w:lang w:val="en-AU" w:eastAsia="en-AU"/>
        </w:rPr>
        <w:t>.</w:t>
      </w:r>
      <w:r w:rsidR="00F276E9">
        <w:rPr>
          <w:rFonts w:eastAsia="Times New Roman" w:cs="Arial"/>
          <w:sz w:val="21"/>
          <w:szCs w:val="21"/>
          <w:lang w:val="en-AU" w:eastAsia="en-AU"/>
        </w:rPr>
        <w:t xml:space="preserve"> This will depend on </w:t>
      </w:r>
      <w:r w:rsidR="00622D99">
        <w:rPr>
          <w:rFonts w:eastAsia="Times New Roman" w:cs="Arial"/>
          <w:sz w:val="21"/>
          <w:szCs w:val="21"/>
          <w:lang w:val="en-AU" w:eastAsia="en-AU"/>
        </w:rPr>
        <w:t>the overall impact of C</w:t>
      </w:r>
      <w:r w:rsidR="005A4E59">
        <w:rPr>
          <w:rFonts w:eastAsia="Times New Roman" w:cs="Arial"/>
          <w:sz w:val="21"/>
          <w:szCs w:val="21"/>
          <w:lang w:val="en-AU" w:eastAsia="en-AU"/>
        </w:rPr>
        <w:t>OVID</w:t>
      </w:r>
      <w:r w:rsidR="00622D99">
        <w:rPr>
          <w:rFonts w:eastAsia="Times New Roman" w:cs="Arial"/>
          <w:sz w:val="21"/>
          <w:szCs w:val="21"/>
          <w:lang w:val="en-AU" w:eastAsia="en-AU"/>
        </w:rPr>
        <w:t xml:space="preserve">-19 and </w:t>
      </w:r>
      <w:r w:rsidR="00F276E9">
        <w:rPr>
          <w:rFonts w:eastAsia="Times New Roman" w:cs="Arial"/>
          <w:sz w:val="21"/>
          <w:szCs w:val="21"/>
          <w:lang w:val="en-AU" w:eastAsia="en-AU"/>
        </w:rPr>
        <w:t>the ability of the program to identify catalytic activities that can promote industry engagement</w:t>
      </w:r>
      <w:r w:rsidR="00717C46">
        <w:rPr>
          <w:rFonts w:eastAsia="Times New Roman" w:cs="Arial"/>
          <w:sz w:val="21"/>
          <w:szCs w:val="21"/>
          <w:lang w:val="en-AU" w:eastAsia="en-AU"/>
        </w:rPr>
        <w:t xml:space="preserve"> (and therefore a strong network for assessing industry demand and priorities)</w:t>
      </w:r>
      <w:r w:rsidR="009E1DD8">
        <w:rPr>
          <w:rFonts w:eastAsia="Times New Roman" w:cs="Arial"/>
          <w:sz w:val="21"/>
          <w:szCs w:val="21"/>
          <w:lang w:val="en-AU" w:eastAsia="en-AU"/>
        </w:rPr>
        <w:t xml:space="preserve">, </w:t>
      </w:r>
      <w:r w:rsidR="00577426">
        <w:rPr>
          <w:rFonts w:eastAsia="Times New Roman" w:cs="Arial"/>
          <w:sz w:val="21"/>
          <w:szCs w:val="21"/>
          <w:lang w:val="en-AU" w:eastAsia="en-AU"/>
        </w:rPr>
        <w:t xml:space="preserve">government action, </w:t>
      </w:r>
      <w:r w:rsidR="009E1DD8">
        <w:rPr>
          <w:rFonts w:eastAsia="Times New Roman" w:cs="Arial"/>
          <w:sz w:val="21"/>
          <w:szCs w:val="21"/>
          <w:lang w:val="en-AU" w:eastAsia="en-AU"/>
        </w:rPr>
        <w:t>partnership</w:t>
      </w:r>
      <w:r w:rsidR="00577426">
        <w:rPr>
          <w:rFonts w:eastAsia="Times New Roman" w:cs="Arial"/>
          <w:sz w:val="21"/>
          <w:szCs w:val="21"/>
          <w:lang w:val="en-AU" w:eastAsia="en-AU"/>
        </w:rPr>
        <w:t xml:space="preserve"> development</w:t>
      </w:r>
      <w:r w:rsidR="009E1DD8">
        <w:rPr>
          <w:rFonts w:eastAsia="Times New Roman" w:cs="Arial"/>
          <w:sz w:val="21"/>
          <w:szCs w:val="21"/>
          <w:lang w:val="en-AU" w:eastAsia="en-AU"/>
        </w:rPr>
        <w:t xml:space="preserve"> and subsequent </w:t>
      </w:r>
      <w:r w:rsidR="00622D99">
        <w:rPr>
          <w:rFonts w:eastAsia="Times New Roman" w:cs="Arial"/>
          <w:sz w:val="21"/>
          <w:szCs w:val="21"/>
          <w:lang w:val="en-AU" w:eastAsia="en-AU"/>
        </w:rPr>
        <w:t xml:space="preserve">trade and </w:t>
      </w:r>
      <w:r w:rsidR="009E1DD8">
        <w:rPr>
          <w:rFonts w:eastAsia="Times New Roman" w:cs="Arial"/>
          <w:sz w:val="21"/>
          <w:szCs w:val="21"/>
          <w:lang w:val="en-AU" w:eastAsia="en-AU"/>
        </w:rPr>
        <w:t>investment</w:t>
      </w:r>
      <w:r w:rsidR="00F276E9">
        <w:rPr>
          <w:rFonts w:eastAsia="Times New Roman" w:cs="Arial"/>
          <w:sz w:val="21"/>
          <w:szCs w:val="21"/>
          <w:lang w:val="en-AU" w:eastAsia="en-AU"/>
        </w:rPr>
        <w:t xml:space="preserve"> in Indonesia and Australia. </w:t>
      </w:r>
      <w:r w:rsidR="009E1DD8">
        <w:rPr>
          <w:rFonts w:eastAsia="Times New Roman" w:cs="Arial"/>
          <w:sz w:val="21"/>
          <w:szCs w:val="21"/>
          <w:lang w:val="en-AU" w:eastAsia="en-AU"/>
        </w:rPr>
        <w:t xml:space="preserve"> </w:t>
      </w:r>
    </w:p>
    <w:p w14:paraId="300BCB29" w14:textId="351698F6" w:rsidR="002B01C4" w:rsidRDefault="00622D99" w:rsidP="009344D4">
      <w:pPr>
        <w:tabs>
          <w:tab w:val="left" w:pos="284"/>
        </w:tabs>
        <w:suppressAutoHyphens w:val="0"/>
        <w:spacing w:before="0" w:after="0"/>
        <w:jc w:val="both"/>
        <w:rPr>
          <w:rFonts w:eastAsia="Times New Roman" w:cs="Arial"/>
          <w:sz w:val="21"/>
          <w:szCs w:val="21"/>
          <w:lang w:val="en-AU" w:eastAsia="en-AU"/>
        </w:rPr>
      </w:pPr>
      <w:r>
        <w:rPr>
          <w:rFonts w:eastAsia="Times New Roman" w:cs="Arial"/>
          <w:sz w:val="21"/>
          <w:szCs w:val="21"/>
          <w:lang w:val="en-AU" w:eastAsia="en-AU"/>
        </w:rPr>
        <w:t>Once operational, r</w:t>
      </w:r>
      <w:r w:rsidR="002B01C4">
        <w:rPr>
          <w:rFonts w:eastAsia="Times New Roman" w:cs="Arial"/>
          <w:sz w:val="21"/>
          <w:szCs w:val="21"/>
          <w:lang w:val="en-AU" w:eastAsia="en-AU"/>
        </w:rPr>
        <w:t>isks will be monitored monthly by the management team</w:t>
      </w:r>
      <w:r w:rsidR="00B57EE5">
        <w:rPr>
          <w:rFonts w:eastAsia="Times New Roman" w:cs="Arial"/>
          <w:sz w:val="21"/>
          <w:szCs w:val="21"/>
          <w:lang w:val="en-AU" w:eastAsia="en-AU"/>
        </w:rPr>
        <w:t>, including operation</w:t>
      </w:r>
      <w:r w:rsidR="00EE2882">
        <w:rPr>
          <w:rFonts w:eastAsia="Times New Roman" w:cs="Arial"/>
          <w:sz w:val="21"/>
          <w:szCs w:val="21"/>
          <w:lang w:val="en-AU" w:eastAsia="en-AU"/>
        </w:rPr>
        <w:t>al risks</w:t>
      </w:r>
      <w:r w:rsidR="00B57EE5">
        <w:rPr>
          <w:rFonts w:eastAsia="Times New Roman" w:cs="Arial"/>
          <w:sz w:val="21"/>
          <w:szCs w:val="21"/>
          <w:lang w:val="en-AU" w:eastAsia="en-AU"/>
        </w:rPr>
        <w:t xml:space="preserve"> and safeguards</w:t>
      </w:r>
      <w:r w:rsidR="002B01C4">
        <w:rPr>
          <w:rFonts w:eastAsia="Times New Roman" w:cs="Arial"/>
          <w:sz w:val="21"/>
          <w:szCs w:val="21"/>
          <w:lang w:val="en-AU" w:eastAsia="en-AU"/>
        </w:rPr>
        <w:t>. The six monthly progress reports will recommend any major changes to programming if risks fail to be mitigated or new risks emerge. An annual learning and reflection workshop with stakeholders will also be used to assess risks and the impact of mitigation approaches. An independent mid</w:t>
      </w:r>
      <w:r w:rsidR="00A3719C">
        <w:rPr>
          <w:rFonts w:eastAsia="Times New Roman" w:cs="Arial"/>
          <w:sz w:val="21"/>
          <w:szCs w:val="21"/>
          <w:lang w:val="en-AU" w:eastAsia="en-AU"/>
        </w:rPr>
        <w:t>-</w:t>
      </w:r>
      <w:r w:rsidR="002B01C4">
        <w:rPr>
          <w:rFonts w:eastAsia="Times New Roman" w:cs="Arial"/>
          <w:sz w:val="21"/>
          <w:szCs w:val="21"/>
          <w:lang w:val="en-AU" w:eastAsia="en-AU"/>
        </w:rPr>
        <w:t xml:space="preserve">term review will be conducted in 2023 to fully assess progress and evaluate performance. The purpose of this review is to recommend any significant changes in programming, resources or risk mitigation. </w:t>
      </w:r>
    </w:p>
    <w:p w14:paraId="1B450E34" w14:textId="272470DD" w:rsidR="003D675C" w:rsidRPr="00C970C8" w:rsidRDefault="003D675C" w:rsidP="00475BF4">
      <w:pPr>
        <w:rPr>
          <w:bCs/>
          <w:sz w:val="21"/>
          <w:szCs w:val="21"/>
        </w:rPr>
      </w:pPr>
      <w:r w:rsidRPr="00C970C8">
        <w:rPr>
          <w:bCs/>
          <w:sz w:val="21"/>
          <w:szCs w:val="21"/>
        </w:rPr>
        <w:t>In terms of environmental and social safeguards the program is rated as medium</w:t>
      </w:r>
      <w:r w:rsidR="00BA4453" w:rsidRPr="00C970C8">
        <w:rPr>
          <w:bCs/>
          <w:sz w:val="21"/>
          <w:szCs w:val="21"/>
        </w:rPr>
        <w:t>.</w:t>
      </w:r>
      <w:r w:rsidRPr="00C970C8">
        <w:rPr>
          <w:bCs/>
          <w:sz w:val="21"/>
          <w:szCs w:val="21"/>
        </w:rPr>
        <w:t xml:space="preserve"> The program will </w:t>
      </w:r>
      <w:r w:rsidR="00622562">
        <w:rPr>
          <w:bCs/>
          <w:sz w:val="21"/>
          <w:szCs w:val="21"/>
        </w:rPr>
        <w:t xml:space="preserve">be required to </w:t>
      </w:r>
      <w:r w:rsidRPr="00C970C8">
        <w:rPr>
          <w:bCs/>
          <w:sz w:val="21"/>
          <w:szCs w:val="21"/>
        </w:rPr>
        <w:t>develop an operational policy to ensure it complies with DFAT’s Environmental and Social Safeguards.  Risks and safeguards will be included as key</w:t>
      </w:r>
      <w:r w:rsidR="004519E9" w:rsidRPr="00C970C8">
        <w:rPr>
          <w:bCs/>
          <w:sz w:val="21"/>
          <w:szCs w:val="21"/>
        </w:rPr>
        <w:t xml:space="preserve"> performance</w:t>
      </w:r>
      <w:r w:rsidRPr="00C970C8">
        <w:rPr>
          <w:bCs/>
          <w:sz w:val="21"/>
          <w:szCs w:val="21"/>
        </w:rPr>
        <w:t xml:space="preserve"> indicators in the </w:t>
      </w:r>
      <w:r w:rsidR="000356EC" w:rsidRPr="00C970C8">
        <w:rPr>
          <w:bCs/>
          <w:sz w:val="21"/>
          <w:szCs w:val="21"/>
        </w:rPr>
        <w:t>MEL</w:t>
      </w:r>
      <w:r w:rsidRPr="00C970C8">
        <w:rPr>
          <w:bCs/>
          <w:sz w:val="21"/>
          <w:szCs w:val="21"/>
        </w:rPr>
        <w:t xml:space="preserve"> system. Investment activity selection will include environment and safeguards screening encompassing DFAT’s: </w:t>
      </w:r>
    </w:p>
    <w:p w14:paraId="7C85C7B6" w14:textId="77777777" w:rsidR="003A75AE" w:rsidRDefault="003A75AE" w:rsidP="009D3124">
      <w:pPr>
        <w:pStyle w:val="ListParagraph"/>
        <w:numPr>
          <w:ilvl w:val="0"/>
          <w:numId w:val="41"/>
        </w:numPr>
        <w:rPr>
          <w:bCs/>
          <w:sz w:val="21"/>
          <w:szCs w:val="21"/>
        </w:rPr>
        <w:sectPr w:rsidR="003A75AE" w:rsidSect="007C4ABD">
          <w:footerReference w:type="default" r:id="rId18"/>
          <w:headerReference w:type="first" r:id="rId19"/>
          <w:footerReference w:type="first" r:id="rId20"/>
          <w:type w:val="continuous"/>
          <w:pgSz w:w="11906" w:h="16838" w:code="9"/>
          <w:pgMar w:top="1135" w:right="1134" w:bottom="284" w:left="1134" w:header="425" w:footer="493" w:gutter="0"/>
          <w:cols w:space="397"/>
          <w:titlePg/>
          <w:docGrid w:linePitch="360"/>
        </w:sectPr>
      </w:pPr>
    </w:p>
    <w:p w14:paraId="433E98D3" w14:textId="302452B5" w:rsidR="003D675C" w:rsidRPr="00C970C8" w:rsidRDefault="003D675C" w:rsidP="009D3124">
      <w:pPr>
        <w:pStyle w:val="ListParagraph"/>
        <w:numPr>
          <w:ilvl w:val="0"/>
          <w:numId w:val="41"/>
        </w:numPr>
        <w:rPr>
          <w:bCs/>
          <w:sz w:val="21"/>
          <w:szCs w:val="21"/>
        </w:rPr>
      </w:pPr>
      <w:r w:rsidRPr="00C970C8">
        <w:rPr>
          <w:bCs/>
          <w:sz w:val="21"/>
          <w:szCs w:val="21"/>
        </w:rPr>
        <w:t>Environment Protection Policy</w:t>
      </w:r>
      <w:r w:rsidR="00976C25">
        <w:rPr>
          <w:bCs/>
          <w:sz w:val="21"/>
          <w:szCs w:val="21"/>
        </w:rPr>
        <w:t>;</w:t>
      </w:r>
    </w:p>
    <w:p w14:paraId="5379B420" w14:textId="196F93DF" w:rsidR="003D675C" w:rsidRPr="00C970C8" w:rsidRDefault="003D675C" w:rsidP="009D3124">
      <w:pPr>
        <w:pStyle w:val="ListParagraph"/>
        <w:numPr>
          <w:ilvl w:val="0"/>
          <w:numId w:val="41"/>
        </w:numPr>
        <w:rPr>
          <w:bCs/>
          <w:sz w:val="21"/>
          <w:szCs w:val="21"/>
        </w:rPr>
      </w:pPr>
      <w:r w:rsidRPr="00C970C8">
        <w:rPr>
          <w:bCs/>
          <w:sz w:val="21"/>
          <w:szCs w:val="21"/>
        </w:rPr>
        <w:t>Preventing Sexual Exploitation, Abuse and Harassment (PSEAH) Policy</w:t>
      </w:r>
      <w:r w:rsidR="00976C25">
        <w:rPr>
          <w:bCs/>
          <w:sz w:val="21"/>
          <w:szCs w:val="21"/>
        </w:rPr>
        <w:t>;</w:t>
      </w:r>
    </w:p>
    <w:p w14:paraId="7F000D22" w14:textId="050D26A7" w:rsidR="003D675C" w:rsidRPr="00C970C8" w:rsidRDefault="003D675C" w:rsidP="009D3124">
      <w:pPr>
        <w:pStyle w:val="ListParagraph"/>
        <w:numPr>
          <w:ilvl w:val="0"/>
          <w:numId w:val="41"/>
        </w:numPr>
        <w:rPr>
          <w:bCs/>
          <w:sz w:val="21"/>
          <w:szCs w:val="21"/>
        </w:rPr>
      </w:pPr>
      <w:r w:rsidRPr="00C970C8">
        <w:rPr>
          <w:bCs/>
          <w:sz w:val="21"/>
          <w:szCs w:val="21"/>
        </w:rPr>
        <w:t>Displacement and Resettlement of People in Development Activities Policy</w:t>
      </w:r>
      <w:r w:rsidR="00976C25">
        <w:rPr>
          <w:bCs/>
          <w:sz w:val="21"/>
          <w:szCs w:val="21"/>
        </w:rPr>
        <w:t>;</w:t>
      </w:r>
      <w:r w:rsidRPr="00C970C8">
        <w:rPr>
          <w:bCs/>
          <w:sz w:val="21"/>
          <w:szCs w:val="21"/>
        </w:rPr>
        <w:t xml:space="preserve"> </w:t>
      </w:r>
    </w:p>
    <w:p w14:paraId="4004C591" w14:textId="6E1DC0F2" w:rsidR="003D675C" w:rsidRPr="00C970C8" w:rsidRDefault="003D675C" w:rsidP="009D3124">
      <w:pPr>
        <w:pStyle w:val="ListParagraph"/>
        <w:numPr>
          <w:ilvl w:val="0"/>
          <w:numId w:val="41"/>
        </w:numPr>
        <w:rPr>
          <w:bCs/>
          <w:sz w:val="21"/>
          <w:szCs w:val="21"/>
        </w:rPr>
      </w:pPr>
      <w:r w:rsidRPr="00C970C8">
        <w:rPr>
          <w:bCs/>
          <w:sz w:val="21"/>
          <w:szCs w:val="21"/>
        </w:rPr>
        <w:t>Indigenous Peoples Strategy 2015-2019: A Framework for Action</w:t>
      </w:r>
      <w:r w:rsidR="00976C25">
        <w:rPr>
          <w:bCs/>
          <w:sz w:val="21"/>
          <w:szCs w:val="21"/>
        </w:rPr>
        <w:t>;</w:t>
      </w:r>
    </w:p>
    <w:p w14:paraId="121C1B07" w14:textId="1891F3B2" w:rsidR="003D675C" w:rsidRPr="00C970C8" w:rsidRDefault="003D675C" w:rsidP="009D3124">
      <w:pPr>
        <w:pStyle w:val="ListParagraph"/>
        <w:numPr>
          <w:ilvl w:val="0"/>
          <w:numId w:val="41"/>
        </w:numPr>
        <w:rPr>
          <w:bCs/>
          <w:sz w:val="21"/>
          <w:szCs w:val="21"/>
        </w:rPr>
      </w:pPr>
      <w:r w:rsidRPr="00C970C8">
        <w:rPr>
          <w:bCs/>
          <w:sz w:val="21"/>
          <w:szCs w:val="21"/>
        </w:rPr>
        <w:t>Disability Action Strategy 2017-2020</w:t>
      </w:r>
      <w:r w:rsidR="00976C25">
        <w:rPr>
          <w:bCs/>
          <w:sz w:val="21"/>
          <w:szCs w:val="21"/>
        </w:rPr>
        <w:t>; and</w:t>
      </w:r>
    </w:p>
    <w:p w14:paraId="5CEECFE7" w14:textId="01656C88" w:rsidR="00D91D7C" w:rsidRPr="00313254" w:rsidRDefault="003D675C" w:rsidP="00313254">
      <w:pPr>
        <w:pStyle w:val="ListParagraph"/>
        <w:numPr>
          <w:ilvl w:val="0"/>
          <w:numId w:val="41"/>
        </w:numPr>
        <w:rPr>
          <w:bCs/>
          <w:sz w:val="21"/>
          <w:szCs w:val="21"/>
        </w:rPr>
      </w:pPr>
      <w:r w:rsidRPr="00C970C8">
        <w:rPr>
          <w:bCs/>
          <w:sz w:val="21"/>
          <w:szCs w:val="21"/>
        </w:rPr>
        <w:t>Work Health and Safety Management System.</w:t>
      </w:r>
    </w:p>
    <w:p w14:paraId="73CB1747" w14:textId="77777777" w:rsidR="003A75AE" w:rsidRDefault="003A75AE" w:rsidP="00856784">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sz w:val="21"/>
          <w:szCs w:val="21"/>
        </w:rPr>
        <w:sectPr w:rsidR="003A75AE" w:rsidSect="007C4ABD">
          <w:type w:val="continuous"/>
          <w:pgSz w:w="11906" w:h="16838" w:code="9"/>
          <w:pgMar w:top="1276" w:right="1134" w:bottom="851" w:left="1134" w:header="425" w:footer="493" w:gutter="0"/>
          <w:cols w:num="2" w:space="397"/>
          <w:titlePg/>
          <w:docGrid w:linePitch="360"/>
        </w:sectPr>
      </w:pPr>
    </w:p>
    <w:p w14:paraId="2B7ED1A2" w14:textId="334B88C7" w:rsidR="002D4DE7" w:rsidRPr="00C970C8" w:rsidRDefault="002D4DE7" w:rsidP="00856784">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sz w:val="21"/>
          <w:szCs w:val="21"/>
        </w:rPr>
      </w:pPr>
      <w:r w:rsidRPr="00C970C8">
        <w:rPr>
          <w:rFonts w:asciiTheme="majorHAnsi" w:hAnsiTheme="majorHAnsi"/>
          <w:b/>
          <w:sz w:val="21"/>
          <w:szCs w:val="21"/>
        </w:rPr>
        <w:t>Quality assurance (Does the design meet DFAT’s quality criteria?)</w:t>
      </w:r>
      <w:r w:rsidR="00451440" w:rsidRPr="00C970C8">
        <w:rPr>
          <w:rStyle w:val="FootnoteReference"/>
          <w:rFonts w:asciiTheme="majorHAnsi" w:hAnsiTheme="majorHAnsi"/>
          <w:b/>
          <w:sz w:val="21"/>
          <w:szCs w:val="21"/>
        </w:rPr>
        <w:t xml:space="preserve"> </w:t>
      </w:r>
    </w:p>
    <w:p w14:paraId="213C1832" w14:textId="242E8F57" w:rsidR="005A798E" w:rsidRDefault="00655B88" w:rsidP="009344D4">
      <w:pPr>
        <w:tabs>
          <w:tab w:val="left" w:pos="5123"/>
          <w:tab w:val="left" w:pos="8706"/>
        </w:tabs>
        <w:rPr>
          <w:bCs/>
          <w:sz w:val="21"/>
          <w:szCs w:val="21"/>
        </w:rPr>
      </w:pPr>
      <w:r w:rsidRPr="006D7E27">
        <w:rPr>
          <w:bCs/>
          <w:sz w:val="21"/>
          <w:szCs w:val="21"/>
        </w:rPr>
        <w:t>This design has been developed using DFAT’s</w:t>
      </w:r>
      <w:r w:rsidR="004E21B9">
        <w:rPr>
          <w:bCs/>
          <w:sz w:val="21"/>
          <w:szCs w:val="21"/>
        </w:rPr>
        <w:t xml:space="preserve"> design template and guidelines, </w:t>
      </w:r>
      <w:r w:rsidR="00CD7721" w:rsidRPr="006D7E27">
        <w:rPr>
          <w:bCs/>
          <w:sz w:val="21"/>
          <w:szCs w:val="21"/>
        </w:rPr>
        <w:t>employing</w:t>
      </w:r>
      <w:r w:rsidR="004E21B9">
        <w:rPr>
          <w:bCs/>
          <w:sz w:val="21"/>
          <w:szCs w:val="21"/>
        </w:rPr>
        <w:t xml:space="preserve"> an expert team with</w:t>
      </w:r>
      <w:r w:rsidRPr="006D7E27">
        <w:rPr>
          <w:bCs/>
          <w:sz w:val="21"/>
          <w:szCs w:val="21"/>
        </w:rPr>
        <w:t xml:space="preserve"> Indonesian and Australian sector expertise. </w:t>
      </w:r>
      <w:r w:rsidR="004E21B9">
        <w:rPr>
          <w:bCs/>
          <w:sz w:val="21"/>
          <w:szCs w:val="21"/>
        </w:rPr>
        <w:t xml:space="preserve">Widespread </w:t>
      </w:r>
      <w:r w:rsidR="004E21B9" w:rsidRPr="006D7E27">
        <w:rPr>
          <w:bCs/>
          <w:sz w:val="21"/>
          <w:szCs w:val="21"/>
        </w:rPr>
        <w:t xml:space="preserve">government and industry consultation in Indonesia and </w:t>
      </w:r>
      <w:r w:rsidR="004E21B9" w:rsidRPr="006D7E27">
        <w:rPr>
          <w:bCs/>
          <w:sz w:val="21"/>
          <w:szCs w:val="21"/>
        </w:rPr>
        <w:lastRenderedPageBreak/>
        <w:t>Australia</w:t>
      </w:r>
      <w:r w:rsidR="004E21B9">
        <w:rPr>
          <w:bCs/>
          <w:sz w:val="21"/>
          <w:szCs w:val="21"/>
        </w:rPr>
        <w:t xml:space="preserve"> was undertaking as part of the design. </w:t>
      </w:r>
      <w:r w:rsidRPr="006D7E27">
        <w:rPr>
          <w:bCs/>
          <w:sz w:val="21"/>
          <w:szCs w:val="21"/>
        </w:rPr>
        <w:t xml:space="preserve">The list of people and organisations consulted </w:t>
      </w:r>
      <w:r w:rsidR="001E3B85" w:rsidRPr="006D7E27">
        <w:rPr>
          <w:bCs/>
          <w:sz w:val="21"/>
          <w:szCs w:val="21"/>
        </w:rPr>
        <w:t>is provided at</w:t>
      </w:r>
      <w:r w:rsidRPr="006D7E27">
        <w:rPr>
          <w:bCs/>
          <w:sz w:val="21"/>
          <w:szCs w:val="21"/>
        </w:rPr>
        <w:t xml:space="preserve"> </w:t>
      </w:r>
      <w:r w:rsidRPr="006D7E27">
        <w:rPr>
          <w:bCs/>
          <w:sz w:val="21"/>
          <w:szCs w:val="21"/>
          <w:u w:val="single"/>
        </w:rPr>
        <w:t xml:space="preserve">Annex </w:t>
      </w:r>
      <w:r w:rsidR="00622562">
        <w:rPr>
          <w:bCs/>
          <w:sz w:val="21"/>
          <w:szCs w:val="21"/>
          <w:u w:val="single"/>
        </w:rPr>
        <w:t>5</w:t>
      </w:r>
      <w:r w:rsidRPr="006D7E27">
        <w:rPr>
          <w:bCs/>
          <w:sz w:val="21"/>
          <w:szCs w:val="21"/>
        </w:rPr>
        <w:t xml:space="preserve">. These consultations were supported by </w:t>
      </w:r>
      <w:r w:rsidR="00CD7721" w:rsidRPr="006D7E27">
        <w:rPr>
          <w:bCs/>
          <w:sz w:val="21"/>
          <w:szCs w:val="21"/>
        </w:rPr>
        <w:t xml:space="preserve">relevant </w:t>
      </w:r>
      <w:r w:rsidRPr="006D7E27">
        <w:rPr>
          <w:bCs/>
          <w:sz w:val="21"/>
          <w:szCs w:val="21"/>
        </w:rPr>
        <w:t>literature research and document reviews.</w:t>
      </w:r>
    </w:p>
    <w:p w14:paraId="1F17BCC2" w14:textId="7888A8AE" w:rsidR="00530ABE" w:rsidRPr="00D6076B" w:rsidRDefault="00530ABE" w:rsidP="00530ABE">
      <w:pPr>
        <w:tabs>
          <w:tab w:val="left" w:pos="5123"/>
          <w:tab w:val="left" w:pos="8706"/>
        </w:tabs>
        <w:rPr>
          <w:bCs/>
          <w:sz w:val="21"/>
          <w:szCs w:val="21"/>
        </w:rPr>
      </w:pPr>
      <w:r w:rsidRPr="00D6076B">
        <w:rPr>
          <w:bCs/>
          <w:sz w:val="21"/>
          <w:szCs w:val="21"/>
        </w:rPr>
        <w:t xml:space="preserve">The draft design document has been reviewed by a number of stakeholders across DFAT in Canberra and at Jakarta Post, other Australian Government agencies and the Government of Indonesia. In parallel, the design </w:t>
      </w:r>
      <w:r>
        <w:rPr>
          <w:bCs/>
          <w:sz w:val="21"/>
          <w:szCs w:val="21"/>
        </w:rPr>
        <w:t>has undergone an</w:t>
      </w:r>
      <w:r w:rsidRPr="00D6076B">
        <w:rPr>
          <w:bCs/>
          <w:sz w:val="21"/>
          <w:szCs w:val="21"/>
        </w:rPr>
        <w:t xml:space="preserve"> internal ODA eligibility assessment </w:t>
      </w:r>
      <w:r>
        <w:rPr>
          <w:bCs/>
          <w:sz w:val="21"/>
          <w:szCs w:val="21"/>
        </w:rPr>
        <w:t xml:space="preserve">(as part of the devolved trial), which has been approved </w:t>
      </w:r>
      <w:r w:rsidRPr="00D6076B">
        <w:rPr>
          <w:bCs/>
          <w:sz w:val="21"/>
          <w:szCs w:val="21"/>
        </w:rPr>
        <w:t xml:space="preserve">(a discussion of the use of non ODA funds is provided at </w:t>
      </w:r>
      <w:r w:rsidRPr="00D6076B">
        <w:rPr>
          <w:bCs/>
          <w:sz w:val="21"/>
          <w:szCs w:val="21"/>
          <w:u w:val="single"/>
        </w:rPr>
        <w:t>A</w:t>
      </w:r>
      <w:r>
        <w:rPr>
          <w:bCs/>
          <w:sz w:val="21"/>
          <w:szCs w:val="21"/>
          <w:u w:val="single"/>
        </w:rPr>
        <w:t>nnex</w:t>
      </w:r>
      <w:r>
        <w:rPr>
          <w:bCs/>
          <w:sz w:val="21"/>
          <w:szCs w:val="21"/>
          <w:u w:val="single"/>
        </w:rPr>
        <w:t xml:space="preserve"> 8</w:t>
      </w:r>
      <w:r w:rsidRPr="00D6076B">
        <w:rPr>
          <w:bCs/>
          <w:sz w:val="21"/>
          <w:szCs w:val="21"/>
          <w:u w:val="single"/>
        </w:rPr>
        <w:t>)</w:t>
      </w:r>
      <w:r w:rsidRPr="00D6076B">
        <w:rPr>
          <w:bCs/>
          <w:sz w:val="21"/>
          <w:szCs w:val="21"/>
        </w:rPr>
        <w:t>. In line with the Aid Programming guidelines, the design has also been independently appraised by one internal and one external expert to DFAT. These reviewers assessed the design against DFAT’s Investment Design Quality Scoring Matrix</w:t>
      </w:r>
      <w:r w:rsidRPr="00D6076B">
        <w:rPr>
          <w:rStyle w:val="Style"/>
        </w:rPr>
        <w:footnoteReference w:id="34"/>
      </w:r>
      <w:r w:rsidRPr="00D6076B">
        <w:rPr>
          <w:bCs/>
          <w:sz w:val="21"/>
          <w:szCs w:val="21"/>
        </w:rPr>
        <w:t xml:space="preserve"> covering relevance, effectiveness, efficiency, monitoring and evaluation, gender equality and cross cutting issues, innovation and private sector, and risk management and safeguards.</w:t>
      </w:r>
    </w:p>
    <w:p w14:paraId="6CB119E4" w14:textId="77777777" w:rsidR="00530ABE" w:rsidRPr="003405FB" w:rsidRDefault="00530ABE" w:rsidP="00530ABE">
      <w:pPr>
        <w:tabs>
          <w:tab w:val="left" w:pos="5123"/>
          <w:tab w:val="left" w:pos="8706"/>
        </w:tabs>
        <w:rPr>
          <w:bCs/>
          <w:sz w:val="21"/>
          <w:szCs w:val="21"/>
        </w:rPr>
      </w:pPr>
      <w:r w:rsidRPr="003405FB">
        <w:rPr>
          <w:bCs/>
          <w:sz w:val="21"/>
          <w:szCs w:val="21"/>
        </w:rPr>
        <w:t>The Design Team has consolidated feedback from the reviewers, in consultation with DFAT counterparts</w:t>
      </w:r>
      <w:r>
        <w:rPr>
          <w:bCs/>
          <w:sz w:val="21"/>
          <w:szCs w:val="21"/>
        </w:rPr>
        <w:t>, and revised the</w:t>
      </w:r>
      <w:r w:rsidRPr="003405FB">
        <w:rPr>
          <w:bCs/>
          <w:sz w:val="21"/>
          <w:szCs w:val="21"/>
        </w:rPr>
        <w:t xml:space="preserve"> draft of the design to reflect th</w:t>
      </w:r>
      <w:r>
        <w:rPr>
          <w:bCs/>
          <w:sz w:val="21"/>
          <w:szCs w:val="21"/>
        </w:rPr>
        <w:t>is</w:t>
      </w:r>
      <w:r w:rsidRPr="003405FB">
        <w:rPr>
          <w:bCs/>
          <w:sz w:val="21"/>
          <w:szCs w:val="21"/>
        </w:rPr>
        <w:t xml:space="preserve"> feedback, where appropriate. This has included some follow-up discussions with stakeholders, including the Government of Indonesia, to discuss and respond to their comments where possible.  </w:t>
      </w:r>
    </w:p>
    <w:p w14:paraId="613B419A" w14:textId="17EAA5B2" w:rsidR="00530ABE" w:rsidRDefault="00530ABE" w:rsidP="00530ABE">
      <w:pPr>
        <w:tabs>
          <w:tab w:val="left" w:pos="5123"/>
          <w:tab w:val="left" w:pos="8706"/>
        </w:tabs>
        <w:rPr>
          <w:bCs/>
          <w:sz w:val="21"/>
          <w:szCs w:val="21"/>
        </w:rPr>
      </w:pPr>
      <w:r>
        <w:rPr>
          <w:bCs/>
          <w:sz w:val="21"/>
          <w:szCs w:val="21"/>
        </w:rPr>
        <w:t xml:space="preserve">The design </w:t>
      </w:r>
      <w:r>
        <w:rPr>
          <w:bCs/>
          <w:sz w:val="21"/>
          <w:szCs w:val="21"/>
        </w:rPr>
        <w:t>was</w:t>
      </w:r>
      <w:r>
        <w:rPr>
          <w:bCs/>
          <w:sz w:val="21"/>
          <w:szCs w:val="21"/>
        </w:rPr>
        <w:t xml:space="preserve"> endorsed by DFAT’s</w:t>
      </w:r>
      <w:r w:rsidRPr="003405FB">
        <w:rPr>
          <w:bCs/>
          <w:sz w:val="21"/>
          <w:szCs w:val="21"/>
        </w:rPr>
        <w:t xml:space="preserve"> A</w:t>
      </w:r>
      <w:r>
        <w:rPr>
          <w:bCs/>
          <w:sz w:val="21"/>
          <w:szCs w:val="21"/>
        </w:rPr>
        <w:t>id Governance Board at its 30 April 2020 meeting. No further amendments to the design document</w:t>
      </w:r>
      <w:r>
        <w:rPr>
          <w:bCs/>
          <w:sz w:val="21"/>
          <w:szCs w:val="21"/>
        </w:rPr>
        <w:t xml:space="preserve"> were</w:t>
      </w:r>
      <w:r>
        <w:rPr>
          <w:bCs/>
          <w:sz w:val="21"/>
          <w:szCs w:val="21"/>
        </w:rPr>
        <w:t xml:space="preserve"> but the DFAT program managers</w:t>
      </w:r>
      <w:r>
        <w:rPr>
          <w:bCs/>
          <w:sz w:val="21"/>
          <w:szCs w:val="21"/>
        </w:rPr>
        <w:t xml:space="preserve"> will </w:t>
      </w:r>
      <w:r>
        <w:rPr>
          <w:bCs/>
          <w:sz w:val="21"/>
          <w:szCs w:val="21"/>
        </w:rPr>
        <w:t xml:space="preserve">follow-up on </w:t>
      </w:r>
      <w:r>
        <w:rPr>
          <w:bCs/>
          <w:sz w:val="21"/>
          <w:szCs w:val="21"/>
        </w:rPr>
        <w:t>a few</w:t>
      </w:r>
      <w:r>
        <w:rPr>
          <w:bCs/>
          <w:sz w:val="21"/>
          <w:szCs w:val="21"/>
        </w:rPr>
        <w:t xml:space="preserve"> areas as the ECP moves to procurement and implementation. </w:t>
      </w:r>
      <w:bookmarkStart w:id="2" w:name="_GoBack"/>
      <w:bookmarkEnd w:id="2"/>
    </w:p>
    <w:p w14:paraId="293DC2AA" w14:textId="2DF16251" w:rsidR="00530ABE" w:rsidRPr="00530ABE" w:rsidRDefault="00530ABE" w:rsidP="009344D4">
      <w:pPr>
        <w:tabs>
          <w:tab w:val="left" w:pos="5123"/>
          <w:tab w:val="left" w:pos="8706"/>
        </w:tabs>
        <w:rPr>
          <w:bCs/>
        </w:rPr>
      </w:pPr>
      <w:r>
        <w:rPr>
          <w:bCs/>
          <w:sz w:val="21"/>
          <w:szCs w:val="21"/>
        </w:rPr>
        <w:t>Finally, the design was</w:t>
      </w:r>
      <w:r w:rsidRPr="003405FB">
        <w:rPr>
          <w:bCs/>
          <w:sz w:val="21"/>
          <w:szCs w:val="21"/>
        </w:rPr>
        <w:t xml:space="preserve"> submitted to delegates FAS SED and DHOM Jakarta Post for joint sign off.</w:t>
      </w:r>
    </w:p>
    <w:p w14:paraId="1490426F" w14:textId="3DD099D6" w:rsidR="00A440F7" w:rsidRPr="00C27542" w:rsidRDefault="002D4DE7" w:rsidP="00C27542">
      <w:pPr>
        <w:numPr>
          <w:ilvl w:val="0"/>
          <w:numId w:val="11"/>
        </w:numPr>
        <w:pBdr>
          <w:top w:val="single" w:sz="4" w:space="1" w:color="677370" w:themeColor="background2" w:themeShade="80"/>
          <w:left w:val="single" w:sz="4" w:space="4" w:color="677370" w:themeColor="background2" w:themeShade="80"/>
          <w:bottom w:val="single" w:sz="4" w:space="0" w:color="677370" w:themeColor="background2" w:themeShade="80"/>
          <w:right w:val="single" w:sz="4" w:space="4" w:color="677370" w:themeColor="background2" w:themeShade="80"/>
        </w:pBdr>
        <w:shd w:val="clear" w:color="auto" w:fill="E0F3EF" w:themeFill="accent1" w:themeFillTint="33"/>
        <w:spacing w:before="240" w:after="120"/>
        <w:ind w:left="284" w:hanging="284"/>
        <w:rPr>
          <w:rFonts w:asciiTheme="majorHAnsi" w:hAnsiTheme="majorHAnsi"/>
          <w:b/>
        </w:rPr>
      </w:pPr>
      <w:r w:rsidRPr="00A01023">
        <w:rPr>
          <w:rFonts w:asciiTheme="majorHAnsi" w:hAnsiTheme="majorHAnsi"/>
          <w:b/>
        </w:rPr>
        <w:t>Annexes</w:t>
      </w:r>
      <w:r w:rsidR="00F5504F">
        <w:rPr>
          <w:rFonts w:asciiTheme="majorHAnsi" w:hAnsiTheme="majorHAnsi"/>
          <w:b/>
        </w:rPr>
        <w:t xml:space="preserve"> to design document</w:t>
      </w:r>
    </w:p>
    <w:p w14:paraId="37E02742" w14:textId="169798A7" w:rsidR="00A05A14" w:rsidRPr="00A05A14" w:rsidRDefault="00A440F7" w:rsidP="007C4ABD">
      <w:pPr>
        <w:tabs>
          <w:tab w:val="left" w:pos="284"/>
        </w:tabs>
        <w:suppressAutoHyphens w:val="0"/>
        <w:spacing w:before="240" w:after="120" w:line="280" w:lineRule="exact"/>
        <w:ind w:left="284"/>
        <w:rPr>
          <w:rFonts w:eastAsia="Times New Roman" w:cs="Times New Roman"/>
          <w:b/>
          <w:color w:val="auto"/>
          <w:sz w:val="21"/>
          <w:szCs w:val="21"/>
          <w:lang w:val="en-AU"/>
        </w:rPr>
      </w:pPr>
      <w:r w:rsidRPr="00A05A14">
        <w:rPr>
          <w:rFonts w:eastAsia="Times New Roman" w:cs="Times New Roman"/>
          <w:b/>
          <w:color w:val="auto"/>
          <w:sz w:val="21"/>
          <w:szCs w:val="21"/>
          <w:lang w:val="en-AU"/>
        </w:rPr>
        <w:t xml:space="preserve">ANNEX </w:t>
      </w:r>
      <w:r w:rsidR="00C27542">
        <w:rPr>
          <w:rFonts w:eastAsia="Times New Roman" w:cs="Times New Roman"/>
          <w:b/>
          <w:color w:val="auto"/>
          <w:sz w:val="21"/>
          <w:szCs w:val="21"/>
          <w:lang w:val="en-AU"/>
        </w:rPr>
        <w:t>1</w:t>
      </w:r>
      <w:r w:rsidRPr="00A05A14">
        <w:rPr>
          <w:rFonts w:eastAsia="Times New Roman" w:cs="Times New Roman"/>
          <w:b/>
          <w:color w:val="auto"/>
          <w:sz w:val="21"/>
          <w:szCs w:val="21"/>
          <w:lang w:val="en-AU"/>
        </w:rPr>
        <w:t xml:space="preserve">. </w:t>
      </w:r>
      <w:r w:rsidRPr="00A05A14">
        <w:rPr>
          <w:rFonts w:eastAsia="Times New Roman" w:cs="Times New Roman"/>
          <w:b/>
          <w:color w:val="auto"/>
          <w:sz w:val="21"/>
          <w:szCs w:val="21"/>
          <w:lang w:val="en-AU"/>
        </w:rPr>
        <w:tab/>
        <w:t>PROGRAM LOGIC</w:t>
      </w:r>
      <w:r w:rsidR="00451440">
        <w:rPr>
          <w:rFonts w:eastAsia="Times New Roman" w:cs="Times New Roman"/>
          <w:b/>
          <w:color w:val="auto"/>
          <w:sz w:val="21"/>
          <w:szCs w:val="21"/>
          <w:lang w:val="en-AU"/>
        </w:rPr>
        <w:tab/>
      </w:r>
      <w:r w:rsidR="00451440">
        <w:rPr>
          <w:rFonts w:eastAsia="Times New Roman" w:cs="Times New Roman"/>
          <w:b/>
          <w:color w:val="auto"/>
          <w:sz w:val="21"/>
          <w:szCs w:val="21"/>
          <w:lang w:val="en-AU"/>
        </w:rPr>
        <w:tab/>
      </w:r>
      <w:r w:rsidR="00451440">
        <w:rPr>
          <w:rFonts w:eastAsia="Times New Roman" w:cs="Times New Roman"/>
          <w:b/>
          <w:color w:val="auto"/>
          <w:sz w:val="21"/>
          <w:szCs w:val="21"/>
          <w:lang w:val="en-AU"/>
        </w:rPr>
        <w:tab/>
      </w:r>
      <w:r w:rsidR="00451440">
        <w:rPr>
          <w:rFonts w:eastAsia="Times New Roman" w:cs="Times New Roman"/>
          <w:b/>
          <w:color w:val="auto"/>
          <w:sz w:val="21"/>
          <w:szCs w:val="21"/>
          <w:lang w:val="en-AU"/>
        </w:rPr>
        <w:tab/>
      </w:r>
      <w:r w:rsidR="00451440">
        <w:rPr>
          <w:rFonts w:eastAsia="Times New Roman" w:cs="Times New Roman"/>
          <w:b/>
          <w:color w:val="auto"/>
          <w:sz w:val="21"/>
          <w:szCs w:val="21"/>
          <w:lang w:val="en-AU"/>
        </w:rPr>
        <w:tab/>
      </w:r>
      <w:r w:rsidR="00451440">
        <w:rPr>
          <w:rFonts w:eastAsia="Times New Roman" w:cs="Times New Roman"/>
          <w:b/>
          <w:color w:val="auto"/>
          <w:sz w:val="21"/>
          <w:szCs w:val="21"/>
          <w:lang w:val="en-AU"/>
        </w:rPr>
        <w:tab/>
      </w:r>
    </w:p>
    <w:p w14:paraId="1E04E518" w14:textId="215AD898" w:rsidR="00451440" w:rsidRDefault="00A440F7" w:rsidP="007C4ABD">
      <w:pPr>
        <w:tabs>
          <w:tab w:val="left" w:pos="284"/>
        </w:tabs>
        <w:suppressAutoHyphens w:val="0"/>
        <w:spacing w:before="240" w:after="120" w:line="280" w:lineRule="exact"/>
        <w:ind w:left="284"/>
        <w:rPr>
          <w:rFonts w:eastAsia="Times New Roman" w:cs="Times New Roman"/>
          <w:b/>
          <w:i/>
          <w:color w:val="FF0000"/>
          <w:sz w:val="21"/>
          <w:szCs w:val="21"/>
          <w:lang w:val="en-AU"/>
        </w:rPr>
      </w:pPr>
      <w:r w:rsidRPr="00A05A14">
        <w:rPr>
          <w:rFonts w:eastAsia="Times New Roman" w:cs="Times New Roman"/>
          <w:b/>
          <w:color w:val="auto"/>
          <w:sz w:val="21"/>
          <w:szCs w:val="21"/>
          <w:lang w:val="en-AU"/>
        </w:rPr>
        <w:t xml:space="preserve">ANNEX </w:t>
      </w:r>
      <w:r w:rsidR="00C27542">
        <w:rPr>
          <w:rFonts w:eastAsia="Times New Roman" w:cs="Times New Roman"/>
          <w:b/>
          <w:color w:val="auto"/>
          <w:sz w:val="21"/>
          <w:szCs w:val="21"/>
          <w:lang w:val="en-AU"/>
        </w:rPr>
        <w:t>2</w:t>
      </w:r>
      <w:r w:rsidRPr="00A05A14">
        <w:rPr>
          <w:rFonts w:eastAsia="Times New Roman" w:cs="Times New Roman"/>
          <w:b/>
          <w:color w:val="auto"/>
          <w:sz w:val="21"/>
          <w:szCs w:val="21"/>
          <w:lang w:val="en-AU"/>
        </w:rPr>
        <w:t xml:space="preserve">. </w:t>
      </w:r>
      <w:r w:rsidRPr="00A05A14">
        <w:rPr>
          <w:rFonts w:eastAsia="Times New Roman" w:cs="Times New Roman"/>
          <w:b/>
          <w:color w:val="auto"/>
          <w:sz w:val="21"/>
          <w:szCs w:val="21"/>
          <w:lang w:val="en-AU"/>
        </w:rPr>
        <w:tab/>
      </w:r>
      <w:r w:rsidR="002D3BDC">
        <w:rPr>
          <w:rFonts w:eastAsia="Times New Roman" w:cs="Times New Roman"/>
          <w:b/>
          <w:color w:val="auto"/>
          <w:sz w:val="21"/>
          <w:szCs w:val="21"/>
          <w:lang w:val="en-AU"/>
        </w:rPr>
        <w:t xml:space="preserve">INITIAL </w:t>
      </w:r>
      <w:r w:rsidRPr="00A05A14">
        <w:rPr>
          <w:rFonts w:eastAsia="Times New Roman" w:cs="Times New Roman"/>
          <w:b/>
          <w:color w:val="auto"/>
          <w:sz w:val="21"/>
          <w:szCs w:val="21"/>
          <w:lang w:val="en-AU"/>
        </w:rPr>
        <w:t>12 MONTHS WORK PLAN</w:t>
      </w:r>
      <w:r w:rsidR="00451440">
        <w:rPr>
          <w:rFonts w:eastAsia="Times New Roman" w:cs="Times New Roman"/>
          <w:b/>
          <w:color w:val="auto"/>
          <w:sz w:val="21"/>
          <w:szCs w:val="21"/>
          <w:lang w:val="en-AU"/>
        </w:rPr>
        <w:tab/>
      </w:r>
      <w:r w:rsidR="00451440">
        <w:rPr>
          <w:rFonts w:eastAsia="Times New Roman" w:cs="Times New Roman"/>
          <w:b/>
          <w:color w:val="auto"/>
          <w:sz w:val="21"/>
          <w:szCs w:val="21"/>
          <w:lang w:val="en-AU"/>
        </w:rPr>
        <w:tab/>
      </w:r>
      <w:r w:rsidR="00451440">
        <w:rPr>
          <w:rFonts w:eastAsia="Times New Roman" w:cs="Times New Roman"/>
          <w:b/>
          <w:color w:val="auto"/>
          <w:sz w:val="21"/>
          <w:szCs w:val="21"/>
          <w:lang w:val="en-AU"/>
        </w:rPr>
        <w:tab/>
      </w:r>
      <w:r w:rsidR="00451440">
        <w:rPr>
          <w:rFonts w:eastAsia="Times New Roman" w:cs="Times New Roman"/>
          <w:b/>
          <w:color w:val="auto"/>
          <w:sz w:val="21"/>
          <w:szCs w:val="21"/>
          <w:lang w:val="en-AU"/>
        </w:rPr>
        <w:tab/>
      </w:r>
      <w:r w:rsidR="00451440" w:rsidRPr="00451440">
        <w:rPr>
          <w:rFonts w:eastAsia="Times New Roman" w:cs="Times New Roman"/>
          <w:b/>
          <w:color w:val="auto"/>
          <w:sz w:val="21"/>
          <w:szCs w:val="21"/>
          <w:lang w:val="en-AU"/>
        </w:rPr>
        <w:tab/>
      </w:r>
    </w:p>
    <w:p w14:paraId="05CCCC2B" w14:textId="1EFBB235" w:rsidR="004C4B0D" w:rsidRPr="00E20799" w:rsidRDefault="00A05A14" w:rsidP="007C4ABD">
      <w:pPr>
        <w:tabs>
          <w:tab w:val="left" w:pos="284"/>
        </w:tabs>
        <w:suppressAutoHyphens w:val="0"/>
        <w:spacing w:before="240" w:after="120" w:line="280" w:lineRule="exact"/>
        <w:ind w:left="284"/>
        <w:rPr>
          <w:rFonts w:eastAsia="Times New Roman" w:cs="Times New Roman"/>
          <w:b/>
          <w:color w:val="auto"/>
          <w:sz w:val="21"/>
          <w:szCs w:val="21"/>
          <w:lang w:val="en-AU"/>
        </w:rPr>
      </w:pPr>
      <w:r w:rsidRPr="00A05A14">
        <w:rPr>
          <w:rFonts w:eastAsia="Times New Roman" w:cs="Times New Roman"/>
          <w:b/>
          <w:color w:val="auto"/>
          <w:sz w:val="21"/>
          <w:szCs w:val="21"/>
          <w:lang w:val="en-AU"/>
        </w:rPr>
        <w:t xml:space="preserve">ANNEX </w:t>
      </w:r>
      <w:r w:rsidR="00C27542">
        <w:rPr>
          <w:rFonts w:eastAsia="Times New Roman" w:cs="Times New Roman"/>
          <w:b/>
          <w:color w:val="auto"/>
          <w:sz w:val="21"/>
          <w:szCs w:val="21"/>
          <w:lang w:val="en-AU"/>
        </w:rPr>
        <w:t>3</w:t>
      </w:r>
      <w:r w:rsidRPr="00A05A14">
        <w:rPr>
          <w:rFonts w:eastAsia="Times New Roman" w:cs="Times New Roman"/>
          <w:b/>
          <w:color w:val="auto"/>
          <w:sz w:val="21"/>
          <w:szCs w:val="21"/>
          <w:lang w:val="en-AU"/>
        </w:rPr>
        <w:t xml:space="preserve">. </w:t>
      </w:r>
      <w:r w:rsidRPr="00A05A14">
        <w:rPr>
          <w:rFonts w:eastAsia="Times New Roman" w:cs="Times New Roman"/>
          <w:b/>
          <w:color w:val="auto"/>
          <w:sz w:val="21"/>
          <w:szCs w:val="21"/>
          <w:lang w:val="en-AU"/>
        </w:rPr>
        <w:tab/>
        <w:t>M</w:t>
      </w:r>
      <w:r w:rsidR="002D3BDC">
        <w:rPr>
          <w:rFonts w:eastAsia="Times New Roman" w:cs="Times New Roman"/>
          <w:b/>
          <w:color w:val="auto"/>
          <w:sz w:val="21"/>
          <w:szCs w:val="21"/>
          <w:lang w:val="en-AU"/>
        </w:rPr>
        <w:t>ONITORING, EVALUATION AND LEARNING (MEL)</w:t>
      </w:r>
      <w:r w:rsidRPr="00A05A14">
        <w:rPr>
          <w:rFonts w:eastAsia="Times New Roman" w:cs="Times New Roman"/>
          <w:b/>
          <w:color w:val="auto"/>
          <w:sz w:val="21"/>
          <w:szCs w:val="21"/>
          <w:lang w:val="en-AU"/>
        </w:rPr>
        <w:t xml:space="preserve"> FRAMEWORK</w:t>
      </w:r>
    </w:p>
    <w:p w14:paraId="4802FEFF" w14:textId="38F06BA7" w:rsidR="00E9556F" w:rsidRPr="00E20799" w:rsidRDefault="00451440" w:rsidP="007C4ABD">
      <w:pPr>
        <w:tabs>
          <w:tab w:val="left" w:pos="284"/>
        </w:tabs>
        <w:suppressAutoHyphens w:val="0"/>
        <w:spacing w:before="240" w:after="120" w:line="280" w:lineRule="exact"/>
        <w:ind w:left="284"/>
        <w:rPr>
          <w:rFonts w:eastAsia="Times New Roman" w:cs="Times New Roman"/>
          <w:b/>
          <w:color w:val="auto"/>
          <w:sz w:val="21"/>
          <w:szCs w:val="21"/>
          <w:lang w:val="en-AU"/>
        </w:rPr>
      </w:pPr>
      <w:r>
        <w:rPr>
          <w:rFonts w:eastAsia="Times New Roman" w:cs="Times New Roman"/>
          <w:b/>
          <w:color w:val="auto"/>
          <w:sz w:val="21"/>
          <w:szCs w:val="21"/>
          <w:lang w:val="en-AU"/>
        </w:rPr>
        <w:t xml:space="preserve">ANNEX </w:t>
      </w:r>
      <w:r w:rsidR="009A4CAC">
        <w:rPr>
          <w:rFonts w:eastAsia="Times New Roman" w:cs="Times New Roman"/>
          <w:b/>
          <w:color w:val="auto"/>
          <w:sz w:val="21"/>
          <w:szCs w:val="21"/>
          <w:lang w:val="en-AU"/>
        </w:rPr>
        <w:t>4</w:t>
      </w:r>
      <w:r>
        <w:rPr>
          <w:rFonts w:eastAsia="Times New Roman" w:cs="Times New Roman"/>
          <w:b/>
          <w:color w:val="auto"/>
          <w:sz w:val="21"/>
          <w:szCs w:val="21"/>
          <w:lang w:val="en-AU"/>
        </w:rPr>
        <w:t xml:space="preserve">.  </w:t>
      </w:r>
      <w:r>
        <w:rPr>
          <w:rFonts w:eastAsia="Times New Roman" w:cs="Times New Roman"/>
          <w:b/>
          <w:color w:val="auto"/>
          <w:sz w:val="21"/>
          <w:szCs w:val="21"/>
          <w:lang w:val="en-AU"/>
        </w:rPr>
        <w:tab/>
        <w:t>PARTNER PROGRAMS</w:t>
      </w:r>
      <w:r>
        <w:rPr>
          <w:rFonts w:eastAsia="Times New Roman" w:cs="Times New Roman"/>
          <w:b/>
          <w:color w:val="auto"/>
          <w:sz w:val="21"/>
          <w:szCs w:val="21"/>
          <w:lang w:val="en-AU"/>
        </w:rPr>
        <w:tab/>
      </w:r>
      <w:r>
        <w:rPr>
          <w:rFonts w:eastAsia="Times New Roman" w:cs="Times New Roman"/>
          <w:b/>
          <w:color w:val="auto"/>
          <w:sz w:val="21"/>
          <w:szCs w:val="21"/>
          <w:lang w:val="en-AU"/>
        </w:rPr>
        <w:tab/>
      </w:r>
      <w:r>
        <w:rPr>
          <w:rFonts w:eastAsia="Times New Roman" w:cs="Times New Roman"/>
          <w:b/>
          <w:color w:val="auto"/>
          <w:sz w:val="21"/>
          <w:szCs w:val="21"/>
          <w:lang w:val="en-AU"/>
        </w:rPr>
        <w:tab/>
      </w:r>
      <w:r>
        <w:rPr>
          <w:rFonts w:eastAsia="Times New Roman" w:cs="Times New Roman"/>
          <w:b/>
          <w:color w:val="auto"/>
          <w:sz w:val="21"/>
          <w:szCs w:val="21"/>
          <w:lang w:val="en-AU"/>
        </w:rPr>
        <w:tab/>
      </w:r>
      <w:r>
        <w:rPr>
          <w:rFonts w:eastAsia="Times New Roman" w:cs="Times New Roman"/>
          <w:b/>
          <w:color w:val="auto"/>
          <w:sz w:val="21"/>
          <w:szCs w:val="21"/>
          <w:lang w:val="en-AU"/>
        </w:rPr>
        <w:tab/>
      </w:r>
      <w:r>
        <w:rPr>
          <w:rFonts w:eastAsia="Times New Roman" w:cs="Times New Roman"/>
          <w:b/>
          <w:color w:val="auto"/>
          <w:sz w:val="21"/>
          <w:szCs w:val="21"/>
          <w:lang w:val="en-AU"/>
        </w:rPr>
        <w:tab/>
      </w:r>
    </w:p>
    <w:p w14:paraId="182F2534" w14:textId="7A5EBBAF" w:rsidR="00717C46" w:rsidRDefault="00717C46" w:rsidP="007C4ABD">
      <w:pPr>
        <w:tabs>
          <w:tab w:val="left" w:pos="284"/>
        </w:tabs>
        <w:suppressAutoHyphens w:val="0"/>
        <w:spacing w:before="240" w:after="120" w:line="280" w:lineRule="exact"/>
        <w:ind w:left="284"/>
        <w:rPr>
          <w:rFonts w:eastAsia="Times New Roman" w:cs="Times New Roman"/>
          <w:b/>
          <w:color w:val="auto"/>
          <w:sz w:val="21"/>
          <w:szCs w:val="21"/>
          <w:lang w:val="en-AU"/>
        </w:rPr>
      </w:pPr>
      <w:r>
        <w:rPr>
          <w:rFonts w:eastAsia="Times New Roman" w:cs="Times New Roman"/>
          <w:b/>
          <w:color w:val="auto"/>
          <w:sz w:val="21"/>
          <w:szCs w:val="21"/>
          <w:lang w:val="en-AU"/>
        </w:rPr>
        <w:t xml:space="preserve">ANNEX </w:t>
      </w:r>
      <w:r w:rsidR="009A4CAC">
        <w:rPr>
          <w:rFonts w:eastAsia="Times New Roman" w:cs="Times New Roman"/>
          <w:b/>
          <w:color w:val="auto"/>
          <w:sz w:val="21"/>
          <w:szCs w:val="21"/>
          <w:lang w:val="en-AU"/>
        </w:rPr>
        <w:t>5</w:t>
      </w:r>
      <w:r>
        <w:rPr>
          <w:rFonts w:eastAsia="Times New Roman" w:cs="Times New Roman"/>
          <w:b/>
          <w:color w:val="auto"/>
          <w:sz w:val="21"/>
          <w:szCs w:val="21"/>
          <w:lang w:val="en-AU"/>
        </w:rPr>
        <w:t xml:space="preserve">. </w:t>
      </w:r>
      <w:r>
        <w:rPr>
          <w:rFonts w:eastAsia="Times New Roman" w:cs="Times New Roman"/>
          <w:b/>
          <w:color w:val="auto"/>
          <w:sz w:val="21"/>
          <w:szCs w:val="21"/>
          <w:lang w:val="en-AU"/>
        </w:rPr>
        <w:tab/>
        <w:t>STAKEHOLDER CONSULTATIONS</w:t>
      </w:r>
    </w:p>
    <w:p w14:paraId="421A875B" w14:textId="1F53167F" w:rsidR="00976DF9" w:rsidRDefault="00976DF9" w:rsidP="007C4ABD">
      <w:pPr>
        <w:tabs>
          <w:tab w:val="left" w:pos="284"/>
        </w:tabs>
        <w:suppressAutoHyphens w:val="0"/>
        <w:spacing w:before="240" w:after="120" w:line="280" w:lineRule="exact"/>
        <w:ind w:left="284"/>
        <w:rPr>
          <w:rFonts w:eastAsia="Times New Roman" w:cs="Times New Roman"/>
          <w:b/>
          <w:color w:val="auto"/>
          <w:sz w:val="21"/>
          <w:szCs w:val="21"/>
          <w:lang w:val="en-AU"/>
        </w:rPr>
      </w:pPr>
      <w:r>
        <w:rPr>
          <w:rFonts w:eastAsia="Times New Roman" w:cs="Times New Roman"/>
          <w:b/>
          <w:color w:val="auto"/>
          <w:sz w:val="21"/>
          <w:szCs w:val="21"/>
          <w:lang w:val="en-AU"/>
        </w:rPr>
        <w:t xml:space="preserve">ANNEX </w:t>
      </w:r>
      <w:r w:rsidR="009A4CAC">
        <w:rPr>
          <w:rFonts w:eastAsia="Times New Roman" w:cs="Times New Roman"/>
          <w:b/>
          <w:color w:val="auto"/>
          <w:sz w:val="21"/>
          <w:szCs w:val="21"/>
          <w:lang w:val="en-AU"/>
        </w:rPr>
        <w:t>6</w:t>
      </w:r>
      <w:r>
        <w:rPr>
          <w:rFonts w:eastAsia="Times New Roman" w:cs="Times New Roman"/>
          <w:b/>
          <w:color w:val="auto"/>
          <w:sz w:val="21"/>
          <w:szCs w:val="21"/>
          <w:lang w:val="en-AU"/>
        </w:rPr>
        <w:t xml:space="preserve">. </w:t>
      </w:r>
      <w:r>
        <w:rPr>
          <w:rFonts w:eastAsia="Times New Roman" w:cs="Times New Roman"/>
          <w:b/>
          <w:color w:val="auto"/>
          <w:sz w:val="21"/>
          <w:szCs w:val="21"/>
          <w:lang w:val="en-AU"/>
        </w:rPr>
        <w:tab/>
      </w:r>
      <w:r w:rsidR="006466E1">
        <w:rPr>
          <w:rFonts w:eastAsia="Times New Roman" w:cs="Times New Roman"/>
          <w:b/>
          <w:color w:val="auto"/>
          <w:sz w:val="21"/>
          <w:szCs w:val="21"/>
          <w:lang w:val="en-AU"/>
        </w:rPr>
        <w:t xml:space="preserve">DETAILED </w:t>
      </w:r>
      <w:r w:rsidR="00861186">
        <w:rPr>
          <w:rFonts w:eastAsia="Times New Roman" w:cs="Times New Roman"/>
          <w:b/>
          <w:color w:val="auto"/>
          <w:sz w:val="21"/>
          <w:szCs w:val="21"/>
          <w:lang w:val="en-AU"/>
        </w:rPr>
        <w:t xml:space="preserve">INITIAL </w:t>
      </w:r>
      <w:r w:rsidR="002A7030">
        <w:rPr>
          <w:rFonts w:eastAsia="Times New Roman" w:cs="Times New Roman"/>
          <w:b/>
          <w:color w:val="auto"/>
          <w:sz w:val="21"/>
          <w:szCs w:val="21"/>
          <w:lang w:val="en-AU"/>
        </w:rPr>
        <w:t xml:space="preserve">ACTIVITY DESCRIPTIONS </w:t>
      </w:r>
    </w:p>
    <w:p w14:paraId="1F138A66" w14:textId="5192CB98" w:rsidR="000A0246" w:rsidRDefault="000A0246" w:rsidP="007C4ABD">
      <w:pPr>
        <w:tabs>
          <w:tab w:val="left" w:pos="284"/>
        </w:tabs>
        <w:suppressAutoHyphens w:val="0"/>
        <w:spacing w:before="240" w:after="120" w:line="280" w:lineRule="exact"/>
        <w:ind w:left="284"/>
        <w:rPr>
          <w:rFonts w:eastAsia="Times New Roman" w:cs="Times New Roman"/>
          <w:b/>
          <w:color w:val="auto"/>
          <w:sz w:val="21"/>
          <w:szCs w:val="21"/>
          <w:lang w:val="en-AU"/>
        </w:rPr>
      </w:pPr>
      <w:r>
        <w:rPr>
          <w:rFonts w:eastAsia="Times New Roman" w:cs="Times New Roman"/>
          <w:b/>
          <w:color w:val="auto"/>
          <w:sz w:val="21"/>
          <w:szCs w:val="21"/>
          <w:lang w:val="en-AU"/>
        </w:rPr>
        <w:t xml:space="preserve">ANNEX </w:t>
      </w:r>
      <w:r w:rsidR="009A4CAC">
        <w:rPr>
          <w:rFonts w:eastAsia="Times New Roman" w:cs="Times New Roman"/>
          <w:b/>
          <w:color w:val="auto"/>
          <w:sz w:val="21"/>
          <w:szCs w:val="21"/>
          <w:lang w:val="en-AU"/>
        </w:rPr>
        <w:t>7</w:t>
      </w:r>
      <w:r>
        <w:rPr>
          <w:rFonts w:eastAsia="Times New Roman" w:cs="Times New Roman"/>
          <w:b/>
          <w:color w:val="auto"/>
          <w:sz w:val="21"/>
          <w:szCs w:val="21"/>
          <w:lang w:val="en-AU"/>
        </w:rPr>
        <w:t xml:space="preserve">. </w:t>
      </w:r>
      <w:r>
        <w:rPr>
          <w:rFonts w:eastAsia="Times New Roman" w:cs="Times New Roman"/>
          <w:b/>
          <w:color w:val="auto"/>
          <w:sz w:val="21"/>
          <w:szCs w:val="21"/>
          <w:lang w:val="en-AU"/>
        </w:rPr>
        <w:tab/>
      </w:r>
      <w:r w:rsidRPr="000A0246">
        <w:rPr>
          <w:rFonts w:eastAsia="Times New Roman" w:cs="Times New Roman"/>
          <w:b/>
          <w:color w:val="auto"/>
          <w:sz w:val="21"/>
          <w:szCs w:val="21"/>
          <w:lang w:val="en-AU"/>
        </w:rPr>
        <w:t>SUMMARY OF LESSONS FROM TRADE AND COOPERATION PROGRAMS</w:t>
      </w:r>
    </w:p>
    <w:p w14:paraId="764655E2" w14:textId="7EFFB454" w:rsidR="00241933" w:rsidRDefault="00AF3768" w:rsidP="007C4ABD">
      <w:pPr>
        <w:tabs>
          <w:tab w:val="left" w:pos="284"/>
        </w:tabs>
        <w:suppressAutoHyphens w:val="0"/>
        <w:spacing w:before="240" w:after="120" w:line="280" w:lineRule="exact"/>
        <w:ind w:left="284"/>
        <w:rPr>
          <w:rFonts w:eastAsia="Times New Roman" w:cs="Times New Roman"/>
          <w:b/>
          <w:color w:val="auto"/>
          <w:sz w:val="21"/>
          <w:szCs w:val="21"/>
          <w:lang w:val="en-AU"/>
        </w:rPr>
      </w:pPr>
      <w:r>
        <w:rPr>
          <w:rFonts w:eastAsia="Times New Roman" w:cs="Times New Roman"/>
          <w:b/>
          <w:color w:val="auto"/>
          <w:sz w:val="21"/>
          <w:szCs w:val="21"/>
          <w:lang w:val="en-AU"/>
        </w:rPr>
        <w:t xml:space="preserve">ANNEX </w:t>
      </w:r>
      <w:r w:rsidR="009A4CAC">
        <w:rPr>
          <w:rFonts w:eastAsia="Times New Roman" w:cs="Times New Roman"/>
          <w:b/>
          <w:color w:val="auto"/>
          <w:sz w:val="21"/>
          <w:szCs w:val="21"/>
          <w:lang w:val="en-AU"/>
        </w:rPr>
        <w:t>8</w:t>
      </w:r>
      <w:r>
        <w:rPr>
          <w:rFonts w:eastAsia="Times New Roman" w:cs="Times New Roman"/>
          <w:b/>
          <w:color w:val="auto"/>
          <w:sz w:val="21"/>
          <w:szCs w:val="21"/>
          <w:lang w:val="en-AU"/>
        </w:rPr>
        <w:t>.</w:t>
      </w:r>
      <w:r>
        <w:rPr>
          <w:rFonts w:eastAsia="Times New Roman" w:cs="Times New Roman"/>
          <w:b/>
          <w:color w:val="auto"/>
          <w:sz w:val="21"/>
          <w:szCs w:val="21"/>
          <w:lang w:val="en-AU"/>
        </w:rPr>
        <w:tab/>
        <w:t>NON-ODA FUNDS AND ECP</w:t>
      </w:r>
    </w:p>
    <w:p w14:paraId="520DC061" w14:textId="77777777" w:rsidR="00241933" w:rsidRDefault="00241933" w:rsidP="00241933">
      <w:pPr>
        <w:tabs>
          <w:tab w:val="left" w:pos="284"/>
        </w:tabs>
        <w:suppressAutoHyphens w:val="0"/>
        <w:spacing w:before="240" w:after="240" w:line="280" w:lineRule="exact"/>
        <w:rPr>
          <w:rStyle w:val="BookTitle"/>
          <w:rFonts w:asciiTheme="minorHAnsi" w:hAnsiTheme="minorHAnsi" w:cstheme="minorHAnsi"/>
          <w:b w:val="0"/>
          <w:bCs/>
          <w:color w:val="495965" w:themeColor="text2"/>
          <w:sz w:val="38"/>
          <w:szCs w:val="38"/>
        </w:rPr>
        <w:sectPr w:rsidR="00241933" w:rsidSect="007C4ABD">
          <w:type w:val="continuous"/>
          <w:pgSz w:w="11906" w:h="16838" w:code="9"/>
          <w:pgMar w:top="1276" w:right="1134" w:bottom="851" w:left="1134" w:header="425" w:footer="493" w:gutter="0"/>
          <w:cols w:space="397"/>
          <w:titlePg/>
          <w:docGrid w:linePitch="360"/>
        </w:sectPr>
      </w:pPr>
    </w:p>
    <w:p w14:paraId="1CC55780" w14:textId="68CBDA32" w:rsidR="00E20799" w:rsidRPr="002D2807" w:rsidRDefault="00412290" w:rsidP="004037BC">
      <w:pPr>
        <w:pStyle w:val="Heading3"/>
        <w:pBdr>
          <w:bottom w:val="single" w:sz="4" w:space="1" w:color="auto"/>
        </w:pBdr>
        <w:spacing w:before="0" w:after="0" w:line="240" w:lineRule="auto"/>
        <w:rPr>
          <w:rStyle w:val="BookTitle"/>
          <w:rFonts w:asciiTheme="minorHAnsi" w:hAnsiTheme="minorHAnsi" w:cstheme="minorHAnsi"/>
          <w:b w:val="0"/>
          <w:bCs w:val="0"/>
          <w:color w:val="495965" w:themeColor="text2"/>
          <w:sz w:val="38"/>
          <w:szCs w:val="38"/>
        </w:rPr>
      </w:pPr>
      <w:r w:rsidRPr="002D2807">
        <w:rPr>
          <w:b/>
          <w:noProof/>
          <w:lang w:val="en-AU" w:eastAsia="en-AU"/>
        </w:rPr>
        <w:lastRenderedPageBreak/>
        <mc:AlternateContent>
          <mc:Choice Requires="wpc">
            <w:drawing>
              <wp:anchor distT="0" distB="0" distL="114300" distR="114300" simplePos="0" relativeHeight="251705344" behindDoc="0" locked="0" layoutInCell="1" allowOverlap="1" wp14:anchorId="2B5D59BA" wp14:editId="015F323F">
                <wp:simplePos x="0" y="0"/>
                <wp:positionH relativeFrom="margin">
                  <wp:posOffset>-38100</wp:posOffset>
                </wp:positionH>
                <wp:positionV relativeFrom="paragraph">
                  <wp:posOffset>573405</wp:posOffset>
                </wp:positionV>
                <wp:extent cx="8344535" cy="5543550"/>
                <wp:effectExtent l="0" t="0" r="0" b="0"/>
                <wp:wrapSquare wrapText="bothSides"/>
                <wp:docPr id="117" name="Canvas 11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4" name="Rectangle 84"/>
                        <wps:cNvSpPr/>
                        <wps:spPr>
                          <a:xfrm>
                            <a:off x="2627906" y="36001"/>
                            <a:ext cx="3331596" cy="552448"/>
                          </a:xfrm>
                          <a:prstGeom prst="rect">
                            <a:avLst/>
                          </a:prstGeom>
                          <a:solidFill>
                            <a:schemeClr val="accent6">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57542DD2" w14:textId="658DB215" w:rsidR="00525A2A" w:rsidRPr="007C4ABD" w:rsidRDefault="00525A2A" w:rsidP="00E20799">
                              <w:pPr>
                                <w:spacing w:before="0" w:after="0" w:line="257" w:lineRule="auto"/>
                                <w:jc w:val="center"/>
                                <w:rPr>
                                  <w:b/>
                                  <w:sz w:val="18"/>
                                  <w:szCs w:val="18"/>
                                </w:rPr>
                              </w:pPr>
                              <w:r w:rsidRPr="007C4ABD">
                                <w:rPr>
                                  <w:b/>
                                  <w:bCs/>
                                  <w:sz w:val="18"/>
                                  <w:szCs w:val="18"/>
                                  <w:lang w:eastAsia="en-GB"/>
                                </w:rPr>
                                <w:t xml:space="preserve">The benefits of IA-CEPA are maximised, supporting trade and investment, </w:t>
                              </w:r>
                              <w:r w:rsidRPr="007C4ABD">
                                <w:rPr>
                                  <w:rFonts w:eastAsia="Times New Roman" w:cs="Arial"/>
                                  <w:b/>
                                  <w:bCs/>
                                  <w:sz w:val="18"/>
                                  <w:szCs w:val="18"/>
                                  <w:lang w:val="en-AU" w:eastAsia="en-AU"/>
                                </w:rPr>
                                <w:t>improving market access, and promoting inclusive economic growth in Indonesia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3345803" y="873332"/>
                            <a:ext cx="2008019" cy="709560"/>
                          </a:xfrm>
                          <a:prstGeom prst="rect">
                            <a:avLst/>
                          </a:prstGeom>
                          <a:solidFill>
                            <a:schemeClr val="bg2">
                              <a:lumMod val="90000"/>
                            </a:schemeClr>
                          </a:solidFill>
                        </wps:spPr>
                        <wps:style>
                          <a:lnRef idx="2">
                            <a:schemeClr val="dk1"/>
                          </a:lnRef>
                          <a:fillRef idx="1">
                            <a:schemeClr val="lt1"/>
                          </a:fillRef>
                          <a:effectRef idx="0">
                            <a:schemeClr val="dk1"/>
                          </a:effectRef>
                          <a:fontRef idx="minor">
                            <a:schemeClr val="dk1"/>
                          </a:fontRef>
                        </wps:style>
                        <wps:txbx>
                          <w:txbxContent>
                            <w:p w14:paraId="57FB3EE9" w14:textId="1A60F18F" w:rsidR="00525A2A" w:rsidRPr="007C4ABD" w:rsidRDefault="00525A2A" w:rsidP="00E20799">
                              <w:pPr>
                                <w:spacing w:before="0" w:after="0" w:line="240" w:lineRule="auto"/>
                                <w:jc w:val="center"/>
                                <w:rPr>
                                  <w:sz w:val="18"/>
                                  <w:szCs w:val="16"/>
                                </w:rPr>
                              </w:pPr>
                              <w:r w:rsidRPr="007C4ABD">
                                <w:rPr>
                                  <w:sz w:val="18"/>
                                  <w:szCs w:val="16"/>
                                </w:rPr>
                                <w:t xml:space="preserve">Better integrated markets between Indonesia and Australia fostering new </w:t>
                              </w:r>
                              <w:r>
                                <w:rPr>
                                  <w:sz w:val="18"/>
                                  <w:szCs w:val="16"/>
                                </w:rPr>
                                <w:t xml:space="preserve">inclusive </w:t>
                              </w:r>
                              <w:r w:rsidRPr="007C4ABD">
                                <w:rPr>
                                  <w:sz w:val="18"/>
                                  <w:szCs w:val="16"/>
                                </w:rPr>
                                <w:t>economic partnerships by 2025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Rectangle 86"/>
                        <wps:cNvSpPr/>
                        <wps:spPr>
                          <a:xfrm>
                            <a:off x="6086723" y="873229"/>
                            <a:ext cx="2103120" cy="709562"/>
                          </a:xfrm>
                          <a:prstGeom prst="rect">
                            <a:avLst/>
                          </a:prstGeom>
                          <a:solidFill>
                            <a:schemeClr val="bg2">
                              <a:lumMod val="90000"/>
                            </a:schemeClr>
                          </a:solidFill>
                        </wps:spPr>
                        <wps:style>
                          <a:lnRef idx="2">
                            <a:schemeClr val="dk1"/>
                          </a:lnRef>
                          <a:fillRef idx="1">
                            <a:schemeClr val="lt1"/>
                          </a:fillRef>
                          <a:effectRef idx="0">
                            <a:schemeClr val="dk1"/>
                          </a:effectRef>
                          <a:fontRef idx="minor">
                            <a:schemeClr val="dk1"/>
                          </a:fontRef>
                        </wps:style>
                        <wps:txbx>
                          <w:txbxContent>
                            <w:p w14:paraId="64E0711F" w14:textId="6F4E99A8" w:rsidR="00525A2A" w:rsidRPr="007C4ABD" w:rsidRDefault="00525A2A" w:rsidP="007C4ABD">
                              <w:pPr>
                                <w:spacing w:before="0" w:after="0" w:line="240" w:lineRule="auto"/>
                                <w:jc w:val="center"/>
                                <w:rPr>
                                  <w:sz w:val="18"/>
                                  <w:szCs w:val="16"/>
                                </w:rPr>
                              </w:pPr>
                              <w:r w:rsidRPr="007C4ABD">
                                <w:rPr>
                                  <w:sz w:val="18"/>
                                  <w:szCs w:val="16"/>
                                </w:rPr>
                                <w:t>Enhanced labour market skills for Indonesian businesses and government boosting productivity</w:t>
                              </w:r>
                              <w:r>
                                <w:rPr>
                                  <w:sz w:val="18"/>
                                  <w:szCs w:val="16"/>
                                </w:rPr>
                                <w:t>, gender equality and social inclusion by 2025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Text Box 4"/>
                        <wps:cNvSpPr txBox="1"/>
                        <wps:spPr>
                          <a:xfrm>
                            <a:off x="0" y="3462029"/>
                            <a:ext cx="408348" cy="1911927"/>
                          </a:xfrm>
                          <a:prstGeom prst="rect">
                            <a:avLst/>
                          </a:prstGeom>
                          <a:solidFill>
                            <a:schemeClr val="accent2"/>
                          </a:solidFill>
                          <a:ln w="6350">
                            <a:solidFill>
                              <a:prstClr val="black"/>
                            </a:solidFill>
                          </a:ln>
                        </wps:spPr>
                        <wps:txbx>
                          <w:txbxContent>
                            <w:p w14:paraId="458032D8" w14:textId="77777777" w:rsidR="00525A2A" w:rsidRPr="00B248C7" w:rsidRDefault="00525A2A" w:rsidP="00E20799">
                              <w:pPr>
                                <w:spacing w:after="160" w:line="254" w:lineRule="auto"/>
                                <w:jc w:val="center"/>
                                <w:rPr>
                                  <w:color w:val="FFFFFF" w:themeColor="background1"/>
                                  <w:sz w:val="20"/>
                                  <w:szCs w:val="20"/>
                                </w:rPr>
                              </w:pPr>
                              <w:r w:rsidRPr="00B248C7">
                                <w:rPr>
                                  <w:rFonts w:eastAsia="Calibri"/>
                                  <w:color w:val="FFFFFF" w:themeColor="background1"/>
                                  <w:sz w:val="20"/>
                                  <w:szCs w:val="20"/>
                                </w:rPr>
                                <w:t>Activities and Outputs</w:t>
                              </w:r>
                            </w:p>
                          </w:txbxContent>
                        </wps:txbx>
                        <wps:bodyPr rot="0" spcFirstLastPara="0" vert="vert270" wrap="square" lIns="91440" tIns="45720" rIns="91440" bIns="45720" numCol="1" spcCol="0" rtlCol="0" fromWordArt="0" anchor="t" anchorCtr="0" forceAA="0" compatLnSpc="1">
                          <a:prstTxWarp prst="textNoShape">
                            <a:avLst/>
                          </a:prstTxWarp>
                          <a:noAutofit/>
                        </wps:bodyPr>
                      </wps:wsp>
                      <wps:wsp>
                        <wps:cNvPr id="88" name="Text Box 4"/>
                        <wps:cNvSpPr txBox="1"/>
                        <wps:spPr>
                          <a:xfrm>
                            <a:off x="0" y="827248"/>
                            <a:ext cx="408348" cy="777480"/>
                          </a:xfrm>
                          <a:prstGeom prst="rect">
                            <a:avLst/>
                          </a:prstGeom>
                          <a:solidFill>
                            <a:schemeClr val="bg2">
                              <a:lumMod val="50000"/>
                            </a:schemeClr>
                          </a:solidFill>
                          <a:ln w="6350">
                            <a:solidFill>
                              <a:prstClr val="black"/>
                            </a:solidFill>
                          </a:ln>
                        </wps:spPr>
                        <wps:txbx>
                          <w:txbxContent>
                            <w:p w14:paraId="3319FCE2" w14:textId="77777777" w:rsidR="00525A2A" w:rsidRPr="00B248C7" w:rsidRDefault="00525A2A" w:rsidP="00E20799">
                              <w:pPr>
                                <w:spacing w:line="256" w:lineRule="auto"/>
                                <w:jc w:val="center"/>
                                <w:rPr>
                                  <w:color w:val="FFFFFF" w:themeColor="background1"/>
                                  <w:sz w:val="18"/>
                                  <w:szCs w:val="18"/>
                                </w:rPr>
                              </w:pPr>
                              <w:r w:rsidRPr="00B248C7">
                                <w:rPr>
                                  <w:rFonts w:eastAsia="Calibri"/>
                                  <w:color w:val="FFFFFF" w:themeColor="background1"/>
                                  <w:sz w:val="18"/>
                                  <w:szCs w:val="18"/>
                                </w:rPr>
                                <w:t>EOPOs</w:t>
                              </w:r>
                            </w:p>
                          </w:txbxContent>
                        </wps:txbx>
                        <wps:bodyPr rot="0" spcFirstLastPara="0" vert="vert270" wrap="square" lIns="91440" tIns="45720" rIns="91440" bIns="45720" numCol="1" spcCol="0" rtlCol="0" fromWordArt="0" anchor="t" anchorCtr="0" forceAA="0" compatLnSpc="1">
                          <a:prstTxWarp prst="textNoShape">
                            <a:avLst/>
                          </a:prstTxWarp>
                          <a:noAutofit/>
                        </wps:bodyPr>
                      </wps:wsp>
                      <wps:wsp>
                        <wps:cNvPr id="89" name="Text Box 4"/>
                        <wps:cNvSpPr txBox="1"/>
                        <wps:spPr>
                          <a:xfrm>
                            <a:off x="0" y="1850297"/>
                            <a:ext cx="408348" cy="1414352"/>
                          </a:xfrm>
                          <a:prstGeom prst="rect">
                            <a:avLst/>
                          </a:prstGeom>
                          <a:solidFill>
                            <a:schemeClr val="accent1">
                              <a:lumMod val="75000"/>
                            </a:schemeClr>
                          </a:solidFill>
                          <a:ln w="6350">
                            <a:solidFill>
                              <a:srgbClr val="0070C0"/>
                            </a:solidFill>
                          </a:ln>
                        </wps:spPr>
                        <wps:txbx>
                          <w:txbxContent>
                            <w:p w14:paraId="3CD4A594" w14:textId="77777777" w:rsidR="00525A2A" w:rsidRPr="00B248C7" w:rsidRDefault="00525A2A" w:rsidP="00E20799">
                              <w:pPr>
                                <w:spacing w:after="0" w:line="240" w:lineRule="auto"/>
                                <w:jc w:val="center"/>
                                <w:rPr>
                                  <w:color w:val="FFFFFF" w:themeColor="background1"/>
                                  <w:sz w:val="20"/>
                                  <w:szCs w:val="20"/>
                                </w:rPr>
                              </w:pPr>
                              <w:r w:rsidRPr="00B248C7">
                                <w:rPr>
                                  <w:rFonts w:eastAsia="Calibri"/>
                                  <w:color w:val="FFFFFF" w:themeColor="background1"/>
                                  <w:sz w:val="20"/>
                                  <w:szCs w:val="20"/>
                                </w:rPr>
                                <w:t>Intermediate Outcomes</w:t>
                              </w:r>
                            </w:p>
                          </w:txbxContent>
                        </wps:txbx>
                        <wps:bodyPr rot="0" spcFirstLastPara="0" vert="vert270" wrap="square" lIns="91440" tIns="45720" rIns="91440" bIns="45720" numCol="1" spcCol="0" rtlCol="0" fromWordArt="0" anchor="t" anchorCtr="0" forceAA="0" compatLnSpc="1">
                          <a:prstTxWarp prst="textNoShape">
                            <a:avLst/>
                          </a:prstTxWarp>
                          <a:noAutofit/>
                        </wps:bodyPr>
                      </wps:wsp>
                      <wps:wsp>
                        <wps:cNvPr id="90" name="Text Box 4"/>
                        <wps:cNvSpPr txBox="1"/>
                        <wps:spPr>
                          <a:xfrm>
                            <a:off x="0" y="35999"/>
                            <a:ext cx="408348" cy="611607"/>
                          </a:xfrm>
                          <a:prstGeom prst="rect">
                            <a:avLst/>
                          </a:prstGeom>
                          <a:solidFill>
                            <a:schemeClr val="accent6"/>
                          </a:solidFill>
                          <a:ln w="6350">
                            <a:solidFill>
                              <a:prstClr val="black"/>
                            </a:solidFill>
                          </a:ln>
                        </wps:spPr>
                        <wps:txbx>
                          <w:txbxContent>
                            <w:p w14:paraId="02866853" w14:textId="77777777" w:rsidR="00525A2A" w:rsidRPr="00B248C7" w:rsidRDefault="00525A2A" w:rsidP="00E20799">
                              <w:pPr>
                                <w:spacing w:after="160" w:line="254" w:lineRule="auto"/>
                                <w:jc w:val="center"/>
                                <w:rPr>
                                  <w:color w:val="FFFFFF" w:themeColor="background1"/>
                                  <w:sz w:val="18"/>
                                  <w:szCs w:val="18"/>
                                </w:rPr>
                              </w:pPr>
                              <w:r w:rsidRPr="00B248C7">
                                <w:rPr>
                                  <w:rFonts w:eastAsia="Calibri"/>
                                  <w:color w:val="FFFFFF" w:themeColor="background1"/>
                                  <w:sz w:val="18"/>
                                  <w:szCs w:val="18"/>
                                </w:rPr>
                                <w:t>Goal</w:t>
                              </w:r>
                            </w:p>
                          </w:txbxContent>
                        </wps:txbx>
                        <wps:bodyPr rot="0" spcFirstLastPara="0" vert="vert270" wrap="square" lIns="91440" tIns="45720" rIns="91440" bIns="45720" numCol="1" spcCol="0" rtlCol="0" fromWordArt="0" anchor="t" anchorCtr="0" forceAA="0" compatLnSpc="1">
                          <a:prstTxWarp prst="textNoShape">
                            <a:avLst/>
                          </a:prstTxWarp>
                          <a:noAutofit/>
                        </wps:bodyPr>
                      </wps:wsp>
                      <wps:wsp>
                        <wps:cNvPr id="91" name="Rectangle 91"/>
                        <wps:cNvSpPr/>
                        <wps:spPr>
                          <a:xfrm>
                            <a:off x="918685" y="1850297"/>
                            <a:ext cx="1317127" cy="1333452"/>
                          </a:xfrm>
                          <a:prstGeom prst="rect">
                            <a:avLst/>
                          </a:prstGeom>
                          <a:solidFill>
                            <a:schemeClr val="accent1">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7DC825A6" w14:textId="73928110" w:rsidR="00525A2A" w:rsidRPr="009655B7" w:rsidRDefault="00525A2A" w:rsidP="00E20799">
                              <w:pPr>
                                <w:spacing w:before="0" w:after="0" w:line="240" w:lineRule="auto"/>
                                <w:jc w:val="center"/>
                                <w:rPr>
                                  <w:sz w:val="18"/>
                                  <w:szCs w:val="16"/>
                                </w:rPr>
                              </w:pPr>
                              <w:r w:rsidRPr="009655B7">
                                <w:rPr>
                                  <w:sz w:val="18"/>
                                  <w:szCs w:val="16"/>
                                </w:rPr>
                                <w:t xml:space="preserve">IA-CEPA commitments are </w:t>
                              </w:r>
                              <w:r>
                                <w:rPr>
                                  <w:sz w:val="18"/>
                                  <w:szCs w:val="16"/>
                                </w:rPr>
                                <w:t xml:space="preserve">efficiently and effectively </w:t>
                              </w:r>
                              <w:r w:rsidRPr="009655B7">
                                <w:rPr>
                                  <w:sz w:val="18"/>
                                  <w:szCs w:val="16"/>
                                </w:rPr>
                                <w:t>implemented and maximised</w:t>
                              </w:r>
                              <w:r>
                                <w:rPr>
                                  <w:sz w:val="18"/>
                                  <w:szCs w:val="16"/>
                                </w:rPr>
                                <w:t xml:space="preserve"> supported by regulatory frameworks. Strategic market access opportunities identified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2532730" y="1847940"/>
                            <a:ext cx="1127770" cy="1376175"/>
                          </a:xfrm>
                          <a:prstGeom prst="rect">
                            <a:avLst/>
                          </a:prstGeom>
                          <a:solidFill>
                            <a:schemeClr val="accent1">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37C0F82A" w14:textId="07F5C785" w:rsidR="00525A2A" w:rsidRPr="009655B7" w:rsidRDefault="00525A2A" w:rsidP="00E20799">
                              <w:pPr>
                                <w:suppressOverlap/>
                                <w:jc w:val="center"/>
                                <w:rPr>
                                  <w:rFonts w:eastAsia="Times New Roman" w:cs="Segoe UI"/>
                                  <w:sz w:val="18"/>
                                  <w:szCs w:val="18"/>
                                  <w:lang w:eastAsia="en-AU"/>
                                </w:rPr>
                              </w:pPr>
                              <w:r w:rsidRPr="009655B7">
                                <w:rPr>
                                  <w:rFonts w:eastAsia="Times New Roman" w:cs="Times New Roman"/>
                                  <w:sz w:val="18"/>
                                  <w:szCs w:val="18"/>
                                </w:rPr>
                                <w:t>Engaged i</w:t>
                              </w:r>
                              <w:r w:rsidRPr="009655B7">
                                <w:rPr>
                                  <w:rFonts w:eastAsia="Times New Roman" w:cs="Segoe UI"/>
                                  <w:sz w:val="18"/>
                                  <w:szCs w:val="18"/>
                                  <w:lang w:eastAsia="en-AU"/>
                                </w:rPr>
                                <w:t>ndustry identifies</w:t>
                              </w:r>
                              <w:r>
                                <w:rPr>
                                  <w:rFonts w:eastAsia="Times New Roman" w:cs="Segoe UI"/>
                                  <w:sz w:val="18"/>
                                  <w:szCs w:val="18"/>
                                  <w:lang w:eastAsia="en-AU"/>
                                </w:rPr>
                                <w:t>,</w:t>
                              </w:r>
                              <w:r w:rsidRPr="009655B7">
                                <w:rPr>
                                  <w:rFonts w:eastAsia="Times New Roman" w:cs="Segoe UI"/>
                                  <w:sz w:val="18"/>
                                  <w:szCs w:val="18"/>
                                  <w:lang w:eastAsia="en-AU"/>
                                </w:rPr>
                                <w:t xml:space="preserve"> drives</w:t>
                              </w:r>
                              <w:r>
                                <w:rPr>
                                  <w:rFonts w:eastAsia="Times New Roman" w:cs="Segoe UI"/>
                                  <w:sz w:val="18"/>
                                  <w:szCs w:val="18"/>
                                  <w:lang w:eastAsia="en-AU"/>
                                </w:rPr>
                                <w:t xml:space="preserve"> and invests in</w:t>
                              </w:r>
                              <w:r w:rsidRPr="009655B7">
                                <w:rPr>
                                  <w:rFonts w:eastAsia="Times New Roman" w:cs="Segoe UI"/>
                                  <w:sz w:val="18"/>
                                  <w:szCs w:val="18"/>
                                  <w:lang w:eastAsia="en-AU"/>
                                </w:rPr>
                                <w:t xml:space="preserve"> opportunities for trade and investment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5315718" y="1845059"/>
                            <a:ext cx="1127770" cy="1376164"/>
                          </a:xfrm>
                          <a:prstGeom prst="rect">
                            <a:avLst/>
                          </a:prstGeom>
                          <a:solidFill>
                            <a:schemeClr val="accent1">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0C3246E0" w14:textId="2A133623" w:rsidR="00525A2A" w:rsidRPr="009655B7" w:rsidRDefault="00525A2A" w:rsidP="00E20799">
                              <w:pPr>
                                <w:jc w:val="center"/>
                                <w:rPr>
                                  <w:sz w:val="20"/>
                                  <w:szCs w:val="20"/>
                                </w:rPr>
                              </w:pPr>
                              <w:r w:rsidRPr="009655B7">
                                <w:rPr>
                                  <w:rFonts w:eastAsia="Times New Roman" w:cs="Segoe UI"/>
                                  <w:sz w:val="18"/>
                                  <w:szCs w:val="18"/>
                                  <w:lang w:eastAsia="en-AU"/>
                                </w:rPr>
                                <w:t xml:space="preserve">Enhanced </w:t>
                              </w:r>
                              <w:r>
                                <w:rPr>
                                  <w:rFonts w:eastAsia="Times New Roman" w:cs="Segoe UI"/>
                                  <w:sz w:val="18"/>
                                  <w:szCs w:val="18"/>
                                  <w:lang w:eastAsia="en-AU"/>
                                </w:rPr>
                                <w:t xml:space="preserve">and aligned </w:t>
                              </w:r>
                              <w:r w:rsidRPr="009655B7">
                                <w:rPr>
                                  <w:rFonts w:eastAsia="Times New Roman" w:cs="Segoe UI"/>
                                  <w:sz w:val="18"/>
                                  <w:szCs w:val="18"/>
                                  <w:lang w:eastAsia="en-AU"/>
                                </w:rPr>
                                <w:t xml:space="preserve">Standards </w:t>
                              </w:r>
                              <w:r>
                                <w:rPr>
                                  <w:rFonts w:eastAsia="Times New Roman" w:cs="Segoe UI"/>
                                  <w:sz w:val="18"/>
                                  <w:szCs w:val="18"/>
                                  <w:lang w:eastAsia="en-AU"/>
                                </w:rPr>
                                <w:t xml:space="preserve">and Conformance </w:t>
                              </w:r>
                              <w:r w:rsidRPr="009655B7">
                                <w:rPr>
                                  <w:rFonts w:eastAsia="Times New Roman" w:cs="Segoe UI"/>
                                  <w:sz w:val="18"/>
                                  <w:szCs w:val="18"/>
                                  <w:lang w:eastAsia="en-AU"/>
                                </w:rPr>
                                <w:t>Ecosystem</w:t>
                              </w:r>
                              <w:r>
                                <w:rPr>
                                  <w:rFonts w:eastAsia="Times New Roman" w:cs="Segoe UI"/>
                                  <w:sz w:val="18"/>
                                  <w:szCs w:val="18"/>
                                  <w:lang w:eastAsia="en-AU"/>
                                </w:rPr>
                                <w:t xml:space="preserve"> supporting more integrated markets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4014976" y="1845161"/>
                            <a:ext cx="1084889" cy="1376258"/>
                          </a:xfrm>
                          <a:prstGeom prst="rect">
                            <a:avLst/>
                          </a:prstGeom>
                          <a:solidFill>
                            <a:schemeClr val="accent1">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44ED6A5A" w14:textId="78A8123F" w:rsidR="00525A2A" w:rsidRPr="009655B7" w:rsidRDefault="00525A2A" w:rsidP="00E20799">
                              <w:pPr>
                                <w:jc w:val="center"/>
                                <w:rPr>
                                  <w:rFonts w:eastAsia="Times New Roman" w:cs="Segoe UI"/>
                                  <w:sz w:val="18"/>
                                  <w:szCs w:val="18"/>
                                  <w:lang w:eastAsia="en-AU"/>
                                </w:rPr>
                              </w:pPr>
                              <w:r w:rsidRPr="009655B7">
                                <w:rPr>
                                  <w:rFonts w:eastAsia="Times New Roman" w:cs="Segoe UI"/>
                                  <w:sz w:val="18"/>
                                  <w:szCs w:val="18"/>
                                  <w:lang w:eastAsia="en-AU"/>
                                </w:rPr>
                                <w:t xml:space="preserve">Indonesia-Australia </w:t>
                              </w:r>
                              <w:r>
                                <w:rPr>
                                  <w:rFonts w:eastAsia="Times New Roman" w:cs="Segoe UI"/>
                                  <w:sz w:val="18"/>
                                  <w:szCs w:val="18"/>
                                  <w:lang w:eastAsia="en-AU"/>
                                </w:rPr>
                                <w:t>economic p</w:t>
                              </w:r>
                              <w:r w:rsidRPr="009655B7">
                                <w:rPr>
                                  <w:rFonts w:eastAsia="Times New Roman" w:cs="Segoe UI"/>
                                  <w:sz w:val="18"/>
                                  <w:szCs w:val="18"/>
                                  <w:lang w:eastAsia="en-AU"/>
                                </w:rPr>
                                <w:t>artner</w:t>
                              </w:r>
                              <w:r>
                                <w:rPr>
                                  <w:rFonts w:eastAsia="Times New Roman" w:cs="Segoe UI"/>
                                  <w:sz w:val="18"/>
                                  <w:szCs w:val="18"/>
                                  <w:lang w:eastAsia="en-AU"/>
                                </w:rPr>
                                <w:t xml:space="preserve">ships are developed across </w:t>
                              </w:r>
                              <w:proofErr w:type="spellStart"/>
                              <w:r>
                                <w:rPr>
                                  <w:rFonts w:eastAsia="Times New Roman" w:cs="Segoe UI"/>
                                  <w:sz w:val="18"/>
                                  <w:szCs w:val="18"/>
                                  <w:lang w:eastAsia="en-AU"/>
                                </w:rPr>
                                <w:t>agrifood</w:t>
                              </w:r>
                              <w:proofErr w:type="spellEnd"/>
                              <w:r w:rsidRPr="009655B7">
                                <w:rPr>
                                  <w:rFonts w:eastAsia="Times New Roman" w:cs="Segoe UI"/>
                                  <w:sz w:val="18"/>
                                  <w:szCs w:val="18"/>
                                  <w:lang w:eastAsia="en-AU"/>
                                </w:rPr>
                                <w:t>, advanced manufacturing and services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6836402" y="1865981"/>
                            <a:ext cx="1090295" cy="1313529"/>
                          </a:xfrm>
                          <a:prstGeom prst="rect">
                            <a:avLst/>
                          </a:prstGeom>
                          <a:solidFill>
                            <a:schemeClr val="accent1">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56776495" w14:textId="40AF4515" w:rsidR="00525A2A" w:rsidRPr="009655B7" w:rsidRDefault="00525A2A" w:rsidP="00E20799">
                              <w:pPr>
                                <w:jc w:val="center"/>
                                <w:rPr>
                                  <w:sz w:val="18"/>
                                  <w:szCs w:val="16"/>
                                </w:rPr>
                              </w:pPr>
                              <w:r w:rsidRPr="009655B7">
                                <w:rPr>
                                  <w:sz w:val="18"/>
                                  <w:szCs w:val="16"/>
                                </w:rPr>
                                <w:t xml:space="preserve">Improved systems </w:t>
                              </w:r>
                              <w:r>
                                <w:rPr>
                                  <w:sz w:val="18"/>
                                  <w:szCs w:val="16"/>
                                </w:rPr>
                                <w:t xml:space="preserve">and inclusive policies </w:t>
                              </w:r>
                              <w:r w:rsidRPr="009655B7">
                                <w:rPr>
                                  <w:sz w:val="18"/>
                                  <w:szCs w:val="16"/>
                                </w:rPr>
                                <w:t>for developing</w:t>
                              </w:r>
                              <w:r>
                                <w:rPr>
                                  <w:sz w:val="18"/>
                                  <w:szCs w:val="16"/>
                                </w:rPr>
                                <w:t xml:space="preserve"> and identifying</w:t>
                              </w:r>
                              <w:r w:rsidRPr="009655B7">
                                <w:rPr>
                                  <w:sz w:val="18"/>
                                  <w:szCs w:val="16"/>
                                </w:rPr>
                                <w:t xml:space="preserve"> labour market skills</w:t>
                              </w:r>
                              <w:r>
                                <w:rPr>
                                  <w:sz w:val="18"/>
                                  <w:szCs w:val="16"/>
                                </w:rPr>
                                <w:t xml:space="preserve"> and requirements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Straight Arrow Connector 96"/>
                        <wps:cNvCnPr/>
                        <wps:spPr>
                          <a:xfrm flipH="1" flipV="1">
                            <a:off x="4318539" y="588449"/>
                            <a:ext cx="31274" cy="284883"/>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97" name="Rectangle 97"/>
                        <wps:cNvSpPr/>
                        <wps:spPr>
                          <a:xfrm>
                            <a:off x="822620" y="3469975"/>
                            <a:ext cx="1465080" cy="1892600"/>
                          </a:xfrm>
                          <a:prstGeom prst="rect">
                            <a:avLst/>
                          </a:prstGeom>
                          <a:solidFill>
                            <a:schemeClr val="accent4">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53922044" w14:textId="77777777" w:rsidR="00525A2A" w:rsidRPr="007A734F" w:rsidRDefault="00525A2A" w:rsidP="009D3124">
                              <w:pPr>
                                <w:pStyle w:val="ListParagraph"/>
                                <w:numPr>
                                  <w:ilvl w:val="0"/>
                                  <w:numId w:val="27"/>
                                </w:numPr>
                                <w:spacing w:before="0" w:after="0" w:line="240" w:lineRule="auto"/>
                                <w:ind w:left="142" w:hanging="142"/>
                                <w:rPr>
                                  <w:rFonts w:eastAsia="Times New Roman" w:cs="Times New Roman"/>
                                  <w:iCs/>
                                  <w:sz w:val="18"/>
                                  <w:szCs w:val="20"/>
                                </w:rPr>
                              </w:pPr>
                              <w:r w:rsidRPr="007A734F">
                                <w:rPr>
                                  <w:rFonts w:eastAsia="Times New Roman" w:cs="Times New Roman"/>
                                  <w:iCs/>
                                  <w:sz w:val="18"/>
                                  <w:szCs w:val="20"/>
                                </w:rPr>
                                <w:t>Support legal and regulatory implementation of commitments</w:t>
                              </w:r>
                            </w:p>
                            <w:p w14:paraId="27ECB2F0" w14:textId="71E2C59E" w:rsidR="00525A2A" w:rsidRDefault="00525A2A" w:rsidP="009D3124">
                              <w:pPr>
                                <w:pStyle w:val="ListParagraph"/>
                                <w:numPr>
                                  <w:ilvl w:val="0"/>
                                  <w:numId w:val="27"/>
                                </w:numPr>
                                <w:spacing w:before="0" w:after="0" w:line="240" w:lineRule="auto"/>
                                <w:ind w:left="142" w:hanging="142"/>
                                <w:rPr>
                                  <w:rFonts w:eastAsia="Times New Roman" w:cs="Times New Roman"/>
                                  <w:iCs/>
                                  <w:sz w:val="18"/>
                                  <w:szCs w:val="20"/>
                                </w:rPr>
                              </w:pPr>
                              <w:r w:rsidRPr="004C0F35">
                                <w:rPr>
                                  <w:rFonts w:eastAsia="Times New Roman" w:cs="Times New Roman"/>
                                  <w:iCs/>
                                  <w:sz w:val="18"/>
                                  <w:szCs w:val="20"/>
                                </w:rPr>
                                <w:t>Socialise the value</w:t>
                              </w:r>
                              <w:r>
                                <w:rPr>
                                  <w:rFonts w:eastAsia="Times New Roman" w:cs="Times New Roman"/>
                                  <w:iCs/>
                                  <w:sz w:val="18"/>
                                  <w:szCs w:val="20"/>
                                </w:rPr>
                                <w:t xml:space="preserve"> of open trade and investment</w:t>
                              </w:r>
                            </w:p>
                            <w:p w14:paraId="23C42DAB" w14:textId="6AE885F3" w:rsidR="00525A2A" w:rsidRDefault="00525A2A" w:rsidP="009D3124">
                              <w:pPr>
                                <w:pStyle w:val="ListParagraph"/>
                                <w:numPr>
                                  <w:ilvl w:val="0"/>
                                  <w:numId w:val="27"/>
                                </w:numPr>
                                <w:spacing w:before="0" w:after="0" w:line="240" w:lineRule="auto"/>
                                <w:ind w:left="142" w:hanging="142"/>
                                <w:rPr>
                                  <w:rFonts w:eastAsia="Times New Roman" w:cs="Times New Roman"/>
                                  <w:iCs/>
                                  <w:sz w:val="18"/>
                                  <w:szCs w:val="20"/>
                                </w:rPr>
                              </w:pPr>
                              <w:r>
                                <w:rPr>
                                  <w:rFonts w:eastAsia="Times New Roman" w:cs="Times New Roman"/>
                                  <w:iCs/>
                                  <w:sz w:val="18"/>
                                  <w:szCs w:val="20"/>
                                </w:rPr>
                                <w:t>Opportunity assessments</w:t>
                              </w:r>
                            </w:p>
                            <w:p w14:paraId="3E9959AF" w14:textId="77777777" w:rsidR="00525A2A" w:rsidRDefault="00525A2A" w:rsidP="009D3124">
                              <w:pPr>
                                <w:pStyle w:val="ListParagraph"/>
                                <w:numPr>
                                  <w:ilvl w:val="0"/>
                                  <w:numId w:val="27"/>
                                </w:numPr>
                                <w:spacing w:before="0" w:after="0" w:line="240" w:lineRule="auto"/>
                                <w:ind w:left="142" w:hanging="142"/>
                                <w:rPr>
                                  <w:rFonts w:eastAsia="Times New Roman" w:cs="Times New Roman"/>
                                  <w:iCs/>
                                  <w:sz w:val="18"/>
                                  <w:szCs w:val="20"/>
                                </w:rPr>
                              </w:pPr>
                              <w:r w:rsidRPr="004C0F35">
                                <w:rPr>
                                  <w:rFonts w:eastAsia="Times New Roman" w:cs="Times New Roman"/>
                                  <w:iCs/>
                                  <w:sz w:val="18"/>
                                  <w:szCs w:val="20"/>
                                </w:rPr>
                                <w:t xml:space="preserve">Evaluating the impact of </w:t>
                              </w:r>
                              <w:r>
                                <w:rPr>
                                  <w:rFonts w:eastAsia="Times New Roman" w:cs="Times New Roman"/>
                                  <w:iCs/>
                                  <w:sz w:val="18"/>
                                  <w:szCs w:val="20"/>
                                </w:rPr>
                                <w:t>IA-CEPA</w:t>
                              </w:r>
                            </w:p>
                            <w:p w14:paraId="71DEE3CE" w14:textId="62D0EC67" w:rsidR="00525A2A" w:rsidRPr="007C4ABD" w:rsidRDefault="00525A2A" w:rsidP="007C4ABD">
                              <w:pPr>
                                <w:pStyle w:val="ListParagraph"/>
                                <w:numPr>
                                  <w:ilvl w:val="0"/>
                                  <w:numId w:val="27"/>
                                </w:numPr>
                                <w:spacing w:before="0" w:after="0" w:line="240" w:lineRule="auto"/>
                                <w:ind w:left="142" w:hanging="142"/>
                                <w:rPr>
                                  <w:rFonts w:eastAsia="Times New Roman" w:cs="Times New Roman"/>
                                  <w:iCs/>
                                  <w:sz w:val="18"/>
                                  <w:szCs w:val="20"/>
                                </w:rPr>
                              </w:pPr>
                              <w:r>
                                <w:rPr>
                                  <w:rFonts w:eastAsia="Times New Roman" w:cs="Times New Roman"/>
                                  <w:iCs/>
                                  <w:sz w:val="18"/>
                                  <w:szCs w:val="20"/>
                                </w:rPr>
                                <w:t>Knowledge exchange programs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 name="Rectangle 98"/>
                        <wps:cNvSpPr/>
                        <wps:spPr>
                          <a:xfrm>
                            <a:off x="2409785" y="3456685"/>
                            <a:ext cx="1404938" cy="1917271"/>
                          </a:xfrm>
                          <a:prstGeom prst="rect">
                            <a:avLst/>
                          </a:prstGeom>
                          <a:solidFill>
                            <a:schemeClr val="accent4">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0248CC44" w14:textId="35CF7A7B" w:rsidR="00525A2A" w:rsidRDefault="00525A2A" w:rsidP="009D3124">
                              <w:pPr>
                                <w:pStyle w:val="ListParagraph"/>
                                <w:numPr>
                                  <w:ilvl w:val="0"/>
                                  <w:numId w:val="27"/>
                                </w:numPr>
                                <w:spacing w:before="0" w:after="0" w:line="240" w:lineRule="auto"/>
                                <w:ind w:left="142" w:hanging="142"/>
                                <w:rPr>
                                  <w:rFonts w:eastAsia="Times New Roman" w:cs="Times New Roman"/>
                                  <w:iCs/>
                                  <w:sz w:val="18"/>
                                  <w:szCs w:val="20"/>
                                </w:rPr>
                              </w:pPr>
                              <w:r>
                                <w:rPr>
                                  <w:rFonts w:eastAsia="Times New Roman" w:cs="Times New Roman"/>
                                  <w:iCs/>
                                  <w:sz w:val="18"/>
                                  <w:szCs w:val="20"/>
                                </w:rPr>
                                <w:t xml:space="preserve">Identify opportunities for strengthening linkages between digital firms and </w:t>
                              </w:r>
                              <w:r w:rsidRPr="004C0F35">
                                <w:rPr>
                                  <w:rFonts w:eastAsia="Times New Roman" w:cs="Times New Roman"/>
                                  <w:iCs/>
                                  <w:sz w:val="18"/>
                                  <w:szCs w:val="20"/>
                                </w:rPr>
                                <w:t>capital market</w:t>
                              </w:r>
                              <w:r>
                                <w:rPr>
                                  <w:rFonts w:eastAsia="Times New Roman" w:cs="Times New Roman"/>
                                  <w:iCs/>
                                  <w:sz w:val="18"/>
                                  <w:szCs w:val="20"/>
                                </w:rPr>
                                <w:t>s</w:t>
                              </w:r>
                              <w:r w:rsidRPr="004C0F35">
                                <w:rPr>
                                  <w:rFonts w:eastAsia="Times New Roman" w:cs="Times New Roman"/>
                                  <w:iCs/>
                                  <w:sz w:val="18"/>
                                  <w:szCs w:val="20"/>
                                </w:rPr>
                                <w:t xml:space="preserve"> </w:t>
                              </w:r>
                            </w:p>
                            <w:p w14:paraId="13CBB146" w14:textId="5F611E5F" w:rsidR="00525A2A" w:rsidRDefault="00525A2A" w:rsidP="009D3124">
                              <w:pPr>
                                <w:pStyle w:val="ListParagraph"/>
                                <w:numPr>
                                  <w:ilvl w:val="0"/>
                                  <w:numId w:val="27"/>
                                </w:numPr>
                                <w:spacing w:before="0" w:after="0" w:line="240" w:lineRule="auto"/>
                                <w:ind w:left="142" w:hanging="142"/>
                                <w:rPr>
                                  <w:rFonts w:eastAsia="Times New Roman" w:cs="Times New Roman"/>
                                  <w:iCs/>
                                  <w:sz w:val="18"/>
                                  <w:szCs w:val="20"/>
                                </w:rPr>
                              </w:pPr>
                              <w:r>
                                <w:rPr>
                                  <w:rFonts w:eastAsia="Times New Roman" w:cs="Times New Roman"/>
                                  <w:iCs/>
                                  <w:sz w:val="18"/>
                                  <w:szCs w:val="20"/>
                                </w:rPr>
                                <w:t>Research into ‘powerhouse’ sectors</w:t>
                              </w:r>
                            </w:p>
                            <w:p w14:paraId="2BD71DD8" w14:textId="69E686B8" w:rsidR="00525A2A" w:rsidRPr="00412290" w:rsidRDefault="00525A2A" w:rsidP="009D3124">
                              <w:pPr>
                                <w:pStyle w:val="ListParagraph"/>
                                <w:numPr>
                                  <w:ilvl w:val="0"/>
                                  <w:numId w:val="27"/>
                                </w:numPr>
                                <w:spacing w:before="0" w:after="0" w:line="240" w:lineRule="auto"/>
                                <w:ind w:left="142" w:hanging="142"/>
                                <w:rPr>
                                  <w:rFonts w:eastAsia="Times New Roman" w:cs="Times New Roman"/>
                                  <w:iCs/>
                                  <w:sz w:val="18"/>
                                  <w:szCs w:val="20"/>
                                </w:rPr>
                              </w:pPr>
                              <w:r>
                                <w:rPr>
                                  <w:rFonts w:eastAsia="Times New Roman" w:cs="Times New Roman"/>
                                  <w:iCs/>
                                  <w:sz w:val="18"/>
                                  <w:szCs w:val="20"/>
                                </w:rPr>
                                <w:t>Research into trade and investment opportunities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9" name="Rectangle 99"/>
                        <wps:cNvSpPr/>
                        <wps:spPr>
                          <a:xfrm>
                            <a:off x="5353822" y="3443468"/>
                            <a:ext cx="1333289" cy="1939675"/>
                          </a:xfrm>
                          <a:prstGeom prst="rect">
                            <a:avLst/>
                          </a:prstGeom>
                          <a:solidFill>
                            <a:schemeClr val="accent4">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5E4BC1FB" w14:textId="6C087FF9" w:rsidR="00525A2A" w:rsidRPr="004C0F35" w:rsidRDefault="00525A2A" w:rsidP="009D3124">
                              <w:pPr>
                                <w:pStyle w:val="ListParagraph"/>
                                <w:numPr>
                                  <w:ilvl w:val="0"/>
                                  <w:numId w:val="27"/>
                                </w:numPr>
                                <w:spacing w:before="0" w:after="0" w:line="240" w:lineRule="auto"/>
                                <w:ind w:left="142" w:hanging="142"/>
                                <w:suppressOverlap/>
                                <w:rPr>
                                  <w:rFonts w:eastAsia="Times New Roman" w:cs="Times New Roman"/>
                                  <w:iCs/>
                                  <w:sz w:val="18"/>
                                  <w:szCs w:val="20"/>
                                </w:rPr>
                              </w:pPr>
                              <w:r w:rsidRPr="004C0F35">
                                <w:rPr>
                                  <w:rFonts w:eastAsia="Times New Roman" w:cs="Times New Roman"/>
                                  <w:iCs/>
                                  <w:sz w:val="18"/>
                                  <w:szCs w:val="20"/>
                                </w:rPr>
                                <w:t xml:space="preserve">Enhance Indonesia's standards ecosystem </w:t>
                              </w:r>
                            </w:p>
                            <w:p w14:paraId="1B5DB07F" w14:textId="77777777" w:rsidR="00525A2A" w:rsidRPr="00182069" w:rsidRDefault="00525A2A" w:rsidP="009D3124">
                              <w:pPr>
                                <w:pStyle w:val="ListParagraph"/>
                                <w:numPr>
                                  <w:ilvl w:val="0"/>
                                  <w:numId w:val="27"/>
                                </w:numPr>
                                <w:spacing w:before="0" w:after="0" w:line="240" w:lineRule="auto"/>
                                <w:ind w:left="142" w:hanging="142"/>
                                <w:rPr>
                                  <w:rFonts w:eastAsia="Times New Roman" w:cs="Times New Roman"/>
                                  <w:iCs/>
                                  <w:sz w:val="18"/>
                                  <w:szCs w:val="20"/>
                                </w:rPr>
                              </w:pPr>
                              <w:r>
                                <w:rPr>
                                  <w:rFonts w:eastAsia="Times New Roman" w:cs="Times New Roman"/>
                                  <w:iCs/>
                                  <w:sz w:val="18"/>
                                  <w:szCs w:val="20"/>
                                </w:rPr>
                                <w:t>Align</w:t>
                              </w:r>
                              <w:r w:rsidRPr="004C0F35">
                                <w:rPr>
                                  <w:rFonts w:eastAsia="Times New Roman" w:cs="Times New Roman"/>
                                  <w:iCs/>
                                  <w:sz w:val="18"/>
                                  <w:szCs w:val="20"/>
                                </w:rPr>
                                <w:t xml:space="preserve"> services sector standards where opportunities exist for </w:t>
                              </w:r>
                              <w:r>
                                <w:rPr>
                                  <w:rFonts w:eastAsia="Times New Roman" w:cs="Times New Roman"/>
                                  <w:iCs/>
                                  <w:sz w:val="18"/>
                                  <w:szCs w:val="20"/>
                                </w:rPr>
                                <w:t xml:space="preserve">improving </w:t>
                              </w:r>
                              <w:r w:rsidRPr="004C0F35">
                                <w:rPr>
                                  <w:rFonts w:eastAsia="Times New Roman" w:cs="Times New Roman"/>
                                  <w:iCs/>
                                  <w:sz w:val="18"/>
                                  <w:szCs w:val="20"/>
                                </w:rPr>
                                <w:t xml:space="preserve">trade and investment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0" name="Rectangle 100"/>
                        <wps:cNvSpPr/>
                        <wps:spPr>
                          <a:xfrm>
                            <a:off x="3919498" y="3469696"/>
                            <a:ext cx="1319212" cy="1940504"/>
                          </a:xfrm>
                          <a:prstGeom prst="rect">
                            <a:avLst/>
                          </a:prstGeom>
                          <a:solidFill>
                            <a:schemeClr val="accent4">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2795620A" w14:textId="3127FA1C" w:rsidR="00525A2A" w:rsidRPr="009655B7" w:rsidRDefault="00525A2A" w:rsidP="009D3124">
                              <w:pPr>
                                <w:pStyle w:val="ListParagraph"/>
                                <w:numPr>
                                  <w:ilvl w:val="0"/>
                                  <w:numId w:val="27"/>
                                </w:numPr>
                                <w:spacing w:before="0" w:after="0" w:line="240" w:lineRule="auto"/>
                                <w:ind w:left="142" w:hanging="142"/>
                                <w:rPr>
                                  <w:rFonts w:eastAsia="Times New Roman" w:cs="Times New Roman"/>
                                  <w:iCs/>
                                  <w:sz w:val="18"/>
                                  <w:szCs w:val="20"/>
                                </w:rPr>
                              </w:pPr>
                              <w:r w:rsidRPr="004C0F35">
                                <w:rPr>
                                  <w:rFonts w:eastAsia="Times New Roman" w:cs="Times New Roman"/>
                                  <w:iCs/>
                                  <w:sz w:val="18"/>
                                  <w:szCs w:val="20"/>
                                </w:rPr>
                                <w:t xml:space="preserve">Establish </w:t>
                              </w:r>
                              <w:r>
                                <w:rPr>
                                  <w:rFonts w:eastAsia="Times New Roman" w:cs="Times New Roman"/>
                                  <w:iCs/>
                                  <w:sz w:val="18"/>
                                  <w:szCs w:val="20"/>
                                </w:rPr>
                                <w:t>and support</w:t>
                              </w:r>
                              <w:r w:rsidRPr="004C0F35">
                                <w:rPr>
                                  <w:rFonts w:eastAsia="Times New Roman" w:cs="Times New Roman"/>
                                  <w:iCs/>
                                  <w:sz w:val="18"/>
                                  <w:szCs w:val="20"/>
                                </w:rPr>
                                <w:t xml:space="preserve"> Partnership</w:t>
                              </w:r>
                              <w:r>
                                <w:rPr>
                                  <w:rFonts w:eastAsia="Times New Roman" w:cs="Times New Roman"/>
                                  <w:iCs/>
                                  <w:sz w:val="18"/>
                                  <w:szCs w:val="20"/>
                                </w:rPr>
                                <w:t>s</w:t>
                              </w:r>
                              <w:r w:rsidRPr="004C0F35">
                                <w:rPr>
                                  <w:rFonts w:eastAsia="Times New Roman" w:cs="Times New Roman"/>
                                  <w:iCs/>
                                  <w:sz w:val="18"/>
                                  <w:szCs w:val="20"/>
                                </w:rPr>
                                <w:t xml:space="preserve"> between Australian and Indonesian</w:t>
                              </w:r>
                              <w:r>
                                <w:rPr>
                                  <w:rFonts w:eastAsia="Times New Roman" w:cs="Times New Roman"/>
                                  <w:iCs/>
                                  <w:sz w:val="18"/>
                                  <w:szCs w:val="20"/>
                                </w:rPr>
                                <w:t xml:space="preserve"> industries</w:t>
                              </w:r>
                            </w:p>
                            <w:p w14:paraId="28DEDCD8" w14:textId="77777777" w:rsidR="00525A2A" w:rsidRDefault="00525A2A" w:rsidP="009D3124">
                              <w:pPr>
                                <w:pStyle w:val="ListParagraph"/>
                                <w:numPr>
                                  <w:ilvl w:val="0"/>
                                  <w:numId w:val="27"/>
                                </w:numPr>
                                <w:spacing w:before="0" w:after="0" w:line="240" w:lineRule="auto"/>
                                <w:ind w:left="142" w:hanging="142"/>
                                <w:rPr>
                                  <w:rFonts w:eastAsia="Times New Roman" w:cs="Times New Roman"/>
                                  <w:iCs/>
                                  <w:sz w:val="18"/>
                                  <w:szCs w:val="20"/>
                                </w:rPr>
                              </w:pPr>
                              <w:r>
                                <w:rPr>
                                  <w:rFonts w:eastAsia="Times New Roman" w:cs="Times New Roman"/>
                                  <w:iCs/>
                                  <w:sz w:val="18"/>
                                  <w:szCs w:val="20"/>
                                </w:rPr>
                                <w:t>Deliver targeted research and training programs</w:t>
                              </w:r>
                            </w:p>
                            <w:p w14:paraId="08CB21B0" w14:textId="77777777" w:rsidR="00525A2A" w:rsidRDefault="00525A2A" w:rsidP="009D3124">
                              <w:pPr>
                                <w:pStyle w:val="ListParagraph"/>
                                <w:numPr>
                                  <w:ilvl w:val="0"/>
                                  <w:numId w:val="27"/>
                                </w:numPr>
                                <w:spacing w:before="0" w:after="0" w:line="240" w:lineRule="auto"/>
                                <w:ind w:left="142" w:hanging="142"/>
                                <w:rPr>
                                  <w:rFonts w:eastAsia="Times New Roman" w:cs="Times New Roman"/>
                                  <w:iCs/>
                                  <w:sz w:val="18"/>
                                  <w:szCs w:val="20"/>
                                </w:rPr>
                              </w:pPr>
                              <w:r>
                                <w:rPr>
                                  <w:rFonts w:eastAsia="Times New Roman" w:cs="Times New Roman"/>
                                  <w:iCs/>
                                  <w:sz w:val="18"/>
                                  <w:szCs w:val="20"/>
                                </w:rPr>
                                <w:t>Support government to government forecasting research</w:t>
                              </w:r>
                            </w:p>
                            <w:p w14:paraId="73D820E5" w14:textId="77777777" w:rsidR="00525A2A" w:rsidRPr="0033514F" w:rsidRDefault="00525A2A" w:rsidP="009D3124">
                              <w:pPr>
                                <w:pStyle w:val="ListParagraph"/>
                                <w:numPr>
                                  <w:ilvl w:val="0"/>
                                  <w:numId w:val="27"/>
                                </w:numPr>
                                <w:spacing w:before="0" w:after="0" w:line="240" w:lineRule="auto"/>
                                <w:ind w:left="142" w:hanging="142"/>
                                <w:rPr>
                                  <w:rFonts w:eastAsia="Times New Roman" w:cs="Times New Roman"/>
                                  <w:iCs/>
                                  <w:sz w:val="18"/>
                                  <w:szCs w:val="20"/>
                                </w:rPr>
                              </w:pPr>
                              <w:r>
                                <w:rPr>
                                  <w:rFonts w:eastAsia="Times New Roman" w:cs="Times New Roman"/>
                                  <w:iCs/>
                                  <w:sz w:val="18"/>
                                  <w:szCs w:val="20"/>
                                </w:rPr>
                                <w:t>Establish platforms for partnership dialogue</w:t>
                              </w:r>
                            </w:p>
                            <w:p w14:paraId="4572E7BA" w14:textId="77777777" w:rsidR="00525A2A" w:rsidRPr="00D9738F" w:rsidRDefault="00525A2A" w:rsidP="00E20799">
                              <w:pPr>
                                <w:spacing w:before="0" w:after="0" w:line="240" w:lineRule="auto"/>
                                <w:rPr>
                                  <w:rFonts w:eastAsia="Calibri"/>
                                  <w:sz w:val="18"/>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 name="Straight Arrow Connector 101"/>
                        <wps:cNvCnPr/>
                        <wps:spPr>
                          <a:xfrm flipH="1" flipV="1">
                            <a:off x="1485900" y="3143250"/>
                            <a:ext cx="123825" cy="3134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2" name="Straight Arrow Connector 102"/>
                        <wps:cNvCnPr/>
                        <wps:spPr>
                          <a:xfrm flipH="1" flipV="1">
                            <a:off x="7376787" y="3179511"/>
                            <a:ext cx="7716" cy="26395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3" name="Rectangle 103"/>
                        <wps:cNvSpPr/>
                        <wps:spPr>
                          <a:xfrm>
                            <a:off x="6836402" y="3461084"/>
                            <a:ext cx="1383632" cy="1922060"/>
                          </a:xfrm>
                          <a:prstGeom prst="rect">
                            <a:avLst/>
                          </a:prstGeom>
                          <a:solidFill>
                            <a:schemeClr val="accent4">
                              <a:lumMod val="40000"/>
                              <a:lumOff val="60000"/>
                            </a:schemeClr>
                          </a:solidFill>
                        </wps:spPr>
                        <wps:style>
                          <a:lnRef idx="2">
                            <a:schemeClr val="dk1"/>
                          </a:lnRef>
                          <a:fillRef idx="1">
                            <a:schemeClr val="lt1"/>
                          </a:fillRef>
                          <a:effectRef idx="0">
                            <a:schemeClr val="dk1"/>
                          </a:effectRef>
                          <a:fontRef idx="minor">
                            <a:schemeClr val="dk1"/>
                          </a:fontRef>
                        </wps:style>
                        <wps:txbx>
                          <w:txbxContent>
                            <w:p w14:paraId="3B310A05" w14:textId="77777777" w:rsidR="00525A2A" w:rsidRPr="004C0F35" w:rsidRDefault="00525A2A" w:rsidP="009D3124">
                              <w:pPr>
                                <w:pStyle w:val="ListParagraph"/>
                                <w:numPr>
                                  <w:ilvl w:val="0"/>
                                  <w:numId w:val="27"/>
                                </w:numPr>
                                <w:spacing w:before="0" w:after="0" w:line="240" w:lineRule="auto"/>
                                <w:ind w:left="142" w:hanging="142"/>
                                <w:suppressOverlap/>
                                <w:rPr>
                                  <w:rFonts w:eastAsia="Times New Roman" w:cs="Times New Roman"/>
                                  <w:iCs/>
                                  <w:sz w:val="18"/>
                                  <w:szCs w:val="20"/>
                                </w:rPr>
                              </w:pPr>
                              <w:r w:rsidRPr="009655B7">
                                <w:rPr>
                                  <w:rFonts w:eastAsia="Times New Roman" w:cs="Times New Roman"/>
                                  <w:iCs/>
                                  <w:sz w:val="18"/>
                                  <w:szCs w:val="20"/>
                                </w:rPr>
                                <w:t>Facilitate Australian TVET providers partnering with Indonesian institutions</w:t>
                              </w:r>
                            </w:p>
                            <w:p w14:paraId="635A4432" w14:textId="77777777" w:rsidR="00525A2A" w:rsidRDefault="00525A2A" w:rsidP="009D3124">
                              <w:pPr>
                                <w:pStyle w:val="ListParagraph"/>
                                <w:numPr>
                                  <w:ilvl w:val="0"/>
                                  <w:numId w:val="27"/>
                                </w:numPr>
                                <w:spacing w:before="0" w:after="0" w:line="240" w:lineRule="auto"/>
                                <w:ind w:left="142" w:hanging="142"/>
                                <w:rPr>
                                  <w:rFonts w:eastAsia="Times New Roman" w:cs="Times New Roman"/>
                                  <w:iCs/>
                                  <w:sz w:val="18"/>
                                  <w:szCs w:val="20"/>
                                </w:rPr>
                              </w:pPr>
                              <w:r>
                                <w:rPr>
                                  <w:rFonts w:eastAsia="Times New Roman" w:cs="Times New Roman"/>
                                  <w:iCs/>
                                  <w:sz w:val="18"/>
                                  <w:szCs w:val="20"/>
                                </w:rPr>
                                <w:t>Trial and d</w:t>
                              </w:r>
                              <w:r w:rsidRPr="004C0F35">
                                <w:rPr>
                                  <w:rFonts w:eastAsia="Times New Roman" w:cs="Times New Roman"/>
                                  <w:iCs/>
                                  <w:sz w:val="18"/>
                                  <w:szCs w:val="20"/>
                                </w:rPr>
                                <w:t xml:space="preserve">eliver </w:t>
                              </w:r>
                              <w:r>
                                <w:rPr>
                                  <w:rFonts w:eastAsia="Times New Roman" w:cs="Times New Roman"/>
                                  <w:iCs/>
                                  <w:sz w:val="18"/>
                                  <w:szCs w:val="20"/>
                                </w:rPr>
                                <w:t>innovative</w:t>
                              </w:r>
                              <w:r w:rsidRPr="004C0F35">
                                <w:rPr>
                                  <w:rFonts w:eastAsia="Times New Roman" w:cs="Times New Roman"/>
                                  <w:iCs/>
                                  <w:sz w:val="18"/>
                                  <w:szCs w:val="20"/>
                                </w:rPr>
                                <w:t xml:space="preserve"> education models</w:t>
                              </w:r>
                            </w:p>
                            <w:p w14:paraId="18F71EF6" w14:textId="77777777" w:rsidR="00525A2A" w:rsidRPr="009655B7" w:rsidRDefault="00525A2A" w:rsidP="009D3124">
                              <w:pPr>
                                <w:pStyle w:val="ListParagraph"/>
                                <w:numPr>
                                  <w:ilvl w:val="0"/>
                                  <w:numId w:val="27"/>
                                </w:numPr>
                                <w:spacing w:before="0" w:after="0" w:line="240" w:lineRule="auto"/>
                                <w:ind w:left="142" w:hanging="142"/>
                                <w:rPr>
                                  <w:rFonts w:eastAsia="Times New Roman" w:cs="Times New Roman"/>
                                  <w:iCs/>
                                  <w:sz w:val="18"/>
                                  <w:szCs w:val="20"/>
                                </w:rPr>
                              </w:pPr>
                              <w:r w:rsidRPr="004C0F35">
                                <w:rPr>
                                  <w:rFonts w:eastAsia="Times New Roman" w:cs="Times New Roman"/>
                                  <w:iCs/>
                                  <w:sz w:val="18"/>
                                  <w:szCs w:val="20"/>
                                </w:rPr>
                                <w:t>Contribute to structural reform of the Indonesian TVET sector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4" name="Rectangle 104"/>
                        <wps:cNvSpPr/>
                        <wps:spPr>
                          <a:xfrm>
                            <a:off x="989584" y="877282"/>
                            <a:ext cx="1682138" cy="709295"/>
                          </a:xfrm>
                          <a:prstGeom prst="rect">
                            <a:avLst/>
                          </a:prstGeom>
                          <a:solidFill>
                            <a:schemeClr val="bg2">
                              <a:lumMod val="90000"/>
                            </a:schemeClr>
                          </a:solidFill>
                        </wps:spPr>
                        <wps:style>
                          <a:lnRef idx="2">
                            <a:schemeClr val="dk1"/>
                          </a:lnRef>
                          <a:fillRef idx="1">
                            <a:schemeClr val="lt1"/>
                          </a:fillRef>
                          <a:effectRef idx="0">
                            <a:schemeClr val="dk1"/>
                          </a:effectRef>
                          <a:fontRef idx="minor">
                            <a:schemeClr val="dk1"/>
                          </a:fontRef>
                        </wps:style>
                        <wps:txbx>
                          <w:txbxContent>
                            <w:p w14:paraId="48FF5CFF" w14:textId="72FF64B0" w:rsidR="00525A2A" w:rsidRPr="007C4ABD" w:rsidRDefault="00525A2A" w:rsidP="00E20799">
                              <w:pPr>
                                <w:jc w:val="center"/>
                              </w:pPr>
                              <w:r w:rsidRPr="007C4ABD">
                                <w:rPr>
                                  <w:rFonts w:eastAsia="Calibri"/>
                                  <w:sz w:val="18"/>
                                  <w:szCs w:val="18"/>
                                </w:rPr>
                                <w:t>Greater market access for Indonesian and Australian Businesses by 2025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 name="Straight Arrow Connector 105"/>
                        <wps:cNvCnPr/>
                        <wps:spPr>
                          <a:xfrm flipV="1">
                            <a:off x="1659164" y="1586481"/>
                            <a:ext cx="171489" cy="26370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6" name="Straight Arrow Connector 106"/>
                        <wps:cNvCnPr/>
                        <wps:spPr>
                          <a:xfrm flipV="1">
                            <a:off x="2671722" y="1228112"/>
                            <a:ext cx="674081" cy="38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7" name="Straight Arrow Connector 107"/>
                        <wps:cNvCnPr>
                          <a:stCxn id="86" idx="1"/>
                        </wps:cNvCnPr>
                        <wps:spPr>
                          <a:xfrm flipH="1">
                            <a:off x="5353823" y="1228010"/>
                            <a:ext cx="732900" cy="10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8" name="Straight Arrow Connector 108"/>
                        <wps:cNvCnPr>
                          <a:stCxn id="92" idx="0"/>
                        </wps:cNvCnPr>
                        <wps:spPr>
                          <a:xfrm flipV="1">
                            <a:off x="3096615" y="1582797"/>
                            <a:ext cx="1253198" cy="2651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9" name="Straight Arrow Connector 109"/>
                        <wps:cNvCnPr/>
                        <wps:spPr>
                          <a:xfrm flipH="1" flipV="1">
                            <a:off x="4349813" y="1582796"/>
                            <a:ext cx="236438" cy="2364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0" name="Straight Arrow Connector 110"/>
                        <wps:cNvCnPr/>
                        <wps:spPr>
                          <a:xfrm flipH="1" flipV="1">
                            <a:off x="4349813" y="1582892"/>
                            <a:ext cx="1529790" cy="2621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1" name="Straight Arrow Connector 111"/>
                        <wps:cNvCnPr/>
                        <wps:spPr>
                          <a:xfrm flipH="1" flipV="1">
                            <a:off x="7174191" y="1582695"/>
                            <a:ext cx="207359" cy="2831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2" name="Straight Arrow Connector 112"/>
                        <wps:cNvCnPr/>
                        <wps:spPr>
                          <a:xfrm flipV="1">
                            <a:off x="3081297" y="3221026"/>
                            <a:ext cx="150490" cy="2356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3" name="Straight Arrow Connector 113"/>
                        <wps:cNvCnPr>
                          <a:stCxn id="100" idx="0"/>
                        </wps:cNvCnPr>
                        <wps:spPr>
                          <a:xfrm flipH="1" flipV="1">
                            <a:off x="4557422" y="3221224"/>
                            <a:ext cx="21682" cy="2484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4" name="Straight Arrow Connector 114"/>
                        <wps:cNvCnPr/>
                        <wps:spPr>
                          <a:xfrm flipH="1" flipV="1">
                            <a:off x="5879603" y="3221027"/>
                            <a:ext cx="145024" cy="23565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5" name="Straight Arrow Connector 115"/>
                        <wps:cNvCnPr/>
                        <wps:spPr>
                          <a:xfrm flipV="1">
                            <a:off x="1830653" y="312206"/>
                            <a:ext cx="797253" cy="5650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6" name="Straight Arrow Connector 116"/>
                        <wps:cNvCnPr>
                          <a:endCxn id="84" idx="3"/>
                        </wps:cNvCnPr>
                        <wps:spPr>
                          <a:xfrm flipH="1" flipV="1">
                            <a:off x="5959502" y="312225"/>
                            <a:ext cx="1214689" cy="56095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2B5D59BA" id="Canvas 117" o:spid="_x0000_s1034" editas="canvas" style="position:absolute;margin-left:-3pt;margin-top:45.15pt;width:657.05pt;height:436.5pt;z-index:251705344;mso-position-horizontal-relative:margin" coordsize="83445,55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83445;height:55435;visibility:visible;mso-wrap-style:square">
                  <v:fill o:detectmouseclick="t"/>
                  <v:path o:connecttype="none"/>
                </v:shape>
                <v:rect id="Rectangle 84" o:spid="_x0000_s1036" style="position:absolute;left:26279;top:360;width:33316;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" fillcolor="#69f0ff [1305]" strokecolor="black [3200]" strokeweight="1pt">
                  <v:textbox>
                    <w:txbxContent>
                      <w:p w14:paraId="57542DD2" w14:textId="658DB215" w:rsidR="00525A2A" w:rsidRPr="007C4ABD" w:rsidRDefault="00525A2A" w:rsidP="00E20799">
                        <w:pPr>
                          <w:spacing w:before="0" w:after="0" w:line="257" w:lineRule="auto"/>
                          <w:jc w:val="center"/>
                          <w:rPr>
                            <w:b/>
                            <w:sz w:val="18"/>
                            <w:szCs w:val="18"/>
                          </w:rPr>
                        </w:pPr>
                        <w:r w:rsidRPr="007C4ABD">
                          <w:rPr>
                            <w:b/>
                            <w:bCs/>
                            <w:sz w:val="18"/>
                            <w:szCs w:val="18"/>
                            <w:lang w:eastAsia="en-GB"/>
                          </w:rPr>
                          <w:t xml:space="preserve">The benefits of IA-CEPA are maximised, supporting trade and investment, </w:t>
                        </w:r>
                        <w:r w:rsidRPr="007C4ABD">
                          <w:rPr>
                            <w:rFonts w:eastAsia="Times New Roman" w:cs="Arial"/>
                            <w:b/>
                            <w:bCs/>
                            <w:sz w:val="18"/>
                            <w:szCs w:val="18"/>
                            <w:lang w:val="en-AU" w:eastAsia="en-AU"/>
                          </w:rPr>
                          <w:t>improving market access, and promoting inclusive economic growth in Indonesia</w:t>
                        </w:r>
                      </w:p>
                    </w:txbxContent>
                  </v:textbox>
                </v:rect>
                <v:rect id="Rectangle 85" o:spid="_x0000_s1037" style="position:absolute;left:33458;top:8733;width:20080;height:7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" fillcolor="#c0c7c5 [2894]" strokecolor="black [3200]" strokeweight="1pt">
                  <v:textbox>
                    <w:txbxContent>
                      <w:p w14:paraId="57FB3EE9" w14:textId="1A60F18F" w:rsidR="00525A2A" w:rsidRPr="007C4ABD" w:rsidRDefault="00525A2A" w:rsidP="00E20799">
                        <w:pPr>
                          <w:spacing w:before="0" w:after="0" w:line="240" w:lineRule="auto"/>
                          <w:jc w:val="center"/>
                          <w:rPr>
                            <w:sz w:val="18"/>
                            <w:szCs w:val="16"/>
                          </w:rPr>
                        </w:pPr>
                        <w:r w:rsidRPr="007C4ABD">
                          <w:rPr>
                            <w:sz w:val="18"/>
                            <w:szCs w:val="16"/>
                          </w:rPr>
                          <w:t xml:space="preserve">Better integrated markets between Indonesia and Australia fostering new </w:t>
                        </w:r>
                        <w:r>
                          <w:rPr>
                            <w:sz w:val="18"/>
                            <w:szCs w:val="16"/>
                          </w:rPr>
                          <w:t xml:space="preserve">inclusive </w:t>
                        </w:r>
                        <w:r w:rsidRPr="007C4ABD">
                          <w:rPr>
                            <w:sz w:val="18"/>
                            <w:szCs w:val="16"/>
                          </w:rPr>
                          <w:t>economic partnerships by 2025</w:t>
                        </w:r>
                      </w:p>
                    </w:txbxContent>
                  </v:textbox>
                </v:rect>
                <v:rect id="Rectangle 86" o:spid="_x0000_s1038" style="position:absolute;left:60867;top:8732;width:21031;height:7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" fillcolor="#c0c7c5 [2894]" strokecolor="black [3200]" strokeweight="1pt">
                  <v:textbox>
                    <w:txbxContent>
                      <w:p w14:paraId="64E0711F" w14:textId="6F4E99A8" w:rsidR="00525A2A" w:rsidRPr="007C4ABD" w:rsidRDefault="00525A2A" w:rsidP="007C4ABD">
                        <w:pPr>
                          <w:spacing w:before="0" w:after="0" w:line="240" w:lineRule="auto"/>
                          <w:jc w:val="center"/>
                          <w:rPr>
                            <w:sz w:val="18"/>
                            <w:szCs w:val="16"/>
                          </w:rPr>
                        </w:pPr>
                        <w:r w:rsidRPr="007C4ABD">
                          <w:rPr>
                            <w:sz w:val="18"/>
                            <w:szCs w:val="16"/>
                          </w:rPr>
                          <w:t>Enhanced labour market skills for Indonesian businesses and government boosting productivity</w:t>
                        </w:r>
                        <w:r>
                          <w:rPr>
                            <w:sz w:val="18"/>
                            <w:szCs w:val="16"/>
                          </w:rPr>
                          <w:t>, gender equality and social inclusion by 2025</w:t>
                        </w:r>
                      </w:p>
                    </w:txbxContent>
                  </v:textbox>
                </v:rect>
                <v:shape id="Text Box 4" o:spid="_x0000_s1039" type="#_x0000_t202" style="position:absolute;top:34620;width:4083;height:19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" fillcolor="#acd08c [3205]" strokeweight=".5pt">
                  <v:textbox style="layout-flow:vertical;mso-layout-flow-alt:bottom-to-top">
                    <w:txbxContent>
                      <w:p w14:paraId="458032D8" w14:textId="77777777" w:rsidR="00525A2A" w:rsidRPr="00B248C7" w:rsidRDefault="00525A2A" w:rsidP="00E20799">
                        <w:pPr>
                          <w:spacing w:after="160" w:line="254" w:lineRule="auto"/>
                          <w:jc w:val="center"/>
                          <w:rPr>
                            <w:color w:val="FFFFFF" w:themeColor="background1"/>
                            <w:sz w:val="20"/>
                            <w:szCs w:val="20"/>
                          </w:rPr>
                        </w:pPr>
                        <w:r w:rsidRPr="00B248C7">
                          <w:rPr>
                            <w:rFonts w:eastAsia="Calibri"/>
                            <w:color w:val="FFFFFF" w:themeColor="background1"/>
                            <w:sz w:val="20"/>
                            <w:szCs w:val="20"/>
                          </w:rPr>
                          <w:t>Activities and Outputs</w:t>
                        </w:r>
                      </w:p>
                    </w:txbxContent>
                  </v:textbox>
                </v:shape>
                <v:shape id="Text Box 4" o:spid="_x0000_s1040" type="#_x0000_t202" style="position:absolute;top:8272;width:4083;height:7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" fillcolor="#66726f [1614]" strokeweight=".5pt">
                  <v:textbox style="layout-flow:vertical;mso-layout-flow-alt:bottom-to-top">
                    <w:txbxContent>
                      <w:p w14:paraId="3319FCE2" w14:textId="77777777" w:rsidR="00525A2A" w:rsidRPr="00B248C7" w:rsidRDefault="00525A2A" w:rsidP="00E20799">
                        <w:pPr>
                          <w:spacing w:line="256" w:lineRule="auto"/>
                          <w:jc w:val="center"/>
                          <w:rPr>
                            <w:color w:val="FFFFFF" w:themeColor="background1"/>
                            <w:sz w:val="18"/>
                            <w:szCs w:val="18"/>
                          </w:rPr>
                        </w:pPr>
                        <w:r w:rsidRPr="00B248C7">
                          <w:rPr>
                            <w:rFonts w:eastAsia="Calibri"/>
                            <w:color w:val="FFFFFF" w:themeColor="background1"/>
                            <w:sz w:val="18"/>
                            <w:szCs w:val="18"/>
                          </w:rPr>
                          <w:t>EOPOs</w:t>
                        </w:r>
                      </w:p>
                    </w:txbxContent>
                  </v:textbox>
                </v:shape>
                <v:shape id="Text Box 4" o:spid="_x0000_s1041" type="#_x0000_t202" style="position:absolute;top:18502;width:4083;height:14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" fillcolor="#3da18f [2404]" strokecolor="#0070c0" strokeweight=".5pt">
                  <v:textbox style="layout-flow:vertical;mso-layout-flow-alt:bottom-to-top">
                    <w:txbxContent>
                      <w:p w14:paraId="3CD4A594" w14:textId="77777777" w:rsidR="00525A2A" w:rsidRPr="00B248C7" w:rsidRDefault="00525A2A" w:rsidP="00E20799">
                        <w:pPr>
                          <w:spacing w:after="0" w:line="240" w:lineRule="auto"/>
                          <w:jc w:val="center"/>
                          <w:rPr>
                            <w:color w:val="FFFFFF" w:themeColor="background1"/>
                            <w:sz w:val="20"/>
                            <w:szCs w:val="20"/>
                          </w:rPr>
                        </w:pPr>
                        <w:r w:rsidRPr="00B248C7">
                          <w:rPr>
                            <w:rFonts w:eastAsia="Calibri"/>
                            <w:color w:val="FFFFFF" w:themeColor="background1"/>
                            <w:sz w:val="20"/>
                            <w:szCs w:val="20"/>
                          </w:rPr>
                          <w:t>Intermediate Outcomes</w:t>
                        </w:r>
                      </w:p>
                    </w:txbxContent>
                  </v:textbox>
                </v:shape>
                <v:shape id="Text Box 4" o:spid="_x0000_s1042" type="#_x0000_t202" style="position:absolute;top:359;width:4083;height:6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" fillcolor="#007c89 [3209]" strokeweight=".5pt">
                  <v:textbox style="layout-flow:vertical;mso-layout-flow-alt:bottom-to-top">
                    <w:txbxContent>
                      <w:p w14:paraId="02866853" w14:textId="77777777" w:rsidR="00525A2A" w:rsidRPr="00B248C7" w:rsidRDefault="00525A2A" w:rsidP="00E20799">
                        <w:pPr>
                          <w:spacing w:after="160" w:line="254" w:lineRule="auto"/>
                          <w:jc w:val="center"/>
                          <w:rPr>
                            <w:color w:val="FFFFFF" w:themeColor="background1"/>
                            <w:sz w:val="18"/>
                            <w:szCs w:val="18"/>
                          </w:rPr>
                        </w:pPr>
                        <w:r w:rsidRPr="00B248C7">
                          <w:rPr>
                            <w:rFonts w:eastAsia="Calibri"/>
                            <w:color w:val="FFFFFF" w:themeColor="background1"/>
                            <w:sz w:val="18"/>
                            <w:szCs w:val="18"/>
                          </w:rPr>
                          <w:t>Goal</w:t>
                        </w:r>
                      </w:p>
                    </w:txbxContent>
                  </v:textbox>
                </v:shape>
                <v:rect id="Rectangle 91" o:spid="_x0000_s1043" style="position:absolute;left:9186;top:18502;width:13172;height:13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" fillcolor="#a2dcd1 [1940]" strokecolor="black [3200]" strokeweight="1pt">
                  <v:textbox>
                    <w:txbxContent>
                      <w:p w14:paraId="7DC825A6" w14:textId="73928110" w:rsidR="00525A2A" w:rsidRPr="009655B7" w:rsidRDefault="00525A2A" w:rsidP="00E20799">
                        <w:pPr>
                          <w:spacing w:before="0" w:after="0" w:line="240" w:lineRule="auto"/>
                          <w:jc w:val="center"/>
                          <w:rPr>
                            <w:sz w:val="18"/>
                            <w:szCs w:val="16"/>
                          </w:rPr>
                        </w:pPr>
                        <w:r w:rsidRPr="009655B7">
                          <w:rPr>
                            <w:sz w:val="18"/>
                            <w:szCs w:val="16"/>
                          </w:rPr>
                          <w:t xml:space="preserve">IA-CEPA commitments are </w:t>
                        </w:r>
                        <w:r>
                          <w:rPr>
                            <w:sz w:val="18"/>
                            <w:szCs w:val="16"/>
                          </w:rPr>
                          <w:t xml:space="preserve">efficiently and effectively </w:t>
                        </w:r>
                        <w:r w:rsidRPr="009655B7">
                          <w:rPr>
                            <w:sz w:val="18"/>
                            <w:szCs w:val="16"/>
                          </w:rPr>
                          <w:t>implemented and maximised</w:t>
                        </w:r>
                        <w:r>
                          <w:rPr>
                            <w:sz w:val="18"/>
                            <w:szCs w:val="16"/>
                          </w:rPr>
                          <w:t xml:space="preserve"> supported by regulatory frameworks. Strategic market access opportunities identified</w:t>
                        </w:r>
                      </w:p>
                    </w:txbxContent>
                  </v:textbox>
                </v:rect>
                <v:rect id="Rectangle 92" o:spid="_x0000_s1044" style="position:absolute;left:25327;top:18479;width:11278;height:13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" fillcolor="#a2dcd1 [1940]" strokecolor="black [3200]" strokeweight="1pt">
                  <v:textbox>
                    <w:txbxContent>
                      <w:p w14:paraId="37C0F82A" w14:textId="07F5C785" w:rsidR="00525A2A" w:rsidRPr="009655B7" w:rsidRDefault="00525A2A" w:rsidP="00E20799">
                        <w:pPr>
                          <w:suppressOverlap/>
                          <w:jc w:val="center"/>
                          <w:rPr>
                            <w:rFonts w:eastAsia="Times New Roman" w:cs="Segoe UI"/>
                            <w:sz w:val="18"/>
                            <w:szCs w:val="18"/>
                            <w:lang w:eastAsia="en-AU"/>
                          </w:rPr>
                        </w:pPr>
                        <w:r w:rsidRPr="009655B7">
                          <w:rPr>
                            <w:rFonts w:eastAsia="Times New Roman" w:cs="Times New Roman"/>
                            <w:sz w:val="18"/>
                            <w:szCs w:val="18"/>
                          </w:rPr>
                          <w:t>Engaged i</w:t>
                        </w:r>
                        <w:r w:rsidRPr="009655B7">
                          <w:rPr>
                            <w:rFonts w:eastAsia="Times New Roman" w:cs="Segoe UI"/>
                            <w:sz w:val="18"/>
                            <w:szCs w:val="18"/>
                            <w:lang w:eastAsia="en-AU"/>
                          </w:rPr>
                          <w:t>ndustry identifies</w:t>
                        </w:r>
                        <w:r>
                          <w:rPr>
                            <w:rFonts w:eastAsia="Times New Roman" w:cs="Segoe UI"/>
                            <w:sz w:val="18"/>
                            <w:szCs w:val="18"/>
                            <w:lang w:eastAsia="en-AU"/>
                          </w:rPr>
                          <w:t>,</w:t>
                        </w:r>
                        <w:r w:rsidRPr="009655B7">
                          <w:rPr>
                            <w:rFonts w:eastAsia="Times New Roman" w:cs="Segoe UI"/>
                            <w:sz w:val="18"/>
                            <w:szCs w:val="18"/>
                            <w:lang w:eastAsia="en-AU"/>
                          </w:rPr>
                          <w:t xml:space="preserve"> drives</w:t>
                        </w:r>
                        <w:r>
                          <w:rPr>
                            <w:rFonts w:eastAsia="Times New Roman" w:cs="Segoe UI"/>
                            <w:sz w:val="18"/>
                            <w:szCs w:val="18"/>
                            <w:lang w:eastAsia="en-AU"/>
                          </w:rPr>
                          <w:t xml:space="preserve"> and invests in</w:t>
                        </w:r>
                        <w:r w:rsidRPr="009655B7">
                          <w:rPr>
                            <w:rFonts w:eastAsia="Times New Roman" w:cs="Segoe UI"/>
                            <w:sz w:val="18"/>
                            <w:szCs w:val="18"/>
                            <w:lang w:eastAsia="en-AU"/>
                          </w:rPr>
                          <w:t xml:space="preserve"> opportunities for trade and investment</w:t>
                        </w:r>
                      </w:p>
                    </w:txbxContent>
                  </v:textbox>
                </v:rect>
                <v:rect id="Rectangle 93" o:spid="_x0000_s1045" style="position:absolute;left:53157;top:18450;width:11277;height:13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" fillcolor="#a2dcd1 [1940]" strokecolor="black [3200]" strokeweight="1pt">
                  <v:textbox>
                    <w:txbxContent>
                      <w:p w14:paraId="0C3246E0" w14:textId="2A133623" w:rsidR="00525A2A" w:rsidRPr="009655B7" w:rsidRDefault="00525A2A" w:rsidP="00E20799">
                        <w:pPr>
                          <w:jc w:val="center"/>
                          <w:rPr>
                            <w:sz w:val="20"/>
                            <w:szCs w:val="20"/>
                          </w:rPr>
                        </w:pPr>
                        <w:r w:rsidRPr="009655B7">
                          <w:rPr>
                            <w:rFonts w:eastAsia="Times New Roman" w:cs="Segoe UI"/>
                            <w:sz w:val="18"/>
                            <w:szCs w:val="18"/>
                            <w:lang w:eastAsia="en-AU"/>
                          </w:rPr>
                          <w:t xml:space="preserve">Enhanced </w:t>
                        </w:r>
                        <w:r>
                          <w:rPr>
                            <w:rFonts w:eastAsia="Times New Roman" w:cs="Segoe UI"/>
                            <w:sz w:val="18"/>
                            <w:szCs w:val="18"/>
                            <w:lang w:eastAsia="en-AU"/>
                          </w:rPr>
                          <w:t xml:space="preserve">and aligned </w:t>
                        </w:r>
                        <w:r w:rsidRPr="009655B7">
                          <w:rPr>
                            <w:rFonts w:eastAsia="Times New Roman" w:cs="Segoe UI"/>
                            <w:sz w:val="18"/>
                            <w:szCs w:val="18"/>
                            <w:lang w:eastAsia="en-AU"/>
                          </w:rPr>
                          <w:t xml:space="preserve">Standards </w:t>
                        </w:r>
                        <w:r>
                          <w:rPr>
                            <w:rFonts w:eastAsia="Times New Roman" w:cs="Segoe UI"/>
                            <w:sz w:val="18"/>
                            <w:szCs w:val="18"/>
                            <w:lang w:eastAsia="en-AU"/>
                          </w:rPr>
                          <w:t xml:space="preserve">and Conformance </w:t>
                        </w:r>
                        <w:r w:rsidRPr="009655B7">
                          <w:rPr>
                            <w:rFonts w:eastAsia="Times New Roman" w:cs="Segoe UI"/>
                            <w:sz w:val="18"/>
                            <w:szCs w:val="18"/>
                            <w:lang w:eastAsia="en-AU"/>
                          </w:rPr>
                          <w:t>Ecosystem</w:t>
                        </w:r>
                        <w:r>
                          <w:rPr>
                            <w:rFonts w:eastAsia="Times New Roman" w:cs="Segoe UI"/>
                            <w:sz w:val="18"/>
                            <w:szCs w:val="18"/>
                            <w:lang w:eastAsia="en-AU"/>
                          </w:rPr>
                          <w:t xml:space="preserve"> supporting more integrated markets </w:t>
                        </w:r>
                      </w:p>
                    </w:txbxContent>
                  </v:textbox>
                </v:rect>
                <v:rect id="Rectangle 94" o:spid="_x0000_s1046" style="position:absolute;left:40149;top:18451;width:10849;height:13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" fillcolor="#a2dcd1 [1940]" strokecolor="black [3200]" strokeweight="1pt">
                  <v:textbox>
                    <w:txbxContent>
                      <w:p w14:paraId="44ED6A5A" w14:textId="78A8123F" w:rsidR="00525A2A" w:rsidRPr="009655B7" w:rsidRDefault="00525A2A" w:rsidP="00E20799">
                        <w:pPr>
                          <w:jc w:val="center"/>
                          <w:rPr>
                            <w:rFonts w:eastAsia="Times New Roman" w:cs="Segoe UI"/>
                            <w:sz w:val="18"/>
                            <w:szCs w:val="18"/>
                            <w:lang w:eastAsia="en-AU"/>
                          </w:rPr>
                        </w:pPr>
                        <w:r w:rsidRPr="009655B7">
                          <w:rPr>
                            <w:rFonts w:eastAsia="Times New Roman" w:cs="Segoe UI"/>
                            <w:sz w:val="18"/>
                            <w:szCs w:val="18"/>
                            <w:lang w:eastAsia="en-AU"/>
                          </w:rPr>
                          <w:t xml:space="preserve">Indonesia-Australia </w:t>
                        </w:r>
                        <w:r>
                          <w:rPr>
                            <w:rFonts w:eastAsia="Times New Roman" w:cs="Segoe UI"/>
                            <w:sz w:val="18"/>
                            <w:szCs w:val="18"/>
                            <w:lang w:eastAsia="en-AU"/>
                          </w:rPr>
                          <w:t>economic p</w:t>
                        </w:r>
                        <w:r w:rsidRPr="009655B7">
                          <w:rPr>
                            <w:rFonts w:eastAsia="Times New Roman" w:cs="Segoe UI"/>
                            <w:sz w:val="18"/>
                            <w:szCs w:val="18"/>
                            <w:lang w:eastAsia="en-AU"/>
                          </w:rPr>
                          <w:t>artner</w:t>
                        </w:r>
                        <w:r>
                          <w:rPr>
                            <w:rFonts w:eastAsia="Times New Roman" w:cs="Segoe UI"/>
                            <w:sz w:val="18"/>
                            <w:szCs w:val="18"/>
                            <w:lang w:eastAsia="en-AU"/>
                          </w:rPr>
                          <w:t xml:space="preserve">ships are developed across </w:t>
                        </w:r>
                        <w:proofErr w:type="spellStart"/>
                        <w:r>
                          <w:rPr>
                            <w:rFonts w:eastAsia="Times New Roman" w:cs="Segoe UI"/>
                            <w:sz w:val="18"/>
                            <w:szCs w:val="18"/>
                            <w:lang w:eastAsia="en-AU"/>
                          </w:rPr>
                          <w:t>agrifood</w:t>
                        </w:r>
                        <w:proofErr w:type="spellEnd"/>
                        <w:r w:rsidRPr="009655B7">
                          <w:rPr>
                            <w:rFonts w:eastAsia="Times New Roman" w:cs="Segoe UI"/>
                            <w:sz w:val="18"/>
                            <w:szCs w:val="18"/>
                            <w:lang w:eastAsia="en-AU"/>
                          </w:rPr>
                          <w:t>, advanced manufacturing and services</w:t>
                        </w:r>
                      </w:p>
                    </w:txbxContent>
                  </v:textbox>
                </v:rect>
                <v:rect id="Rectangle 95" o:spid="_x0000_s1047" style="position:absolute;left:68364;top:18659;width:10902;height:13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" fillcolor="#a2dcd1 [1940]" strokecolor="black [3200]" strokeweight="1pt">
                  <v:textbox>
                    <w:txbxContent>
                      <w:p w14:paraId="56776495" w14:textId="40AF4515" w:rsidR="00525A2A" w:rsidRPr="009655B7" w:rsidRDefault="00525A2A" w:rsidP="00E20799">
                        <w:pPr>
                          <w:jc w:val="center"/>
                          <w:rPr>
                            <w:sz w:val="18"/>
                            <w:szCs w:val="16"/>
                          </w:rPr>
                        </w:pPr>
                        <w:r w:rsidRPr="009655B7">
                          <w:rPr>
                            <w:sz w:val="18"/>
                            <w:szCs w:val="16"/>
                          </w:rPr>
                          <w:t xml:space="preserve">Improved systems </w:t>
                        </w:r>
                        <w:r>
                          <w:rPr>
                            <w:sz w:val="18"/>
                            <w:szCs w:val="16"/>
                          </w:rPr>
                          <w:t xml:space="preserve">and inclusive policies </w:t>
                        </w:r>
                        <w:r w:rsidRPr="009655B7">
                          <w:rPr>
                            <w:sz w:val="18"/>
                            <w:szCs w:val="16"/>
                          </w:rPr>
                          <w:t>for developing</w:t>
                        </w:r>
                        <w:r>
                          <w:rPr>
                            <w:sz w:val="18"/>
                            <w:szCs w:val="16"/>
                          </w:rPr>
                          <w:t xml:space="preserve"> and identifying</w:t>
                        </w:r>
                        <w:r w:rsidRPr="009655B7">
                          <w:rPr>
                            <w:sz w:val="18"/>
                            <w:szCs w:val="16"/>
                          </w:rPr>
                          <w:t xml:space="preserve"> labour market skills</w:t>
                        </w:r>
                        <w:r>
                          <w:rPr>
                            <w:sz w:val="18"/>
                            <w:szCs w:val="16"/>
                          </w:rPr>
                          <w:t xml:space="preserve"> and requirements</w:t>
                        </w:r>
                      </w:p>
                    </w:txbxContent>
                  </v:textbox>
                </v:rect>
                <v:shapetype id="_x0000_t32" coordsize="21600,21600" o:spt="32" o:oned="t" path="m,l21600,21600e" filled="f">
                  <v:path arrowok="t" fillok="f" o:connecttype="none"/>
                  <o:lock v:ext="edit" shapetype="t"/>
                </v:shapetype>
                <v:shape id="Straight Arrow Connector 96" o:spid="_x0000_s1048" type="#_x0000_t32" style="position:absolute;left:43185;top:5884;width:313;height:284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" strokecolor="#65c5b4 [3204]" strokeweight="1pt">
                  <v:stroke endarrow="block" joinstyle="miter"/>
                </v:shape>
                <v:rect id="Rectangle 97" o:spid="_x0000_s1049" style="position:absolute;left:8226;top:34699;width:14651;height:189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" fillcolor="#fffbd6 [1303]" strokecolor="black [3200]" strokeweight="1pt">
                  <v:textbox>
                    <w:txbxContent>
                      <w:p w14:paraId="53922044" w14:textId="77777777" w:rsidR="00525A2A" w:rsidRPr="007A734F" w:rsidRDefault="00525A2A" w:rsidP="009D3124">
                        <w:pPr>
                          <w:pStyle w:val="ListParagraph"/>
                          <w:numPr>
                            <w:ilvl w:val="0"/>
                            <w:numId w:val="27"/>
                          </w:numPr>
                          <w:spacing w:before="0" w:after="0" w:line="240" w:lineRule="auto"/>
                          <w:ind w:left="142" w:hanging="142"/>
                          <w:rPr>
                            <w:rFonts w:eastAsia="Times New Roman" w:cs="Times New Roman"/>
                            <w:iCs/>
                            <w:sz w:val="18"/>
                            <w:szCs w:val="20"/>
                          </w:rPr>
                        </w:pPr>
                        <w:r w:rsidRPr="007A734F">
                          <w:rPr>
                            <w:rFonts w:eastAsia="Times New Roman" w:cs="Times New Roman"/>
                            <w:iCs/>
                            <w:sz w:val="18"/>
                            <w:szCs w:val="20"/>
                          </w:rPr>
                          <w:t>Support legal and regulatory implementation of commitments</w:t>
                        </w:r>
                      </w:p>
                      <w:p w14:paraId="27ECB2F0" w14:textId="71E2C59E" w:rsidR="00525A2A" w:rsidRDefault="00525A2A" w:rsidP="009D3124">
                        <w:pPr>
                          <w:pStyle w:val="ListParagraph"/>
                          <w:numPr>
                            <w:ilvl w:val="0"/>
                            <w:numId w:val="27"/>
                          </w:numPr>
                          <w:spacing w:before="0" w:after="0" w:line="240" w:lineRule="auto"/>
                          <w:ind w:left="142" w:hanging="142"/>
                          <w:rPr>
                            <w:rFonts w:eastAsia="Times New Roman" w:cs="Times New Roman"/>
                            <w:iCs/>
                            <w:sz w:val="18"/>
                            <w:szCs w:val="20"/>
                          </w:rPr>
                        </w:pPr>
                        <w:r w:rsidRPr="004C0F35">
                          <w:rPr>
                            <w:rFonts w:eastAsia="Times New Roman" w:cs="Times New Roman"/>
                            <w:iCs/>
                            <w:sz w:val="18"/>
                            <w:szCs w:val="20"/>
                          </w:rPr>
                          <w:t>Socialise the value</w:t>
                        </w:r>
                        <w:r>
                          <w:rPr>
                            <w:rFonts w:eastAsia="Times New Roman" w:cs="Times New Roman"/>
                            <w:iCs/>
                            <w:sz w:val="18"/>
                            <w:szCs w:val="20"/>
                          </w:rPr>
                          <w:t xml:space="preserve"> of open trade and investment</w:t>
                        </w:r>
                      </w:p>
                      <w:p w14:paraId="23C42DAB" w14:textId="6AE885F3" w:rsidR="00525A2A" w:rsidRDefault="00525A2A" w:rsidP="009D3124">
                        <w:pPr>
                          <w:pStyle w:val="ListParagraph"/>
                          <w:numPr>
                            <w:ilvl w:val="0"/>
                            <w:numId w:val="27"/>
                          </w:numPr>
                          <w:spacing w:before="0" w:after="0" w:line="240" w:lineRule="auto"/>
                          <w:ind w:left="142" w:hanging="142"/>
                          <w:rPr>
                            <w:rFonts w:eastAsia="Times New Roman" w:cs="Times New Roman"/>
                            <w:iCs/>
                            <w:sz w:val="18"/>
                            <w:szCs w:val="20"/>
                          </w:rPr>
                        </w:pPr>
                        <w:r>
                          <w:rPr>
                            <w:rFonts w:eastAsia="Times New Roman" w:cs="Times New Roman"/>
                            <w:iCs/>
                            <w:sz w:val="18"/>
                            <w:szCs w:val="20"/>
                          </w:rPr>
                          <w:t>Opportunity assessments</w:t>
                        </w:r>
                      </w:p>
                      <w:p w14:paraId="3E9959AF" w14:textId="77777777" w:rsidR="00525A2A" w:rsidRDefault="00525A2A" w:rsidP="009D3124">
                        <w:pPr>
                          <w:pStyle w:val="ListParagraph"/>
                          <w:numPr>
                            <w:ilvl w:val="0"/>
                            <w:numId w:val="27"/>
                          </w:numPr>
                          <w:spacing w:before="0" w:after="0" w:line="240" w:lineRule="auto"/>
                          <w:ind w:left="142" w:hanging="142"/>
                          <w:rPr>
                            <w:rFonts w:eastAsia="Times New Roman" w:cs="Times New Roman"/>
                            <w:iCs/>
                            <w:sz w:val="18"/>
                            <w:szCs w:val="20"/>
                          </w:rPr>
                        </w:pPr>
                        <w:r w:rsidRPr="004C0F35">
                          <w:rPr>
                            <w:rFonts w:eastAsia="Times New Roman" w:cs="Times New Roman"/>
                            <w:iCs/>
                            <w:sz w:val="18"/>
                            <w:szCs w:val="20"/>
                          </w:rPr>
                          <w:t xml:space="preserve">Evaluating the impact of </w:t>
                        </w:r>
                        <w:r>
                          <w:rPr>
                            <w:rFonts w:eastAsia="Times New Roman" w:cs="Times New Roman"/>
                            <w:iCs/>
                            <w:sz w:val="18"/>
                            <w:szCs w:val="20"/>
                          </w:rPr>
                          <w:t>IA-CEPA</w:t>
                        </w:r>
                      </w:p>
                      <w:p w14:paraId="71DEE3CE" w14:textId="62D0EC67" w:rsidR="00525A2A" w:rsidRPr="007C4ABD" w:rsidRDefault="00525A2A" w:rsidP="007C4ABD">
                        <w:pPr>
                          <w:pStyle w:val="ListParagraph"/>
                          <w:numPr>
                            <w:ilvl w:val="0"/>
                            <w:numId w:val="27"/>
                          </w:numPr>
                          <w:spacing w:before="0" w:after="0" w:line="240" w:lineRule="auto"/>
                          <w:ind w:left="142" w:hanging="142"/>
                          <w:rPr>
                            <w:rFonts w:eastAsia="Times New Roman" w:cs="Times New Roman"/>
                            <w:iCs/>
                            <w:sz w:val="18"/>
                            <w:szCs w:val="20"/>
                          </w:rPr>
                        </w:pPr>
                        <w:r>
                          <w:rPr>
                            <w:rFonts w:eastAsia="Times New Roman" w:cs="Times New Roman"/>
                            <w:iCs/>
                            <w:sz w:val="18"/>
                            <w:szCs w:val="20"/>
                          </w:rPr>
                          <w:t>Knowledge exchange programs</w:t>
                        </w:r>
                      </w:p>
                    </w:txbxContent>
                  </v:textbox>
                </v:rect>
                <v:rect id="Rectangle 98" o:spid="_x0000_s1050" style="position:absolute;left:24097;top:34566;width:14050;height:191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" fillcolor="#fffbd6 [1303]" strokecolor="black [3200]" strokeweight="1pt">
                  <v:textbox>
                    <w:txbxContent>
                      <w:p w14:paraId="0248CC44" w14:textId="35CF7A7B" w:rsidR="00525A2A" w:rsidRDefault="00525A2A" w:rsidP="009D3124">
                        <w:pPr>
                          <w:pStyle w:val="ListParagraph"/>
                          <w:numPr>
                            <w:ilvl w:val="0"/>
                            <w:numId w:val="27"/>
                          </w:numPr>
                          <w:spacing w:before="0" w:after="0" w:line="240" w:lineRule="auto"/>
                          <w:ind w:left="142" w:hanging="142"/>
                          <w:rPr>
                            <w:rFonts w:eastAsia="Times New Roman" w:cs="Times New Roman"/>
                            <w:iCs/>
                            <w:sz w:val="18"/>
                            <w:szCs w:val="20"/>
                          </w:rPr>
                        </w:pPr>
                        <w:r>
                          <w:rPr>
                            <w:rFonts w:eastAsia="Times New Roman" w:cs="Times New Roman"/>
                            <w:iCs/>
                            <w:sz w:val="18"/>
                            <w:szCs w:val="20"/>
                          </w:rPr>
                          <w:t xml:space="preserve">Identify opportunities for strengthening linkages between digital firms and </w:t>
                        </w:r>
                        <w:r w:rsidRPr="004C0F35">
                          <w:rPr>
                            <w:rFonts w:eastAsia="Times New Roman" w:cs="Times New Roman"/>
                            <w:iCs/>
                            <w:sz w:val="18"/>
                            <w:szCs w:val="20"/>
                          </w:rPr>
                          <w:t>capital market</w:t>
                        </w:r>
                        <w:r>
                          <w:rPr>
                            <w:rFonts w:eastAsia="Times New Roman" w:cs="Times New Roman"/>
                            <w:iCs/>
                            <w:sz w:val="18"/>
                            <w:szCs w:val="20"/>
                          </w:rPr>
                          <w:t>s</w:t>
                        </w:r>
                        <w:r w:rsidRPr="004C0F35">
                          <w:rPr>
                            <w:rFonts w:eastAsia="Times New Roman" w:cs="Times New Roman"/>
                            <w:iCs/>
                            <w:sz w:val="18"/>
                            <w:szCs w:val="20"/>
                          </w:rPr>
                          <w:t xml:space="preserve"> </w:t>
                        </w:r>
                      </w:p>
                      <w:p w14:paraId="13CBB146" w14:textId="5F611E5F" w:rsidR="00525A2A" w:rsidRDefault="00525A2A" w:rsidP="009D3124">
                        <w:pPr>
                          <w:pStyle w:val="ListParagraph"/>
                          <w:numPr>
                            <w:ilvl w:val="0"/>
                            <w:numId w:val="27"/>
                          </w:numPr>
                          <w:spacing w:before="0" w:after="0" w:line="240" w:lineRule="auto"/>
                          <w:ind w:left="142" w:hanging="142"/>
                          <w:rPr>
                            <w:rFonts w:eastAsia="Times New Roman" w:cs="Times New Roman"/>
                            <w:iCs/>
                            <w:sz w:val="18"/>
                            <w:szCs w:val="20"/>
                          </w:rPr>
                        </w:pPr>
                        <w:r>
                          <w:rPr>
                            <w:rFonts w:eastAsia="Times New Roman" w:cs="Times New Roman"/>
                            <w:iCs/>
                            <w:sz w:val="18"/>
                            <w:szCs w:val="20"/>
                          </w:rPr>
                          <w:t>Research into ‘powerhouse’ sectors</w:t>
                        </w:r>
                      </w:p>
                      <w:p w14:paraId="2BD71DD8" w14:textId="69E686B8" w:rsidR="00525A2A" w:rsidRPr="00412290" w:rsidRDefault="00525A2A" w:rsidP="009D3124">
                        <w:pPr>
                          <w:pStyle w:val="ListParagraph"/>
                          <w:numPr>
                            <w:ilvl w:val="0"/>
                            <w:numId w:val="27"/>
                          </w:numPr>
                          <w:spacing w:before="0" w:after="0" w:line="240" w:lineRule="auto"/>
                          <w:ind w:left="142" w:hanging="142"/>
                          <w:rPr>
                            <w:rFonts w:eastAsia="Times New Roman" w:cs="Times New Roman"/>
                            <w:iCs/>
                            <w:sz w:val="18"/>
                            <w:szCs w:val="20"/>
                          </w:rPr>
                        </w:pPr>
                        <w:r>
                          <w:rPr>
                            <w:rFonts w:eastAsia="Times New Roman" w:cs="Times New Roman"/>
                            <w:iCs/>
                            <w:sz w:val="18"/>
                            <w:szCs w:val="20"/>
                          </w:rPr>
                          <w:t>Research into trade and investment opportunities</w:t>
                        </w:r>
                      </w:p>
                    </w:txbxContent>
                  </v:textbox>
                </v:rect>
                <v:rect id="Rectangle 99" o:spid="_x0000_s1051" style="position:absolute;left:53538;top:34434;width:13333;height:19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" fillcolor="#fffbd6 [1303]" strokecolor="black [3200]" strokeweight="1pt">
                  <v:textbox>
                    <w:txbxContent>
                      <w:p w14:paraId="5E4BC1FB" w14:textId="6C087FF9" w:rsidR="00525A2A" w:rsidRPr="004C0F35" w:rsidRDefault="00525A2A" w:rsidP="009D3124">
                        <w:pPr>
                          <w:pStyle w:val="ListParagraph"/>
                          <w:numPr>
                            <w:ilvl w:val="0"/>
                            <w:numId w:val="27"/>
                          </w:numPr>
                          <w:spacing w:before="0" w:after="0" w:line="240" w:lineRule="auto"/>
                          <w:ind w:left="142" w:hanging="142"/>
                          <w:suppressOverlap/>
                          <w:rPr>
                            <w:rFonts w:eastAsia="Times New Roman" w:cs="Times New Roman"/>
                            <w:iCs/>
                            <w:sz w:val="18"/>
                            <w:szCs w:val="20"/>
                          </w:rPr>
                        </w:pPr>
                        <w:r w:rsidRPr="004C0F35">
                          <w:rPr>
                            <w:rFonts w:eastAsia="Times New Roman" w:cs="Times New Roman"/>
                            <w:iCs/>
                            <w:sz w:val="18"/>
                            <w:szCs w:val="20"/>
                          </w:rPr>
                          <w:t xml:space="preserve">Enhance Indonesia's standards ecosystem </w:t>
                        </w:r>
                      </w:p>
                      <w:p w14:paraId="1B5DB07F" w14:textId="77777777" w:rsidR="00525A2A" w:rsidRPr="00182069" w:rsidRDefault="00525A2A" w:rsidP="009D3124">
                        <w:pPr>
                          <w:pStyle w:val="ListParagraph"/>
                          <w:numPr>
                            <w:ilvl w:val="0"/>
                            <w:numId w:val="27"/>
                          </w:numPr>
                          <w:spacing w:before="0" w:after="0" w:line="240" w:lineRule="auto"/>
                          <w:ind w:left="142" w:hanging="142"/>
                          <w:rPr>
                            <w:rFonts w:eastAsia="Times New Roman" w:cs="Times New Roman"/>
                            <w:iCs/>
                            <w:sz w:val="18"/>
                            <w:szCs w:val="20"/>
                          </w:rPr>
                        </w:pPr>
                        <w:r>
                          <w:rPr>
                            <w:rFonts w:eastAsia="Times New Roman" w:cs="Times New Roman"/>
                            <w:iCs/>
                            <w:sz w:val="18"/>
                            <w:szCs w:val="20"/>
                          </w:rPr>
                          <w:t>Align</w:t>
                        </w:r>
                        <w:r w:rsidRPr="004C0F35">
                          <w:rPr>
                            <w:rFonts w:eastAsia="Times New Roman" w:cs="Times New Roman"/>
                            <w:iCs/>
                            <w:sz w:val="18"/>
                            <w:szCs w:val="20"/>
                          </w:rPr>
                          <w:t xml:space="preserve"> services sector standards where opportunities exist for </w:t>
                        </w:r>
                        <w:r>
                          <w:rPr>
                            <w:rFonts w:eastAsia="Times New Roman" w:cs="Times New Roman"/>
                            <w:iCs/>
                            <w:sz w:val="18"/>
                            <w:szCs w:val="20"/>
                          </w:rPr>
                          <w:t xml:space="preserve">improving </w:t>
                        </w:r>
                        <w:r w:rsidRPr="004C0F35">
                          <w:rPr>
                            <w:rFonts w:eastAsia="Times New Roman" w:cs="Times New Roman"/>
                            <w:iCs/>
                            <w:sz w:val="18"/>
                            <w:szCs w:val="20"/>
                          </w:rPr>
                          <w:t xml:space="preserve">trade and investment </w:t>
                        </w:r>
                      </w:p>
                    </w:txbxContent>
                  </v:textbox>
                </v:rect>
                <v:rect id="Rectangle 100" o:spid="_x0000_s1052" style="position:absolute;left:39194;top:34696;width:13193;height:19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" fillcolor="#fffbd6 [1303]" strokecolor="black [3200]" strokeweight="1pt">
                  <v:textbox>
                    <w:txbxContent>
                      <w:p w14:paraId="2795620A" w14:textId="3127FA1C" w:rsidR="00525A2A" w:rsidRPr="009655B7" w:rsidRDefault="00525A2A" w:rsidP="009D3124">
                        <w:pPr>
                          <w:pStyle w:val="ListParagraph"/>
                          <w:numPr>
                            <w:ilvl w:val="0"/>
                            <w:numId w:val="27"/>
                          </w:numPr>
                          <w:spacing w:before="0" w:after="0" w:line="240" w:lineRule="auto"/>
                          <w:ind w:left="142" w:hanging="142"/>
                          <w:rPr>
                            <w:rFonts w:eastAsia="Times New Roman" w:cs="Times New Roman"/>
                            <w:iCs/>
                            <w:sz w:val="18"/>
                            <w:szCs w:val="20"/>
                          </w:rPr>
                        </w:pPr>
                        <w:r w:rsidRPr="004C0F35">
                          <w:rPr>
                            <w:rFonts w:eastAsia="Times New Roman" w:cs="Times New Roman"/>
                            <w:iCs/>
                            <w:sz w:val="18"/>
                            <w:szCs w:val="20"/>
                          </w:rPr>
                          <w:t xml:space="preserve">Establish </w:t>
                        </w:r>
                        <w:r>
                          <w:rPr>
                            <w:rFonts w:eastAsia="Times New Roman" w:cs="Times New Roman"/>
                            <w:iCs/>
                            <w:sz w:val="18"/>
                            <w:szCs w:val="20"/>
                          </w:rPr>
                          <w:t>and support</w:t>
                        </w:r>
                        <w:r w:rsidRPr="004C0F35">
                          <w:rPr>
                            <w:rFonts w:eastAsia="Times New Roman" w:cs="Times New Roman"/>
                            <w:iCs/>
                            <w:sz w:val="18"/>
                            <w:szCs w:val="20"/>
                          </w:rPr>
                          <w:t xml:space="preserve"> Partnership</w:t>
                        </w:r>
                        <w:r>
                          <w:rPr>
                            <w:rFonts w:eastAsia="Times New Roman" w:cs="Times New Roman"/>
                            <w:iCs/>
                            <w:sz w:val="18"/>
                            <w:szCs w:val="20"/>
                          </w:rPr>
                          <w:t>s</w:t>
                        </w:r>
                        <w:r w:rsidRPr="004C0F35">
                          <w:rPr>
                            <w:rFonts w:eastAsia="Times New Roman" w:cs="Times New Roman"/>
                            <w:iCs/>
                            <w:sz w:val="18"/>
                            <w:szCs w:val="20"/>
                          </w:rPr>
                          <w:t xml:space="preserve"> between Australian and Indonesian</w:t>
                        </w:r>
                        <w:r>
                          <w:rPr>
                            <w:rFonts w:eastAsia="Times New Roman" w:cs="Times New Roman"/>
                            <w:iCs/>
                            <w:sz w:val="18"/>
                            <w:szCs w:val="20"/>
                          </w:rPr>
                          <w:t xml:space="preserve"> industries</w:t>
                        </w:r>
                      </w:p>
                      <w:p w14:paraId="28DEDCD8" w14:textId="77777777" w:rsidR="00525A2A" w:rsidRDefault="00525A2A" w:rsidP="009D3124">
                        <w:pPr>
                          <w:pStyle w:val="ListParagraph"/>
                          <w:numPr>
                            <w:ilvl w:val="0"/>
                            <w:numId w:val="27"/>
                          </w:numPr>
                          <w:spacing w:before="0" w:after="0" w:line="240" w:lineRule="auto"/>
                          <w:ind w:left="142" w:hanging="142"/>
                          <w:rPr>
                            <w:rFonts w:eastAsia="Times New Roman" w:cs="Times New Roman"/>
                            <w:iCs/>
                            <w:sz w:val="18"/>
                            <w:szCs w:val="20"/>
                          </w:rPr>
                        </w:pPr>
                        <w:r>
                          <w:rPr>
                            <w:rFonts w:eastAsia="Times New Roman" w:cs="Times New Roman"/>
                            <w:iCs/>
                            <w:sz w:val="18"/>
                            <w:szCs w:val="20"/>
                          </w:rPr>
                          <w:t>Deliver targeted research and training programs</w:t>
                        </w:r>
                      </w:p>
                      <w:p w14:paraId="08CB21B0" w14:textId="77777777" w:rsidR="00525A2A" w:rsidRDefault="00525A2A" w:rsidP="009D3124">
                        <w:pPr>
                          <w:pStyle w:val="ListParagraph"/>
                          <w:numPr>
                            <w:ilvl w:val="0"/>
                            <w:numId w:val="27"/>
                          </w:numPr>
                          <w:spacing w:before="0" w:after="0" w:line="240" w:lineRule="auto"/>
                          <w:ind w:left="142" w:hanging="142"/>
                          <w:rPr>
                            <w:rFonts w:eastAsia="Times New Roman" w:cs="Times New Roman"/>
                            <w:iCs/>
                            <w:sz w:val="18"/>
                            <w:szCs w:val="20"/>
                          </w:rPr>
                        </w:pPr>
                        <w:r>
                          <w:rPr>
                            <w:rFonts w:eastAsia="Times New Roman" w:cs="Times New Roman"/>
                            <w:iCs/>
                            <w:sz w:val="18"/>
                            <w:szCs w:val="20"/>
                          </w:rPr>
                          <w:t>Support government to government forecasting research</w:t>
                        </w:r>
                      </w:p>
                      <w:p w14:paraId="73D820E5" w14:textId="77777777" w:rsidR="00525A2A" w:rsidRPr="0033514F" w:rsidRDefault="00525A2A" w:rsidP="009D3124">
                        <w:pPr>
                          <w:pStyle w:val="ListParagraph"/>
                          <w:numPr>
                            <w:ilvl w:val="0"/>
                            <w:numId w:val="27"/>
                          </w:numPr>
                          <w:spacing w:before="0" w:after="0" w:line="240" w:lineRule="auto"/>
                          <w:ind w:left="142" w:hanging="142"/>
                          <w:rPr>
                            <w:rFonts w:eastAsia="Times New Roman" w:cs="Times New Roman"/>
                            <w:iCs/>
                            <w:sz w:val="18"/>
                            <w:szCs w:val="20"/>
                          </w:rPr>
                        </w:pPr>
                        <w:r>
                          <w:rPr>
                            <w:rFonts w:eastAsia="Times New Roman" w:cs="Times New Roman"/>
                            <w:iCs/>
                            <w:sz w:val="18"/>
                            <w:szCs w:val="20"/>
                          </w:rPr>
                          <w:t>Establish platforms for partnership dialogue</w:t>
                        </w:r>
                      </w:p>
                      <w:p w14:paraId="4572E7BA" w14:textId="77777777" w:rsidR="00525A2A" w:rsidRPr="00D9738F" w:rsidRDefault="00525A2A" w:rsidP="00E20799">
                        <w:pPr>
                          <w:spacing w:before="0" w:after="0" w:line="240" w:lineRule="auto"/>
                          <w:rPr>
                            <w:rFonts w:eastAsia="Calibri"/>
                            <w:sz w:val="18"/>
                            <w:szCs w:val="20"/>
                          </w:rPr>
                        </w:pPr>
                      </w:p>
                    </w:txbxContent>
                  </v:textbox>
                </v:rect>
                <v:shape id="Straight Arrow Connector 101" o:spid="_x0000_s1053" type="#_x0000_t32" style="position:absolute;left:14859;top:31432;width:1238;height:313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" strokecolor="#65c5b4 [3204]" strokeweight=".5pt">
                  <v:stroke endarrow="block" joinstyle="miter"/>
                </v:shape>
                <v:shape id="Straight Arrow Connector 102" o:spid="_x0000_s1054" type="#_x0000_t32" style="position:absolute;left:73767;top:31795;width:78;height:263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" strokecolor="#65c5b4 [3204]" strokeweight=".5pt">
                  <v:stroke endarrow="block" joinstyle="miter"/>
                </v:shape>
                <v:rect id="Rectangle 103" o:spid="_x0000_s1055" style="position:absolute;left:68364;top:34610;width:13836;height:192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" fillcolor="#fffbd6 [1303]" strokecolor="black [3200]" strokeweight="1pt">
                  <v:textbox>
                    <w:txbxContent>
                      <w:p w14:paraId="3B310A05" w14:textId="77777777" w:rsidR="00525A2A" w:rsidRPr="004C0F35" w:rsidRDefault="00525A2A" w:rsidP="009D3124">
                        <w:pPr>
                          <w:pStyle w:val="ListParagraph"/>
                          <w:numPr>
                            <w:ilvl w:val="0"/>
                            <w:numId w:val="27"/>
                          </w:numPr>
                          <w:spacing w:before="0" w:after="0" w:line="240" w:lineRule="auto"/>
                          <w:ind w:left="142" w:hanging="142"/>
                          <w:suppressOverlap/>
                          <w:rPr>
                            <w:rFonts w:eastAsia="Times New Roman" w:cs="Times New Roman"/>
                            <w:iCs/>
                            <w:sz w:val="18"/>
                            <w:szCs w:val="20"/>
                          </w:rPr>
                        </w:pPr>
                        <w:r w:rsidRPr="009655B7">
                          <w:rPr>
                            <w:rFonts w:eastAsia="Times New Roman" w:cs="Times New Roman"/>
                            <w:iCs/>
                            <w:sz w:val="18"/>
                            <w:szCs w:val="20"/>
                          </w:rPr>
                          <w:t>Facilitate Australian TVET providers partnering with Indonesian institutions</w:t>
                        </w:r>
                      </w:p>
                      <w:p w14:paraId="635A4432" w14:textId="77777777" w:rsidR="00525A2A" w:rsidRDefault="00525A2A" w:rsidP="009D3124">
                        <w:pPr>
                          <w:pStyle w:val="ListParagraph"/>
                          <w:numPr>
                            <w:ilvl w:val="0"/>
                            <w:numId w:val="27"/>
                          </w:numPr>
                          <w:spacing w:before="0" w:after="0" w:line="240" w:lineRule="auto"/>
                          <w:ind w:left="142" w:hanging="142"/>
                          <w:rPr>
                            <w:rFonts w:eastAsia="Times New Roman" w:cs="Times New Roman"/>
                            <w:iCs/>
                            <w:sz w:val="18"/>
                            <w:szCs w:val="20"/>
                          </w:rPr>
                        </w:pPr>
                        <w:r>
                          <w:rPr>
                            <w:rFonts w:eastAsia="Times New Roman" w:cs="Times New Roman"/>
                            <w:iCs/>
                            <w:sz w:val="18"/>
                            <w:szCs w:val="20"/>
                          </w:rPr>
                          <w:t>Trial and d</w:t>
                        </w:r>
                        <w:r w:rsidRPr="004C0F35">
                          <w:rPr>
                            <w:rFonts w:eastAsia="Times New Roman" w:cs="Times New Roman"/>
                            <w:iCs/>
                            <w:sz w:val="18"/>
                            <w:szCs w:val="20"/>
                          </w:rPr>
                          <w:t xml:space="preserve">eliver </w:t>
                        </w:r>
                        <w:r>
                          <w:rPr>
                            <w:rFonts w:eastAsia="Times New Roman" w:cs="Times New Roman"/>
                            <w:iCs/>
                            <w:sz w:val="18"/>
                            <w:szCs w:val="20"/>
                          </w:rPr>
                          <w:t>innovative</w:t>
                        </w:r>
                        <w:r w:rsidRPr="004C0F35">
                          <w:rPr>
                            <w:rFonts w:eastAsia="Times New Roman" w:cs="Times New Roman"/>
                            <w:iCs/>
                            <w:sz w:val="18"/>
                            <w:szCs w:val="20"/>
                          </w:rPr>
                          <w:t xml:space="preserve"> education models</w:t>
                        </w:r>
                      </w:p>
                      <w:p w14:paraId="18F71EF6" w14:textId="77777777" w:rsidR="00525A2A" w:rsidRPr="009655B7" w:rsidRDefault="00525A2A" w:rsidP="009D3124">
                        <w:pPr>
                          <w:pStyle w:val="ListParagraph"/>
                          <w:numPr>
                            <w:ilvl w:val="0"/>
                            <w:numId w:val="27"/>
                          </w:numPr>
                          <w:spacing w:before="0" w:after="0" w:line="240" w:lineRule="auto"/>
                          <w:ind w:left="142" w:hanging="142"/>
                          <w:rPr>
                            <w:rFonts w:eastAsia="Times New Roman" w:cs="Times New Roman"/>
                            <w:iCs/>
                            <w:sz w:val="18"/>
                            <w:szCs w:val="20"/>
                          </w:rPr>
                        </w:pPr>
                        <w:r w:rsidRPr="004C0F35">
                          <w:rPr>
                            <w:rFonts w:eastAsia="Times New Roman" w:cs="Times New Roman"/>
                            <w:iCs/>
                            <w:sz w:val="18"/>
                            <w:szCs w:val="20"/>
                          </w:rPr>
                          <w:t>Contribute to structural reform of the Indonesian TVET sector</w:t>
                        </w:r>
                      </w:p>
                    </w:txbxContent>
                  </v:textbox>
                </v:rect>
                <v:rect id="Rectangle 104" o:spid="_x0000_s1056" style="position:absolute;left:9895;top:8772;width:16822;height:70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" fillcolor="#c0c7c5 [2894]" strokecolor="black [3200]" strokeweight="1pt">
                  <v:textbox>
                    <w:txbxContent>
                      <w:p w14:paraId="48FF5CFF" w14:textId="72FF64B0" w:rsidR="00525A2A" w:rsidRPr="007C4ABD" w:rsidRDefault="00525A2A" w:rsidP="00E20799">
                        <w:pPr>
                          <w:jc w:val="center"/>
                        </w:pPr>
                        <w:r w:rsidRPr="007C4ABD">
                          <w:rPr>
                            <w:rFonts w:eastAsia="Calibri"/>
                            <w:sz w:val="18"/>
                            <w:szCs w:val="18"/>
                          </w:rPr>
                          <w:t>Greater market access for Indonesian and Australian Businesses by 2025</w:t>
                        </w:r>
                      </w:p>
                    </w:txbxContent>
                  </v:textbox>
                </v:rect>
                <v:shape id="Straight Arrow Connector 105" o:spid="_x0000_s1057" type="#_x0000_t32" style="position:absolute;left:16591;top:15864;width:1715;height:26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" strokecolor="#65c5b4 [3204]" strokeweight=".5pt">
                  <v:stroke endarrow="block" joinstyle="miter"/>
                </v:shape>
                <v:shape id="Straight Arrow Connector 106" o:spid="_x0000_s1058" type="#_x0000_t32" style="position:absolute;left:26717;top:12281;width:6741;height: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" strokecolor="#65c5b4 [3204]" strokeweight=".5pt">
                  <v:stroke endarrow="block" joinstyle="miter"/>
                </v:shape>
                <v:shape id="Straight Arrow Connector 107" o:spid="_x0000_s1059" type="#_x0000_t32" style="position:absolute;left:53538;top:12280;width:732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" strokecolor="#65c5b4 [3204]" strokeweight=".5pt">
                  <v:stroke endarrow="block" joinstyle="miter"/>
                </v:shape>
                <v:shape id="Straight Arrow Connector 108" o:spid="_x0000_s1060" type="#_x0000_t32" style="position:absolute;left:30966;top:15827;width:12532;height:265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" strokecolor="#65c5b4 [3204]" strokeweight=".5pt">
                  <v:stroke endarrow="block" joinstyle="miter"/>
                </v:shape>
                <v:shape id="Straight Arrow Connector 109" o:spid="_x0000_s1061" type="#_x0000_t32" style="position:absolute;left:43498;top:15827;width:2364;height:236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" strokecolor="#65c5b4 [3204]" strokeweight=".5pt">
                  <v:stroke endarrow="block" joinstyle="miter"/>
                </v:shape>
                <v:shape id="Straight Arrow Connector 110" o:spid="_x0000_s1062" type="#_x0000_t32" style="position:absolute;left:43498;top:15828;width:15298;height:262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" strokecolor="#65c5b4 [3204]" strokeweight=".5pt">
                  <v:stroke endarrow="block" joinstyle="miter"/>
                </v:shape>
                <v:shape id="Straight Arrow Connector 111" o:spid="_x0000_s1063" type="#_x0000_t32" style="position:absolute;left:71741;top:15826;width:2074;height:283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" strokecolor="#65c5b4 [3204]" strokeweight=".5pt">
                  <v:stroke endarrow="block" joinstyle="miter"/>
                </v:shape>
                <v:shape id="Straight Arrow Connector 112" o:spid="_x0000_s1064" type="#_x0000_t32" style="position:absolute;left:30812;top:32210;width:1505;height:23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" strokecolor="#65c5b4 [3204]" strokeweight=".5pt">
                  <v:stroke endarrow="block" joinstyle="miter"/>
                </v:shape>
                <v:shape id="Straight Arrow Connector 113" o:spid="_x0000_s1065" type="#_x0000_t32" style="position:absolute;left:45574;top:32212;width:217;height:24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" strokecolor="#65c5b4 [3204]" strokeweight=".5pt">
                  <v:stroke endarrow="block" joinstyle="miter"/>
                </v:shape>
                <v:shape id="Straight Arrow Connector 114" o:spid="_x0000_s1066" type="#_x0000_t32" style="position:absolute;left:58796;top:32210;width:1450;height:235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" strokecolor="#65c5b4 [3204]" strokeweight=".5pt">
                  <v:stroke endarrow="block" joinstyle="miter"/>
                </v:shape>
                <v:shape id="Straight Arrow Connector 115" o:spid="_x0000_s1067" type="#_x0000_t32" style="position:absolute;left:18306;top:3122;width:7973;height:56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" strokecolor="#65c5b4 [3204]" strokeweight=".5pt">
                  <v:stroke endarrow="block" joinstyle="miter"/>
                </v:shape>
                <v:shape id="Straight Arrow Connector 116" o:spid="_x0000_s1068" type="#_x0000_t32" style="position:absolute;left:59595;top:3122;width:12146;height:560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" strokecolor="#65c5b4 [3204]" strokeweight=".5pt">
                  <v:stroke endarrow="block" joinstyle="miter"/>
                </v:shape>
                <w10:wrap type="square" anchorx="margin"/>
              </v:group>
            </w:pict>
          </mc:Fallback>
        </mc:AlternateContent>
      </w:r>
      <w:r w:rsidR="00E20799" w:rsidRPr="002D2807">
        <w:rPr>
          <w:rStyle w:val="BookTitle"/>
          <w:rFonts w:asciiTheme="minorHAnsi" w:hAnsiTheme="minorHAnsi" w:cstheme="minorHAnsi"/>
          <w:b w:val="0"/>
          <w:bCs w:val="0"/>
          <w:color w:val="495965" w:themeColor="text2"/>
          <w:sz w:val="38"/>
          <w:szCs w:val="38"/>
        </w:rPr>
        <w:t xml:space="preserve">ANNEX 1. </w:t>
      </w:r>
      <w:r w:rsidR="002D3BDC" w:rsidRPr="002D2807">
        <w:rPr>
          <w:rFonts w:asciiTheme="minorHAnsi" w:hAnsiTheme="minorHAnsi" w:cstheme="minorHAnsi"/>
          <w:sz w:val="38"/>
          <w:szCs w:val="38"/>
        </w:rPr>
        <w:t>PROGRAM LOGIC</w:t>
      </w:r>
      <w:r w:rsidR="00E20799" w:rsidRPr="002D2807">
        <w:rPr>
          <w:rFonts w:asciiTheme="minorHAnsi" w:hAnsiTheme="minorHAnsi" w:cstheme="minorHAnsi"/>
          <w:b/>
          <w:sz w:val="38"/>
          <w:szCs w:val="38"/>
        </w:rPr>
        <w:t xml:space="preserve"> </w:t>
      </w:r>
    </w:p>
    <w:p w14:paraId="5BD3D75D" w14:textId="04B4BD59" w:rsidR="00E20799" w:rsidRPr="00E20799" w:rsidRDefault="00E20799" w:rsidP="00E20799">
      <w:pPr>
        <w:sectPr w:rsidR="00E20799" w:rsidRPr="00E20799" w:rsidSect="00D15E1E">
          <w:footerReference w:type="first" r:id="rId21"/>
          <w:pgSz w:w="16838" w:h="11906" w:orient="landscape" w:code="9"/>
          <w:pgMar w:top="1134" w:right="1701" w:bottom="1134" w:left="1418" w:header="425" w:footer="493" w:gutter="0"/>
          <w:cols w:space="397"/>
          <w:titlePg/>
          <w:docGrid w:linePitch="360"/>
        </w:sectPr>
      </w:pPr>
    </w:p>
    <w:p w14:paraId="391A69F2" w14:textId="382E1420" w:rsidR="00E20799" w:rsidRPr="002D2807" w:rsidRDefault="00E20799" w:rsidP="00E20799">
      <w:pPr>
        <w:pStyle w:val="Heading3"/>
        <w:pBdr>
          <w:bottom w:val="single" w:sz="4" w:space="1" w:color="auto"/>
        </w:pBdr>
        <w:spacing w:before="120"/>
        <w:rPr>
          <w:rFonts w:asciiTheme="minorHAnsi" w:hAnsiTheme="minorHAnsi" w:cstheme="minorHAnsi"/>
          <w:bCs w:val="0"/>
          <w:sz w:val="38"/>
          <w:szCs w:val="38"/>
        </w:rPr>
      </w:pPr>
      <w:r w:rsidRPr="002D2807">
        <w:rPr>
          <w:rStyle w:val="BookTitle"/>
          <w:rFonts w:asciiTheme="minorHAnsi" w:hAnsiTheme="minorHAnsi" w:cstheme="minorHAnsi"/>
          <w:b w:val="0"/>
          <w:bCs w:val="0"/>
          <w:color w:val="495965" w:themeColor="text2"/>
          <w:sz w:val="38"/>
          <w:szCs w:val="38"/>
        </w:rPr>
        <w:lastRenderedPageBreak/>
        <w:t xml:space="preserve">ANNEX 2. </w:t>
      </w:r>
      <w:r w:rsidR="002D3BDC" w:rsidRPr="002D2807">
        <w:rPr>
          <w:rFonts w:asciiTheme="minorHAnsi" w:hAnsiTheme="minorHAnsi" w:cstheme="minorHAnsi"/>
          <w:sz w:val="38"/>
          <w:szCs w:val="38"/>
        </w:rPr>
        <w:t xml:space="preserve">INITIAL 12 MONTH WORK PLAN </w:t>
      </w:r>
      <w:r w:rsidRPr="002D2807">
        <w:rPr>
          <w:rFonts w:asciiTheme="minorHAnsi" w:hAnsiTheme="minorHAnsi" w:cstheme="minorHAnsi"/>
          <w:sz w:val="38"/>
          <w:szCs w:val="38"/>
        </w:rPr>
        <w:t xml:space="preserve"> </w:t>
      </w:r>
    </w:p>
    <w:p w14:paraId="598D2067" w14:textId="3F52FC01" w:rsidR="00EA75EB" w:rsidRPr="00C970C8" w:rsidRDefault="00EA75EB" w:rsidP="00EA75EB">
      <w:pPr>
        <w:rPr>
          <w:rFonts w:ascii="Calibri Light" w:hAnsi="Calibri Light"/>
          <w:sz w:val="21"/>
          <w:szCs w:val="21"/>
        </w:rPr>
      </w:pPr>
      <w:r w:rsidRPr="002539E3">
        <w:rPr>
          <w:rFonts w:ascii="Calibri Light" w:hAnsi="Calibri Light"/>
          <w:sz w:val="21"/>
          <w:szCs w:val="21"/>
        </w:rPr>
        <w:t xml:space="preserve">Reflecting the priorities identified by the Indonesian and Australian </w:t>
      </w:r>
      <w:r w:rsidR="003E61FA" w:rsidRPr="002539E3">
        <w:rPr>
          <w:rFonts w:ascii="Calibri Light" w:hAnsi="Calibri Light"/>
          <w:sz w:val="21"/>
          <w:szCs w:val="21"/>
        </w:rPr>
        <w:t>G</w:t>
      </w:r>
      <w:r w:rsidRPr="002539E3">
        <w:rPr>
          <w:rFonts w:ascii="Calibri Light" w:hAnsi="Calibri Light"/>
          <w:sz w:val="21"/>
          <w:szCs w:val="21"/>
        </w:rPr>
        <w:t xml:space="preserve">overnments during IA-CEPA </w:t>
      </w:r>
      <w:r w:rsidR="00836CAF" w:rsidRPr="002539E3">
        <w:rPr>
          <w:rFonts w:ascii="Calibri Light" w:hAnsi="Calibri Light"/>
          <w:sz w:val="21"/>
          <w:szCs w:val="21"/>
        </w:rPr>
        <w:t xml:space="preserve">negotiations </w:t>
      </w:r>
      <w:r w:rsidRPr="002539E3">
        <w:rPr>
          <w:rFonts w:ascii="Calibri Light" w:hAnsi="Calibri Light"/>
          <w:sz w:val="21"/>
          <w:szCs w:val="21"/>
        </w:rPr>
        <w:t xml:space="preserve">and following further consultations with stakeholders a </w:t>
      </w:r>
      <w:r w:rsidRPr="002539E3">
        <w:rPr>
          <w:rFonts w:ascii="Calibri Light" w:hAnsi="Calibri Light"/>
          <w:b/>
          <w:sz w:val="21"/>
          <w:szCs w:val="21"/>
        </w:rPr>
        <w:t xml:space="preserve">work plan formulated around </w:t>
      </w:r>
      <w:r w:rsidR="000851D8">
        <w:rPr>
          <w:rFonts w:ascii="Calibri Light" w:hAnsi="Calibri Light"/>
          <w:b/>
          <w:sz w:val="21"/>
          <w:szCs w:val="21"/>
        </w:rPr>
        <w:t xml:space="preserve">four </w:t>
      </w:r>
      <w:r w:rsidR="002539E3">
        <w:rPr>
          <w:rFonts w:ascii="Calibri Light" w:hAnsi="Calibri Light"/>
          <w:b/>
          <w:sz w:val="21"/>
          <w:szCs w:val="21"/>
        </w:rPr>
        <w:t xml:space="preserve">initial </w:t>
      </w:r>
      <w:r w:rsidRPr="002539E3">
        <w:rPr>
          <w:rFonts w:ascii="Calibri Light" w:hAnsi="Calibri Light"/>
          <w:b/>
          <w:sz w:val="21"/>
          <w:szCs w:val="21"/>
        </w:rPr>
        <w:t>activities</w:t>
      </w:r>
      <w:r w:rsidRPr="002539E3">
        <w:rPr>
          <w:rFonts w:ascii="Calibri Light" w:hAnsi="Calibri Light"/>
          <w:sz w:val="21"/>
          <w:szCs w:val="21"/>
        </w:rPr>
        <w:t xml:space="preserve"> is proposed for the initial 12 months of the ECP</w:t>
      </w:r>
      <w:r w:rsidR="0093790D">
        <w:rPr>
          <w:rFonts w:ascii="Calibri Light" w:hAnsi="Calibri Light"/>
          <w:sz w:val="21"/>
          <w:szCs w:val="21"/>
        </w:rPr>
        <w:t xml:space="preserve"> – subject to </w:t>
      </w:r>
      <w:r w:rsidR="0093790D" w:rsidRPr="007C4ABD">
        <w:rPr>
          <w:rFonts w:ascii="Calibri Light" w:hAnsi="Calibri Light"/>
          <w:b/>
          <w:sz w:val="21"/>
          <w:szCs w:val="21"/>
        </w:rPr>
        <w:t>COVID-19 pandemic planning and responses</w:t>
      </w:r>
      <w:r w:rsidR="0093790D">
        <w:rPr>
          <w:rFonts w:ascii="Calibri Light" w:hAnsi="Calibri Light"/>
          <w:sz w:val="21"/>
          <w:szCs w:val="21"/>
        </w:rPr>
        <w:t xml:space="preserve"> (see box below)</w:t>
      </w:r>
      <w:r w:rsidRPr="002539E3">
        <w:rPr>
          <w:rFonts w:ascii="Calibri Light" w:hAnsi="Calibri Light"/>
          <w:sz w:val="21"/>
          <w:szCs w:val="21"/>
        </w:rPr>
        <w:t>:</w:t>
      </w:r>
    </w:p>
    <w:p w14:paraId="1621019D" w14:textId="4AB83C06" w:rsidR="00EA75EB" w:rsidRPr="00C970C8" w:rsidRDefault="00EA75EB" w:rsidP="009D3124">
      <w:pPr>
        <w:pStyle w:val="ListParagraph"/>
        <w:numPr>
          <w:ilvl w:val="0"/>
          <w:numId w:val="32"/>
        </w:numPr>
        <w:spacing w:after="120"/>
        <w:jc w:val="both"/>
        <w:rPr>
          <w:rFonts w:ascii="Calibri Light" w:hAnsi="Calibri Light" w:cs="Arial"/>
          <w:sz w:val="21"/>
          <w:szCs w:val="21"/>
        </w:rPr>
      </w:pPr>
      <w:r w:rsidRPr="00C970C8">
        <w:rPr>
          <w:rFonts w:ascii="Calibri Light" w:hAnsi="Calibri Light" w:cs="Arial"/>
          <w:sz w:val="21"/>
          <w:szCs w:val="21"/>
        </w:rPr>
        <w:t xml:space="preserve">Implementation of IA-CEPA </w:t>
      </w:r>
      <w:r w:rsidR="00241A6A">
        <w:rPr>
          <w:rFonts w:ascii="Calibri Light" w:hAnsi="Calibri Light" w:cs="Arial"/>
          <w:sz w:val="21"/>
          <w:szCs w:val="21"/>
        </w:rPr>
        <w:t>—</w:t>
      </w:r>
      <w:r w:rsidRPr="00C970C8">
        <w:rPr>
          <w:rFonts w:ascii="Calibri Light" w:hAnsi="Calibri Light" w:cs="Arial"/>
          <w:sz w:val="21"/>
          <w:szCs w:val="21"/>
        </w:rPr>
        <w:t xml:space="preserve"> operationalising support for trade and investment reforms</w:t>
      </w:r>
      <w:r w:rsidR="00241A6A">
        <w:rPr>
          <w:rFonts w:ascii="Calibri Light" w:hAnsi="Calibri Light" w:cs="Arial"/>
          <w:sz w:val="21"/>
          <w:szCs w:val="21"/>
        </w:rPr>
        <w:t>.</w:t>
      </w:r>
    </w:p>
    <w:p w14:paraId="0B47909F" w14:textId="3AFCC98F" w:rsidR="00EA75EB" w:rsidRPr="00C970C8" w:rsidRDefault="00EA75EB" w:rsidP="009D3124">
      <w:pPr>
        <w:pStyle w:val="ListParagraph"/>
        <w:numPr>
          <w:ilvl w:val="0"/>
          <w:numId w:val="32"/>
        </w:numPr>
        <w:spacing w:after="120"/>
        <w:jc w:val="both"/>
        <w:rPr>
          <w:rFonts w:ascii="Calibri Light" w:hAnsi="Calibri Light" w:cs="Arial"/>
          <w:sz w:val="21"/>
          <w:szCs w:val="21"/>
        </w:rPr>
      </w:pPr>
      <w:r w:rsidRPr="00C970C8">
        <w:rPr>
          <w:rFonts w:ascii="Calibri Light" w:hAnsi="Calibri Light" w:cs="Arial"/>
          <w:sz w:val="21"/>
          <w:szCs w:val="21"/>
        </w:rPr>
        <w:t>Launching the Australia</w:t>
      </w:r>
      <w:r w:rsidR="00241A6A">
        <w:rPr>
          <w:rFonts w:ascii="Calibri Light" w:hAnsi="Calibri Light" w:cs="Arial"/>
          <w:sz w:val="21"/>
          <w:szCs w:val="21"/>
        </w:rPr>
        <w:t>-</w:t>
      </w:r>
      <w:r w:rsidR="00D07C6A" w:rsidRPr="00C970C8">
        <w:rPr>
          <w:rFonts w:ascii="Calibri Light" w:hAnsi="Calibri Light" w:cs="Arial"/>
          <w:sz w:val="21"/>
          <w:szCs w:val="21"/>
        </w:rPr>
        <w:t xml:space="preserve">Indonesia </w:t>
      </w:r>
      <w:proofErr w:type="spellStart"/>
      <w:r w:rsidRPr="00C970C8">
        <w:rPr>
          <w:rFonts w:ascii="Calibri Light" w:hAnsi="Calibri Light" w:cs="Arial"/>
          <w:sz w:val="21"/>
          <w:szCs w:val="21"/>
        </w:rPr>
        <w:t>AgriFood</w:t>
      </w:r>
      <w:proofErr w:type="spellEnd"/>
      <w:r w:rsidRPr="00C970C8">
        <w:rPr>
          <w:rFonts w:ascii="Calibri Light" w:hAnsi="Calibri Light" w:cs="Arial"/>
          <w:sz w:val="21"/>
          <w:szCs w:val="21"/>
        </w:rPr>
        <w:t xml:space="preserve"> </w:t>
      </w:r>
      <w:r w:rsidR="003B726C" w:rsidRPr="00C970C8">
        <w:rPr>
          <w:rFonts w:ascii="Calibri Light" w:hAnsi="Calibri Light" w:cs="Arial"/>
          <w:sz w:val="21"/>
          <w:szCs w:val="21"/>
        </w:rPr>
        <w:t xml:space="preserve">Innovation </w:t>
      </w:r>
      <w:r w:rsidRPr="00C970C8">
        <w:rPr>
          <w:rFonts w:ascii="Calibri Light" w:hAnsi="Calibri Light" w:cs="Arial"/>
          <w:sz w:val="21"/>
          <w:szCs w:val="21"/>
        </w:rPr>
        <w:t>Partnerships</w:t>
      </w:r>
      <w:r w:rsidR="005E685E" w:rsidRPr="00C970C8">
        <w:rPr>
          <w:rFonts w:ascii="Calibri Light" w:hAnsi="Calibri Light" w:cs="Arial"/>
          <w:sz w:val="21"/>
          <w:szCs w:val="21"/>
        </w:rPr>
        <w:t xml:space="preserve"> (specifically, the Grains Partnership)</w:t>
      </w:r>
      <w:r w:rsidR="00241A6A">
        <w:rPr>
          <w:rFonts w:ascii="Calibri Light" w:hAnsi="Calibri Light" w:cs="Arial"/>
          <w:sz w:val="21"/>
          <w:szCs w:val="21"/>
        </w:rPr>
        <w:t>.</w:t>
      </w:r>
    </w:p>
    <w:p w14:paraId="5383DA29" w14:textId="6E2C3D3E" w:rsidR="00EA75EB" w:rsidRPr="00C970C8" w:rsidRDefault="00836CAF" w:rsidP="009D3124">
      <w:pPr>
        <w:pStyle w:val="ListParagraph"/>
        <w:numPr>
          <w:ilvl w:val="0"/>
          <w:numId w:val="32"/>
        </w:numPr>
        <w:spacing w:after="120"/>
        <w:jc w:val="both"/>
        <w:rPr>
          <w:rFonts w:ascii="Calibri Light" w:hAnsi="Calibri Light" w:cs="Arial"/>
          <w:sz w:val="21"/>
          <w:szCs w:val="21"/>
        </w:rPr>
      </w:pPr>
      <w:r w:rsidRPr="00C970C8">
        <w:rPr>
          <w:rFonts w:ascii="Calibri Light" w:hAnsi="Calibri Light" w:cs="Arial"/>
          <w:sz w:val="21"/>
          <w:szCs w:val="21"/>
        </w:rPr>
        <w:t xml:space="preserve">Powering </w:t>
      </w:r>
      <w:r w:rsidR="00EA75EB" w:rsidRPr="00C970C8">
        <w:rPr>
          <w:rFonts w:ascii="Calibri Light" w:hAnsi="Calibri Light" w:cs="Arial"/>
          <w:sz w:val="21"/>
          <w:szCs w:val="21"/>
        </w:rPr>
        <w:t>Advanced Manufacturing</w:t>
      </w:r>
      <w:r w:rsidR="005E685E" w:rsidRPr="00C970C8">
        <w:rPr>
          <w:rFonts w:ascii="Calibri Light" w:hAnsi="Calibri Light" w:cs="Arial"/>
          <w:sz w:val="21"/>
          <w:szCs w:val="21"/>
        </w:rPr>
        <w:t xml:space="preserve">: towards </w:t>
      </w:r>
      <w:r w:rsidR="002539E3">
        <w:rPr>
          <w:rFonts w:ascii="Calibri Light" w:hAnsi="Calibri Light" w:cs="Arial"/>
          <w:sz w:val="21"/>
          <w:szCs w:val="21"/>
        </w:rPr>
        <w:t>e</w:t>
      </w:r>
      <w:r w:rsidR="005E685E" w:rsidRPr="00C970C8">
        <w:rPr>
          <w:rFonts w:ascii="Calibri Light" w:hAnsi="Calibri Light" w:cs="Arial"/>
          <w:sz w:val="21"/>
          <w:szCs w:val="21"/>
        </w:rPr>
        <w:t>lectric vehicles</w:t>
      </w:r>
      <w:r w:rsidR="002539E3">
        <w:rPr>
          <w:rFonts w:ascii="Calibri Light" w:hAnsi="Calibri Light" w:cs="Arial"/>
          <w:sz w:val="21"/>
          <w:szCs w:val="21"/>
        </w:rPr>
        <w:t xml:space="preserve"> and components</w:t>
      </w:r>
      <w:r w:rsidR="00241A6A">
        <w:rPr>
          <w:rFonts w:ascii="Calibri Light" w:hAnsi="Calibri Light" w:cs="Arial"/>
          <w:sz w:val="21"/>
          <w:szCs w:val="21"/>
        </w:rPr>
        <w:t>.</w:t>
      </w:r>
    </w:p>
    <w:p w14:paraId="527DB681" w14:textId="09C844A2" w:rsidR="00EA75EB" w:rsidRPr="00C970C8" w:rsidRDefault="00EA75EB" w:rsidP="009D3124">
      <w:pPr>
        <w:pStyle w:val="ListParagraph"/>
        <w:numPr>
          <w:ilvl w:val="0"/>
          <w:numId w:val="32"/>
        </w:numPr>
        <w:spacing w:after="120"/>
        <w:jc w:val="both"/>
        <w:rPr>
          <w:rFonts w:ascii="Calibri Light" w:hAnsi="Calibri Light" w:cs="Arial"/>
          <w:sz w:val="21"/>
          <w:szCs w:val="21"/>
        </w:rPr>
      </w:pPr>
      <w:r w:rsidRPr="00C970C8">
        <w:rPr>
          <w:rFonts w:ascii="Calibri Light" w:hAnsi="Calibri Light" w:cs="Arial"/>
          <w:sz w:val="21"/>
          <w:szCs w:val="21"/>
        </w:rPr>
        <w:t>Co-investing in skills and training</w:t>
      </w:r>
      <w:r w:rsidR="00241A6A">
        <w:rPr>
          <w:rFonts w:ascii="Calibri Light" w:hAnsi="Calibri Light" w:cs="Arial"/>
          <w:sz w:val="21"/>
          <w:szCs w:val="21"/>
        </w:rPr>
        <w:t>.</w:t>
      </w:r>
    </w:p>
    <w:p w14:paraId="3BCF4FB3" w14:textId="14520993" w:rsidR="00EA75EB" w:rsidRDefault="00EA75EB" w:rsidP="00EA75EB">
      <w:pPr>
        <w:rPr>
          <w:rFonts w:ascii="Calibri Light" w:hAnsi="Calibri Light" w:cs="Arial"/>
          <w:sz w:val="21"/>
          <w:szCs w:val="21"/>
        </w:rPr>
      </w:pPr>
      <w:r>
        <w:rPr>
          <w:rFonts w:ascii="Calibri Light" w:hAnsi="Calibri Light" w:cs="Arial"/>
          <w:sz w:val="21"/>
          <w:szCs w:val="21"/>
        </w:rPr>
        <w:t xml:space="preserve">These priority areas draw together a range of proposed activities, including exchanges, research, scoping studies, training, policy advice, business dialogues, capacity building and </w:t>
      </w:r>
      <w:r w:rsidR="00352DF7">
        <w:rPr>
          <w:rFonts w:ascii="Calibri Light" w:hAnsi="Calibri Light" w:cs="Arial"/>
          <w:sz w:val="21"/>
          <w:szCs w:val="21"/>
        </w:rPr>
        <w:t xml:space="preserve">IA-CEPA </w:t>
      </w:r>
      <w:r>
        <w:rPr>
          <w:rFonts w:ascii="Calibri Light" w:hAnsi="Calibri Light" w:cs="Arial"/>
          <w:sz w:val="21"/>
          <w:szCs w:val="21"/>
        </w:rPr>
        <w:t xml:space="preserve">socialisation. Within each priority area there is </w:t>
      </w:r>
      <w:r w:rsidR="00352DF7" w:rsidRPr="00352DF7">
        <w:rPr>
          <w:rFonts w:ascii="Calibri Light" w:hAnsi="Calibri Light" w:cs="Arial"/>
          <w:b/>
          <w:sz w:val="21"/>
          <w:szCs w:val="21"/>
        </w:rPr>
        <w:t xml:space="preserve">full </w:t>
      </w:r>
      <w:r w:rsidRPr="00352DF7">
        <w:rPr>
          <w:rFonts w:ascii="Calibri Light" w:hAnsi="Calibri Light" w:cs="Arial"/>
          <w:b/>
          <w:sz w:val="21"/>
          <w:szCs w:val="21"/>
        </w:rPr>
        <w:t>flexibility to respond to requests</w:t>
      </w:r>
      <w:r>
        <w:rPr>
          <w:rFonts w:ascii="Calibri Light" w:hAnsi="Calibri Light" w:cs="Arial"/>
          <w:sz w:val="21"/>
          <w:szCs w:val="21"/>
        </w:rPr>
        <w:t xml:space="preserve">, while aligning with clear outcomes. The initial </w:t>
      </w:r>
      <w:r w:rsidR="00857A9D">
        <w:rPr>
          <w:rFonts w:ascii="Calibri Light" w:hAnsi="Calibri Light" w:cs="Arial"/>
          <w:sz w:val="21"/>
          <w:szCs w:val="21"/>
        </w:rPr>
        <w:t>twelve-months</w:t>
      </w:r>
      <w:r>
        <w:rPr>
          <w:rFonts w:ascii="Calibri Light" w:hAnsi="Calibri Light" w:cs="Arial"/>
          <w:sz w:val="21"/>
          <w:szCs w:val="21"/>
        </w:rPr>
        <w:t xml:space="preserve"> work plan is also intended to guide </w:t>
      </w:r>
      <w:r w:rsidRPr="00352DF7">
        <w:rPr>
          <w:rFonts w:ascii="Calibri Light" w:hAnsi="Calibri Light" w:cs="Arial"/>
          <w:b/>
          <w:sz w:val="21"/>
          <w:szCs w:val="21"/>
        </w:rPr>
        <w:t>activities in future years</w:t>
      </w:r>
      <w:r>
        <w:rPr>
          <w:rFonts w:ascii="Calibri Light" w:hAnsi="Calibri Light" w:cs="Arial"/>
          <w:sz w:val="21"/>
          <w:szCs w:val="21"/>
        </w:rPr>
        <w:t xml:space="preserve">, noting lasting reform and partnership requires </w:t>
      </w:r>
      <w:r w:rsidRPr="00352DF7">
        <w:rPr>
          <w:rFonts w:ascii="Calibri Light" w:hAnsi="Calibri Light" w:cs="Arial"/>
          <w:b/>
          <w:sz w:val="21"/>
          <w:szCs w:val="21"/>
        </w:rPr>
        <w:t>a multi-year investment</w:t>
      </w:r>
      <w:r>
        <w:rPr>
          <w:rFonts w:ascii="Calibri Light" w:hAnsi="Calibri Light" w:cs="Arial"/>
          <w:sz w:val="21"/>
          <w:szCs w:val="21"/>
        </w:rPr>
        <w:t xml:space="preserve">. The indicative budget </w:t>
      </w:r>
      <w:r w:rsidR="00352DF7">
        <w:rPr>
          <w:rFonts w:ascii="Calibri Light" w:hAnsi="Calibri Light" w:cs="Arial"/>
          <w:sz w:val="21"/>
          <w:szCs w:val="21"/>
        </w:rPr>
        <w:t xml:space="preserve">recognises that </w:t>
      </w:r>
      <w:r w:rsidRPr="00352DF7">
        <w:rPr>
          <w:rFonts w:ascii="Calibri Light" w:hAnsi="Calibri Light" w:cs="Arial"/>
          <w:b/>
          <w:sz w:val="21"/>
          <w:szCs w:val="21"/>
        </w:rPr>
        <w:t xml:space="preserve">new activities </w:t>
      </w:r>
      <w:r w:rsidR="00352DF7" w:rsidRPr="00352DF7">
        <w:rPr>
          <w:rFonts w:ascii="Calibri Light" w:hAnsi="Calibri Light" w:cs="Arial"/>
          <w:b/>
          <w:sz w:val="21"/>
          <w:szCs w:val="21"/>
        </w:rPr>
        <w:t xml:space="preserve">will </w:t>
      </w:r>
      <w:r w:rsidRPr="00352DF7">
        <w:rPr>
          <w:rFonts w:ascii="Calibri Light" w:hAnsi="Calibri Light" w:cs="Arial"/>
          <w:b/>
          <w:sz w:val="21"/>
          <w:szCs w:val="21"/>
        </w:rPr>
        <w:t>be incorporated over time</w:t>
      </w:r>
      <w:r>
        <w:rPr>
          <w:rFonts w:ascii="Calibri Light" w:hAnsi="Calibri Light" w:cs="Arial"/>
          <w:sz w:val="21"/>
          <w:szCs w:val="21"/>
        </w:rPr>
        <w:t xml:space="preserve"> to respond to changing priorities and requests for support, which can be incorporated into future year work plans, following consideration by the ECC.</w:t>
      </w:r>
    </w:p>
    <w:p w14:paraId="19E1538B" w14:textId="77777777" w:rsidR="00DE0040" w:rsidRPr="007C4ABD" w:rsidRDefault="00DE0040" w:rsidP="007C4ABD">
      <w:pPr>
        <w:pBdr>
          <w:top w:val="single" w:sz="4" w:space="1" w:color="auto"/>
          <w:left w:val="single" w:sz="4" w:space="4" w:color="auto"/>
          <w:bottom w:val="single" w:sz="4" w:space="1" w:color="auto"/>
          <w:right w:val="single" w:sz="4" w:space="4" w:color="auto"/>
        </w:pBdr>
        <w:rPr>
          <w:rFonts w:ascii="Calibri Light" w:hAnsi="Calibri Light" w:cs="Arial"/>
          <w:b/>
          <w:sz w:val="21"/>
          <w:szCs w:val="21"/>
        </w:rPr>
      </w:pPr>
      <w:r w:rsidRPr="007C4ABD">
        <w:rPr>
          <w:rFonts w:ascii="Calibri Light" w:hAnsi="Calibri Light" w:cs="Arial"/>
          <w:b/>
          <w:sz w:val="21"/>
          <w:szCs w:val="21"/>
        </w:rPr>
        <w:t>IMPACT OF COVID-19 PANDEMIC</w:t>
      </w:r>
    </w:p>
    <w:p w14:paraId="1FFAE07A" w14:textId="631C0D00" w:rsidR="00BB5DD2" w:rsidRDefault="00866C5A" w:rsidP="007C4ABD">
      <w:pPr>
        <w:pBdr>
          <w:top w:val="single" w:sz="4" w:space="1" w:color="auto"/>
          <w:left w:val="single" w:sz="4" w:space="4" w:color="auto"/>
          <w:bottom w:val="single" w:sz="4" w:space="1" w:color="auto"/>
          <w:right w:val="single" w:sz="4" w:space="4" w:color="auto"/>
        </w:pBdr>
        <w:rPr>
          <w:rFonts w:ascii="Calibri Light" w:hAnsi="Calibri Light" w:cs="Arial"/>
          <w:sz w:val="21"/>
          <w:szCs w:val="21"/>
        </w:rPr>
      </w:pPr>
      <w:r>
        <w:rPr>
          <w:rFonts w:ascii="Calibri Light" w:hAnsi="Calibri Light" w:cs="Arial"/>
          <w:sz w:val="21"/>
          <w:szCs w:val="21"/>
        </w:rPr>
        <w:t>COVID-19 may have a profound impact on bilateral trade and investment between Indonesia and Australia. Subject to consultations, the ECP may be well placed to facilitate – as its first priority – a four phase response: (</w:t>
      </w:r>
      <w:proofErr w:type="spellStart"/>
      <w:r>
        <w:rPr>
          <w:rFonts w:ascii="Calibri Light" w:hAnsi="Calibri Light" w:cs="Arial"/>
          <w:sz w:val="21"/>
          <w:szCs w:val="21"/>
        </w:rPr>
        <w:t>i</w:t>
      </w:r>
      <w:proofErr w:type="spellEnd"/>
      <w:r>
        <w:rPr>
          <w:rFonts w:ascii="Calibri Light" w:hAnsi="Calibri Light" w:cs="Arial"/>
          <w:sz w:val="21"/>
          <w:szCs w:val="21"/>
        </w:rPr>
        <w:t xml:space="preserve">) </w:t>
      </w:r>
      <w:r w:rsidRPr="007C4ABD">
        <w:rPr>
          <w:rFonts w:ascii="Calibri Light" w:hAnsi="Calibri Light" w:cs="Arial"/>
          <w:b/>
          <w:sz w:val="21"/>
          <w:szCs w:val="21"/>
        </w:rPr>
        <w:t>assessment</w:t>
      </w:r>
      <w:r>
        <w:rPr>
          <w:rFonts w:ascii="Calibri Light" w:hAnsi="Calibri Light" w:cs="Arial"/>
          <w:sz w:val="21"/>
          <w:szCs w:val="21"/>
        </w:rPr>
        <w:t xml:space="preserve"> of impact, (ii) recommendations for </w:t>
      </w:r>
      <w:r w:rsidRPr="007C4ABD">
        <w:rPr>
          <w:rFonts w:ascii="Calibri Light" w:hAnsi="Calibri Light" w:cs="Arial"/>
          <w:b/>
          <w:sz w:val="21"/>
          <w:szCs w:val="21"/>
        </w:rPr>
        <w:t>mitigation</w:t>
      </w:r>
      <w:r>
        <w:rPr>
          <w:rFonts w:ascii="Calibri Light" w:hAnsi="Calibri Light" w:cs="Arial"/>
          <w:sz w:val="21"/>
          <w:szCs w:val="21"/>
        </w:rPr>
        <w:t xml:space="preserve"> of impact, (iii) guidance on </w:t>
      </w:r>
      <w:r w:rsidRPr="007C4ABD">
        <w:rPr>
          <w:rFonts w:ascii="Calibri Light" w:hAnsi="Calibri Light" w:cs="Arial"/>
          <w:b/>
          <w:sz w:val="21"/>
          <w:szCs w:val="21"/>
        </w:rPr>
        <w:t>restoration</w:t>
      </w:r>
      <w:r>
        <w:rPr>
          <w:rFonts w:ascii="Calibri Light" w:hAnsi="Calibri Light" w:cs="Arial"/>
          <w:sz w:val="21"/>
          <w:szCs w:val="21"/>
        </w:rPr>
        <w:t xml:space="preserve"> of status quo ante trade and investment, and (iv) setting objectives for post-pandemic </w:t>
      </w:r>
      <w:r w:rsidRPr="007C4ABD">
        <w:rPr>
          <w:rFonts w:ascii="Calibri Light" w:hAnsi="Calibri Light" w:cs="Arial"/>
          <w:b/>
          <w:sz w:val="21"/>
          <w:szCs w:val="21"/>
        </w:rPr>
        <w:t>growth</w:t>
      </w:r>
      <w:r>
        <w:rPr>
          <w:rFonts w:ascii="Calibri Light" w:hAnsi="Calibri Light" w:cs="Arial"/>
          <w:sz w:val="21"/>
          <w:szCs w:val="21"/>
        </w:rPr>
        <w:t xml:space="preserve">. The initial assessment of impact will also </w:t>
      </w:r>
      <w:r w:rsidR="00BB5DD2">
        <w:rPr>
          <w:rFonts w:ascii="Calibri Light" w:hAnsi="Calibri Light" w:cs="Arial"/>
          <w:sz w:val="21"/>
          <w:szCs w:val="21"/>
        </w:rPr>
        <w:t xml:space="preserve">represent a baseline for performance assessment of the implementation of IA-CEPA and identify emerging mitigation, stabilisation and growth strategies in sectors most adversely affected, such as services in tourism and education, and supply chains in value-added goods and commodities. </w:t>
      </w:r>
    </w:p>
    <w:p w14:paraId="508535D4" w14:textId="37DE582E" w:rsidR="00EA75EB" w:rsidRPr="001D4010" w:rsidRDefault="000851D8" w:rsidP="00EA75EB">
      <w:pPr>
        <w:rPr>
          <w:rFonts w:ascii="Calibri Light" w:hAnsi="Calibri Light" w:cs="Arial"/>
          <w:b/>
          <w:sz w:val="24"/>
          <w:szCs w:val="21"/>
        </w:rPr>
      </w:pPr>
      <w:r>
        <w:rPr>
          <w:rFonts w:ascii="Calibri Light" w:hAnsi="Calibri Light" w:cs="Arial"/>
          <w:b/>
          <w:sz w:val="24"/>
          <w:szCs w:val="21"/>
        </w:rPr>
        <w:t xml:space="preserve">FOUR </w:t>
      </w:r>
      <w:r w:rsidR="002539E3">
        <w:rPr>
          <w:rFonts w:ascii="Calibri Light" w:hAnsi="Calibri Light" w:cs="Arial"/>
          <w:b/>
          <w:sz w:val="24"/>
          <w:szCs w:val="21"/>
        </w:rPr>
        <w:t xml:space="preserve">INITIAL </w:t>
      </w:r>
      <w:r w:rsidR="00EA75EB" w:rsidRPr="001D4010">
        <w:rPr>
          <w:rFonts w:ascii="Calibri Light" w:hAnsi="Calibri Light" w:cs="Arial"/>
          <w:b/>
          <w:sz w:val="24"/>
          <w:szCs w:val="21"/>
        </w:rPr>
        <w:t>ACTIVIT</w:t>
      </w:r>
      <w:r w:rsidR="002539E3">
        <w:rPr>
          <w:rFonts w:ascii="Calibri Light" w:hAnsi="Calibri Light" w:cs="Arial"/>
          <w:b/>
          <w:sz w:val="24"/>
          <w:szCs w:val="21"/>
        </w:rPr>
        <w:t>IES</w:t>
      </w:r>
    </w:p>
    <w:p w14:paraId="216EE33B" w14:textId="41AE82E6" w:rsidR="00EA75EB" w:rsidRDefault="00EA75EB" w:rsidP="00241A6A">
      <w:pPr>
        <w:pBdr>
          <w:top w:val="single" w:sz="4" w:space="1" w:color="auto"/>
          <w:left w:val="single" w:sz="4" w:space="4" w:color="auto"/>
          <w:bottom w:val="single" w:sz="4" w:space="1" w:color="auto"/>
          <w:right w:val="single" w:sz="4" w:space="4" w:color="auto"/>
        </w:pBdr>
        <w:rPr>
          <w:rFonts w:ascii="Calibri Light" w:hAnsi="Calibri Light" w:cs="Calibri"/>
          <w:b/>
          <w:szCs w:val="21"/>
        </w:rPr>
      </w:pPr>
      <w:r>
        <w:rPr>
          <w:rFonts w:ascii="Calibri Light" w:hAnsi="Calibri Light" w:cs="Calibri"/>
          <w:b/>
          <w:szCs w:val="21"/>
        </w:rPr>
        <w:t>1.</w:t>
      </w:r>
      <w:r w:rsidR="000B55E8">
        <w:rPr>
          <w:rFonts w:ascii="Calibri Light" w:hAnsi="Calibri Light" w:cs="Calibri"/>
          <w:b/>
          <w:szCs w:val="21"/>
        </w:rPr>
        <w:t xml:space="preserve"> </w:t>
      </w:r>
      <w:r w:rsidRPr="00AF4E76">
        <w:rPr>
          <w:rFonts w:ascii="Calibri Light" w:hAnsi="Calibri Light" w:cs="Calibri"/>
          <w:b/>
          <w:szCs w:val="21"/>
        </w:rPr>
        <w:t>IA-CEPA Implementation</w:t>
      </w:r>
    </w:p>
    <w:p w14:paraId="36100069" w14:textId="462BA7E5" w:rsidR="00EA75EB" w:rsidRDefault="00EA75EB" w:rsidP="00241A6A">
      <w:pPr>
        <w:pBdr>
          <w:top w:val="single" w:sz="4" w:space="1" w:color="auto"/>
          <w:left w:val="single" w:sz="4" w:space="4" w:color="auto"/>
          <w:bottom w:val="single" w:sz="4" w:space="1" w:color="auto"/>
          <w:right w:val="single" w:sz="4" w:space="4" w:color="auto"/>
        </w:pBdr>
        <w:rPr>
          <w:rFonts w:ascii="Calibri Light" w:hAnsi="Calibri Light" w:cs="Calibri"/>
          <w:sz w:val="21"/>
          <w:szCs w:val="21"/>
        </w:rPr>
      </w:pPr>
      <w:r>
        <w:rPr>
          <w:rFonts w:ascii="Calibri Light" w:hAnsi="Calibri Light" w:cs="Calibri"/>
          <w:sz w:val="21"/>
          <w:szCs w:val="21"/>
        </w:rPr>
        <w:t xml:space="preserve">In the first 12 months the ECP will be operationalised and a team established to deliver </w:t>
      </w:r>
      <w:r w:rsidRPr="0048696E">
        <w:rPr>
          <w:rFonts w:ascii="Calibri Light" w:hAnsi="Calibri Light" w:cs="Calibri"/>
          <w:sz w:val="21"/>
          <w:szCs w:val="21"/>
        </w:rPr>
        <w:t>the</w:t>
      </w:r>
      <w:r>
        <w:rPr>
          <w:rFonts w:ascii="Calibri Light" w:hAnsi="Calibri Light" w:cs="Calibri"/>
          <w:sz w:val="21"/>
          <w:szCs w:val="21"/>
        </w:rPr>
        <w:t xml:space="preserve"> ‘core business’ of the ECP, namely implementing IA-CEPA. </w:t>
      </w:r>
      <w:r w:rsidR="00BC6190">
        <w:rPr>
          <w:rFonts w:ascii="Calibri Light" w:hAnsi="Calibri Light" w:cs="Calibri"/>
          <w:sz w:val="21"/>
          <w:szCs w:val="21"/>
        </w:rPr>
        <w:t xml:space="preserve">The team, including a </w:t>
      </w:r>
      <w:r>
        <w:rPr>
          <w:rFonts w:ascii="Calibri Light" w:hAnsi="Calibri Light" w:cs="Calibri"/>
          <w:sz w:val="21"/>
          <w:szCs w:val="21"/>
        </w:rPr>
        <w:t>Technical Lead for Market Access</w:t>
      </w:r>
      <w:r w:rsidR="00BC6190">
        <w:rPr>
          <w:rFonts w:ascii="Calibri Light" w:hAnsi="Calibri Light" w:cs="Calibri"/>
          <w:sz w:val="21"/>
          <w:szCs w:val="21"/>
        </w:rPr>
        <w:t>,</w:t>
      </w:r>
      <w:r>
        <w:rPr>
          <w:rFonts w:ascii="Calibri Light" w:hAnsi="Calibri Light" w:cs="Calibri"/>
          <w:sz w:val="21"/>
          <w:szCs w:val="21"/>
        </w:rPr>
        <w:t xml:space="preserve"> will be appointed and resourced to deliver: </w:t>
      </w:r>
    </w:p>
    <w:p w14:paraId="1EEC9BE8" w14:textId="161DE47D" w:rsidR="00EA75EB" w:rsidRPr="00241A6A" w:rsidRDefault="00241A6A" w:rsidP="009D3124">
      <w:pPr>
        <w:pStyle w:val="ListParagraph"/>
        <w:numPr>
          <w:ilvl w:val="0"/>
          <w:numId w:val="74"/>
        </w:numPr>
        <w:pBdr>
          <w:top w:val="single" w:sz="4" w:space="1" w:color="auto"/>
          <w:left w:val="single" w:sz="4" w:space="4" w:color="auto"/>
          <w:bottom w:val="single" w:sz="4" w:space="1" w:color="auto"/>
          <w:right w:val="single" w:sz="4" w:space="4" w:color="auto"/>
        </w:pBdr>
        <w:rPr>
          <w:rFonts w:ascii="Calibri Light" w:hAnsi="Calibri Light" w:cs="Calibri"/>
          <w:sz w:val="21"/>
          <w:szCs w:val="21"/>
        </w:rPr>
      </w:pPr>
      <w:r w:rsidRPr="00241A6A">
        <w:rPr>
          <w:rFonts w:ascii="Calibri Light" w:hAnsi="Calibri Light" w:cs="Calibri"/>
          <w:sz w:val="21"/>
          <w:szCs w:val="21"/>
        </w:rPr>
        <w:t>A</w:t>
      </w:r>
      <w:r w:rsidR="00872B6A" w:rsidRPr="00241A6A">
        <w:rPr>
          <w:rFonts w:ascii="Calibri Light" w:hAnsi="Calibri Light" w:cs="Calibri"/>
          <w:sz w:val="21"/>
          <w:szCs w:val="21"/>
        </w:rPr>
        <w:t xml:space="preserve"> </w:t>
      </w:r>
      <w:r w:rsidR="002539E3" w:rsidRPr="00241A6A">
        <w:rPr>
          <w:rFonts w:ascii="Calibri Light" w:hAnsi="Calibri Light" w:cs="Calibri"/>
          <w:sz w:val="21"/>
          <w:szCs w:val="21"/>
        </w:rPr>
        <w:t>N</w:t>
      </w:r>
      <w:r w:rsidR="00872B6A" w:rsidRPr="00241A6A">
        <w:rPr>
          <w:rFonts w:ascii="Calibri Light" w:hAnsi="Calibri Light" w:cs="Calibri"/>
          <w:sz w:val="21"/>
          <w:szCs w:val="21"/>
        </w:rPr>
        <w:t xml:space="preserve">eeds </w:t>
      </w:r>
      <w:r w:rsidR="002539E3" w:rsidRPr="00241A6A">
        <w:rPr>
          <w:rFonts w:ascii="Calibri Light" w:hAnsi="Calibri Light" w:cs="Calibri"/>
          <w:sz w:val="21"/>
          <w:szCs w:val="21"/>
        </w:rPr>
        <w:t>A</w:t>
      </w:r>
      <w:r w:rsidR="00872B6A" w:rsidRPr="00241A6A">
        <w:rPr>
          <w:rFonts w:ascii="Calibri Light" w:hAnsi="Calibri Light" w:cs="Calibri"/>
          <w:sz w:val="21"/>
          <w:szCs w:val="21"/>
        </w:rPr>
        <w:t xml:space="preserve">ssessment for regulatory implementation of IA-CEPA, examining appropriate modality for engagement between Australia on full implementation of key commitments </w:t>
      </w:r>
      <w:r w:rsidR="00872B6A" w:rsidRPr="00241A6A">
        <w:rPr>
          <w:sz w:val="21"/>
          <w:szCs w:val="21"/>
        </w:rPr>
        <w:t>in goods, services and investment commitments (including administration of Tariff Rate Quota arrangements), and broader commitments on a chapter-by-chapter basis.</w:t>
      </w:r>
      <w:r w:rsidR="00FE040D" w:rsidRPr="00241A6A">
        <w:rPr>
          <w:sz w:val="21"/>
          <w:szCs w:val="21"/>
        </w:rPr>
        <w:t xml:space="preserve"> Note that modalities could include expert studies, exchange of officials involved in trade regulation and advocacy/industry engagement, short-term embedded officials in trade-related Ministries (including Indonesian officials in Australian agencies), and direct regulatory design and drafting advice/assistance. </w:t>
      </w:r>
    </w:p>
    <w:p w14:paraId="3939C98B" w14:textId="33AA283A" w:rsidR="00EA75EB" w:rsidRPr="00241A6A" w:rsidRDefault="00EA75EB" w:rsidP="009D3124">
      <w:pPr>
        <w:pStyle w:val="ListParagraph"/>
        <w:numPr>
          <w:ilvl w:val="0"/>
          <w:numId w:val="74"/>
        </w:numPr>
        <w:pBdr>
          <w:top w:val="single" w:sz="4" w:space="1" w:color="auto"/>
          <w:left w:val="single" w:sz="4" w:space="4" w:color="auto"/>
          <w:bottom w:val="single" w:sz="4" w:space="1" w:color="auto"/>
          <w:right w:val="single" w:sz="4" w:space="4" w:color="auto"/>
        </w:pBdr>
        <w:rPr>
          <w:rFonts w:ascii="Calibri Light" w:hAnsi="Calibri Light" w:cs="Calibri"/>
          <w:sz w:val="21"/>
          <w:szCs w:val="21"/>
        </w:rPr>
      </w:pPr>
      <w:r w:rsidRPr="00241A6A">
        <w:rPr>
          <w:rFonts w:ascii="Calibri Light" w:hAnsi="Calibri Light" w:cs="Calibri"/>
          <w:sz w:val="21"/>
          <w:szCs w:val="21"/>
        </w:rPr>
        <w:t xml:space="preserve">Socialisation activities will be delivered to build awareness of IA-CEPA benefits among industry groups, through business dialogues and workshops. </w:t>
      </w:r>
    </w:p>
    <w:p w14:paraId="30A54B99" w14:textId="6DB0AB77" w:rsidR="00296CF8" w:rsidRPr="00241A6A" w:rsidRDefault="00241A6A" w:rsidP="009D3124">
      <w:pPr>
        <w:pStyle w:val="ListParagraph"/>
        <w:numPr>
          <w:ilvl w:val="0"/>
          <w:numId w:val="74"/>
        </w:numPr>
        <w:pBdr>
          <w:top w:val="single" w:sz="4" w:space="1" w:color="auto"/>
          <w:left w:val="single" w:sz="4" w:space="4" w:color="auto"/>
          <w:bottom w:val="single" w:sz="4" w:space="1" w:color="auto"/>
          <w:right w:val="single" w:sz="4" w:space="4" w:color="auto"/>
        </w:pBdr>
        <w:rPr>
          <w:rFonts w:ascii="Calibri Light" w:hAnsi="Calibri Light" w:cs="Calibri"/>
          <w:sz w:val="21"/>
          <w:szCs w:val="21"/>
        </w:rPr>
      </w:pPr>
      <w:r w:rsidRPr="00241A6A">
        <w:rPr>
          <w:rFonts w:ascii="Calibri Light" w:hAnsi="Calibri Light" w:cs="Calibri"/>
          <w:sz w:val="21"/>
          <w:szCs w:val="21"/>
        </w:rPr>
        <w:t>I</w:t>
      </w:r>
      <w:r w:rsidR="00296CF8" w:rsidRPr="00241A6A">
        <w:rPr>
          <w:rFonts w:ascii="Calibri Light" w:hAnsi="Calibri Light" w:cs="Calibri"/>
          <w:sz w:val="21"/>
          <w:szCs w:val="21"/>
        </w:rPr>
        <w:t xml:space="preserve">nitial work on the first Bilateral Economic Opportunity Assessment, on the prospects for strengthening linkages between Indonesian fast-growth digital services firms and Australian capital markets. </w:t>
      </w:r>
    </w:p>
    <w:p w14:paraId="5D11C4E5" w14:textId="32B5EB6F" w:rsidR="003238DE" w:rsidRPr="00241A6A" w:rsidRDefault="00872B6A" w:rsidP="009D3124">
      <w:pPr>
        <w:pStyle w:val="ListParagraph"/>
        <w:numPr>
          <w:ilvl w:val="0"/>
          <w:numId w:val="74"/>
        </w:numPr>
        <w:pBdr>
          <w:top w:val="single" w:sz="4" w:space="1" w:color="auto"/>
          <w:left w:val="single" w:sz="4" w:space="4" w:color="auto"/>
          <w:bottom w:val="single" w:sz="4" w:space="1" w:color="auto"/>
          <w:right w:val="single" w:sz="4" w:space="4" w:color="auto"/>
        </w:pBdr>
        <w:rPr>
          <w:rFonts w:ascii="Calibri Light" w:hAnsi="Calibri Light" w:cs="Calibri"/>
          <w:sz w:val="21"/>
          <w:szCs w:val="21"/>
        </w:rPr>
      </w:pPr>
      <w:r w:rsidRPr="00241A6A">
        <w:rPr>
          <w:rFonts w:ascii="Calibri Light" w:hAnsi="Calibri Light" w:cs="Calibri"/>
          <w:sz w:val="21"/>
          <w:szCs w:val="21"/>
        </w:rPr>
        <w:t xml:space="preserve">The </w:t>
      </w:r>
      <w:r w:rsidR="00DE683E">
        <w:rPr>
          <w:rFonts w:ascii="Calibri Light" w:hAnsi="Calibri Light" w:cs="Calibri"/>
          <w:sz w:val="21"/>
          <w:szCs w:val="21"/>
        </w:rPr>
        <w:t>development</w:t>
      </w:r>
      <w:r w:rsidR="00DE683E" w:rsidRPr="00241A6A">
        <w:rPr>
          <w:rFonts w:ascii="Calibri Light" w:hAnsi="Calibri Light" w:cs="Calibri"/>
          <w:sz w:val="21"/>
          <w:szCs w:val="21"/>
        </w:rPr>
        <w:t xml:space="preserve"> </w:t>
      </w:r>
      <w:r w:rsidRPr="00241A6A">
        <w:rPr>
          <w:rFonts w:ascii="Calibri Light" w:hAnsi="Calibri Light" w:cs="Calibri"/>
          <w:sz w:val="21"/>
          <w:szCs w:val="21"/>
        </w:rPr>
        <w:t xml:space="preserve">of </w:t>
      </w:r>
      <w:r w:rsidR="00DE683E">
        <w:rPr>
          <w:rFonts w:ascii="Calibri Light" w:hAnsi="Calibri Light" w:cs="Calibri"/>
          <w:sz w:val="21"/>
          <w:szCs w:val="21"/>
        </w:rPr>
        <w:t xml:space="preserve">the MEL Plan including </w:t>
      </w:r>
      <w:r w:rsidRPr="00241A6A">
        <w:rPr>
          <w:rFonts w:ascii="Calibri Light" w:hAnsi="Calibri Light" w:cs="Calibri"/>
          <w:sz w:val="21"/>
          <w:szCs w:val="21"/>
        </w:rPr>
        <w:t xml:space="preserve">parameters for MEL on IA-CEPA utilisation, and its </w:t>
      </w:r>
      <w:r w:rsidR="00EA75EB" w:rsidRPr="00241A6A">
        <w:rPr>
          <w:rFonts w:ascii="Calibri Light" w:hAnsi="Calibri Light" w:cs="Calibri"/>
          <w:sz w:val="21"/>
          <w:szCs w:val="21"/>
        </w:rPr>
        <w:t xml:space="preserve">economic </w:t>
      </w:r>
      <w:r w:rsidRPr="00241A6A">
        <w:rPr>
          <w:rFonts w:ascii="Calibri Light" w:hAnsi="Calibri Light" w:cs="Calibri"/>
          <w:sz w:val="21"/>
          <w:szCs w:val="21"/>
        </w:rPr>
        <w:t xml:space="preserve">(trade creating) </w:t>
      </w:r>
      <w:r w:rsidR="00EA75EB" w:rsidRPr="00241A6A">
        <w:rPr>
          <w:rFonts w:ascii="Calibri Light" w:hAnsi="Calibri Light" w:cs="Calibri"/>
          <w:sz w:val="21"/>
          <w:szCs w:val="21"/>
        </w:rPr>
        <w:t xml:space="preserve">and broader impacts, working closely with </w:t>
      </w:r>
      <w:r w:rsidRPr="00241A6A">
        <w:rPr>
          <w:rFonts w:ascii="Calibri Light" w:hAnsi="Calibri Light" w:cs="Calibri"/>
          <w:sz w:val="21"/>
          <w:szCs w:val="21"/>
        </w:rPr>
        <w:t>the Indonesian Government (</w:t>
      </w:r>
      <w:proofErr w:type="spellStart"/>
      <w:r w:rsidR="00EA75EB" w:rsidRPr="00241A6A">
        <w:rPr>
          <w:rFonts w:ascii="Calibri Light" w:hAnsi="Calibri Light" w:cs="Calibri"/>
          <w:sz w:val="21"/>
          <w:szCs w:val="21"/>
        </w:rPr>
        <w:t>Bappenas</w:t>
      </w:r>
      <w:proofErr w:type="spellEnd"/>
      <w:r w:rsidR="0063566D">
        <w:rPr>
          <w:rFonts w:ascii="Calibri Light" w:hAnsi="Calibri Light" w:cs="Calibri"/>
          <w:sz w:val="21"/>
          <w:szCs w:val="21"/>
        </w:rPr>
        <w:t xml:space="preserve"> as the lead agency, with relevant line Ministries such as the Mi</w:t>
      </w:r>
      <w:r w:rsidR="00BC6190">
        <w:rPr>
          <w:rFonts w:ascii="Calibri Light" w:hAnsi="Calibri Light" w:cs="Calibri"/>
          <w:sz w:val="21"/>
          <w:szCs w:val="21"/>
        </w:rPr>
        <w:t>ni</w:t>
      </w:r>
      <w:r w:rsidR="0063566D">
        <w:rPr>
          <w:rFonts w:ascii="Calibri Light" w:hAnsi="Calibri Light" w:cs="Calibri"/>
          <w:sz w:val="21"/>
          <w:szCs w:val="21"/>
        </w:rPr>
        <w:t>stry of Trade</w:t>
      </w:r>
      <w:r w:rsidRPr="00241A6A">
        <w:rPr>
          <w:rFonts w:ascii="Calibri Light" w:hAnsi="Calibri Light" w:cs="Calibri"/>
          <w:sz w:val="21"/>
          <w:szCs w:val="21"/>
        </w:rPr>
        <w:t>)</w:t>
      </w:r>
      <w:r w:rsidR="00EA75EB" w:rsidRPr="00241A6A">
        <w:rPr>
          <w:rFonts w:ascii="Calibri Light" w:hAnsi="Calibri Light" w:cs="Calibri"/>
          <w:sz w:val="21"/>
          <w:szCs w:val="21"/>
        </w:rPr>
        <w:t>.</w:t>
      </w:r>
    </w:p>
    <w:p w14:paraId="289B92F5" w14:textId="5E9F9741" w:rsidR="00501AB3" w:rsidRPr="007C4ABD" w:rsidRDefault="00241A6A" w:rsidP="009D3124">
      <w:pPr>
        <w:pStyle w:val="ListParagraph"/>
        <w:numPr>
          <w:ilvl w:val="0"/>
          <w:numId w:val="74"/>
        </w:numPr>
        <w:pBdr>
          <w:top w:val="single" w:sz="4" w:space="1" w:color="auto"/>
          <w:left w:val="single" w:sz="4" w:space="4" w:color="auto"/>
          <w:bottom w:val="single" w:sz="4" w:space="1" w:color="auto"/>
          <w:right w:val="single" w:sz="4" w:space="4" w:color="auto"/>
        </w:pBdr>
        <w:rPr>
          <w:rFonts w:ascii="Calibri Light" w:hAnsi="Calibri Light" w:cs="Calibri"/>
          <w:b/>
          <w:i/>
          <w:sz w:val="21"/>
          <w:szCs w:val="21"/>
        </w:rPr>
      </w:pPr>
      <w:r w:rsidRPr="00241A6A">
        <w:rPr>
          <w:rFonts w:ascii="Calibri Light" w:hAnsi="Calibri Light" w:cs="Calibri"/>
          <w:sz w:val="21"/>
          <w:szCs w:val="21"/>
        </w:rPr>
        <w:t>Establishment</w:t>
      </w:r>
      <w:r w:rsidR="00501AB3" w:rsidRPr="00241A6A">
        <w:rPr>
          <w:rFonts w:ascii="Calibri Light" w:hAnsi="Calibri Light" w:cs="Calibri"/>
          <w:sz w:val="21"/>
          <w:szCs w:val="21"/>
        </w:rPr>
        <w:t xml:space="preserve"> of ECP functional services, including the Secretariat function for the ECC, facilitating the Industry Engagement Advisory Group and its objectives</w:t>
      </w:r>
      <w:r w:rsidR="006601A9">
        <w:rPr>
          <w:rFonts w:ascii="Calibri Light" w:hAnsi="Calibri Light" w:cs="Calibri"/>
          <w:sz w:val="21"/>
          <w:szCs w:val="21"/>
        </w:rPr>
        <w:t xml:space="preserve"> (which should include identification of a pool of interested Australia and Indonesian firms for ECP activities)</w:t>
      </w:r>
      <w:r w:rsidR="003238DE" w:rsidRPr="00241A6A">
        <w:rPr>
          <w:rFonts w:ascii="Calibri Light" w:hAnsi="Calibri Light" w:cs="Calibri"/>
          <w:sz w:val="21"/>
          <w:szCs w:val="21"/>
        </w:rPr>
        <w:t>.</w:t>
      </w:r>
    </w:p>
    <w:p w14:paraId="5C6A4FA0" w14:textId="2FAAA6AA" w:rsidR="00BC6190" w:rsidRPr="00241A6A" w:rsidRDefault="00BC6190" w:rsidP="009D3124">
      <w:pPr>
        <w:pStyle w:val="ListParagraph"/>
        <w:numPr>
          <w:ilvl w:val="0"/>
          <w:numId w:val="74"/>
        </w:numPr>
        <w:pBdr>
          <w:top w:val="single" w:sz="4" w:space="1" w:color="auto"/>
          <w:left w:val="single" w:sz="4" w:space="4" w:color="auto"/>
          <w:bottom w:val="single" w:sz="4" w:space="1" w:color="auto"/>
          <w:right w:val="single" w:sz="4" w:space="4" w:color="auto"/>
        </w:pBdr>
        <w:rPr>
          <w:rFonts w:ascii="Calibri Light" w:hAnsi="Calibri Light" w:cs="Calibri"/>
          <w:b/>
          <w:i/>
          <w:sz w:val="21"/>
          <w:szCs w:val="21"/>
        </w:rPr>
      </w:pPr>
      <w:r>
        <w:rPr>
          <w:rFonts w:ascii="Calibri Light" w:hAnsi="Calibri Light" w:cs="Calibri"/>
          <w:sz w:val="21"/>
          <w:szCs w:val="21"/>
        </w:rPr>
        <w:lastRenderedPageBreak/>
        <w:t xml:space="preserve">Development of the Gender and Social </w:t>
      </w:r>
      <w:r w:rsidR="00DE683E">
        <w:rPr>
          <w:rFonts w:ascii="Calibri Light" w:hAnsi="Calibri Light" w:cs="Calibri"/>
          <w:sz w:val="21"/>
          <w:szCs w:val="21"/>
        </w:rPr>
        <w:t>Inclusion Action Strategy which will be integrated in each annual work program.</w:t>
      </w:r>
    </w:p>
    <w:p w14:paraId="015E84EA" w14:textId="0D133D30" w:rsidR="00EA75EB" w:rsidRPr="00E254AD" w:rsidRDefault="00EA75EB" w:rsidP="00241A6A">
      <w:pPr>
        <w:pBdr>
          <w:top w:val="single" w:sz="4" w:space="1" w:color="auto"/>
          <w:left w:val="single" w:sz="4" w:space="4" w:color="auto"/>
          <w:bottom w:val="single" w:sz="4" w:space="1" w:color="auto"/>
          <w:right w:val="single" w:sz="4" w:space="4" w:color="auto"/>
        </w:pBdr>
        <w:rPr>
          <w:rFonts w:ascii="Calibri Light" w:hAnsi="Calibri Light"/>
          <w:sz w:val="21"/>
          <w:szCs w:val="21"/>
        </w:rPr>
      </w:pPr>
      <w:r>
        <w:rPr>
          <w:rFonts w:ascii="Calibri Light" w:hAnsi="Calibri Light" w:cs="Calibri"/>
          <w:b/>
          <w:i/>
          <w:sz w:val="21"/>
          <w:szCs w:val="21"/>
        </w:rPr>
        <w:t>2020-2021 Budget: $</w:t>
      </w:r>
      <w:r w:rsidR="00296CF8">
        <w:rPr>
          <w:rFonts w:ascii="Calibri Light" w:hAnsi="Calibri Light" w:cs="Calibri"/>
          <w:b/>
          <w:i/>
          <w:sz w:val="21"/>
          <w:szCs w:val="21"/>
        </w:rPr>
        <w:t>1.6</w:t>
      </w:r>
      <w:r w:rsidRPr="00E254AD">
        <w:rPr>
          <w:rFonts w:ascii="Calibri Light" w:hAnsi="Calibri Light" w:cs="Calibri"/>
          <w:b/>
          <w:i/>
          <w:sz w:val="21"/>
          <w:szCs w:val="21"/>
        </w:rPr>
        <w:t>million</w:t>
      </w:r>
      <w:r w:rsidR="00FE040D">
        <w:rPr>
          <w:rFonts w:ascii="Calibri Light" w:hAnsi="Calibri Light"/>
          <w:sz w:val="21"/>
          <w:szCs w:val="21"/>
        </w:rPr>
        <w:t xml:space="preserve"> </w:t>
      </w:r>
    </w:p>
    <w:p w14:paraId="221DBA22" w14:textId="77777777" w:rsidR="00EA75EB" w:rsidRDefault="00EA75EB" w:rsidP="00EA75EB">
      <w:pPr>
        <w:rPr>
          <w:rFonts w:ascii="Calibri Light" w:hAnsi="Calibri Light"/>
          <w:sz w:val="21"/>
          <w:szCs w:val="21"/>
        </w:rPr>
      </w:pPr>
    </w:p>
    <w:p w14:paraId="697A7BDF" w14:textId="146CB339" w:rsidR="00EA75EB" w:rsidRDefault="00EA75EB" w:rsidP="00EA75EB">
      <w:pPr>
        <w:pBdr>
          <w:top w:val="single" w:sz="4" w:space="1" w:color="auto"/>
          <w:left w:val="single" w:sz="4" w:space="4" w:color="auto"/>
          <w:bottom w:val="single" w:sz="4" w:space="1" w:color="auto"/>
          <w:right w:val="single" w:sz="4" w:space="4" w:color="auto"/>
        </w:pBdr>
        <w:rPr>
          <w:rFonts w:ascii="Calibri Light" w:hAnsi="Calibri Light" w:cs="Calibri"/>
          <w:b/>
          <w:szCs w:val="21"/>
        </w:rPr>
      </w:pPr>
      <w:r>
        <w:rPr>
          <w:rFonts w:ascii="Calibri Light" w:hAnsi="Calibri Light" w:cs="Calibri"/>
          <w:b/>
          <w:szCs w:val="21"/>
        </w:rPr>
        <w:t>2.</w:t>
      </w:r>
      <w:r w:rsidR="000B55E8">
        <w:rPr>
          <w:rFonts w:ascii="Calibri Light" w:hAnsi="Calibri Light" w:cs="Calibri"/>
          <w:b/>
          <w:szCs w:val="21"/>
        </w:rPr>
        <w:t xml:space="preserve"> </w:t>
      </w:r>
      <w:r w:rsidRPr="002539E3">
        <w:rPr>
          <w:rFonts w:ascii="Calibri Light" w:hAnsi="Calibri Light" w:cs="Calibri"/>
          <w:b/>
          <w:szCs w:val="21"/>
        </w:rPr>
        <w:t xml:space="preserve">Launching the new Indonesia-Australia </w:t>
      </w:r>
      <w:proofErr w:type="spellStart"/>
      <w:r w:rsidRPr="002539E3">
        <w:rPr>
          <w:rFonts w:ascii="Calibri Light" w:hAnsi="Calibri Light" w:cs="Calibri"/>
          <w:b/>
          <w:szCs w:val="21"/>
        </w:rPr>
        <w:t>Agrifood</w:t>
      </w:r>
      <w:proofErr w:type="spellEnd"/>
      <w:r w:rsidRPr="002539E3">
        <w:rPr>
          <w:rFonts w:ascii="Calibri Light" w:hAnsi="Calibri Light" w:cs="Calibri"/>
          <w:b/>
          <w:szCs w:val="21"/>
        </w:rPr>
        <w:t xml:space="preserve"> </w:t>
      </w:r>
      <w:r w:rsidR="00D07C6A" w:rsidRPr="002539E3">
        <w:rPr>
          <w:rFonts w:ascii="Calibri Light" w:hAnsi="Calibri Light" w:cs="Calibri"/>
          <w:b/>
          <w:szCs w:val="21"/>
        </w:rPr>
        <w:t xml:space="preserve">Innovation </w:t>
      </w:r>
      <w:r w:rsidRPr="002539E3">
        <w:rPr>
          <w:rFonts w:ascii="Calibri Light" w:hAnsi="Calibri Light" w:cs="Calibri"/>
          <w:b/>
          <w:szCs w:val="21"/>
        </w:rPr>
        <w:t>Partnerships</w:t>
      </w:r>
    </w:p>
    <w:p w14:paraId="1AEF1755" w14:textId="2885C073" w:rsidR="00EA75EB" w:rsidRDefault="00EA75EB" w:rsidP="00EA75EB">
      <w:pPr>
        <w:pBdr>
          <w:top w:val="single" w:sz="4" w:space="1" w:color="auto"/>
          <w:left w:val="single" w:sz="4" w:space="4" w:color="auto"/>
          <w:bottom w:val="single" w:sz="4" w:space="1" w:color="auto"/>
          <w:right w:val="single" w:sz="4" w:space="4" w:color="auto"/>
        </w:pBdr>
        <w:rPr>
          <w:rFonts w:ascii="Calibri Light" w:hAnsi="Calibri Light" w:cs="Calibri"/>
          <w:sz w:val="21"/>
          <w:szCs w:val="21"/>
        </w:rPr>
      </w:pPr>
      <w:r>
        <w:rPr>
          <w:rFonts w:ascii="Calibri Light" w:hAnsi="Calibri Light" w:cs="Calibri"/>
          <w:sz w:val="21"/>
          <w:szCs w:val="21"/>
        </w:rPr>
        <w:t xml:space="preserve">Reflecting the priority and significant opportunity to enhance agricultural partnership, trade and investment between Australia and Indonesia a new Indonesia-Australia </w:t>
      </w:r>
      <w:proofErr w:type="spellStart"/>
      <w:r>
        <w:rPr>
          <w:rFonts w:ascii="Calibri Light" w:hAnsi="Calibri Light" w:cs="Calibri"/>
          <w:sz w:val="21"/>
          <w:szCs w:val="21"/>
        </w:rPr>
        <w:t>Agrifood</w:t>
      </w:r>
      <w:proofErr w:type="spellEnd"/>
      <w:r>
        <w:rPr>
          <w:rFonts w:ascii="Calibri Light" w:hAnsi="Calibri Light" w:cs="Calibri"/>
          <w:sz w:val="21"/>
          <w:szCs w:val="21"/>
        </w:rPr>
        <w:t xml:space="preserve"> </w:t>
      </w:r>
      <w:r w:rsidR="00D07C6A">
        <w:rPr>
          <w:rFonts w:ascii="Calibri Light" w:hAnsi="Calibri Light" w:cs="Calibri"/>
          <w:sz w:val="21"/>
          <w:szCs w:val="21"/>
        </w:rPr>
        <w:t xml:space="preserve">Innovation </w:t>
      </w:r>
      <w:r>
        <w:rPr>
          <w:rFonts w:ascii="Calibri Light" w:hAnsi="Calibri Light" w:cs="Calibri"/>
          <w:sz w:val="21"/>
          <w:szCs w:val="21"/>
        </w:rPr>
        <w:t xml:space="preserve">Partnership will be launched in the first 12 months the ECP. </w:t>
      </w:r>
      <w:r w:rsidRPr="002539E3">
        <w:rPr>
          <w:rFonts w:ascii="Calibri Light" w:hAnsi="Calibri Light" w:cs="Calibri"/>
          <w:b/>
          <w:sz w:val="21"/>
          <w:szCs w:val="21"/>
        </w:rPr>
        <w:t>Commencing with a Grains Partnership</w:t>
      </w:r>
      <w:r w:rsidRPr="0048696E">
        <w:rPr>
          <w:rFonts w:ascii="Calibri Light" w:hAnsi="Calibri Light" w:cs="Calibri"/>
          <w:sz w:val="21"/>
          <w:szCs w:val="21"/>
        </w:rPr>
        <w:t>, the ECP will support deeper industry engagement on grains for food (with a view to innovation in Indonesia and third markets) and feed (for a more efficient and productive farming sector in Indonesia</w:t>
      </w:r>
      <w:r w:rsidR="008434CE">
        <w:rPr>
          <w:rFonts w:ascii="Calibri Light" w:hAnsi="Calibri Light" w:cs="Calibri"/>
          <w:sz w:val="21"/>
          <w:szCs w:val="21"/>
        </w:rPr>
        <w:t xml:space="preserve">, </w:t>
      </w:r>
      <w:r w:rsidR="008434CE">
        <w:rPr>
          <w:rFonts w:cs="Calibri"/>
          <w:sz w:val="21"/>
          <w:szCs w:val="21"/>
        </w:rPr>
        <w:t xml:space="preserve">with enhanced </w:t>
      </w:r>
      <w:r w:rsidR="008434CE" w:rsidRPr="00785F2F">
        <w:rPr>
          <w:rFonts w:cs="Calibri"/>
          <w:sz w:val="21"/>
          <w:szCs w:val="21"/>
        </w:rPr>
        <w:t>animal health outcomes</w:t>
      </w:r>
      <w:r>
        <w:rPr>
          <w:rFonts w:ascii="Calibri Light" w:hAnsi="Calibri Light" w:cs="Calibri"/>
          <w:sz w:val="21"/>
          <w:szCs w:val="21"/>
        </w:rPr>
        <w:t xml:space="preserve">). A Technical Adviser, Partnerships (0.5 x FTE), will be appointed and resourced to deliver: </w:t>
      </w:r>
    </w:p>
    <w:p w14:paraId="615ED6AB" w14:textId="5973335D" w:rsidR="00EA75EB" w:rsidRPr="00F170EA" w:rsidRDefault="00EA75EB" w:rsidP="009D3124">
      <w:pPr>
        <w:pStyle w:val="ListParagraph"/>
        <w:numPr>
          <w:ilvl w:val="0"/>
          <w:numId w:val="75"/>
        </w:numPr>
        <w:pBdr>
          <w:top w:val="single" w:sz="4" w:space="1" w:color="auto"/>
          <w:left w:val="single" w:sz="4" w:space="4" w:color="auto"/>
          <w:bottom w:val="single" w:sz="4" w:space="1" w:color="auto"/>
          <w:right w:val="single" w:sz="4" w:space="4" w:color="auto"/>
        </w:pBdr>
        <w:rPr>
          <w:rFonts w:ascii="Calibri Light" w:hAnsi="Calibri Light" w:cs="Calibri"/>
          <w:sz w:val="21"/>
          <w:szCs w:val="21"/>
        </w:rPr>
      </w:pPr>
      <w:r w:rsidRPr="00F170EA">
        <w:rPr>
          <w:rFonts w:ascii="Calibri Light" w:hAnsi="Calibri Light" w:cs="Calibri"/>
          <w:sz w:val="21"/>
          <w:szCs w:val="21"/>
        </w:rPr>
        <w:t xml:space="preserve">A grains value-chain leadership course over two weeks in Australia for up to 25 people. Participants will include Indonesian </w:t>
      </w:r>
      <w:r w:rsidR="003E61FA" w:rsidRPr="00F170EA">
        <w:rPr>
          <w:rFonts w:ascii="Calibri Light" w:hAnsi="Calibri Light" w:cs="Calibri"/>
          <w:sz w:val="21"/>
          <w:szCs w:val="21"/>
        </w:rPr>
        <w:t>G</w:t>
      </w:r>
      <w:r w:rsidRPr="00F170EA">
        <w:rPr>
          <w:rFonts w:ascii="Calibri Light" w:hAnsi="Calibri Light" w:cs="Calibri"/>
          <w:sz w:val="21"/>
          <w:szCs w:val="21"/>
        </w:rPr>
        <w:t xml:space="preserve">overnment officials and middle managers from businesses such as: flour and feed milling; food processing; and livestock production. People from medium or larger Indonesian businesses involved in grains/food value chains that operate nationally, but are not yet involved in export would be encouraged to be part of the leadership course. These ‘export ready’ firms are well positioned to take the next step and become involved in exporting, which is a high priority for the Indonesian </w:t>
      </w:r>
      <w:r w:rsidR="003E61FA" w:rsidRPr="00F170EA">
        <w:rPr>
          <w:rFonts w:ascii="Calibri Light" w:hAnsi="Calibri Light" w:cs="Calibri"/>
          <w:sz w:val="21"/>
          <w:szCs w:val="21"/>
        </w:rPr>
        <w:t>G</w:t>
      </w:r>
      <w:r w:rsidRPr="00F170EA">
        <w:rPr>
          <w:rFonts w:ascii="Calibri Light" w:hAnsi="Calibri Light" w:cs="Calibri"/>
          <w:sz w:val="21"/>
          <w:szCs w:val="21"/>
        </w:rPr>
        <w:t>overnment.</w:t>
      </w:r>
    </w:p>
    <w:p w14:paraId="0E5E4035" w14:textId="3C86344E" w:rsidR="00EA75EB" w:rsidRPr="00F170EA" w:rsidRDefault="00EA75EB" w:rsidP="009D3124">
      <w:pPr>
        <w:pStyle w:val="ListParagraph"/>
        <w:numPr>
          <w:ilvl w:val="0"/>
          <w:numId w:val="75"/>
        </w:numPr>
        <w:pBdr>
          <w:top w:val="single" w:sz="4" w:space="1" w:color="auto"/>
          <w:left w:val="single" w:sz="4" w:space="4" w:color="auto"/>
          <w:bottom w:val="single" w:sz="4" w:space="1" w:color="auto"/>
          <w:right w:val="single" w:sz="4" w:space="4" w:color="auto"/>
        </w:pBdr>
        <w:rPr>
          <w:rFonts w:ascii="Calibri Light" w:hAnsi="Calibri Light" w:cs="Calibri"/>
          <w:sz w:val="21"/>
          <w:szCs w:val="21"/>
        </w:rPr>
      </w:pPr>
      <w:r w:rsidRPr="00F170EA">
        <w:rPr>
          <w:rFonts w:ascii="Calibri Light" w:hAnsi="Calibri Light" w:cs="Calibri"/>
          <w:sz w:val="21"/>
          <w:szCs w:val="21"/>
        </w:rPr>
        <w:t>A scoping study will be conducted in the first year to identify the major technical barriers (and identify other factors such as capital or infrastructure) for Indonesian feed mills becoming more successful in constantly adapting operations to more closely match changing supply and demand.</w:t>
      </w:r>
    </w:p>
    <w:p w14:paraId="2DD5D868" w14:textId="77777777" w:rsidR="00D74DD2" w:rsidRPr="00F170EA" w:rsidRDefault="00D74DD2" w:rsidP="00D74DD2">
      <w:pPr>
        <w:pStyle w:val="ListParagraph"/>
        <w:numPr>
          <w:ilvl w:val="0"/>
          <w:numId w:val="75"/>
        </w:numPr>
        <w:pBdr>
          <w:top w:val="single" w:sz="4" w:space="1" w:color="auto"/>
          <w:left w:val="single" w:sz="4" w:space="4" w:color="auto"/>
          <w:bottom w:val="single" w:sz="4" w:space="1" w:color="auto"/>
          <w:right w:val="single" w:sz="4" w:space="4" w:color="auto"/>
        </w:pBdr>
        <w:rPr>
          <w:rFonts w:ascii="Calibri Light" w:hAnsi="Calibri Light" w:cs="Calibri"/>
          <w:sz w:val="21"/>
          <w:szCs w:val="21"/>
        </w:rPr>
      </w:pPr>
      <w:r w:rsidRPr="00F170EA">
        <w:rPr>
          <w:rFonts w:ascii="Calibri Light" w:hAnsi="Calibri Light" w:cs="Calibri"/>
          <w:sz w:val="21"/>
          <w:szCs w:val="21"/>
        </w:rPr>
        <w:t xml:space="preserve">Work will commence on a new government-to-government partnership to improve </w:t>
      </w:r>
      <w:r>
        <w:rPr>
          <w:rFonts w:ascii="Calibri Light" w:hAnsi="Calibri Light" w:cs="Calibri"/>
          <w:sz w:val="21"/>
          <w:szCs w:val="21"/>
        </w:rPr>
        <w:t xml:space="preserve">agricultural </w:t>
      </w:r>
      <w:r w:rsidRPr="00F170EA">
        <w:rPr>
          <w:rFonts w:ascii="Calibri Light" w:hAnsi="Calibri Light" w:cs="Calibri"/>
          <w:sz w:val="21"/>
          <w:szCs w:val="21"/>
        </w:rPr>
        <w:t xml:space="preserve">forecasting capabilities through </w:t>
      </w:r>
      <w:r>
        <w:rPr>
          <w:rFonts w:ascii="Calibri Light" w:hAnsi="Calibri Light" w:cs="Calibri"/>
          <w:sz w:val="21"/>
          <w:szCs w:val="21"/>
        </w:rPr>
        <w:t xml:space="preserve">interactions </w:t>
      </w:r>
      <w:r w:rsidRPr="00F170EA">
        <w:rPr>
          <w:rFonts w:ascii="Calibri Light" w:hAnsi="Calibri Light" w:cs="Calibri"/>
          <w:sz w:val="21"/>
          <w:szCs w:val="21"/>
        </w:rPr>
        <w:t xml:space="preserve">between ABARES and the Indonesian Ministry of Agriculture. </w:t>
      </w:r>
    </w:p>
    <w:p w14:paraId="1DEA9AFF" w14:textId="5AAA7B50" w:rsidR="00EA75EB" w:rsidRPr="00F170EA" w:rsidRDefault="00EA75EB" w:rsidP="009D3124">
      <w:pPr>
        <w:pStyle w:val="ListParagraph"/>
        <w:numPr>
          <w:ilvl w:val="0"/>
          <w:numId w:val="75"/>
        </w:numPr>
        <w:pBdr>
          <w:top w:val="single" w:sz="4" w:space="1" w:color="auto"/>
          <w:left w:val="single" w:sz="4" w:space="4" w:color="auto"/>
          <w:bottom w:val="single" w:sz="4" w:space="1" w:color="auto"/>
          <w:right w:val="single" w:sz="4" w:space="4" w:color="auto"/>
        </w:pBdr>
        <w:rPr>
          <w:rFonts w:ascii="Calibri Light" w:hAnsi="Calibri Light" w:cs="Calibri"/>
          <w:sz w:val="21"/>
          <w:szCs w:val="21"/>
        </w:rPr>
      </w:pPr>
      <w:r w:rsidRPr="00F170EA">
        <w:rPr>
          <w:rFonts w:ascii="Calibri Light" w:hAnsi="Calibri Light" w:cs="Calibri"/>
          <w:sz w:val="21"/>
          <w:szCs w:val="21"/>
        </w:rPr>
        <w:t xml:space="preserve">Work will also commence on a Food Advantage program </w:t>
      </w:r>
      <w:r w:rsidRPr="00F170EA">
        <w:rPr>
          <w:rFonts w:ascii="Calibri Light" w:hAnsi="Calibri Light" w:cs="Calibri"/>
          <w:b/>
          <w:sz w:val="21"/>
          <w:szCs w:val="21"/>
        </w:rPr>
        <w:t xml:space="preserve">supporting Indonesian </w:t>
      </w:r>
      <w:r w:rsidR="003238DE" w:rsidRPr="00F170EA">
        <w:rPr>
          <w:rFonts w:ascii="Calibri Light" w:hAnsi="Calibri Light" w:cs="Calibri"/>
          <w:b/>
          <w:sz w:val="21"/>
          <w:szCs w:val="21"/>
        </w:rPr>
        <w:t>M</w:t>
      </w:r>
      <w:r w:rsidRPr="00F170EA">
        <w:rPr>
          <w:rFonts w:ascii="Calibri Light" w:hAnsi="Calibri Light" w:cs="Calibri"/>
          <w:b/>
          <w:sz w:val="21"/>
          <w:szCs w:val="21"/>
        </w:rPr>
        <w:t>SME’s</w:t>
      </w:r>
      <w:r w:rsidRPr="00F170EA">
        <w:rPr>
          <w:rFonts w:ascii="Calibri Light" w:hAnsi="Calibri Light" w:cs="Calibri"/>
          <w:sz w:val="21"/>
          <w:szCs w:val="21"/>
        </w:rPr>
        <w:t xml:space="preserve">. The program will adopt a train the trainer model and deliver technical training modules for SME’s involved in the production of baked goods and fresh noodles. In particular, the training will use quality flour and blends to train </w:t>
      </w:r>
      <w:r w:rsidR="003238DE" w:rsidRPr="00F170EA">
        <w:rPr>
          <w:rFonts w:ascii="Calibri Light" w:hAnsi="Calibri Light" w:cs="Calibri"/>
          <w:sz w:val="21"/>
          <w:szCs w:val="21"/>
        </w:rPr>
        <w:t>M</w:t>
      </w:r>
      <w:r w:rsidRPr="00F170EA">
        <w:rPr>
          <w:rFonts w:ascii="Calibri Light" w:hAnsi="Calibri Light" w:cs="Calibri"/>
          <w:sz w:val="21"/>
          <w:szCs w:val="21"/>
        </w:rPr>
        <w:t>SME’s in how to optimise value to their business.</w:t>
      </w:r>
    </w:p>
    <w:p w14:paraId="4C48F9B5" w14:textId="1E9D1E0B" w:rsidR="00EA75EB" w:rsidRDefault="00EA75EB" w:rsidP="00EA75EB">
      <w:pPr>
        <w:pBdr>
          <w:top w:val="single" w:sz="4" w:space="1" w:color="auto"/>
          <w:left w:val="single" w:sz="4" w:space="4" w:color="auto"/>
          <w:bottom w:val="single" w:sz="4" w:space="1" w:color="auto"/>
          <w:right w:val="single" w:sz="4" w:space="4" w:color="auto"/>
        </w:pBdr>
        <w:rPr>
          <w:rFonts w:ascii="Calibri Light" w:hAnsi="Calibri Light" w:cs="Calibri"/>
          <w:sz w:val="21"/>
          <w:szCs w:val="21"/>
        </w:rPr>
      </w:pPr>
      <w:r>
        <w:rPr>
          <w:rFonts w:ascii="Calibri Light" w:hAnsi="Calibri Light" w:cs="Calibri"/>
          <w:sz w:val="21"/>
          <w:szCs w:val="21"/>
        </w:rPr>
        <w:t xml:space="preserve">In future years, the </w:t>
      </w:r>
      <w:proofErr w:type="spellStart"/>
      <w:r w:rsidR="00D07C6A">
        <w:rPr>
          <w:rFonts w:ascii="Calibri Light" w:hAnsi="Calibri Light" w:cs="Calibri"/>
          <w:sz w:val="21"/>
          <w:szCs w:val="21"/>
        </w:rPr>
        <w:t>A</w:t>
      </w:r>
      <w:r>
        <w:rPr>
          <w:rFonts w:ascii="Calibri Light" w:hAnsi="Calibri Light" w:cs="Calibri"/>
          <w:sz w:val="21"/>
          <w:szCs w:val="21"/>
        </w:rPr>
        <w:t>grifood</w:t>
      </w:r>
      <w:proofErr w:type="spellEnd"/>
      <w:r>
        <w:rPr>
          <w:rFonts w:ascii="Calibri Light" w:hAnsi="Calibri Light" w:cs="Calibri"/>
          <w:sz w:val="21"/>
          <w:szCs w:val="21"/>
        </w:rPr>
        <w:t xml:space="preserve"> </w:t>
      </w:r>
      <w:r w:rsidR="00D07C6A">
        <w:rPr>
          <w:rFonts w:ascii="Calibri Light" w:hAnsi="Calibri Light" w:cs="Calibri"/>
          <w:sz w:val="21"/>
          <w:szCs w:val="21"/>
        </w:rPr>
        <w:t>Innovation P</w:t>
      </w:r>
      <w:r>
        <w:rPr>
          <w:rFonts w:ascii="Calibri Light" w:hAnsi="Calibri Light" w:cs="Calibri"/>
          <w:sz w:val="21"/>
          <w:szCs w:val="21"/>
        </w:rPr>
        <w:t xml:space="preserve">artnership will be expanded to other priority agricultural </w:t>
      </w:r>
      <w:r w:rsidR="00D07C6A">
        <w:rPr>
          <w:rFonts w:ascii="Calibri Light" w:hAnsi="Calibri Light" w:cs="Calibri"/>
          <w:sz w:val="21"/>
          <w:szCs w:val="21"/>
        </w:rPr>
        <w:t xml:space="preserve">sectors </w:t>
      </w:r>
      <w:r>
        <w:rPr>
          <w:rFonts w:ascii="Calibri Light" w:hAnsi="Calibri Light" w:cs="Calibri"/>
          <w:sz w:val="21"/>
          <w:szCs w:val="21"/>
        </w:rPr>
        <w:t xml:space="preserve">such as horticulture and </w:t>
      </w:r>
      <w:r w:rsidR="00E25A18">
        <w:rPr>
          <w:rFonts w:ascii="Calibri Light" w:hAnsi="Calibri Light" w:cs="Calibri"/>
          <w:sz w:val="21"/>
          <w:szCs w:val="21"/>
        </w:rPr>
        <w:t xml:space="preserve">could </w:t>
      </w:r>
      <w:r>
        <w:rPr>
          <w:rFonts w:ascii="Calibri Light" w:hAnsi="Calibri Light" w:cs="Calibri"/>
          <w:sz w:val="21"/>
          <w:szCs w:val="21"/>
        </w:rPr>
        <w:t xml:space="preserve">incorporate activities on animal welfare. </w:t>
      </w:r>
    </w:p>
    <w:p w14:paraId="26A08320" w14:textId="79B81AC6" w:rsidR="00EA75EB" w:rsidRPr="00E254AD" w:rsidRDefault="00EA75EB" w:rsidP="00EA75EB">
      <w:pPr>
        <w:pBdr>
          <w:top w:val="single" w:sz="4" w:space="1" w:color="auto"/>
          <w:left w:val="single" w:sz="4" w:space="4" w:color="auto"/>
          <w:bottom w:val="single" w:sz="4" w:space="1" w:color="auto"/>
          <w:right w:val="single" w:sz="4" w:space="4" w:color="auto"/>
        </w:pBdr>
        <w:rPr>
          <w:rFonts w:ascii="Calibri Light" w:hAnsi="Calibri Light"/>
          <w:sz w:val="21"/>
          <w:szCs w:val="21"/>
        </w:rPr>
      </w:pPr>
      <w:r w:rsidRPr="00E254AD">
        <w:rPr>
          <w:rFonts w:ascii="Calibri Light" w:hAnsi="Calibri Light" w:cs="Calibri"/>
          <w:b/>
          <w:i/>
          <w:sz w:val="21"/>
          <w:szCs w:val="21"/>
        </w:rPr>
        <w:t>2020-2021 Budget: $</w:t>
      </w:r>
      <w:r>
        <w:rPr>
          <w:rFonts w:ascii="Calibri Light" w:hAnsi="Calibri Light" w:cs="Calibri"/>
          <w:b/>
          <w:i/>
          <w:sz w:val="21"/>
          <w:szCs w:val="21"/>
        </w:rPr>
        <w:t>0.</w:t>
      </w:r>
      <w:r w:rsidR="00F12F2D">
        <w:rPr>
          <w:rFonts w:ascii="Calibri Light" w:hAnsi="Calibri Light" w:cs="Calibri"/>
          <w:b/>
          <w:i/>
          <w:sz w:val="21"/>
          <w:szCs w:val="21"/>
        </w:rPr>
        <w:t>9</w:t>
      </w:r>
      <w:r w:rsidR="00F12F2D" w:rsidRPr="00E254AD">
        <w:rPr>
          <w:rFonts w:ascii="Calibri Light" w:hAnsi="Calibri Light" w:cs="Calibri"/>
          <w:b/>
          <w:i/>
          <w:sz w:val="21"/>
          <w:szCs w:val="21"/>
        </w:rPr>
        <w:t xml:space="preserve"> </w:t>
      </w:r>
      <w:r w:rsidRPr="00E254AD">
        <w:rPr>
          <w:rFonts w:ascii="Calibri Light" w:hAnsi="Calibri Light" w:cs="Calibri"/>
          <w:b/>
          <w:i/>
          <w:sz w:val="21"/>
          <w:szCs w:val="21"/>
        </w:rPr>
        <w:t>million</w:t>
      </w:r>
      <w:r w:rsidRPr="00E254AD">
        <w:rPr>
          <w:rFonts w:ascii="Calibri Light" w:hAnsi="Calibri Light"/>
          <w:sz w:val="21"/>
          <w:szCs w:val="21"/>
        </w:rPr>
        <w:t xml:space="preserve"> </w:t>
      </w:r>
    </w:p>
    <w:p w14:paraId="76D32B74" w14:textId="77777777" w:rsidR="00EA75EB" w:rsidRDefault="00EA75EB" w:rsidP="00EA75EB">
      <w:pPr>
        <w:rPr>
          <w:rFonts w:ascii="Calibri Light" w:hAnsi="Calibri Light"/>
          <w:sz w:val="21"/>
          <w:szCs w:val="21"/>
        </w:rPr>
      </w:pPr>
    </w:p>
    <w:p w14:paraId="1E36F043" w14:textId="1ABBA17F" w:rsidR="00EA75EB" w:rsidRDefault="00EA75EB" w:rsidP="00EA75EB">
      <w:pPr>
        <w:pBdr>
          <w:top w:val="single" w:sz="4" w:space="1" w:color="auto"/>
          <w:left w:val="single" w:sz="4" w:space="4" w:color="auto"/>
          <w:bottom w:val="single" w:sz="4" w:space="1" w:color="auto"/>
          <w:right w:val="single" w:sz="4" w:space="4" w:color="auto"/>
        </w:pBdr>
        <w:rPr>
          <w:rFonts w:ascii="Calibri Light" w:hAnsi="Calibri Light" w:cs="Calibri"/>
          <w:b/>
          <w:szCs w:val="21"/>
        </w:rPr>
      </w:pPr>
      <w:r>
        <w:rPr>
          <w:rFonts w:ascii="Calibri Light" w:hAnsi="Calibri Light" w:cs="Calibri"/>
          <w:b/>
          <w:szCs w:val="21"/>
        </w:rPr>
        <w:t>3.</w:t>
      </w:r>
      <w:r w:rsidR="000B55E8">
        <w:rPr>
          <w:rFonts w:ascii="Calibri Light" w:hAnsi="Calibri Light" w:cs="Calibri"/>
          <w:b/>
          <w:szCs w:val="21"/>
        </w:rPr>
        <w:t xml:space="preserve"> </w:t>
      </w:r>
      <w:r>
        <w:rPr>
          <w:rFonts w:ascii="Calibri Light" w:hAnsi="Calibri Light" w:cs="Calibri"/>
          <w:b/>
          <w:szCs w:val="21"/>
        </w:rPr>
        <w:t>Powering Advanced Manufacturing</w:t>
      </w:r>
    </w:p>
    <w:p w14:paraId="3CABFC34" w14:textId="27575FB3" w:rsidR="00EA75EB" w:rsidRDefault="00EA75EB" w:rsidP="00EA75EB">
      <w:pPr>
        <w:pBdr>
          <w:top w:val="single" w:sz="4" w:space="1" w:color="auto"/>
          <w:left w:val="single" w:sz="4" w:space="4" w:color="auto"/>
          <w:bottom w:val="single" w:sz="4" w:space="1" w:color="auto"/>
          <w:right w:val="single" w:sz="4" w:space="4" w:color="auto"/>
        </w:pBdr>
        <w:rPr>
          <w:rFonts w:ascii="Calibri Light" w:hAnsi="Calibri Light" w:cs="Calibri"/>
          <w:sz w:val="21"/>
          <w:szCs w:val="21"/>
        </w:rPr>
      </w:pPr>
      <w:r w:rsidRPr="005122AA">
        <w:rPr>
          <w:rFonts w:ascii="Calibri Light" w:hAnsi="Calibri Light" w:cs="Calibri"/>
          <w:sz w:val="21"/>
          <w:szCs w:val="21"/>
        </w:rPr>
        <w:t xml:space="preserve">Advanced manufacturing has the potential to add value and transform Indonesia’s productivity and industrial development. Australia has complimentary skills </w:t>
      </w:r>
      <w:r w:rsidR="00BD3124">
        <w:rPr>
          <w:rFonts w:ascii="Calibri Light" w:hAnsi="Calibri Light" w:cs="Calibri"/>
          <w:sz w:val="21"/>
          <w:szCs w:val="21"/>
        </w:rPr>
        <w:t xml:space="preserve">and is a source of raw materials and manufactured inputs </w:t>
      </w:r>
      <w:r w:rsidRPr="005122AA">
        <w:rPr>
          <w:rFonts w:ascii="Calibri Light" w:hAnsi="Calibri Light" w:cs="Calibri"/>
          <w:sz w:val="21"/>
          <w:szCs w:val="21"/>
        </w:rPr>
        <w:t>to support these goals in high value sectors</w:t>
      </w:r>
      <w:r>
        <w:rPr>
          <w:rFonts w:ascii="Calibri Light" w:hAnsi="Calibri Light" w:cs="Calibri"/>
          <w:sz w:val="21"/>
          <w:szCs w:val="21"/>
        </w:rPr>
        <w:t xml:space="preserve">. A Technical Adviser, Partnerships (0.5 x FTE), will be appointed and resourced to deliver: </w:t>
      </w:r>
    </w:p>
    <w:p w14:paraId="2CF723C5" w14:textId="24DCFAA5" w:rsidR="00EA75EB" w:rsidRDefault="00EA75EB" w:rsidP="009D3124">
      <w:pPr>
        <w:pStyle w:val="ListParagraph"/>
        <w:numPr>
          <w:ilvl w:val="0"/>
          <w:numId w:val="76"/>
        </w:numPr>
        <w:pBdr>
          <w:top w:val="single" w:sz="4" w:space="1" w:color="auto"/>
          <w:left w:val="single" w:sz="4" w:space="4" w:color="auto"/>
          <w:bottom w:val="single" w:sz="4" w:space="1" w:color="auto"/>
          <w:right w:val="single" w:sz="4" w:space="4" w:color="auto"/>
        </w:pBdr>
        <w:rPr>
          <w:rFonts w:ascii="Calibri Light" w:hAnsi="Calibri Light" w:cs="Calibri"/>
          <w:sz w:val="21"/>
          <w:szCs w:val="21"/>
        </w:rPr>
      </w:pPr>
      <w:r w:rsidRPr="00F170EA">
        <w:rPr>
          <w:rFonts w:ascii="Calibri Light" w:hAnsi="Calibri Light" w:cs="Calibri"/>
          <w:sz w:val="21"/>
          <w:szCs w:val="21"/>
        </w:rPr>
        <w:t xml:space="preserve">A dialogue between Indonesian automotive industry and Australia’s advanced manufacturing industry to explore opportunities to support Indonesia’s planned electric vehicle program, </w:t>
      </w:r>
      <w:r w:rsidR="00BD3124">
        <w:rPr>
          <w:rFonts w:ascii="Calibri Light" w:hAnsi="Calibri Light" w:cs="Calibri"/>
          <w:sz w:val="21"/>
          <w:szCs w:val="21"/>
        </w:rPr>
        <w:t xml:space="preserve">including through supporting the development of commercial linkages between Australian automotive componentry manufacturers and Indonesia’s vehicle industry, and through </w:t>
      </w:r>
      <w:r w:rsidRPr="00F170EA">
        <w:rPr>
          <w:rFonts w:ascii="Calibri Light" w:hAnsi="Calibri Light" w:cs="Calibri"/>
          <w:sz w:val="21"/>
          <w:szCs w:val="21"/>
        </w:rPr>
        <w:t xml:space="preserve">building on Australia’s </w:t>
      </w:r>
      <w:r w:rsidR="00FE39AE" w:rsidRPr="00F170EA">
        <w:rPr>
          <w:rFonts w:ascii="Calibri Light" w:hAnsi="Calibri Light" w:cs="Calibri"/>
          <w:sz w:val="21"/>
          <w:szCs w:val="21"/>
        </w:rPr>
        <w:t>lithium</w:t>
      </w:r>
      <w:r w:rsidR="00BD3124">
        <w:rPr>
          <w:rFonts w:ascii="Calibri Light" w:hAnsi="Calibri Light" w:cs="Calibri"/>
          <w:sz w:val="21"/>
          <w:szCs w:val="21"/>
        </w:rPr>
        <w:t xml:space="preserve"> mining expertise and developing </w:t>
      </w:r>
      <w:r w:rsidR="00BD3124" w:rsidRPr="00F170EA">
        <w:rPr>
          <w:rFonts w:ascii="Calibri Light" w:hAnsi="Calibri Light" w:cs="Calibri"/>
          <w:sz w:val="21"/>
          <w:szCs w:val="21"/>
        </w:rPr>
        <w:t>lithium</w:t>
      </w:r>
      <w:r w:rsidR="00BD3124">
        <w:rPr>
          <w:rFonts w:ascii="Calibri Light" w:hAnsi="Calibri Light" w:cs="Calibri"/>
          <w:sz w:val="21"/>
          <w:szCs w:val="21"/>
        </w:rPr>
        <w:t>-ion</w:t>
      </w:r>
      <w:r w:rsidR="00BD3124" w:rsidRPr="00F170EA">
        <w:rPr>
          <w:rFonts w:ascii="Calibri Light" w:hAnsi="Calibri Light" w:cs="Calibri"/>
          <w:sz w:val="21"/>
          <w:szCs w:val="21"/>
        </w:rPr>
        <w:t xml:space="preserve"> battery technolog</w:t>
      </w:r>
      <w:r w:rsidR="00BD3124">
        <w:rPr>
          <w:rFonts w:ascii="Calibri Light" w:hAnsi="Calibri Light" w:cs="Calibri"/>
          <w:sz w:val="21"/>
          <w:szCs w:val="21"/>
        </w:rPr>
        <w:t>ies</w:t>
      </w:r>
      <w:r w:rsidRPr="00F170EA">
        <w:rPr>
          <w:rFonts w:ascii="Calibri Light" w:hAnsi="Calibri Light" w:cs="Calibri"/>
          <w:sz w:val="21"/>
          <w:szCs w:val="21"/>
        </w:rPr>
        <w:t>. This work will include a scoping study into complementarities and opportunities for Australia’s components and precision engineering industries to support Indonesia’s ambitions for an electric vehicle.</w:t>
      </w:r>
    </w:p>
    <w:p w14:paraId="70F2A9B8" w14:textId="07224E0C" w:rsidR="00BD3124" w:rsidRPr="00BD1826" w:rsidRDefault="00BD3124" w:rsidP="00BD1826">
      <w:pPr>
        <w:pStyle w:val="ListParagraph"/>
        <w:numPr>
          <w:ilvl w:val="0"/>
          <w:numId w:val="76"/>
        </w:numPr>
        <w:pBdr>
          <w:top w:val="single" w:sz="4" w:space="1" w:color="auto"/>
          <w:left w:val="single" w:sz="4" w:space="4" w:color="auto"/>
          <w:bottom w:val="single" w:sz="4" w:space="1" w:color="auto"/>
          <w:right w:val="single" w:sz="4" w:space="4" w:color="auto"/>
        </w:pBdr>
        <w:rPr>
          <w:rFonts w:ascii="Calibri Light" w:hAnsi="Calibri Light" w:cs="Calibri"/>
          <w:sz w:val="21"/>
          <w:szCs w:val="21"/>
        </w:rPr>
      </w:pPr>
      <w:r>
        <w:rPr>
          <w:rFonts w:ascii="Calibri Light" w:hAnsi="Calibri Light" w:cs="Calibri"/>
          <w:sz w:val="21"/>
          <w:szCs w:val="21"/>
        </w:rPr>
        <w:t xml:space="preserve">A dialogue between DISER and appropriate Indonesian counterpart on short, medium and long term requirements for raw materials and components into electric vehicles, with a focus on understanding the respective role of each country in developing their side of the supply chain. </w:t>
      </w:r>
    </w:p>
    <w:p w14:paraId="2023FDFB" w14:textId="441D8084" w:rsidR="00EA75EB" w:rsidRPr="00F170EA" w:rsidRDefault="00EA75EB" w:rsidP="009D3124">
      <w:pPr>
        <w:pStyle w:val="ListParagraph"/>
        <w:numPr>
          <w:ilvl w:val="0"/>
          <w:numId w:val="76"/>
        </w:numPr>
        <w:pBdr>
          <w:top w:val="single" w:sz="4" w:space="1" w:color="auto"/>
          <w:left w:val="single" w:sz="4" w:space="4" w:color="auto"/>
          <w:bottom w:val="single" w:sz="4" w:space="1" w:color="auto"/>
          <w:right w:val="single" w:sz="4" w:space="4" w:color="auto"/>
        </w:pBdr>
        <w:rPr>
          <w:rFonts w:ascii="Calibri Light" w:hAnsi="Calibri Light" w:cs="Calibri"/>
          <w:sz w:val="21"/>
          <w:szCs w:val="21"/>
        </w:rPr>
      </w:pPr>
      <w:r w:rsidRPr="00F170EA">
        <w:rPr>
          <w:rFonts w:ascii="Calibri Light" w:hAnsi="Calibri Light" w:cs="Calibri"/>
          <w:sz w:val="21"/>
          <w:szCs w:val="21"/>
        </w:rPr>
        <w:lastRenderedPageBreak/>
        <w:t xml:space="preserve">A partnership will be established between </w:t>
      </w:r>
      <w:r w:rsidR="00966001">
        <w:rPr>
          <w:rFonts w:ascii="Calibri Light" w:hAnsi="Calibri Light" w:cs="Calibri"/>
          <w:sz w:val="21"/>
          <w:szCs w:val="21"/>
        </w:rPr>
        <w:t xml:space="preserve">(provisionally) </w:t>
      </w:r>
      <w:r w:rsidRPr="00F170EA">
        <w:rPr>
          <w:rFonts w:ascii="Calibri Light" w:hAnsi="Calibri Light" w:cs="Calibri"/>
          <w:sz w:val="21"/>
          <w:szCs w:val="21"/>
        </w:rPr>
        <w:t xml:space="preserve">Australia’s Advanced Manufacturing Growth Centre (AMGC) and </w:t>
      </w:r>
      <w:r w:rsidR="00F170EA" w:rsidRPr="00F170EA">
        <w:rPr>
          <w:rFonts w:ascii="Calibri Light" w:hAnsi="Calibri Light" w:cs="Calibri"/>
          <w:sz w:val="21"/>
          <w:szCs w:val="21"/>
        </w:rPr>
        <w:t>the Indonesian Chamber of Commerce and Industry (</w:t>
      </w:r>
      <w:r w:rsidR="00501AB3" w:rsidRPr="00F170EA">
        <w:rPr>
          <w:rFonts w:ascii="Calibri Light" w:hAnsi="Calibri Light" w:cs="Calibri"/>
          <w:sz w:val="21"/>
          <w:szCs w:val="21"/>
        </w:rPr>
        <w:t>KADIN</w:t>
      </w:r>
      <w:r w:rsidR="003F7453">
        <w:rPr>
          <w:rFonts w:ascii="Calibri Light" w:hAnsi="Calibri Light" w:cs="Calibri"/>
          <w:sz w:val="21"/>
          <w:szCs w:val="21"/>
        </w:rPr>
        <w:t>)</w:t>
      </w:r>
      <w:r w:rsidR="00501AB3" w:rsidRPr="00F170EA">
        <w:rPr>
          <w:rFonts w:ascii="Calibri Light" w:hAnsi="Calibri Light" w:cs="Calibri"/>
          <w:sz w:val="21"/>
          <w:szCs w:val="21"/>
        </w:rPr>
        <w:t xml:space="preserve"> </w:t>
      </w:r>
      <w:r w:rsidR="006C39E4">
        <w:rPr>
          <w:rFonts w:ascii="Calibri Light" w:hAnsi="Calibri Light" w:cs="Calibri"/>
          <w:sz w:val="21"/>
          <w:szCs w:val="21"/>
        </w:rPr>
        <w:t xml:space="preserve">or other relevant industry representative organisation </w:t>
      </w:r>
      <w:r w:rsidRPr="00F170EA">
        <w:rPr>
          <w:rFonts w:ascii="Calibri Light" w:hAnsi="Calibri Light" w:cs="Calibri"/>
          <w:sz w:val="21"/>
          <w:szCs w:val="21"/>
        </w:rPr>
        <w:t xml:space="preserve">to explore opportunities in other manufacturing sectors. An initial scoping study will be commissioned to explore opportunities to expand trade and investment across other advanced manufacturing industries. This work will be coordinated with the Australian </w:t>
      </w:r>
      <w:r w:rsidR="00BD1826">
        <w:rPr>
          <w:rFonts w:ascii="Calibri Light" w:hAnsi="Calibri Light" w:cs="Calibri"/>
          <w:sz w:val="21"/>
          <w:szCs w:val="21"/>
        </w:rPr>
        <w:t>DISER</w:t>
      </w:r>
      <w:r w:rsidRPr="00F170EA">
        <w:rPr>
          <w:rFonts w:ascii="Calibri Light" w:hAnsi="Calibri Light" w:cs="Calibri"/>
          <w:sz w:val="21"/>
          <w:szCs w:val="21"/>
        </w:rPr>
        <w:t xml:space="preserve"> and </w:t>
      </w:r>
      <w:proofErr w:type="spellStart"/>
      <w:r w:rsidRPr="00F170EA">
        <w:rPr>
          <w:rFonts w:ascii="Calibri Light" w:hAnsi="Calibri Light" w:cs="Calibri"/>
          <w:sz w:val="21"/>
          <w:szCs w:val="21"/>
        </w:rPr>
        <w:t>Aus</w:t>
      </w:r>
      <w:r w:rsidR="00F170EA" w:rsidRPr="00F170EA">
        <w:rPr>
          <w:rFonts w:ascii="Calibri Light" w:hAnsi="Calibri Light" w:cs="Calibri"/>
          <w:sz w:val="21"/>
          <w:szCs w:val="21"/>
        </w:rPr>
        <w:t>t</w:t>
      </w:r>
      <w:r w:rsidRPr="00F170EA">
        <w:rPr>
          <w:rFonts w:ascii="Calibri Light" w:hAnsi="Calibri Light" w:cs="Calibri"/>
          <w:sz w:val="21"/>
          <w:szCs w:val="21"/>
        </w:rPr>
        <w:t>rade</w:t>
      </w:r>
      <w:proofErr w:type="spellEnd"/>
      <w:r w:rsidRPr="00F170EA">
        <w:rPr>
          <w:rFonts w:ascii="Calibri Light" w:hAnsi="Calibri Light" w:cs="Calibri"/>
          <w:sz w:val="21"/>
          <w:szCs w:val="21"/>
        </w:rPr>
        <w:t xml:space="preserve"> given their established relationships and role working with both these organisations. </w:t>
      </w:r>
    </w:p>
    <w:p w14:paraId="1FD34F9E" w14:textId="7C55213E" w:rsidR="00EA75EB" w:rsidRPr="00F170EA" w:rsidRDefault="00EA75EB" w:rsidP="009D3124">
      <w:pPr>
        <w:pStyle w:val="ListParagraph"/>
        <w:numPr>
          <w:ilvl w:val="0"/>
          <w:numId w:val="76"/>
        </w:numPr>
        <w:pBdr>
          <w:top w:val="single" w:sz="4" w:space="1" w:color="auto"/>
          <w:left w:val="single" w:sz="4" w:space="4" w:color="auto"/>
          <w:bottom w:val="single" w:sz="4" w:space="1" w:color="auto"/>
          <w:right w:val="single" w:sz="4" w:space="4" w:color="auto"/>
        </w:pBdr>
        <w:rPr>
          <w:rFonts w:ascii="Calibri Light" w:hAnsi="Calibri Light" w:cs="Calibri"/>
          <w:sz w:val="21"/>
          <w:szCs w:val="21"/>
        </w:rPr>
      </w:pPr>
      <w:r w:rsidRPr="00F170EA">
        <w:rPr>
          <w:rFonts w:ascii="Calibri Light" w:hAnsi="Calibri Light" w:cs="Calibri"/>
          <w:sz w:val="21"/>
          <w:szCs w:val="21"/>
        </w:rPr>
        <w:t xml:space="preserve">The study undertaken by Standards Australia in 2015 on opportunities to work towards agreed global standards in partnership with Indonesia will be </w:t>
      </w:r>
      <w:r w:rsidR="00BD1826">
        <w:rPr>
          <w:rFonts w:ascii="Calibri Light" w:hAnsi="Calibri Light" w:cs="Calibri"/>
          <w:sz w:val="21"/>
          <w:szCs w:val="21"/>
        </w:rPr>
        <w:t xml:space="preserve">expanded to continue work on standards and conformance in priority sectors. </w:t>
      </w:r>
    </w:p>
    <w:p w14:paraId="08A2142D" w14:textId="7A2E0F65" w:rsidR="00EA75EB" w:rsidRDefault="00EA75EB" w:rsidP="00EA75EB">
      <w:pPr>
        <w:pBdr>
          <w:top w:val="single" w:sz="4" w:space="1" w:color="auto"/>
          <w:left w:val="single" w:sz="4" w:space="4" w:color="auto"/>
          <w:bottom w:val="single" w:sz="4" w:space="1" w:color="auto"/>
          <w:right w:val="single" w:sz="4" w:space="4" w:color="auto"/>
        </w:pBdr>
        <w:rPr>
          <w:rFonts w:ascii="Calibri Light" w:hAnsi="Calibri Light" w:cs="Calibri"/>
          <w:sz w:val="21"/>
          <w:szCs w:val="21"/>
        </w:rPr>
      </w:pPr>
      <w:r>
        <w:rPr>
          <w:rFonts w:ascii="Calibri Light" w:hAnsi="Calibri Light" w:cs="Calibri"/>
          <w:sz w:val="21"/>
          <w:szCs w:val="21"/>
        </w:rPr>
        <w:t>In future years</w:t>
      </w:r>
      <w:r w:rsidRPr="005122AA">
        <w:rPr>
          <w:rFonts w:ascii="Calibri Light" w:hAnsi="Calibri Light" w:cs="Calibri"/>
          <w:sz w:val="21"/>
          <w:szCs w:val="21"/>
        </w:rPr>
        <w:t xml:space="preserve"> this activity </w:t>
      </w:r>
      <w:r w:rsidR="00BD0820">
        <w:rPr>
          <w:rFonts w:ascii="Calibri Light" w:hAnsi="Calibri Light" w:cs="Calibri"/>
          <w:sz w:val="21"/>
          <w:szCs w:val="21"/>
        </w:rPr>
        <w:t xml:space="preserve">could </w:t>
      </w:r>
      <w:r w:rsidRPr="005122AA">
        <w:rPr>
          <w:rFonts w:ascii="Calibri Light" w:hAnsi="Calibri Light" w:cs="Calibri"/>
          <w:sz w:val="21"/>
          <w:szCs w:val="21"/>
        </w:rPr>
        <w:t xml:space="preserve">expand to other </w:t>
      </w:r>
      <w:r>
        <w:rPr>
          <w:rFonts w:ascii="Calibri Light" w:hAnsi="Calibri Light" w:cs="Calibri"/>
          <w:sz w:val="21"/>
          <w:szCs w:val="21"/>
        </w:rPr>
        <w:t xml:space="preserve">manufacturing </w:t>
      </w:r>
      <w:r w:rsidRPr="005122AA">
        <w:rPr>
          <w:rFonts w:ascii="Calibri Light" w:hAnsi="Calibri Light" w:cs="Calibri"/>
          <w:sz w:val="21"/>
          <w:szCs w:val="21"/>
        </w:rPr>
        <w:t xml:space="preserve">industries, with </w:t>
      </w:r>
      <w:r w:rsidR="002539E3">
        <w:rPr>
          <w:rFonts w:ascii="Calibri Light" w:hAnsi="Calibri Light" w:cs="Calibri"/>
          <w:sz w:val="21"/>
          <w:szCs w:val="21"/>
        </w:rPr>
        <w:t>processed foods</w:t>
      </w:r>
      <w:r w:rsidRPr="005122AA">
        <w:rPr>
          <w:rFonts w:ascii="Calibri Light" w:hAnsi="Calibri Light" w:cs="Calibri"/>
          <w:sz w:val="21"/>
          <w:szCs w:val="21"/>
        </w:rPr>
        <w:t xml:space="preserve"> and health vitamins a</w:t>
      </w:r>
      <w:r>
        <w:rPr>
          <w:rFonts w:ascii="Calibri Light" w:hAnsi="Calibri Light" w:cs="Calibri"/>
          <w:sz w:val="21"/>
          <w:szCs w:val="21"/>
        </w:rPr>
        <w:t>nd supplements (nutraceuticals)</w:t>
      </w:r>
      <w:r w:rsidR="00BD1826">
        <w:rPr>
          <w:rFonts w:ascii="Calibri Light" w:hAnsi="Calibri Light" w:cs="Calibri"/>
          <w:sz w:val="21"/>
          <w:szCs w:val="21"/>
        </w:rPr>
        <w:t>, and medical technologies</w:t>
      </w:r>
      <w:r w:rsidRPr="005122AA">
        <w:rPr>
          <w:rFonts w:ascii="Calibri Light" w:hAnsi="Calibri Light" w:cs="Calibri"/>
          <w:sz w:val="21"/>
          <w:szCs w:val="21"/>
        </w:rPr>
        <w:t xml:space="preserve"> identified as priority sectors</w:t>
      </w:r>
      <w:r>
        <w:rPr>
          <w:rFonts w:ascii="Calibri Light" w:hAnsi="Calibri Light" w:cs="Calibri"/>
          <w:sz w:val="21"/>
          <w:szCs w:val="21"/>
        </w:rPr>
        <w:t xml:space="preserve"> for partnership.</w:t>
      </w:r>
      <w:r w:rsidRPr="005135D5">
        <w:rPr>
          <w:rFonts w:ascii="Calibri Light" w:hAnsi="Calibri Light" w:cs="Calibri"/>
          <w:sz w:val="21"/>
          <w:szCs w:val="21"/>
        </w:rPr>
        <w:t xml:space="preserve"> </w:t>
      </w:r>
      <w:r w:rsidRPr="005122AA">
        <w:rPr>
          <w:rFonts w:ascii="Calibri Light" w:hAnsi="Calibri Light" w:cs="Calibri"/>
          <w:sz w:val="21"/>
          <w:szCs w:val="21"/>
        </w:rPr>
        <w:t xml:space="preserve">This activity will </w:t>
      </w:r>
      <w:r>
        <w:rPr>
          <w:rFonts w:ascii="Calibri Light" w:hAnsi="Calibri Light" w:cs="Calibri"/>
          <w:sz w:val="21"/>
          <w:szCs w:val="21"/>
        </w:rPr>
        <w:t xml:space="preserve">also look </w:t>
      </w:r>
      <w:r w:rsidRPr="005122AA">
        <w:rPr>
          <w:rFonts w:ascii="Calibri Light" w:hAnsi="Calibri Light" w:cs="Calibri"/>
          <w:sz w:val="21"/>
          <w:szCs w:val="21"/>
        </w:rPr>
        <w:t xml:space="preserve">at standards </w:t>
      </w:r>
      <w:r w:rsidR="002539E3">
        <w:rPr>
          <w:rFonts w:ascii="Calibri Light" w:hAnsi="Calibri Light" w:cs="Calibri"/>
          <w:sz w:val="21"/>
          <w:szCs w:val="21"/>
        </w:rPr>
        <w:t xml:space="preserve">(including regulatory standards impacting trade, such as halal requirements) </w:t>
      </w:r>
      <w:r w:rsidR="000E444B">
        <w:rPr>
          <w:rFonts w:cstheme="majorHAnsi"/>
          <w:sz w:val="20"/>
          <w:szCs w:val="21"/>
        </w:rPr>
        <w:t xml:space="preserve">and conformance </w:t>
      </w:r>
      <w:r w:rsidRPr="005122AA">
        <w:rPr>
          <w:rFonts w:ascii="Calibri Light" w:hAnsi="Calibri Light" w:cs="Calibri"/>
          <w:sz w:val="21"/>
          <w:szCs w:val="21"/>
        </w:rPr>
        <w:t xml:space="preserve">in priority sectors, potentially electrical and </w:t>
      </w:r>
      <w:r w:rsidR="002539E3">
        <w:rPr>
          <w:rFonts w:ascii="Calibri Light" w:hAnsi="Calibri Light" w:cs="Calibri"/>
          <w:sz w:val="21"/>
          <w:szCs w:val="21"/>
        </w:rPr>
        <w:t xml:space="preserve">vitamins/supplements </w:t>
      </w:r>
      <w:r w:rsidRPr="005122AA">
        <w:rPr>
          <w:rFonts w:ascii="Calibri Light" w:hAnsi="Calibri Light" w:cs="Calibri"/>
          <w:sz w:val="21"/>
          <w:szCs w:val="21"/>
        </w:rPr>
        <w:t xml:space="preserve">standards, in subsequent years.  </w:t>
      </w:r>
      <w:r w:rsidR="003238DE">
        <w:rPr>
          <w:rFonts w:ascii="Calibri Light" w:hAnsi="Calibri Light" w:cs="Calibri"/>
          <w:sz w:val="21"/>
          <w:szCs w:val="21"/>
        </w:rPr>
        <w:t xml:space="preserve">We expect </w:t>
      </w:r>
      <w:r w:rsidR="003238DE" w:rsidRPr="00537B0B">
        <w:rPr>
          <w:rFonts w:ascii="Calibri Light" w:hAnsi="Calibri Light" w:cs="Calibri"/>
          <w:b/>
          <w:sz w:val="21"/>
          <w:szCs w:val="21"/>
        </w:rPr>
        <w:t>Indonesia’s MSME sector</w:t>
      </w:r>
      <w:r w:rsidR="003238DE">
        <w:rPr>
          <w:rFonts w:ascii="Calibri Light" w:hAnsi="Calibri Light" w:cs="Calibri"/>
          <w:sz w:val="21"/>
          <w:szCs w:val="21"/>
        </w:rPr>
        <w:t xml:space="preserve"> to be a focus/beneficiary of this </w:t>
      </w:r>
      <w:r w:rsidR="003238DE">
        <w:rPr>
          <w:rFonts w:ascii="Calibri Light" w:hAnsi="Calibri Light" w:cs="Calibri"/>
          <w:sz w:val="21"/>
          <w:szCs w:val="21"/>
          <w:lang w:val="en-AU"/>
        </w:rPr>
        <w:t xml:space="preserve">future </w:t>
      </w:r>
      <w:r w:rsidR="003238DE">
        <w:rPr>
          <w:rFonts w:ascii="Calibri Light" w:hAnsi="Calibri Light" w:cs="Calibri"/>
          <w:sz w:val="21"/>
          <w:szCs w:val="21"/>
        </w:rPr>
        <w:t xml:space="preserve">work. </w:t>
      </w:r>
    </w:p>
    <w:p w14:paraId="4CECC987" w14:textId="0501CDC9" w:rsidR="00EA75EB" w:rsidRPr="00E254AD" w:rsidRDefault="00EA75EB" w:rsidP="00EA75EB">
      <w:pPr>
        <w:pBdr>
          <w:top w:val="single" w:sz="4" w:space="1" w:color="auto"/>
          <w:left w:val="single" w:sz="4" w:space="4" w:color="auto"/>
          <w:bottom w:val="single" w:sz="4" w:space="1" w:color="auto"/>
          <w:right w:val="single" w:sz="4" w:space="4" w:color="auto"/>
        </w:pBdr>
        <w:rPr>
          <w:rFonts w:ascii="Calibri Light" w:hAnsi="Calibri Light"/>
          <w:sz w:val="21"/>
          <w:szCs w:val="21"/>
        </w:rPr>
      </w:pPr>
      <w:r>
        <w:rPr>
          <w:rFonts w:ascii="Calibri Light" w:hAnsi="Calibri Light" w:cs="Calibri"/>
          <w:b/>
          <w:i/>
          <w:sz w:val="21"/>
          <w:szCs w:val="21"/>
        </w:rPr>
        <w:t>2020-2021 Budget: $0.6</w:t>
      </w:r>
      <w:r w:rsidRPr="00E254AD">
        <w:rPr>
          <w:rFonts w:ascii="Calibri Light" w:hAnsi="Calibri Light" w:cs="Calibri"/>
          <w:b/>
          <w:i/>
          <w:sz w:val="21"/>
          <w:szCs w:val="21"/>
        </w:rPr>
        <w:t xml:space="preserve"> million</w:t>
      </w:r>
      <w:r w:rsidRPr="00E254AD">
        <w:rPr>
          <w:rFonts w:ascii="Calibri Light" w:hAnsi="Calibri Light"/>
          <w:sz w:val="21"/>
          <w:szCs w:val="21"/>
        </w:rPr>
        <w:t xml:space="preserve"> </w:t>
      </w:r>
    </w:p>
    <w:p w14:paraId="2A5997FF" w14:textId="769A190F" w:rsidR="00EA75EB" w:rsidRDefault="000851D8" w:rsidP="00EA75EB">
      <w:pPr>
        <w:pBdr>
          <w:top w:val="single" w:sz="4" w:space="1" w:color="auto"/>
          <w:left w:val="single" w:sz="4" w:space="4" w:color="auto"/>
          <w:bottom w:val="single" w:sz="4" w:space="1" w:color="auto"/>
          <w:right w:val="single" w:sz="4" w:space="4" w:color="auto"/>
        </w:pBdr>
        <w:rPr>
          <w:rFonts w:ascii="Calibri Light" w:hAnsi="Calibri Light" w:cs="Calibri"/>
          <w:b/>
          <w:szCs w:val="21"/>
        </w:rPr>
      </w:pPr>
      <w:r>
        <w:rPr>
          <w:rFonts w:ascii="Calibri Light" w:hAnsi="Calibri Light" w:cs="Calibri"/>
          <w:b/>
          <w:szCs w:val="21"/>
        </w:rPr>
        <w:t>4</w:t>
      </w:r>
      <w:r w:rsidR="00EA75EB">
        <w:rPr>
          <w:rFonts w:ascii="Calibri Light" w:hAnsi="Calibri Light" w:cs="Calibri"/>
          <w:b/>
          <w:szCs w:val="21"/>
        </w:rPr>
        <w:t>.</w:t>
      </w:r>
      <w:r w:rsidR="000B55E8">
        <w:rPr>
          <w:rFonts w:ascii="Calibri Light" w:hAnsi="Calibri Light" w:cs="Calibri"/>
          <w:b/>
          <w:szCs w:val="21"/>
        </w:rPr>
        <w:t xml:space="preserve"> </w:t>
      </w:r>
      <w:r w:rsidR="00EA75EB">
        <w:rPr>
          <w:rFonts w:ascii="Calibri Light" w:hAnsi="Calibri Light" w:cs="Calibri"/>
          <w:b/>
          <w:szCs w:val="21"/>
        </w:rPr>
        <w:t>Co-investing in Skills</w:t>
      </w:r>
    </w:p>
    <w:p w14:paraId="4A28DE4A" w14:textId="68E94CBE" w:rsidR="00EA75EB" w:rsidRDefault="00EA75EB" w:rsidP="00EA75EB">
      <w:pPr>
        <w:pBdr>
          <w:top w:val="single" w:sz="4" w:space="1" w:color="auto"/>
          <w:left w:val="single" w:sz="4" w:space="4" w:color="auto"/>
          <w:bottom w:val="single" w:sz="4" w:space="1" w:color="auto"/>
          <w:right w:val="single" w:sz="4" w:space="4" w:color="auto"/>
        </w:pBdr>
        <w:rPr>
          <w:rFonts w:ascii="Calibri Light" w:hAnsi="Calibri Light" w:cs="Calibri"/>
          <w:sz w:val="21"/>
          <w:szCs w:val="21"/>
        </w:rPr>
      </w:pPr>
      <w:r w:rsidRPr="00771437">
        <w:rPr>
          <w:rFonts w:ascii="Calibri Light" w:hAnsi="Calibri Light" w:cs="Calibri"/>
          <w:sz w:val="21"/>
          <w:szCs w:val="21"/>
        </w:rPr>
        <w:t xml:space="preserve">The ECP will support </w:t>
      </w:r>
      <w:r>
        <w:rPr>
          <w:rFonts w:ascii="Calibri Light" w:hAnsi="Calibri Light" w:cs="Calibri"/>
          <w:sz w:val="21"/>
          <w:szCs w:val="21"/>
        </w:rPr>
        <w:t>a new model of</w:t>
      </w:r>
      <w:r w:rsidRPr="00771437">
        <w:rPr>
          <w:rFonts w:ascii="Calibri Light" w:hAnsi="Calibri Light" w:cs="Calibri"/>
          <w:sz w:val="21"/>
          <w:szCs w:val="21"/>
        </w:rPr>
        <w:t xml:space="preserve"> partnership in technical vocational education and training (TVET) between Indonesian industry and Australian TVET providers. The activity will connect Indonesian employers to high quality skills and training, addressing a major constraint to growth and productivity in Indonesia.  This activity will contribute to the goal of increasing productivity</w:t>
      </w:r>
      <w:r w:rsidR="00236462">
        <w:rPr>
          <w:rFonts w:ascii="Calibri Light" w:hAnsi="Calibri Light" w:cs="Calibri"/>
          <w:sz w:val="21"/>
          <w:szCs w:val="21"/>
        </w:rPr>
        <w:t xml:space="preserve">, competitiveness </w:t>
      </w:r>
      <w:r w:rsidRPr="00771437">
        <w:rPr>
          <w:rFonts w:ascii="Calibri Light" w:hAnsi="Calibri Light" w:cs="Calibri"/>
          <w:sz w:val="21"/>
          <w:szCs w:val="21"/>
        </w:rPr>
        <w:t>and innovation in Indonesia through skills development of the workforce.</w:t>
      </w:r>
      <w:r>
        <w:rPr>
          <w:rFonts w:ascii="Calibri Light" w:hAnsi="Calibri Light" w:cs="Calibri"/>
          <w:sz w:val="21"/>
          <w:szCs w:val="21"/>
        </w:rPr>
        <w:t xml:space="preserve"> A Technical Lead for Skills will be appointed and resourced to:</w:t>
      </w:r>
    </w:p>
    <w:p w14:paraId="1CE48FC2" w14:textId="30002612" w:rsidR="00EA75EB" w:rsidRDefault="00EA75EB" w:rsidP="00EA75EB">
      <w:pPr>
        <w:pBdr>
          <w:top w:val="single" w:sz="4" w:space="1" w:color="auto"/>
          <w:left w:val="single" w:sz="4" w:space="4" w:color="auto"/>
          <w:bottom w:val="single" w:sz="4" w:space="1" w:color="auto"/>
          <w:right w:val="single" w:sz="4" w:space="4" w:color="auto"/>
        </w:pBdr>
        <w:rPr>
          <w:rFonts w:ascii="Calibri Light" w:hAnsi="Calibri Light" w:cs="Calibri"/>
          <w:sz w:val="21"/>
          <w:szCs w:val="21"/>
        </w:rPr>
      </w:pPr>
      <w:r>
        <w:rPr>
          <w:rFonts w:ascii="Calibri Light" w:hAnsi="Calibri Light" w:cs="Calibri"/>
          <w:sz w:val="21"/>
          <w:szCs w:val="21"/>
        </w:rPr>
        <w:t>- Co</w:t>
      </w:r>
      <w:r w:rsidRPr="00771437">
        <w:rPr>
          <w:rFonts w:ascii="Calibri Light" w:hAnsi="Calibri Light" w:cs="Calibri"/>
          <w:sz w:val="21"/>
          <w:szCs w:val="21"/>
        </w:rPr>
        <w:t xml:space="preserve">nvene </w:t>
      </w:r>
      <w:r>
        <w:rPr>
          <w:rFonts w:ascii="Calibri Light" w:hAnsi="Calibri Light" w:cs="Calibri"/>
          <w:sz w:val="21"/>
          <w:szCs w:val="21"/>
        </w:rPr>
        <w:t xml:space="preserve">an </w:t>
      </w:r>
      <w:r w:rsidRPr="00771437">
        <w:rPr>
          <w:rFonts w:ascii="Calibri Light" w:hAnsi="Calibri Light" w:cs="Calibri"/>
          <w:sz w:val="21"/>
          <w:szCs w:val="21"/>
        </w:rPr>
        <w:t xml:space="preserve">Indonesian </w:t>
      </w:r>
      <w:r>
        <w:rPr>
          <w:rFonts w:ascii="Calibri Light" w:hAnsi="Calibri Light" w:cs="Calibri"/>
          <w:sz w:val="21"/>
          <w:szCs w:val="21"/>
        </w:rPr>
        <w:t xml:space="preserve">Tourism </w:t>
      </w:r>
      <w:r w:rsidR="00087429">
        <w:rPr>
          <w:rFonts w:ascii="Calibri Light" w:hAnsi="Calibri Light" w:cs="Calibri"/>
          <w:sz w:val="21"/>
          <w:szCs w:val="21"/>
        </w:rPr>
        <w:t>I</w:t>
      </w:r>
      <w:r>
        <w:rPr>
          <w:rFonts w:ascii="Calibri Light" w:hAnsi="Calibri Light" w:cs="Calibri"/>
          <w:sz w:val="21"/>
          <w:szCs w:val="21"/>
        </w:rPr>
        <w:t xml:space="preserve">ndustry </w:t>
      </w:r>
      <w:r w:rsidR="00236462">
        <w:rPr>
          <w:rFonts w:ascii="Calibri Light" w:hAnsi="Calibri Light" w:cs="Calibri"/>
          <w:sz w:val="21"/>
          <w:szCs w:val="21"/>
        </w:rPr>
        <w:t xml:space="preserve">Committee </w:t>
      </w:r>
      <w:r>
        <w:rPr>
          <w:rFonts w:ascii="Calibri Light" w:hAnsi="Calibri Light" w:cs="Calibri"/>
          <w:sz w:val="21"/>
          <w:szCs w:val="21"/>
        </w:rPr>
        <w:t xml:space="preserve">to </w:t>
      </w:r>
      <w:r w:rsidRPr="00771437">
        <w:rPr>
          <w:rFonts w:ascii="Calibri Light" w:hAnsi="Calibri Light" w:cs="Calibri"/>
          <w:sz w:val="21"/>
          <w:szCs w:val="21"/>
        </w:rPr>
        <w:t xml:space="preserve">identify major skills </w:t>
      </w:r>
      <w:r>
        <w:rPr>
          <w:rFonts w:ascii="Calibri Light" w:hAnsi="Calibri Light" w:cs="Calibri"/>
          <w:sz w:val="21"/>
          <w:szCs w:val="21"/>
        </w:rPr>
        <w:t xml:space="preserve">gaps confronting the sector and to </w:t>
      </w:r>
      <w:r w:rsidRPr="00771437">
        <w:rPr>
          <w:rFonts w:ascii="Calibri Light" w:hAnsi="Calibri Light" w:cs="Calibri"/>
          <w:sz w:val="21"/>
          <w:szCs w:val="21"/>
        </w:rPr>
        <w:t xml:space="preserve">develop </w:t>
      </w:r>
      <w:r>
        <w:rPr>
          <w:rFonts w:ascii="Calibri Light" w:hAnsi="Calibri Light" w:cs="Calibri"/>
          <w:sz w:val="21"/>
          <w:szCs w:val="21"/>
        </w:rPr>
        <w:t xml:space="preserve">targeted </w:t>
      </w:r>
      <w:r w:rsidRPr="00771437">
        <w:rPr>
          <w:rFonts w:ascii="Calibri Light" w:hAnsi="Calibri Light" w:cs="Calibri"/>
          <w:sz w:val="21"/>
          <w:szCs w:val="21"/>
        </w:rPr>
        <w:t xml:space="preserve">courses </w:t>
      </w:r>
      <w:r>
        <w:rPr>
          <w:rFonts w:ascii="Calibri Light" w:hAnsi="Calibri Light" w:cs="Calibri"/>
          <w:sz w:val="21"/>
          <w:szCs w:val="21"/>
        </w:rPr>
        <w:t xml:space="preserve">to address those skills needs. The ECP will connect the </w:t>
      </w:r>
      <w:r w:rsidR="00236462">
        <w:rPr>
          <w:rFonts w:ascii="Calibri Light" w:hAnsi="Calibri Light" w:cs="Calibri"/>
          <w:sz w:val="21"/>
          <w:szCs w:val="21"/>
        </w:rPr>
        <w:t xml:space="preserve">Indonesian Tourism Industry and Australian TVET providers through a TVET </w:t>
      </w:r>
      <w:r w:rsidR="00087429">
        <w:rPr>
          <w:rFonts w:ascii="Calibri Light" w:hAnsi="Calibri Light" w:cs="Calibri"/>
          <w:sz w:val="21"/>
          <w:szCs w:val="21"/>
        </w:rPr>
        <w:t xml:space="preserve">Clearinghouse </w:t>
      </w:r>
      <w:r w:rsidR="00236462">
        <w:rPr>
          <w:rFonts w:ascii="Calibri Light" w:hAnsi="Calibri Light" w:cs="Calibri"/>
          <w:sz w:val="21"/>
          <w:szCs w:val="21"/>
        </w:rPr>
        <w:t xml:space="preserve">to boost partnerships, quality skills and training demanded by industry, and commercially viable training opportunities. </w:t>
      </w:r>
      <w:r w:rsidRPr="00771437">
        <w:rPr>
          <w:rFonts w:ascii="Calibri Light" w:hAnsi="Calibri Light" w:cs="Calibri"/>
          <w:sz w:val="21"/>
          <w:szCs w:val="21"/>
        </w:rPr>
        <w:t xml:space="preserve"> </w:t>
      </w:r>
    </w:p>
    <w:p w14:paraId="2DB3460E" w14:textId="12702070" w:rsidR="00D81CF1" w:rsidRDefault="00D81CF1" w:rsidP="00EA75EB">
      <w:pPr>
        <w:pBdr>
          <w:top w:val="single" w:sz="4" w:space="1" w:color="auto"/>
          <w:left w:val="single" w:sz="4" w:space="4" w:color="auto"/>
          <w:bottom w:val="single" w:sz="4" w:space="1" w:color="auto"/>
          <w:right w:val="single" w:sz="4" w:space="4" w:color="auto"/>
        </w:pBdr>
        <w:rPr>
          <w:rFonts w:ascii="Calibri Light" w:hAnsi="Calibri Light" w:cs="Calibri"/>
          <w:sz w:val="21"/>
          <w:szCs w:val="21"/>
        </w:rPr>
      </w:pPr>
      <w:r>
        <w:rPr>
          <w:rFonts w:ascii="Calibri Light" w:hAnsi="Calibri Light" w:cs="Calibri"/>
          <w:sz w:val="21"/>
          <w:szCs w:val="21"/>
        </w:rPr>
        <w:t>- Co</w:t>
      </w:r>
      <w:r w:rsidRPr="00771437">
        <w:rPr>
          <w:rFonts w:ascii="Calibri Light" w:hAnsi="Calibri Light" w:cs="Calibri"/>
          <w:sz w:val="21"/>
          <w:szCs w:val="21"/>
        </w:rPr>
        <w:t xml:space="preserve">nvene </w:t>
      </w:r>
      <w:r>
        <w:rPr>
          <w:rFonts w:ascii="Calibri Light" w:hAnsi="Calibri Light" w:cs="Calibri"/>
          <w:sz w:val="21"/>
          <w:szCs w:val="21"/>
        </w:rPr>
        <w:t xml:space="preserve">an </w:t>
      </w:r>
      <w:r w:rsidRPr="00771437">
        <w:rPr>
          <w:rFonts w:ascii="Calibri Light" w:hAnsi="Calibri Light" w:cs="Calibri"/>
          <w:sz w:val="21"/>
          <w:szCs w:val="21"/>
        </w:rPr>
        <w:t xml:space="preserve">Indonesian </w:t>
      </w:r>
      <w:r>
        <w:rPr>
          <w:rFonts w:ascii="Calibri Light" w:hAnsi="Calibri Light" w:cs="Calibri"/>
          <w:sz w:val="21"/>
          <w:szCs w:val="21"/>
        </w:rPr>
        <w:t xml:space="preserve">Digital Services Industry Committee to </w:t>
      </w:r>
      <w:r w:rsidRPr="00771437">
        <w:rPr>
          <w:rFonts w:ascii="Calibri Light" w:hAnsi="Calibri Light" w:cs="Calibri"/>
          <w:sz w:val="21"/>
          <w:szCs w:val="21"/>
        </w:rPr>
        <w:t xml:space="preserve">identify major skills </w:t>
      </w:r>
      <w:r>
        <w:rPr>
          <w:rFonts w:ascii="Calibri Light" w:hAnsi="Calibri Light" w:cs="Calibri"/>
          <w:sz w:val="21"/>
          <w:szCs w:val="21"/>
        </w:rPr>
        <w:t xml:space="preserve">gaps confronting the sector and to </w:t>
      </w:r>
      <w:r w:rsidRPr="00771437">
        <w:rPr>
          <w:rFonts w:ascii="Calibri Light" w:hAnsi="Calibri Light" w:cs="Calibri"/>
          <w:sz w:val="21"/>
          <w:szCs w:val="21"/>
        </w:rPr>
        <w:t xml:space="preserve">develop </w:t>
      </w:r>
      <w:r>
        <w:rPr>
          <w:rFonts w:ascii="Calibri Light" w:hAnsi="Calibri Light" w:cs="Calibri"/>
          <w:sz w:val="21"/>
          <w:szCs w:val="21"/>
        </w:rPr>
        <w:t xml:space="preserve">targeted </w:t>
      </w:r>
      <w:r w:rsidRPr="00771437">
        <w:rPr>
          <w:rFonts w:ascii="Calibri Light" w:hAnsi="Calibri Light" w:cs="Calibri"/>
          <w:sz w:val="21"/>
          <w:szCs w:val="21"/>
        </w:rPr>
        <w:t xml:space="preserve">courses </w:t>
      </w:r>
      <w:r>
        <w:rPr>
          <w:rFonts w:ascii="Calibri Light" w:hAnsi="Calibri Light" w:cs="Calibri"/>
          <w:sz w:val="21"/>
          <w:szCs w:val="21"/>
        </w:rPr>
        <w:t xml:space="preserve">to address those skills needs. The ECP will connect the Indonesian Digital Service Industry and Australian TVET providers through a TVET Clearinghouse to boost partnerships, quality skills and training demanded by industry, and commercially viable training opportunities. </w:t>
      </w:r>
      <w:r w:rsidRPr="00771437">
        <w:rPr>
          <w:rFonts w:ascii="Calibri Light" w:hAnsi="Calibri Light" w:cs="Calibri"/>
          <w:sz w:val="21"/>
          <w:szCs w:val="21"/>
        </w:rPr>
        <w:t xml:space="preserve"> </w:t>
      </w:r>
    </w:p>
    <w:p w14:paraId="076BB4E9" w14:textId="063570D2" w:rsidR="00EA75EB" w:rsidRDefault="00EA75EB" w:rsidP="00EA75EB">
      <w:pPr>
        <w:pBdr>
          <w:top w:val="single" w:sz="4" w:space="1" w:color="auto"/>
          <w:left w:val="single" w:sz="4" w:space="4" w:color="auto"/>
          <w:bottom w:val="single" w:sz="4" w:space="1" w:color="auto"/>
          <w:right w:val="single" w:sz="4" w:space="4" w:color="auto"/>
        </w:pBdr>
        <w:rPr>
          <w:rFonts w:ascii="Calibri Light" w:hAnsi="Calibri Light" w:cs="Calibri"/>
          <w:sz w:val="21"/>
          <w:szCs w:val="21"/>
        </w:rPr>
      </w:pPr>
      <w:r w:rsidRPr="00771437">
        <w:rPr>
          <w:rFonts w:ascii="Calibri Light" w:hAnsi="Calibri Light" w:cs="Calibri"/>
          <w:sz w:val="21"/>
          <w:szCs w:val="21"/>
        </w:rPr>
        <w:t xml:space="preserve">- </w:t>
      </w:r>
      <w:r w:rsidR="00D81CF1">
        <w:rPr>
          <w:rFonts w:ascii="Calibri Light" w:hAnsi="Calibri Light" w:cs="Calibri"/>
          <w:sz w:val="21"/>
          <w:szCs w:val="21"/>
        </w:rPr>
        <w:t>Other</w:t>
      </w:r>
      <w:r>
        <w:rPr>
          <w:rFonts w:ascii="Calibri Light" w:hAnsi="Calibri Light" w:cs="Calibri"/>
          <w:sz w:val="21"/>
          <w:szCs w:val="21"/>
        </w:rPr>
        <w:t xml:space="preserve"> priority sectors such as agriculture (supporting the grains partnership),</w:t>
      </w:r>
      <w:r w:rsidR="00D81CF1">
        <w:rPr>
          <w:rFonts w:ascii="Calibri Light" w:hAnsi="Calibri Light" w:cs="Calibri"/>
          <w:sz w:val="21"/>
          <w:szCs w:val="21"/>
        </w:rPr>
        <w:t xml:space="preserve"> </w:t>
      </w:r>
      <w:r>
        <w:rPr>
          <w:rFonts w:ascii="Calibri Light" w:hAnsi="Calibri Light" w:cs="Calibri"/>
          <w:sz w:val="21"/>
          <w:szCs w:val="21"/>
        </w:rPr>
        <w:t xml:space="preserve">advanced manufacturing and services. Further courses will be designed in partnership with Indonesian Industry </w:t>
      </w:r>
      <w:r w:rsidR="00D81CF1">
        <w:rPr>
          <w:rFonts w:ascii="Calibri Light" w:hAnsi="Calibri Light" w:cs="Calibri"/>
          <w:sz w:val="21"/>
          <w:szCs w:val="21"/>
        </w:rPr>
        <w:t>Committees</w:t>
      </w:r>
      <w:r w:rsidR="00087429">
        <w:rPr>
          <w:rFonts w:ascii="Calibri Light" w:hAnsi="Calibri Light" w:cs="Calibri"/>
          <w:sz w:val="21"/>
          <w:szCs w:val="21"/>
        </w:rPr>
        <w:t xml:space="preserve"> </w:t>
      </w:r>
      <w:r>
        <w:rPr>
          <w:rFonts w:ascii="Calibri Light" w:hAnsi="Calibri Light" w:cs="Calibri"/>
          <w:sz w:val="21"/>
          <w:szCs w:val="21"/>
        </w:rPr>
        <w:t>over subsequent years, piloting different delivery models including blended and on-line learning</w:t>
      </w:r>
      <w:r w:rsidR="00087429">
        <w:rPr>
          <w:rFonts w:ascii="Calibri Light" w:hAnsi="Calibri Light" w:cs="Calibri"/>
          <w:sz w:val="21"/>
          <w:szCs w:val="21"/>
        </w:rPr>
        <w:t>, and extending to sectors such as Health Professionals</w:t>
      </w:r>
      <w:r>
        <w:rPr>
          <w:rFonts w:ascii="Calibri Light" w:hAnsi="Calibri Light" w:cs="Calibri"/>
          <w:sz w:val="21"/>
          <w:szCs w:val="21"/>
        </w:rPr>
        <w:t xml:space="preserve">. </w:t>
      </w:r>
    </w:p>
    <w:p w14:paraId="4A08014C" w14:textId="4B35D0D3" w:rsidR="00EA75EB" w:rsidRDefault="00EA75EB" w:rsidP="00EA75EB">
      <w:pPr>
        <w:pBdr>
          <w:top w:val="single" w:sz="4" w:space="1" w:color="auto"/>
          <w:left w:val="single" w:sz="4" w:space="4" w:color="auto"/>
          <w:bottom w:val="single" w:sz="4" w:space="1" w:color="auto"/>
          <w:right w:val="single" w:sz="4" w:space="4" w:color="auto"/>
        </w:pBdr>
        <w:rPr>
          <w:rFonts w:ascii="Calibri Light" w:hAnsi="Calibri Light" w:cs="Calibri"/>
          <w:sz w:val="21"/>
          <w:szCs w:val="21"/>
        </w:rPr>
      </w:pPr>
      <w:r>
        <w:rPr>
          <w:rFonts w:ascii="Calibri Light" w:hAnsi="Calibri Light" w:cs="Calibri"/>
          <w:sz w:val="21"/>
          <w:szCs w:val="21"/>
        </w:rPr>
        <w:t xml:space="preserve">- </w:t>
      </w:r>
      <w:r w:rsidRPr="0048696E">
        <w:rPr>
          <w:rFonts w:ascii="Calibri Light" w:hAnsi="Calibri Light" w:cs="Calibri"/>
          <w:sz w:val="21"/>
          <w:szCs w:val="21"/>
        </w:rPr>
        <w:t xml:space="preserve">A </w:t>
      </w:r>
      <w:r>
        <w:rPr>
          <w:rFonts w:ascii="Calibri Light" w:hAnsi="Calibri Light" w:cs="Calibri"/>
          <w:sz w:val="21"/>
          <w:szCs w:val="21"/>
        </w:rPr>
        <w:t xml:space="preserve">new </w:t>
      </w:r>
      <w:r w:rsidRPr="0048696E">
        <w:rPr>
          <w:rFonts w:ascii="Calibri Light" w:hAnsi="Calibri Light" w:cs="Calibri"/>
          <w:sz w:val="21"/>
          <w:szCs w:val="21"/>
        </w:rPr>
        <w:t xml:space="preserve">partnership to bolster the participation of women in TVET in Indonesia will </w:t>
      </w:r>
      <w:r>
        <w:rPr>
          <w:rFonts w:ascii="Calibri Light" w:hAnsi="Calibri Light" w:cs="Calibri"/>
          <w:sz w:val="21"/>
          <w:szCs w:val="21"/>
        </w:rPr>
        <w:t xml:space="preserve">be established to support </w:t>
      </w:r>
      <w:r w:rsidRPr="0048696E">
        <w:rPr>
          <w:rFonts w:ascii="Calibri Light" w:hAnsi="Calibri Light" w:cs="Calibri"/>
          <w:sz w:val="21"/>
          <w:szCs w:val="21"/>
        </w:rPr>
        <w:t>the unique role that skills can play in enhancing female workforce participation and economic empowerment.</w:t>
      </w:r>
      <w:r>
        <w:rPr>
          <w:rFonts w:ascii="Calibri Light" w:hAnsi="Calibri Light" w:cs="Calibri"/>
          <w:sz w:val="21"/>
          <w:szCs w:val="21"/>
        </w:rPr>
        <w:t xml:space="preserve"> The </w:t>
      </w:r>
      <w:r w:rsidRPr="008F1D68">
        <w:rPr>
          <w:rFonts w:ascii="Calibri Light" w:hAnsi="Calibri Light" w:cs="Calibri"/>
          <w:sz w:val="21"/>
          <w:szCs w:val="21"/>
        </w:rPr>
        <w:t xml:space="preserve">Australia’s Chief Executive Women and the </w:t>
      </w:r>
      <w:r w:rsidR="00ED33A7" w:rsidRPr="00ED33A7">
        <w:rPr>
          <w:rFonts w:ascii="Calibri Light" w:hAnsi="Calibri Light" w:cs="Calibri"/>
          <w:sz w:val="21"/>
          <w:szCs w:val="21"/>
        </w:rPr>
        <w:t>Indonesian Business Coalition for Women Empowerment</w:t>
      </w:r>
      <w:r w:rsidR="00ED33A7" w:rsidRPr="00B808D4">
        <w:rPr>
          <w:rFonts w:asciiTheme="majorHAnsi" w:hAnsiTheme="majorHAnsi" w:cs="Arial"/>
          <w:iCs/>
        </w:rPr>
        <w:t xml:space="preserve"> </w:t>
      </w:r>
      <w:r>
        <w:rPr>
          <w:rFonts w:ascii="Calibri Light" w:hAnsi="Calibri Light" w:cs="Calibri"/>
          <w:sz w:val="21"/>
          <w:szCs w:val="21"/>
        </w:rPr>
        <w:t>will be supported through events and annual dialogue</w:t>
      </w:r>
      <w:r w:rsidRPr="008F1D68">
        <w:rPr>
          <w:rFonts w:ascii="Calibri Light" w:hAnsi="Calibri Light" w:cs="Calibri"/>
          <w:sz w:val="21"/>
          <w:szCs w:val="21"/>
        </w:rPr>
        <w:t xml:space="preserve"> </w:t>
      </w:r>
      <w:r>
        <w:rPr>
          <w:rFonts w:ascii="Calibri Light" w:hAnsi="Calibri Light" w:cs="Calibri"/>
          <w:sz w:val="21"/>
          <w:szCs w:val="21"/>
        </w:rPr>
        <w:t>aimed at</w:t>
      </w:r>
      <w:r w:rsidRPr="008F1D68">
        <w:rPr>
          <w:rFonts w:ascii="Calibri Light" w:hAnsi="Calibri Light" w:cs="Calibri"/>
          <w:sz w:val="21"/>
          <w:szCs w:val="21"/>
        </w:rPr>
        <w:t xml:space="preserve"> boosting female participation in </w:t>
      </w:r>
      <w:r>
        <w:rPr>
          <w:rFonts w:ascii="Calibri Light" w:hAnsi="Calibri Light" w:cs="Calibri"/>
          <w:sz w:val="21"/>
          <w:szCs w:val="21"/>
        </w:rPr>
        <w:t xml:space="preserve">non-traditional sectors through more inclusive skills and training. </w:t>
      </w:r>
    </w:p>
    <w:p w14:paraId="52C98D6A" w14:textId="6A9912C1" w:rsidR="00EA75EB" w:rsidRPr="00E254AD" w:rsidRDefault="00EA75EB" w:rsidP="00EA75EB">
      <w:pPr>
        <w:pBdr>
          <w:top w:val="single" w:sz="4" w:space="1" w:color="auto"/>
          <w:left w:val="single" w:sz="4" w:space="4" w:color="auto"/>
          <w:bottom w:val="single" w:sz="4" w:space="1" w:color="auto"/>
          <w:right w:val="single" w:sz="4" w:space="4" w:color="auto"/>
        </w:pBdr>
        <w:rPr>
          <w:rFonts w:ascii="Calibri Light" w:hAnsi="Calibri Light"/>
          <w:sz w:val="21"/>
          <w:szCs w:val="21"/>
        </w:rPr>
      </w:pPr>
      <w:r w:rsidRPr="00E254AD">
        <w:rPr>
          <w:rFonts w:ascii="Calibri Light" w:hAnsi="Calibri Light" w:cs="Calibri"/>
          <w:b/>
          <w:i/>
          <w:sz w:val="21"/>
          <w:szCs w:val="21"/>
        </w:rPr>
        <w:t>2020-2021 Budget: $</w:t>
      </w:r>
      <w:r w:rsidR="00F12F2D">
        <w:rPr>
          <w:rFonts w:ascii="Calibri Light" w:hAnsi="Calibri Light" w:cs="Calibri"/>
          <w:b/>
          <w:i/>
          <w:sz w:val="21"/>
          <w:szCs w:val="21"/>
        </w:rPr>
        <w:t>1.1</w:t>
      </w:r>
      <w:r w:rsidRPr="00E254AD">
        <w:rPr>
          <w:rFonts w:ascii="Calibri Light" w:hAnsi="Calibri Light" w:cs="Calibri"/>
          <w:b/>
          <w:i/>
          <w:sz w:val="21"/>
          <w:szCs w:val="21"/>
        </w:rPr>
        <w:t xml:space="preserve"> million</w:t>
      </w:r>
      <w:r w:rsidRPr="00E254AD">
        <w:rPr>
          <w:rFonts w:ascii="Calibri Light" w:hAnsi="Calibri Light"/>
          <w:sz w:val="21"/>
          <w:szCs w:val="21"/>
        </w:rPr>
        <w:t xml:space="preserve"> </w:t>
      </w:r>
    </w:p>
    <w:p w14:paraId="369F6F5C" w14:textId="29D65A37" w:rsidR="00826075" w:rsidRPr="00EA75EB" w:rsidRDefault="00EA75EB" w:rsidP="00EA75EB">
      <w:pPr>
        <w:rPr>
          <w:rFonts w:ascii="Calibri Light" w:hAnsi="Calibri Light"/>
        </w:rPr>
      </w:pPr>
      <w:r>
        <w:rPr>
          <w:rFonts w:ascii="Calibri Light" w:hAnsi="Calibri Light"/>
          <w:sz w:val="21"/>
          <w:szCs w:val="21"/>
        </w:rPr>
        <w:t xml:space="preserve">More detailed activity descriptions are provided </w:t>
      </w:r>
      <w:r w:rsidR="00622562">
        <w:rPr>
          <w:rFonts w:ascii="Calibri Light" w:hAnsi="Calibri Light"/>
          <w:sz w:val="21"/>
          <w:szCs w:val="21"/>
        </w:rPr>
        <w:t xml:space="preserve">at </w:t>
      </w:r>
      <w:r w:rsidRPr="001A4815">
        <w:rPr>
          <w:rFonts w:ascii="Calibri Light" w:hAnsi="Calibri Light"/>
          <w:sz w:val="21"/>
          <w:szCs w:val="21"/>
          <w:u w:val="single"/>
        </w:rPr>
        <w:t xml:space="preserve">Annex </w:t>
      </w:r>
      <w:r w:rsidR="00622562">
        <w:rPr>
          <w:rFonts w:ascii="Calibri Light" w:hAnsi="Calibri Light"/>
          <w:sz w:val="21"/>
          <w:szCs w:val="21"/>
          <w:u w:val="single"/>
        </w:rPr>
        <w:t>6</w:t>
      </w:r>
      <w:r>
        <w:rPr>
          <w:rFonts w:ascii="Calibri Light" w:hAnsi="Calibri Light"/>
          <w:sz w:val="21"/>
          <w:szCs w:val="21"/>
        </w:rPr>
        <w:t xml:space="preserve">. </w:t>
      </w:r>
    </w:p>
    <w:p w14:paraId="3D753732" w14:textId="77777777" w:rsidR="00826075" w:rsidRPr="00E20799" w:rsidRDefault="00826075" w:rsidP="00E20799">
      <w:pPr>
        <w:sectPr w:rsidR="00826075" w:rsidRPr="00E20799" w:rsidSect="00E20799">
          <w:headerReference w:type="default" r:id="rId22"/>
          <w:footerReference w:type="default" r:id="rId23"/>
          <w:pgSz w:w="11906" w:h="16838" w:code="9"/>
          <w:pgMar w:top="1701" w:right="1134" w:bottom="1418" w:left="1134" w:header="425" w:footer="493" w:gutter="0"/>
          <w:cols w:space="397"/>
          <w:titlePg/>
          <w:docGrid w:linePitch="360"/>
        </w:sectPr>
      </w:pPr>
    </w:p>
    <w:p w14:paraId="1FAAF341" w14:textId="3CF646A4" w:rsidR="00E20799" w:rsidRPr="00A05A14" w:rsidRDefault="00A05A14" w:rsidP="00E20799">
      <w:pPr>
        <w:pStyle w:val="Heading3"/>
        <w:pBdr>
          <w:bottom w:val="single" w:sz="4" w:space="1" w:color="auto"/>
        </w:pBdr>
        <w:spacing w:before="120"/>
        <w:rPr>
          <w:rFonts w:asciiTheme="minorHAnsi" w:hAnsiTheme="minorHAnsi" w:cstheme="minorHAnsi"/>
          <w:b/>
          <w:bCs w:val="0"/>
          <w:sz w:val="38"/>
          <w:szCs w:val="38"/>
        </w:rPr>
      </w:pPr>
      <w:r w:rsidRPr="00383F0B">
        <w:rPr>
          <w:rStyle w:val="BookTitle"/>
          <w:rFonts w:asciiTheme="minorHAnsi" w:hAnsiTheme="minorHAnsi" w:cstheme="minorHAnsi"/>
          <w:b w:val="0"/>
          <w:bCs w:val="0"/>
          <w:color w:val="495965" w:themeColor="text2"/>
          <w:sz w:val="38"/>
          <w:szCs w:val="38"/>
        </w:rPr>
        <w:lastRenderedPageBreak/>
        <w:t xml:space="preserve">ANNEX </w:t>
      </w:r>
      <w:r w:rsidR="00C27542" w:rsidRPr="00383F0B">
        <w:rPr>
          <w:rStyle w:val="BookTitle"/>
          <w:rFonts w:asciiTheme="minorHAnsi" w:hAnsiTheme="minorHAnsi" w:cstheme="minorHAnsi"/>
          <w:b w:val="0"/>
          <w:bCs w:val="0"/>
          <w:color w:val="495965" w:themeColor="text2"/>
          <w:sz w:val="38"/>
          <w:szCs w:val="38"/>
        </w:rPr>
        <w:t>3</w:t>
      </w:r>
      <w:r w:rsidRPr="00383F0B">
        <w:rPr>
          <w:rStyle w:val="BookTitle"/>
          <w:rFonts w:asciiTheme="minorHAnsi" w:hAnsiTheme="minorHAnsi" w:cstheme="minorHAnsi"/>
          <w:b w:val="0"/>
          <w:bCs w:val="0"/>
          <w:color w:val="495965" w:themeColor="text2"/>
          <w:sz w:val="38"/>
          <w:szCs w:val="38"/>
        </w:rPr>
        <w:t xml:space="preserve">. </w:t>
      </w:r>
      <w:r w:rsidR="00E20799" w:rsidRPr="00383F0B">
        <w:rPr>
          <w:rFonts w:asciiTheme="minorHAnsi" w:hAnsiTheme="minorHAnsi" w:cstheme="minorHAnsi"/>
          <w:sz w:val="38"/>
          <w:szCs w:val="38"/>
        </w:rPr>
        <w:t>M</w:t>
      </w:r>
      <w:r w:rsidR="002D3BDC" w:rsidRPr="00383F0B">
        <w:rPr>
          <w:rFonts w:asciiTheme="minorHAnsi" w:hAnsiTheme="minorHAnsi" w:cstheme="minorHAnsi"/>
          <w:sz w:val="38"/>
          <w:szCs w:val="38"/>
        </w:rPr>
        <w:t>ONITORING, EVALUTION AND LEARNING</w:t>
      </w:r>
      <w:r w:rsidR="008D7553" w:rsidRPr="00383F0B">
        <w:rPr>
          <w:rFonts w:asciiTheme="minorHAnsi" w:hAnsiTheme="minorHAnsi" w:cstheme="minorHAnsi"/>
          <w:sz w:val="38"/>
          <w:szCs w:val="38"/>
        </w:rPr>
        <w:t xml:space="preserve"> (MEL)</w:t>
      </w:r>
      <w:r w:rsidR="002D3BDC">
        <w:rPr>
          <w:rFonts w:asciiTheme="minorHAnsi" w:hAnsiTheme="minorHAnsi" w:cstheme="minorHAnsi"/>
          <w:sz w:val="38"/>
          <w:szCs w:val="38"/>
        </w:rPr>
        <w:t xml:space="preserve"> FRAMEWORK </w:t>
      </w:r>
    </w:p>
    <w:p w14:paraId="7C42BE4E" w14:textId="0E504566" w:rsidR="00E20799" w:rsidRPr="0092021F" w:rsidRDefault="00E20799" w:rsidP="007925CE">
      <w:pPr>
        <w:tabs>
          <w:tab w:val="left" w:pos="284"/>
        </w:tabs>
        <w:spacing w:after="120"/>
        <w:jc w:val="both"/>
        <w:rPr>
          <w:rFonts w:eastAsia="Times New Roman" w:cs="Arial"/>
          <w:sz w:val="21"/>
          <w:szCs w:val="21"/>
          <w:lang w:val="en-AU" w:eastAsia="en-AU"/>
        </w:rPr>
      </w:pPr>
      <w:r w:rsidRPr="0092021F">
        <w:rPr>
          <w:rFonts w:eastAsia="Times New Roman" w:cs="Arial"/>
          <w:sz w:val="21"/>
          <w:szCs w:val="21"/>
          <w:lang w:val="en-AU" w:eastAsia="en-AU"/>
        </w:rPr>
        <w:t xml:space="preserve">The </w:t>
      </w:r>
      <w:r w:rsidR="000356EC">
        <w:rPr>
          <w:rFonts w:eastAsia="Times New Roman" w:cs="Arial"/>
          <w:sz w:val="21"/>
          <w:szCs w:val="21"/>
          <w:lang w:val="en-AU" w:eastAsia="en-AU"/>
        </w:rPr>
        <w:t>MEL</w:t>
      </w:r>
      <w:r w:rsidRPr="0092021F">
        <w:rPr>
          <w:rFonts w:eastAsia="Times New Roman" w:cs="Arial"/>
          <w:sz w:val="21"/>
          <w:szCs w:val="21"/>
          <w:lang w:val="en-AU" w:eastAsia="en-AU"/>
        </w:rPr>
        <w:t xml:space="preserve"> </w:t>
      </w:r>
      <w:r>
        <w:rPr>
          <w:rFonts w:eastAsia="Times New Roman" w:cs="Arial"/>
          <w:sz w:val="21"/>
          <w:szCs w:val="21"/>
          <w:lang w:val="en-AU" w:eastAsia="en-AU"/>
        </w:rPr>
        <w:t xml:space="preserve">Framework </w:t>
      </w:r>
      <w:r w:rsidRPr="0092021F">
        <w:rPr>
          <w:rFonts w:eastAsia="Times New Roman" w:cs="Arial"/>
          <w:sz w:val="21"/>
          <w:szCs w:val="21"/>
          <w:lang w:val="en-AU" w:eastAsia="en-AU"/>
        </w:rPr>
        <w:t>under ECP will be established with the following components and tools:</w:t>
      </w:r>
    </w:p>
    <w:p w14:paraId="278BB14C" w14:textId="50B1C493" w:rsidR="00E20799" w:rsidRPr="0092021F" w:rsidRDefault="00E20799" w:rsidP="009D3124">
      <w:pPr>
        <w:pStyle w:val="ListParagraph"/>
        <w:numPr>
          <w:ilvl w:val="0"/>
          <w:numId w:val="23"/>
        </w:numPr>
        <w:tabs>
          <w:tab w:val="left" w:pos="284"/>
        </w:tabs>
        <w:spacing w:after="120"/>
        <w:contextualSpacing w:val="0"/>
        <w:jc w:val="both"/>
        <w:rPr>
          <w:rFonts w:eastAsia="Times New Roman" w:cs="Arial"/>
          <w:sz w:val="21"/>
          <w:szCs w:val="21"/>
          <w:lang w:val="en-AU" w:eastAsia="en-AU"/>
        </w:rPr>
      </w:pPr>
      <w:r w:rsidRPr="0092021F">
        <w:rPr>
          <w:rFonts w:eastAsia="Times New Roman" w:cs="Arial"/>
          <w:b/>
          <w:sz w:val="21"/>
          <w:szCs w:val="21"/>
          <w:lang w:val="en-AU" w:eastAsia="en-AU"/>
        </w:rPr>
        <w:t>Stakeholder matrix</w:t>
      </w:r>
      <w:r w:rsidRPr="0092021F">
        <w:rPr>
          <w:rFonts w:eastAsia="Times New Roman" w:cs="Arial"/>
          <w:sz w:val="21"/>
          <w:szCs w:val="21"/>
          <w:lang w:val="en-AU" w:eastAsia="en-AU"/>
        </w:rPr>
        <w:t xml:space="preserve"> </w:t>
      </w:r>
      <w:r w:rsidR="00FC4538">
        <w:rPr>
          <w:rFonts w:eastAsia="Times New Roman" w:cs="Arial"/>
          <w:sz w:val="21"/>
          <w:szCs w:val="21"/>
          <w:lang w:val="en-AU" w:eastAsia="en-AU"/>
        </w:rPr>
        <w:t>—</w:t>
      </w:r>
      <w:r w:rsidR="00FC4538" w:rsidRPr="0092021F">
        <w:rPr>
          <w:rFonts w:eastAsia="Times New Roman" w:cs="Arial"/>
          <w:sz w:val="21"/>
          <w:szCs w:val="21"/>
          <w:lang w:val="en-AU" w:eastAsia="en-AU"/>
        </w:rPr>
        <w:t xml:space="preserve"> </w:t>
      </w:r>
      <w:r w:rsidRPr="0092021F">
        <w:rPr>
          <w:rFonts w:eastAsia="Times New Roman" w:cs="Arial"/>
          <w:sz w:val="21"/>
          <w:szCs w:val="21"/>
          <w:lang w:val="en-AU" w:eastAsia="en-AU"/>
        </w:rPr>
        <w:t xml:space="preserve">this provides guidance on how the </w:t>
      </w:r>
      <w:r w:rsidR="000356EC">
        <w:rPr>
          <w:rFonts w:eastAsia="Times New Roman" w:cs="Arial"/>
          <w:sz w:val="21"/>
          <w:szCs w:val="21"/>
          <w:lang w:val="en-AU" w:eastAsia="en-AU"/>
        </w:rPr>
        <w:t>MEL</w:t>
      </w:r>
      <w:r w:rsidRPr="0092021F">
        <w:rPr>
          <w:rFonts w:eastAsia="Times New Roman" w:cs="Arial"/>
          <w:sz w:val="21"/>
          <w:szCs w:val="21"/>
          <w:lang w:val="en-AU" w:eastAsia="en-AU"/>
        </w:rPr>
        <w:t xml:space="preserve"> system will be used, by whom and how frequently. The </w:t>
      </w:r>
      <w:r w:rsidR="000356EC">
        <w:rPr>
          <w:rFonts w:eastAsia="Times New Roman" w:cs="Arial"/>
          <w:sz w:val="21"/>
          <w:szCs w:val="21"/>
          <w:lang w:val="en-AU" w:eastAsia="en-AU"/>
        </w:rPr>
        <w:t>MEL</w:t>
      </w:r>
      <w:r w:rsidRPr="0092021F">
        <w:rPr>
          <w:rFonts w:eastAsia="Times New Roman" w:cs="Arial"/>
          <w:sz w:val="21"/>
          <w:szCs w:val="21"/>
          <w:lang w:val="en-AU" w:eastAsia="en-AU"/>
        </w:rPr>
        <w:t xml:space="preserve"> system will be based on a user-focused approach. The stakeholder matrix </w:t>
      </w:r>
      <w:r w:rsidR="008D7553">
        <w:rPr>
          <w:rFonts w:eastAsia="Times New Roman" w:cs="Arial"/>
          <w:sz w:val="21"/>
          <w:szCs w:val="21"/>
          <w:lang w:val="en-AU" w:eastAsia="en-AU"/>
        </w:rPr>
        <w:t>will be updated</w:t>
      </w:r>
      <w:r w:rsidRPr="0092021F">
        <w:rPr>
          <w:rFonts w:eastAsia="Times New Roman" w:cs="Arial"/>
          <w:sz w:val="21"/>
          <w:szCs w:val="21"/>
          <w:lang w:val="en-AU" w:eastAsia="en-AU"/>
        </w:rPr>
        <w:t xml:space="preserve"> regularly to reflect the needs of stakeholders.</w:t>
      </w:r>
    </w:p>
    <w:p w14:paraId="351D66EF" w14:textId="71F36D28" w:rsidR="00E20799" w:rsidRPr="0092021F" w:rsidRDefault="00E20799" w:rsidP="009D3124">
      <w:pPr>
        <w:pStyle w:val="ListParagraph"/>
        <w:numPr>
          <w:ilvl w:val="0"/>
          <w:numId w:val="23"/>
        </w:numPr>
        <w:tabs>
          <w:tab w:val="left" w:pos="284"/>
        </w:tabs>
        <w:spacing w:after="120"/>
        <w:contextualSpacing w:val="0"/>
        <w:jc w:val="both"/>
        <w:rPr>
          <w:rFonts w:eastAsia="Times New Roman" w:cs="Arial"/>
          <w:sz w:val="21"/>
          <w:szCs w:val="21"/>
          <w:lang w:val="en-AU" w:eastAsia="en-AU"/>
        </w:rPr>
      </w:pPr>
      <w:r w:rsidRPr="0092021F">
        <w:rPr>
          <w:rFonts w:eastAsia="Times New Roman" w:cs="Arial"/>
          <w:b/>
          <w:sz w:val="21"/>
          <w:szCs w:val="21"/>
          <w:lang w:val="en-AU" w:eastAsia="en-AU"/>
        </w:rPr>
        <w:t>Program logic model</w:t>
      </w:r>
      <w:r w:rsidRPr="0092021F">
        <w:rPr>
          <w:rFonts w:eastAsia="Times New Roman" w:cs="Arial"/>
          <w:sz w:val="21"/>
          <w:szCs w:val="21"/>
          <w:lang w:val="en-AU" w:eastAsia="en-AU"/>
        </w:rPr>
        <w:t xml:space="preserve"> (</w:t>
      </w:r>
      <w:r w:rsidR="00F5504F">
        <w:rPr>
          <w:rFonts w:eastAsia="Times New Roman" w:cs="Arial"/>
          <w:sz w:val="21"/>
          <w:szCs w:val="21"/>
          <w:lang w:val="en-AU" w:eastAsia="en-AU"/>
        </w:rPr>
        <w:t xml:space="preserve">see </w:t>
      </w:r>
      <w:r w:rsidRPr="00F5504F">
        <w:rPr>
          <w:rFonts w:eastAsia="Times New Roman" w:cs="Arial"/>
          <w:sz w:val="21"/>
          <w:szCs w:val="21"/>
          <w:u w:val="single"/>
          <w:lang w:val="en-AU" w:eastAsia="en-AU"/>
        </w:rPr>
        <w:t>Annex 1</w:t>
      </w:r>
      <w:r w:rsidRPr="0092021F">
        <w:rPr>
          <w:rFonts w:eastAsia="Times New Roman" w:cs="Arial"/>
          <w:sz w:val="21"/>
          <w:szCs w:val="21"/>
          <w:lang w:val="en-AU" w:eastAsia="en-AU"/>
        </w:rPr>
        <w:t xml:space="preserve">) </w:t>
      </w:r>
      <w:r w:rsidR="00FC4538">
        <w:rPr>
          <w:rFonts w:eastAsia="Times New Roman" w:cs="Arial"/>
          <w:sz w:val="21"/>
          <w:szCs w:val="21"/>
          <w:lang w:val="en-AU" w:eastAsia="en-AU"/>
        </w:rPr>
        <w:t xml:space="preserve">— </w:t>
      </w:r>
      <w:r w:rsidRPr="0092021F">
        <w:rPr>
          <w:rFonts w:eastAsia="Times New Roman" w:cs="Arial"/>
          <w:sz w:val="21"/>
          <w:szCs w:val="21"/>
          <w:lang w:val="en-AU" w:eastAsia="en-AU"/>
        </w:rPr>
        <w:t xml:space="preserve">this describes how outcomes will be achieved based on assumptions and cause and effect. The program logic illustrates how change will happen to achieve the intended outcomes and overall goal, and guide activity design and targeted interventions. </w:t>
      </w:r>
    </w:p>
    <w:p w14:paraId="4402ACC0" w14:textId="77777777" w:rsidR="00E20799" w:rsidRPr="0092021F" w:rsidRDefault="00E20799" w:rsidP="009D3124">
      <w:pPr>
        <w:pStyle w:val="ListParagraph"/>
        <w:numPr>
          <w:ilvl w:val="0"/>
          <w:numId w:val="23"/>
        </w:numPr>
        <w:tabs>
          <w:tab w:val="left" w:pos="284"/>
        </w:tabs>
        <w:spacing w:after="120"/>
        <w:contextualSpacing w:val="0"/>
        <w:jc w:val="both"/>
        <w:rPr>
          <w:rFonts w:eastAsia="Times New Roman" w:cs="Arial"/>
          <w:sz w:val="21"/>
          <w:szCs w:val="21"/>
          <w:lang w:val="en-AU" w:eastAsia="en-AU"/>
        </w:rPr>
      </w:pPr>
      <w:r w:rsidRPr="0092021F">
        <w:rPr>
          <w:rFonts w:eastAsia="Times New Roman" w:cs="Arial"/>
          <w:b/>
          <w:sz w:val="21"/>
          <w:szCs w:val="21"/>
          <w:lang w:val="en-AU" w:eastAsia="en-AU"/>
        </w:rPr>
        <w:t>Key Evaluation Questions</w:t>
      </w:r>
      <w:r w:rsidRPr="0092021F">
        <w:rPr>
          <w:rFonts w:eastAsia="Times New Roman" w:cs="Arial"/>
          <w:sz w:val="21"/>
          <w:szCs w:val="21"/>
          <w:lang w:val="en-AU" w:eastAsia="en-AU"/>
        </w:rPr>
        <w:t xml:space="preserve"> (KEQs) are high-level questions to guide program evaluation and progress towards outcomes. </w:t>
      </w:r>
    </w:p>
    <w:p w14:paraId="35AA17FE" w14:textId="33576FF4" w:rsidR="00E20799" w:rsidRPr="0092021F" w:rsidRDefault="00E20799" w:rsidP="009D3124">
      <w:pPr>
        <w:pStyle w:val="ListParagraph"/>
        <w:numPr>
          <w:ilvl w:val="0"/>
          <w:numId w:val="23"/>
        </w:numPr>
        <w:tabs>
          <w:tab w:val="left" w:pos="284"/>
        </w:tabs>
        <w:spacing w:after="120"/>
        <w:contextualSpacing w:val="0"/>
        <w:jc w:val="both"/>
        <w:rPr>
          <w:rFonts w:eastAsia="Times New Roman" w:cs="Arial"/>
          <w:sz w:val="21"/>
          <w:szCs w:val="21"/>
          <w:lang w:val="en-AU" w:eastAsia="en-AU"/>
        </w:rPr>
      </w:pPr>
      <w:r w:rsidRPr="0092021F">
        <w:rPr>
          <w:rFonts w:eastAsia="Times New Roman" w:cs="Arial"/>
          <w:b/>
          <w:sz w:val="21"/>
          <w:szCs w:val="21"/>
          <w:lang w:val="en-AU" w:eastAsia="en-AU"/>
        </w:rPr>
        <w:t>Baseline report</w:t>
      </w:r>
      <w:r w:rsidRPr="0092021F">
        <w:rPr>
          <w:rFonts w:eastAsia="Times New Roman" w:cs="Arial"/>
          <w:sz w:val="21"/>
          <w:szCs w:val="21"/>
          <w:lang w:val="en-AU" w:eastAsia="en-AU"/>
        </w:rPr>
        <w:t xml:space="preserve"> </w:t>
      </w:r>
      <w:r w:rsidR="008D7553">
        <w:rPr>
          <w:rFonts w:eastAsia="Times New Roman" w:cs="Arial"/>
          <w:sz w:val="21"/>
          <w:szCs w:val="21"/>
          <w:lang w:val="en-AU" w:eastAsia="en-AU"/>
        </w:rPr>
        <w:t xml:space="preserve">— </w:t>
      </w:r>
      <w:r w:rsidRPr="0092021F">
        <w:rPr>
          <w:rFonts w:eastAsia="Times New Roman" w:cs="Arial"/>
          <w:sz w:val="21"/>
          <w:szCs w:val="21"/>
          <w:lang w:val="en-AU" w:eastAsia="en-AU"/>
        </w:rPr>
        <w:t>this is a standalone document describing the situation on commencement of ECP in each of the sectors targeted by the program. It will be based on agreed indicators using qualitative and quantitative descriptors. It is used to compare changes over the course of the program.</w:t>
      </w:r>
    </w:p>
    <w:p w14:paraId="596747BC" w14:textId="641F1ABB" w:rsidR="00E20799" w:rsidRPr="0092021F" w:rsidRDefault="00E20799" w:rsidP="009D3124">
      <w:pPr>
        <w:pStyle w:val="ListParagraph"/>
        <w:numPr>
          <w:ilvl w:val="0"/>
          <w:numId w:val="23"/>
        </w:numPr>
        <w:tabs>
          <w:tab w:val="left" w:pos="284"/>
        </w:tabs>
        <w:spacing w:after="120"/>
        <w:contextualSpacing w:val="0"/>
        <w:jc w:val="both"/>
        <w:rPr>
          <w:rFonts w:eastAsia="Times New Roman" w:cs="Arial"/>
          <w:sz w:val="21"/>
          <w:szCs w:val="21"/>
          <w:lang w:val="en-AU" w:eastAsia="en-AU"/>
        </w:rPr>
      </w:pPr>
      <w:r w:rsidRPr="0092021F">
        <w:rPr>
          <w:rFonts w:eastAsia="Times New Roman" w:cs="Arial"/>
          <w:b/>
          <w:sz w:val="21"/>
          <w:szCs w:val="21"/>
          <w:lang w:val="en-AU" w:eastAsia="en-AU"/>
        </w:rPr>
        <w:t>Results framework and Key Performance Indicators (KPIs)</w:t>
      </w:r>
      <w:r w:rsidRPr="0092021F">
        <w:rPr>
          <w:rFonts w:eastAsia="Times New Roman" w:cs="Arial"/>
          <w:sz w:val="21"/>
          <w:szCs w:val="21"/>
          <w:lang w:val="en-AU" w:eastAsia="en-AU"/>
        </w:rPr>
        <w:t xml:space="preserve"> </w:t>
      </w:r>
      <w:r w:rsidR="00FC4538">
        <w:rPr>
          <w:rFonts w:eastAsia="Times New Roman" w:cs="Arial"/>
          <w:sz w:val="21"/>
          <w:szCs w:val="21"/>
          <w:lang w:val="en-AU" w:eastAsia="en-AU"/>
        </w:rPr>
        <w:t>—</w:t>
      </w:r>
      <w:r w:rsidR="00FC4538" w:rsidRPr="0092021F">
        <w:rPr>
          <w:rFonts w:eastAsia="Times New Roman" w:cs="Arial"/>
          <w:sz w:val="21"/>
          <w:szCs w:val="21"/>
          <w:lang w:val="en-AU" w:eastAsia="en-AU"/>
        </w:rPr>
        <w:t xml:space="preserve"> </w:t>
      </w:r>
      <w:r w:rsidRPr="0092021F">
        <w:rPr>
          <w:rFonts w:eastAsia="Times New Roman" w:cs="Arial"/>
          <w:sz w:val="21"/>
          <w:szCs w:val="21"/>
          <w:lang w:val="en-AU" w:eastAsia="en-AU"/>
        </w:rPr>
        <w:t xml:space="preserve">this summarises relationships between intended outcomes, indicators, targets, baseline data, methods and uses. </w:t>
      </w:r>
      <w:r w:rsidR="007925CE">
        <w:rPr>
          <w:rFonts w:eastAsia="Times New Roman" w:cs="Arial"/>
          <w:sz w:val="21"/>
          <w:szCs w:val="21"/>
          <w:lang w:val="en-AU" w:eastAsia="en-AU"/>
        </w:rPr>
        <w:t>See</w:t>
      </w:r>
      <w:r w:rsidRPr="0092021F">
        <w:rPr>
          <w:rFonts w:eastAsia="Times New Roman" w:cs="Arial"/>
          <w:sz w:val="21"/>
          <w:szCs w:val="21"/>
          <w:lang w:val="en-AU" w:eastAsia="en-AU"/>
        </w:rPr>
        <w:t xml:space="preserve"> </w:t>
      </w:r>
      <w:r w:rsidRPr="00F5504F">
        <w:rPr>
          <w:rFonts w:eastAsia="Times New Roman" w:cs="Arial"/>
          <w:sz w:val="21"/>
          <w:szCs w:val="21"/>
          <w:u w:val="single"/>
          <w:lang w:val="en-AU" w:eastAsia="en-AU"/>
        </w:rPr>
        <w:t>Annex 3</w:t>
      </w:r>
      <w:r w:rsidRPr="0092021F">
        <w:rPr>
          <w:rFonts w:eastAsia="Times New Roman" w:cs="Arial"/>
          <w:sz w:val="21"/>
          <w:szCs w:val="21"/>
          <w:lang w:val="en-AU" w:eastAsia="en-AU"/>
        </w:rPr>
        <w:t>.</w:t>
      </w:r>
    </w:p>
    <w:p w14:paraId="6A37D6AE" w14:textId="5932500E" w:rsidR="00E20799" w:rsidRPr="0092021F" w:rsidRDefault="00E20799" w:rsidP="009D3124">
      <w:pPr>
        <w:pStyle w:val="ListParagraph"/>
        <w:numPr>
          <w:ilvl w:val="0"/>
          <w:numId w:val="23"/>
        </w:numPr>
        <w:tabs>
          <w:tab w:val="left" w:pos="284"/>
        </w:tabs>
        <w:spacing w:after="120"/>
        <w:ind w:left="714" w:hanging="357"/>
        <w:contextualSpacing w:val="0"/>
        <w:jc w:val="both"/>
        <w:rPr>
          <w:rFonts w:eastAsia="Times New Roman" w:cs="Arial"/>
          <w:sz w:val="21"/>
          <w:szCs w:val="21"/>
          <w:lang w:val="en-AU" w:eastAsia="en-AU"/>
        </w:rPr>
      </w:pPr>
      <w:r w:rsidRPr="0092021F">
        <w:rPr>
          <w:rFonts w:eastAsia="Times New Roman" w:cs="Arial"/>
          <w:b/>
          <w:sz w:val="21"/>
          <w:szCs w:val="21"/>
          <w:lang w:val="en-AU" w:eastAsia="en-AU"/>
        </w:rPr>
        <w:t xml:space="preserve">Operational and management indicators </w:t>
      </w:r>
      <w:r w:rsidRPr="00F5504F">
        <w:rPr>
          <w:rFonts w:eastAsia="Times New Roman" w:cs="Arial"/>
          <w:sz w:val="21"/>
          <w:szCs w:val="21"/>
          <w:lang w:val="en-AU" w:eastAsia="en-AU"/>
        </w:rPr>
        <w:t>(</w:t>
      </w:r>
      <w:r w:rsidRPr="00F5504F">
        <w:rPr>
          <w:rFonts w:eastAsia="Times New Roman" w:cs="Arial"/>
          <w:sz w:val="21"/>
          <w:szCs w:val="21"/>
          <w:u w:val="single"/>
          <w:lang w:val="en-AU" w:eastAsia="en-AU"/>
        </w:rPr>
        <w:t>Annex 3</w:t>
      </w:r>
      <w:r w:rsidRPr="00F5504F">
        <w:rPr>
          <w:rFonts w:eastAsia="Times New Roman" w:cs="Arial"/>
          <w:sz w:val="21"/>
          <w:szCs w:val="21"/>
          <w:lang w:val="en-AU" w:eastAsia="en-AU"/>
        </w:rPr>
        <w:t>)</w:t>
      </w:r>
      <w:r w:rsidRPr="0092021F">
        <w:rPr>
          <w:rFonts w:eastAsia="Times New Roman" w:cs="Arial"/>
          <w:sz w:val="21"/>
          <w:szCs w:val="21"/>
          <w:lang w:val="en-AU" w:eastAsia="en-AU"/>
        </w:rPr>
        <w:t xml:space="preserve"> </w:t>
      </w:r>
      <w:r w:rsidR="00F5504F">
        <w:rPr>
          <w:rFonts w:eastAsia="Times New Roman" w:cs="Arial"/>
          <w:sz w:val="21"/>
          <w:szCs w:val="21"/>
          <w:lang w:val="en-AU" w:eastAsia="en-AU"/>
        </w:rPr>
        <w:t>—</w:t>
      </w:r>
      <w:r w:rsidRPr="0092021F">
        <w:rPr>
          <w:rFonts w:eastAsia="Times New Roman" w:cs="Arial"/>
          <w:sz w:val="21"/>
          <w:szCs w:val="21"/>
          <w:lang w:val="en-AU" w:eastAsia="en-AU"/>
        </w:rPr>
        <w:t xml:space="preserve"> these are focused on ensuring the ECP delivers value for money and monitors risks, adaptive management, expenditure and quality outputs</w:t>
      </w:r>
    </w:p>
    <w:p w14:paraId="7B33B3D0" w14:textId="3280E9A3" w:rsidR="00E20799" w:rsidRPr="0092021F" w:rsidRDefault="000356EC" w:rsidP="009D3124">
      <w:pPr>
        <w:pStyle w:val="ListParagraph"/>
        <w:numPr>
          <w:ilvl w:val="0"/>
          <w:numId w:val="23"/>
        </w:numPr>
        <w:tabs>
          <w:tab w:val="left" w:pos="284"/>
        </w:tabs>
        <w:spacing w:after="120"/>
        <w:ind w:left="714" w:hanging="357"/>
        <w:contextualSpacing w:val="0"/>
        <w:jc w:val="both"/>
        <w:rPr>
          <w:rFonts w:eastAsia="Times New Roman" w:cs="Arial"/>
          <w:sz w:val="21"/>
          <w:szCs w:val="21"/>
          <w:lang w:val="en-AU" w:eastAsia="en-AU"/>
        </w:rPr>
      </w:pPr>
      <w:r>
        <w:rPr>
          <w:rFonts w:eastAsia="Times New Roman" w:cs="Arial"/>
          <w:b/>
          <w:sz w:val="21"/>
          <w:szCs w:val="21"/>
          <w:lang w:val="en-AU" w:eastAsia="en-AU"/>
        </w:rPr>
        <w:t>MEL</w:t>
      </w:r>
      <w:r w:rsidR="00E20799" w:rsidRPr="0092021F">
        <w:rPr>
          <w:rFonts w:eastAsia="Times New Roman" w:cs="Arial"/>
          <w:b/>
          <w:sz w:val="21"/>
          <w:szCs w:val="21"/>
          <w:lang w:val="en-AU" w:eastAsia="en-AU"/>
        </w:rPr>
        <w:t xml:space="preserve"> data collection, analysis and learning reflection tools</w:t>
      </w:r>
      <w:r w:rsidR="00E20799" w:rsidRPr="0092021F">
        <w:rPr>
          <w:rFonts w:eastAsia="Times New Roman" w:cs="Arial"/>
          <w:sz w:val="21"/>
          <w:szCs w:val="21"/>
          <w:lang w:val="en-AU" w:eastAsia="en-AU"/>
        </w:rPr>
        <w:t xml:space="preserve"> </w:t>
      </w:r>
      <w:r w:rsidR="00FC4538">
        <w:rPr>
          <w:rFonts w:eastAsia="Times New Roman" w:cs="Arial"/>
          <w:sz w:val="21"/>
          <w:szCs w:val="21"/>
          <w:lang w:val="en-AU" w:eastAsia="en-AU"/>
        </w:rPr>
        <w:t>—</w:t>
      </w:r>
      <w:r w:rsidR="00FC4538" w:rsidRPr="0092021F">
        <w:rPr>
          <w:rFonts w:eastAsia="Times New Roman" w:cs="Arial"/>
          <w:sz w:val="21"/>
          <w:szCs w:val="21"/>
          <w:lang w:val="en-AU" w:eastAsia="en-AU"/>
        </w:rPr>
        <w:t xml:space="preserve"> </w:t>
      </w:r>
      <w:r w:rsidR="00E20799" w:rsidRPr="0092021F">
        <w:rPr>
          <w:rFonts w:eastAsia="Times New Roman" w:cs="Arial"/>
          <w:sz w:val="21"/>
          <w:szCs w:val="21"/>
          <w:lang w:val="en-AU" w:eastAsia="en-AU"/>
        </w:rPr>
        <w:t xml:space="preserve">these comprise mixed-method approaches combining qualitative and quantitative data to address research and evaluation questions and harvest lessons learned. These include perception surveys, case studies, contribution analysis, quality reviews and reflection workshops. As a standard practice, all data will be disaggregated by gender, disability, location and sectors. </w:t>
      </w:r>
    </w:p>
    <w:p w14:paraId="09863444" w14:textId="30C88B6E" w:rsidR="00E20799" w:rsidRPr="0092021F" w:rsidRDefault="00E20799" w:rsidP="009D3124">
      <w:pPr>
        <w:pStyle w:val="ListParagraph"/>
        <w:numPr>
          <w:ilvl w:val="0"/>
          <w:numId w:val="23"/>
        </w:numPr>
        <w:tabs>
          <w:tab w:val="left" w:pos="284"/>
        </w:tabs>
        <w:spacing w:after="120"/>
        <w:ind w:left="714" w:hanging="357"/>
        <w:contextualSpacing w:val="0"/>
        <w:jc w:val="both"/>
        <w:rPr>
          <w:rFonts w:eastAsia="Times New Roman" w:cs="Arial"/>
          <w:sz w:val="21"/>
          <w:szCs w:val="21"/>
          <w:lang w:val="en-AU" w:eastAsia="en-AU"/>
        </w:rPr>
      </w:pPr>
      <w:r w:rsidRPr="0092021F">
        <w:rPr>
          <w:rFonts w:eastAsia="Times New Roman" w:cs="Arial"/>
          <w:b/>
          <w:sz w:val="21"/>
          <w:szCs w:val="21"/>
          <w:lang w:val="en-AU" w:eastAsia="en-AU"/>
        </w:rPr>
        <w:t>Risk and Safeguard Screening Tool</w:t>
      </w:r>
      <w:r w:rsidR="00FC4538">
        <w:rPr>
          <w:rFonts w:eastAsia="Times New Roman" w:cs="Arial"/>
          <w:sz w:val="21"/>
          <w:szCs w:val="21"/>
          <w:lang w:val="en-AU" w:eastAsia="en-AU"/>
        </w:rPr>
        <w:t xml:space="preserve"> —</w:t>
      </w:r>
      <w:r w:rsidRPr="0092021F">
        <w:rPr>
          <w:rFonts w:eastAsia="Times New Roman" w:cs="Arial"/>
          <w:sz w:val="21"/>
          <w:szCs w:val="21"/>
          <w:lang w:val="en-AU" w:eastAsia="en-AU"/>
        </w:rPr>
        <w:t xml:space="preserve"> this is informed by lead indicators and ongoing reporting. The risk matrix is focused on risks associated with the achievement of outputs and intended outcomes, use of resources, quality of partnerships, and proposed mitigation methods</w:t>
      </w:r>
    </w:p>
    <w:p w14:paraId="7C8FD85C" w14:textId="562E8C01" w:rsidR="00E20799" w:rsidRPr="0092021F" w:rsidRDefault="00E20799" w:rsidP="009D3124">
      <w:pPr>
        <w:pStyle w:val="ListParagraph"/>
        <w:numPr>
          <w:ilvl w:val="0"/>
          <w:numId w:val="23"/>
        </w:numPr>
        <w:tabs>
          <w:tab w:val="left" w:pos="284"/>
        </w:tabs>
        <w:spacing w:after="120"/>
        <w:ind w:left="714" w:hanging="357"/>
        <w:contextualSpacing w:val="0"/>
        <w:jc w:val="both"/>
        <w:rPr>
          <w:rFonts w:eastAsia="Times New Roman" w:cs="Arial"/>
          <w:sz w:val="21"/>
          <w:szCs w:val="21"/>
          <w:lang w:val="en-AU" w:eastAsia="en-AU"/>
        </w:rPr>
      </w:pPr>
      <w:r w:rsidRPr="0092021F">
        <w:rPr>
          <w:rFonts w:eastAsia="Times New Roman" w:cs="Arial"/>
          <w:b/>
          <w:sz w:val="21"/>
          <w:szCs w:val="21"/>
          <w:lang w:val="en-AU" w:eastAsia="en-AU"/>
        </w:rPr>
        <w:t>Reporting templates</w:t>
      </w:r>
      <w:r w:rsidR="008D7553">
        <w:rPr>
          <w:rFonts w:eastAsia="Times New Roman" w:cs="Arial"/>
          <w:sz w:val="21"/>
          <w:szCs w:val="21"/>
          <w:lang w:val="en-AU" w:eastAsia="en-AU"/>
        </w:rPr>
        <w:t xml:space="preserve"> —</w:t>
      </w:r>
      <w:r w:rsidRPr="0092021F">
        <w:rPr>
          <w:rFonts w:eastAsia="Times New Roman" w:cs="Arial"/>
          <w:sz w:val="21"/>
          <w:szCs w:val="21"/>
          <w:lang w:val="en-AU" w:eastAsia="en-AU"/>
        </w:rPr>
        <w:t xml:space="preserve"> these are specifically designed to report against DFAT requirements. Progress reports will be produced every six months. Data will be collected monthly, quarterly or six-monthly depending on the dynamic nature of the activities and results.</w:t>
      </w:r>
    </w:p>
    <w:p w14:paraId="356C4273" w14:textId="78495BFD" w:rsidR="00E20799" w:rsidRPr="00E10D15" w:rsidRDefault="000356EC" w:rsidP="009D3124">
      <w:pPr>
        <w:pStyle w:val="ListParagraph"/>
        <w:numPr>
          <w:ilvl w:val="0"/>
          <w:numId w:val="23"/>
        </w:numPr>
        <w:tabs>
          <w:tab w:val="left" w:pos="284"/>
        </w:tabs>
        <w:spacing w:after="120"/>
        <w:ind w:left="714" w:hanging="357"/>
        <w:contextualSpacing w:val="0"/>
        <w:jc w:val="both"/>
        <w:rPr>
          <w:rFonts w:eastAsia="Times New Roman" w:cs="Arial"/>
          <w:sz w:val="21"/>
          <w:szCs w:val="21"/>
          <w:lang w:val="en-AU" w:eastAsia="en-AU"/>
        </w:rPr>
      </w:pPr>
      <w:r>
        <w:rPr>
          <w:rFonts w:eastAsia="Times New Roman" w:cs="Arial"/>
          <w:b/>
          <w:sz w:val="21"/>
          <w:szCs w:val="21"/>
          <w:lang w:val="en-AU" w:eastAsia="en-AU"/>
        </w:rPr>
        <w:t>MEL</w:t>
      </w:r>
      <w:r w:rsidR="00E20799" w:rsidRPr="0092021F">
        <w:rPr>
          <w:rFonts w:eastAsia="Times New Roman" w:cs="Arial"/>
          <w:b/>
          <w:sz w:val="21"/>
          <w:szCs w:val="21"/>
          <w:lang w:val="en-AU" w:eastAsia="en-AU"/>
        </w:rPr>
        <w:t xml:space="preserve"> helpdesk </w:t>
      </w:r>
      <w:r w:rsidR="00A13F48" w:rsidRPr="0092021F">
        <w:rPr>
          <w:rFonts w:eastAsia="Times New Roman" w:cs="Arial"/>
          <w:b/>
          <w:sz w:val="21"/>
          <w:szCs w:val="21"/>
          <w:lang w:val="en-AU" w:eastAsia="en-AU"/>
        </w:rPr>
        <w:t>service</w:t>
      </w:r>
      <w:r w:rsidR="00A13F48">
        <w:rPr>
          <w:rFonts w:eastAsia="Times New Roman" w:cs="Arial"/>
          <w:sz w:val="21"/>
          <w:szCs w:val="21"/>
          <w:lang w:val="en-AU" w:eastAsia="en-AU"/>
        </w:rPr>
        <w:t xml:space="preserve"> </w:t>
      </w:r>
      <w:r w:rsidR="00A13F48" w:rsidRPr="0092021F">
        <w:rPr>
          <w:rFonts w:eastAsia="Times New Roman" w:cs="Arial"/>
          <w:sz w:val="21"/>
          <w:szCs w:val="21"/>
          <w:lang w:val="en-AU" w:eastAsia="en-AU"/>
        </w:rPr>
        <w:t>—</w:t>
      </w:r>
      <w:r w:rsidR="008D7553">
        <w:rPr>
          <w:rFonts w:eastAsia="Times New Roman" w:cs="Arial"/>
          <w:sz w:val="21"/>
          <w:szCs w:val="21"/>
          <w:lang w:val="en-AU" w:eastAsia="en-AU"/>
        </w:rPr>
        <w:t xml:space="preserve"> </w:t>
      </w:r>
      <w:r w:rsidR="00E20799" w:rsidRPr="0092021F">
        <w:rPr>
          <w:rFonts w:eastAsia="Times New Roman" w:cs="Arial"/>
          <w:sz w:val="21"/>
          <w:szCs w:val="21"/>
          <w:lang w:val="en-AU" w:eastAsia="en-AU"/>
        </w:rPr>
        <w:t xml:space="preserve">this will be provided by the </w:t>
      </w:r>
      <w:r w:rsidR="00270B2C">
        <w:rPr>
          <w:rFonts w:eastAsia="Times New Roman" w:cs="Arial"/>
          <w:sz w:val="21"/>
          <w:szCs w:val="21"/>
          <w:lang w:val="en-AU" w:eastAsia="en-AU"/>
        </w:rPr>
        <w:t xml:space="preserve">ECP M&amp;E function </w:t>
      </w:r>
      <w:r w:rsidR="00E20799" w:rsidRPr="0092021F">
        <w:rPr>
          <w:rFonts w:eastAsia="Times New Roman" w:cs="Arial"/>
          <w:sz w:val="21"/>
          <w:szCs w:val="21"/>
          <w:lang w:val="en-AU" w:eastAsia="en-AU"/>
        </w:rPr>
        <w:t xml:space="preserve">to support implementing partners undertake monitoring, evaluation and reporting to required standards for ECP.  </w:t>
      </w:r>
      <w:r w:rsidR="00E20799">
        <w:rPr>
          <w:rFonts w:eastAsia="Times New Roman" w:cs="Arial"/>
          <w:sz w:val="21"/>
          <w:szCs w:val="21"/>
          <w:lang w:val="en-AU" w:eastAsia="en-AU"/>
        </w:rPr>
        <w:t xml:space="preserve">It will aid in collaboration and coordination with other programs as part of the </w:t>
      </w:r>
      <w:r w:rsidR="00C33433">
        <w:rPr>
          <w:rFonts w:eastAsia="Times New Roman" w:cs="Arial"/>
          <w:sz w:val="21"/>
          <w:szCs w:val="21"/>
          <w:lang w:val="en-AU" w:eastAsia="en-AU"/>
        </w:rPr>
        <w:t>Collaborative Hub</w:t>
      </w:r>
      <w:r w:rsidR="00E20799">
        <w:rPr>
          <w:rFonts w:eastAsia="Times New Roman" w:cs="Arial"/>
          <w:sz w:val="21"/>
          <w:szCs w:val="21"/>
          <w:lang w:val="en-AU" w:eastAsia="en-AU"/>
        </w:rPr>
        <w:t xml:space="preserve"> shared services.</w:t>
      </w:r>
    </w:p>
    <w:p w14:paraId="07B3800B" w14:textId="455E13D5" w:rsidR="00E20799" w:rsidRPr="007925CE" w:rsidRDefault="00E20799" w:rsidP="007925CE">
      <w:pPr>
        <w:suppressAutoHyphens w:val="0"/>
        <w:spacing w:before="240" w:after="120" w:line="259" w:lineRule="auto"/>
        <w:rPr>
          <w:rFonts w:ascii="Calibri" w:hAnsi="Calibri"/>
          <w:b/>
          <w:color w:val="000000" w:themeColor="text1"/>
          <w:sz w:val="24"/>
          <w:lang w:eastAsia="en-AU"/>
        </w:rPr>
      </w:pPr>
      <w:r w:rsidRPr="002C22C3">
        <w:rPr>
          <w:b/>
          <w:sz w:val="24"/>
        </w:rPr>
        <w:t xml:space="preserve">Key Evaluation Questions: </w:t>
      </w:r>
    </w:p>
    <w:p w14:paraId="0C43C9BE" w14:textId="3C37BAD1" w:rsidR="00E20799" w:rsidRPr="0092021F" w:rsidRDefault="00E20799" w:rsidP="00E20799">
      <w:pPr>
        <w:tabs>
          <w:tab w:val="left" w:pos="284"/>
        </w:tabs>
        <w:spacing w:after="120"/>
        <w:jc w:val="both"/>
        <w:rPr>
          <w:rFonts w:eastAsia="Times New Roman" w:cs="Arial"/>
          <w:sz w:val="21"/>
          <w:szCs w:val="21"/>
          <w:lang w:val="en-AU" w:eastAsia="en-AU"/>
        </w:rPr>
      </w:pPr>
      <w:r w:rsidRPr="0092021F">
        <w:rPr>
          <w:rFonts w:eastAsia="Times New Roman" w:cs="Arial"/>
          <w:sz w:val="21"/>
          <w:szCs w:val="21"/>
          <w:lang w:val="en-AU" w:eastAsia="en-AU"/>
        </w:rPr>
        <w:t xml:space="preserve">Key evaluation questions (KEQs) help guide the approach to monitoring and evaluation. KEQs are typically the questions donors will expect to be answered, supported by enough evidence, at the midpoint and on completion the program. The following KEQs should be used to guide independent evaluations (midterm after 2.5 years and completion reviews after </w:t>
      </w:r>
      <w:r w:rsidR="00A13F48">
        <w:rPr>
          <w:rFonts w:eastAsia="Times New Roman" w:cs="Arial"/>
          <w:sz w:val="21"/>
          <w:szCs w:val="21"/>
          <w:lang w:val="en-AU" w:eastAsia="en-AU"/>
        </w:rPr>
        <w:t xml:space="preserve">five </w:t>
      </w:r>
      <w:r w:rsidRPr="0092021F">
        <w:rPr>
          <w:rFonts w:eastAsia="Times New Roman" w:cs="Arial"/>
          <w:sz w:val="21"/>
          <w:szCs w:val="21"/>
          <w:lang w:val="en-AU" w:eastAsia="en-AU"/>
        </w:rPr>
        <w:t>years):</w:t>
      </w:r>
    </w:p>
    <w:p w14:paraId="1F9F23CA" w14:textId="352B055E" w:rsidR="00E20799" w:rsidRPr="0092021F" w:rsidRDefault="00E20799" w:rsidP="007D0381">
      <w:pPr>
        <w:pStyle w:val="ListParagraph"/>
        <w:numPr>
          <w:ilvl w:val="0"/>
          <w:numId w:val="22"/>
        </w:numPr>
        <w:tabs>
          <w:tab w:val="left" w:pos="284"/>
        </w:tabs>
        <w:spacing w:before="60"/>
        <w:ind w:left="714" w:hanging="357"/>
        <w:contextualSpacing w:val="0"/>
        <w:jc w:val="both"/>
        <w:rPr>
          <w:rFonts w:eastAsia="Times New Roman" w:cs="Arial"/>
          <w:sz w:val="21"/>
          <w:szCs w:val="21"/>
          <w:lang w:val="en-AU" w:eastAsia="en-AU"/>
        </w:rPr>
      </w:pPr>
      <w:r w:rsidRPr="0092021F">
        <w:rPr>
          <w:rFonts w:eastAsia="Times New Roman" w:cs="Arial"/>
          <w:sz w:val="21"/>
          <w:szCs w:val="21"/>
          <w:lang w:val="en-AU" w:eastAsia="en-AU"/>
        </w:rPr>
        <w:t xml:space="preserve">To what extent is ECP relevant to the ongoing needs of the Indonesian and Australian </w:t>
      </w:r>
      <w:r w:rsidR="00FC4538">
        <w:rPr>
          <w:rFonts w:eastAsia="Times New Roman" w:cs="Arial"/>
          <w:sz w:val="21"/>
          <w:szCs w:val="21"/>
          <w:lang w:val="en-AU" w:eastAsia="en-AU"/>
        </w:rPr>
        <w:t>g</w:t>
      </w:r>
      <w:r w:rsidRPr="0092021F">
        <w:rPr>
          <w:rFonts w:eastAsia="Times New Roman" w:cs="Arial"/>
          <w:sz w:val="21"/>
          <w:szCs w:val="21"/>
          <w:lang w:val="en-AU" w:eastAsia="en-AU"/>
        </w:rPr>
        <w:t>overnments? (</w:t>
      </w:r>
      <w:r w:rsidRPr="0019023F">
        <w:rPr>
          <w:rFonts w:eastAsia="Times New Roman" w:cs="Arial"/>
          <w:i/>
          <w:sz w:val="21"/>
          <w:szCs w:val="21"/>
          <w:lang w:val="en-AU" w:eastAsia="en-AU"/>
        </w:rPr>
        <w:t>Relevance</w:t>
      </w:r>
      <w:r w:rsidRPr="0092021F">
        <w:rPr>
          <w:rFonts w:eastAsia="Times New Roman" w:cs="Arial"/>
          <w:sz w:val="21"/>
          <w:szCs w:val="21"/>
          <w:lang w:val="en-AU" w:eastAsia="en-AU"/>
        </w:rPr>
        <w:t>)</w:t>
      </w:r>
    </w:p>
    <w:p w14:paraId="372CC4D7" w14:textId="77777777" w:rsidR="00E20799" w:rsidRPr="0092021F" w:rsidRDefault="00E20799" w:rsidP="007D0381">
      <w:pPr>
        <w:pStyle w:val="ListParagraph"/>
        <w:numPr>
          <w:ilvl w:val="0"/>
          <w:numId w:val="22"/>
        </w:numPr>
        <w:tabs>
          <w:tab w:val="left" w:pos="284"/>
        </w:tabs>
        <w:spacing w:before="60"/>
        <w:ind w:left="714" w:hanging="357"/>
        <w:contextualSpacing w:val="0"/>
        <w:jc w:val="both"/>
        <w:rPr>
          <w:rFonts w:eastAsia="Times New Roman" w:cs="Arial"/>
          <w:sz w:val="21"/>
          <w:szCs w:val="21"/>
          <w:lang w:val="en-AU" w:eastAsia="en-AU"/>
        </w:rPr>
      </w:pPr>
      <w:r w:rsidRPr="0092021F">
        <w:rPr>
          <w:rFonts w:eastAsia="Times New Roman" w:cs="Arial"/>
          <w:sz w:val="21"/>
          <w:szCs w:val="21"/>
          <w:lang w:val="en-AU" w:eastAsia="en-AU"/>
        </w:rPr>
        <w:t>To what extent has ECP optimised the benefits of IA-CEPA for the Indonesian and Australian Governments? (</w:t>
      </w:r>
      <w:r w:rsidRPr="0019023F">
        <w:rPr>
          <w:rFonts w:eastAsia="Times New Roman" w:cs="Arial"/>
          <w:i/>
          <w:sz w:val="21"/>
          <w:szCs w:val="21"/>
          <w:lang w:val="en-AU" w:eastAsia="en-AU"/>
        </w:rPr>
        <w:t>Efficiency and effectiveness</w:t>
      </w:r>
      <w:r w:rsidRPr="0092021F">
        <w:rPr>
          <w:rFonts w:eastAsia="Times New Roman" w:cs="Arial"/>
          <w:sz w:val="21"/>
          <w:szCs w:val="21"/>
          <w:lang w:val="en-AU" w:eastAsia="en-AU"/>
        </w:rPr>
        <w:t>)</w:t>
      </w:r>
    </w:p>
    <w:p w14:paraId="4B883862" w14:textId="77777777" w:rsidR="00E20799" w:rsidRPr="0092021F" w:rsidRDefault="00E20799" w:rsidP="007D0381">
      <w:pPr>
        <w:pStyle w:val="ListParagraph"/>
        <w:numPr>
          <w:ilvl w:val="0"/>
          <w:numId w:val="22"/>
        </w:numPr>
        <w:tabs>
          <w:tab w:val="left" w:pos="284"/>
        </w:tabs>
        <w:spacing w:before="60"/>
        <w:ind w:left="714" w:hanging="357"/>
        <w:contextualSpacing w:val="0"/>
        <w:jc w:val="both"/>
        <w:rPr>
          <w:rFonts w:eastAsia="Times New Roman" w:cs="Arial"/>
          <w:sz w:val="21"/>
          <w:szCs w:val="21"/>
          <w:lang w:val="en-AU" w:eastAsia="en-AU"/>
        </w:rPr>
      </w:pPr>
      <w:r w:rsidRPr="0092021F">
        <w:rPr>
          <w:rFonts w:eastAsia="Times New Roman" w:cs="Arial"/>
          <w:sz w:val="21"/>
          <w:szCs w:val="21"/>
          <w:lang w:val="en-AU" w:eastAsia="en-AU"/>
        </w:rPr>
        <w:lastRenderedPageBreak/>
        <w:t>To what extent has ECP resulted in greater market access? (</w:t>
      </w:r>
      <w:r w:rsidRPr="0019023F">
        <w:rPr>
          <w:rFonts w:eastAsia="Times New Roman" w:cs="Arial"/>
          <w:i/>
          <w:sz w:val="21"/>
          <w:szCs w:val="21"/>
          <w:lang w:val="en-AU" w:eastAsia="en-AU"/>
        </w:rPr>
        <w:t>Effectiveness</w:t>
      </w:r>
      <w:r w:rsidRPr="0092021F">
        <w:rPr>
          <w:rFonts w:eastAsia="Times New Roman" w:cs="Arial"/>
          <w:sz w:val="21"/>
          <w:szCs w:val="21"/>
          <w:lang w:val="en-AU" w:eastAsia="en-AU"/>
        </w:rPr>
        <w:t>)</w:t>
      </w:r>
    </w:p>
    <w:p w14:paraId="43E7DDFE" w14:textId="77777777" w:rsidR="00E20799" w:rsidRPr="0092021F" w:rsidRDefault="00E20799" w:rsidP="007D0381">
      <w:pPr>
        <w:pStyle w:val="ListParagraph"/>
        <w:numPr>
          <w:ilvl w:val="0"/>
          <w:numId w:val="22"/>
        </w:numPr>
        <w:tabs>
          <w:tab w:val="left" w:pos="284"/>
        </w:tabs>
        <w:spacing w:before="60"/>
        <w:ind w:left="714" w:hanging="357"/>
        <w:contextualSpacing w:val="0"/>
        <w:jc w:val="both"/>
        <w:rPr>
          <w:rFonts w:eastAsia="Times New Roman" w:cs="Arial"/>
          <w:sz w:val="21"/>
          <w:szCs w:val="21"/>
          <w:lang w:val="en-AU" w:eastAsia="en-AU"/>
        </w:rPr>
      </w:pPr>
      <w:r w:rsidRPr="0092021F">
        <w:rPr>
          <w:rFonts w:eastAsia="Times New Roman" w:cs="Arial"/>
          <w:sz w:val="21"/>
          <w:szCs w:val="21"/>
          <w:lang w:val="en-AU" w:eastAsia="en-AU"/>
        </w:rPr>
        <w:t>To what ex</w:t>
      </w:r>
      <w:r>
        <w:rPr>
          <w:rFonts w:eastAsia="Times New Roman" w:cs="Arial"/>
          <w:sz w:val="21"/>
          <w:szCs w:val="21"/>
          <w:lang w:val="en-AU" w:eastAsia="en-AU"/>
        </w:rPr>
        <w:t>tent has ECP resulted in better-</w:t>
      </w:r>
      <w:r w:rsidRPr="0092021F">
        <w:rPr>
          <w:rFonts w:eastAsia="Times New Roman" w:cs="Arial"/>
          <w:sz w:val="21"/>
          <w:szCs w:val="21"/>
          <w:lang w:val="en-AU" w:eastAsia="en-AU"/>
        </w:rPr>
        <w:t>integrated markets? (</w:t>
      </w:r>
      <w:r w:rsidRPr="0019023F">
        <w:rPr>
          <w:rFonts w:eastAsia="Times New Roman" w:cs="Arial"/>
          <w:i/>
          <w:sz w:val="21"/>
          <w:szCs w:val="21"/>
          <w:lang w:val="en-AU" w:eastAsia="en-AU"/>
        </w:rPr>
        <w:t>Effectiveness</w:t>
      </w:r>
      <w:r w:rsidRPr="0092021F">
        <w:rPr>
          <w:rFonts w:eastAsia="Times New Roman" w:cs="Arial"/>
          <w:sz w:val="21"/>
          <w:szCs w:val="21"/>
          <w:lang w:val="en-AU" w:eastAsia="en-AU"/>
        </w:rPr>
        <w:t>)</w:t>
      </w:r>
    </w:p>
    <w:p w14:paraId="313C43AC" w14:textId="77777777" w:rsidR="00E20799" w:rsidRPr="0092021F" w:rsidRDefault="00E20799" w:rsidP="007D0381">
      <w:pPr>
        <w:pStyle w:val="ListParagraph"/>
        <w:numPr>
          <w:ilvl w:val="0"/>
          <w:numId w:val="22"/>
        </w:numPr>
        <w:tabs>
          <w:tab w:val="left" w:pos="284"/>
        </w:tabs>
        <w:spacing w:before="60"/>
        <w:ind w:left="714" w:hanging="357"/>
        <w:contextualSpacing w:val="0"/>
        <w:jc w:val="both"/>
        <w:rPr>
          <w:rFonts w:eastAsia="Times New Roman" w:cs="Arial"/>
          <w:sz w:val="21"/>
          <w:szCs w:val="21"/>
          <w:lang w:val="en-AU" w:eastAsia="en-AU"/>
        </w:rPr>
      </w:pPr>
      <w:r w:rsidRPr="0092021F">
        <w:rPr>
          <w:rFonts w:eastAsia="Times New Roman" w:cs="Arial"/>
          <w:sz w:val="21"/>
          <w:szCs w:val="21"/>
          <w:lang w:val="en-AU" w:eastAsia="en-AU"/>
        </w:rPr>
        <w:t>To what extent has ECP enhanced labour market skills? (</w:t>
      </w:r>
      <w:r w:rsidRPr="0019023F">
        <w:rPr>
          <w:rFonts w:eastAsia="Times New Roman" w:cs="Arial"/>
          <w:i/>
          <w:sz w:val="21"/>
          <w:szCs w:val="21"/>
          <w:lang w:val="en-AU" w:eastAsia="en-AU"/>
        </w:rPr>
        <w:t>Effectiveness</w:t>
      </w:r>
      <w:r w:rsidRPr="0092021F">
        <w:rPr>
          <w:rFonts w:eastAsia="Times New Roman" w:cs="Arial"/>
          <w:sz w:val="21"/>
          <w:szCs w:val="21"/>
          <w:lang w:val="en-AU" w:eastAsia="en-AU"/>
        </w:rPr>
        <w:t>)</w:t>
      </w:r>
    </w:p>
    <w:p w14:paraId="6FFCF4A0" w14:textId="77777777" w:rsidR="00E20799" w:rsidRPr="0092021F" w:rsidRDefault="00E20799" w:rsidP="007D0381">
      <w:pPr>
        <w:pStyle w:val="ListParagraph"/>
        <w:numPr>
          <w:ilvl w:val="0"/>
          <w:numId w:val="22"/>
        </w:numPr>
        <w:tabs>
          <w:tab w:val="left" w:pos="284"/>
        </w:tabs>
        <w:spacing w:before="60"/>
        <w:ind w:left="714" w:hanging="357"/>
        <w:contextualSpacing w:val="0"/>
        <w:jc w:val="both"/>
        <w:rPr>
          <w:rFonts w:eastAsia="Times New Roman" w:cs="Arial"/>
          <w:sz w:val="21"/>
          <w:szCs w:val="21"/>
          <w:lang w:val="en-AU" w:eastAsia="en-AU"/>
        </w:rPr>
      </w:pPr>
      <w:r w:rsidRPr="0092021F">
        <w:rPr>
          <w:rFonts w:eastAsia="Times New Roman" w:cs="Arial"/>
          <w:sz w:val="21"/>
          <w:szCs w:val="21"/>
          <w:lang w:val="en-AU" w:eastAsia="en-AU"/>
        </w:rPr>
        <w:t>How effective has ECP been in strengthening partnerships and improving trade and investment between Australia and Indonesia? (</w:t>
      </w:r>
      <w:r w:rsidRPr="0019023F">
        <w:rPr>
          <w:rFonts w:eastAsia="Times New Roman" w:cs="Arial"/>
          <w:i/>
          <w:sz w:val="21"/>
          <w:szCs w:val="21"/>
          <w:lang w:val="en-AU" w:eastAsia="en-AU"/>
        </w:rPr>
        <w:t>Effectiveness</w:t>
      </w:r>
      <w:r w:rsidRPr="0092021F">
        <w:rPr>
          <w:rFonts w:eastAsia="Times New Roman" w:cs="Arial"/>
          <w:sz w:val="21"/>
          <w:szCs w:val="21"/>
          <w:lang w:val="en-AU" w:eastAsia="en-AU"/>
        </w:rPr>
        <w:t>)</w:t>
      </w:r>
    </w:p>
    <w:p w14:paraId="5641817B" w14:textId="77777777" w:rsidR="00E20799" w:rsidRPr="0092021F" w:rsidRDefault="00E20799" w:rsidP="007D0381">
      <w:pPr>
        <w:pStyle w:val="ListParagraph"/>
        <w:numPr>
          <w:ilvl w:val="0"/>
          <w:numId w:val="22"/>
        </w:numPr>
        <w:tabs>
          <w:tab w:val="left" w:pos="284"/>
        </w:tabs>
        <w:spacing w:before="60"/>
        <w:ind w:left="714" w:hanging="357"/>
        <w:contextualSpacing w:val="0"/>
        <w:jc w:val="both"/>
        <w:rPr>
          <w:rFonts w:eastAsia="Times New Roman" w:cs="Arial"/>
          <w:sz w:val="21"/>
          <w:szCs w:val="21"/>
          <w:lang w:val="en-AU" w:eastAsia="en-AU"/>
        </w:rPr>
      </w:pPr>
      <w:r w:rsidRPr="0092021F">
        <w:rPr>
          <w:rFonts w:eastAsia="Times New Roman" w:cs="Arial"/>
          <w:sz w:val="21"/>
          <w:szCs w:val="21"/>
          <w:lang w:val="en-AU" w:eastAsia="en-AU"/>
        </w:rPr>
        <w:t>To what extent will the benefits of ECP be sustained beyond the life of the program? (</w:t>
      </w:r>
      <w:r w:rsidRPr="0019023F">
        <w:rPr>
          <w:rFonts w:eastAsia="Times New Roman" w:cs="Arial"/>
          <w:i/>
          <w:sz w:val="21"/>
          <w:szCs w:val="21"/>
          <w:lang w:val="en-AU" w:eastAsia="en-AU"/>
        </w:rPr>
        <w:t>Sustainability</w:t>
      </w:r>
      <w:r w:rsidRPr="0092021F">
        <w:rPr>
          <w:rFonts w:eastAsia="Times New Roman" w:cs="Arial"/>
          <w:sz w:val="21"/>
          <w:szCs w:val="21"/>
          <w:lang w:val="en-AU" w:eastAsia="en-AU"/>
        </w:rPr>
        <w:t>)</w:t>
      </w:r>
    </w:p>
    <w:p w14:paraId="3544E829" w14:textId="215E08B4" w:rsidR="00E20799" w:rsidRDefault="00E20799" w:rsidP="007D0381">
      <w:pPr>
        <w:pStyle w:val="ListParagraph"/>
        <w:numPr>
          <w:ilvl w:val="0"/>
          <w:numId w:val="22"/>
        </w:numPr>
        <w:tabs>
          <w:tab w:val="left" w:pos="284"/>
        </w:tabs>
        <w:spacing w:before="60"/>
        <w:ind w:left="714" w:hanging="357"/>
        <w:contextualSpacing w:val="0"/>
        <w:jc w:val="both"/>
        <w:rPr>
          <w:rFonts w:eastAsia="Times New Roman" w:cs="Arial"/>
          <w:sz w:val="21"/>
          <w:szCs w:val="21"/>
          <w:lang w:val="en-AU" w:eastAsia="en-AU"/>
        </w:rPr>
      </w:pPr>
      <w:r w:rsidRPr="0092021F">
        <w:rPr>
          <w:rFonts w:eastAsia="Times New Roman" w:cs="Arial"/>
          <w:sz w:val="21"/>
          <w:szCs w:val="21"/>
          <w:lang w:val="en-AU" w:eastAsia="en-AU"/>
        </w:rPr>
        <w:t>In what ways has ECP been able to contribute to gender</w:t>
      </w:r>
      <w:r w:rsidR="007925CE">
        <w:rPr>
          <w:rFonts w:eastAsia="Times New Roman" w:cs="Arial"/>
          <w:sz w:val="21"/>
          <w:szCs w:val="21"/>
          <w:lang w:val="en-AU" w:eastAsia="en-AU"/>
        </w:rPr>
        <w:t xml:space="preserve"> equality and social inclusion?</w:t>
      </w:r>
      <w:r w:rsidR="0019023F">
        <w:rPr>
          <w:rFonts w:eastAsia="Times New Roman" w:cs="Arial"/>
          <w:sz w:val="21"/>
          <w:szCs w:val="21"/>
          <w:lang w:val="en-AU" w:eastAsia="en-AU"/>
        </w:rPr>
        <w:t xml:space="preserve"> (</w:t>
      </w:r>
      <w:r w:rsidR="0019023F" w:rsidRPr="0019023F">
        <w:rPr>
          <w:rFonts w:eastAsia="Times New Roman" w:cs="Arial"/>
          <w:i/>
          <w:sz w:val="21"/>
          <w:szCs w:val="21"/>
          <w:lang w:val="en-AU" w:eastAsia="en-AU"/>
        </w:rPr>
        <w:t>GESI</w:t>
      </w:r>
      <w:r w:rsidR="0019023F">
        <w:rPr>
          <w:rFonts w:eastAsia="Times New Roman" w:cs="Arial"/>
          <w:i/>
          <w:sz w:val="21"/>
          <w:szCs w:val="21"/>
          <w:lang w:val="en-AU" w:eastAsia="en-AU"/>
        </w:rPr>
        <w:t xml:space="preserve"> considerations</w:t>
      </w:r>
      <w:r w:rsidR="0019023F">
        <w:rPr>
          <w:rFonts w:eastAsia="Times New Roman" w:cs="Arial"/>
          <w:sz w:val="21"/>
          <w:szCs w:val="21"/>
          <w:lang w:val="en-AU" w:eastAsia="en-AU"/>
        </w:rPr>
        <w:t>)</w:t>
      </w:r>
    </w:p>
    <w:p w14:paraId="5BC48066" w14:textId="17122B54" w:rsidR="00280550" w:rsidRDefault="00280550" w:rsidP="00280550">
      <w:bookmarkStart w:id="3" w:name="_Hlk31922679"/>
      <w:r>
        <w:t xml:space="preserve">This represents </w:t>
      </w:r>
      <w:r w:rsidRPr="0031664E">
        <w:rPr>
          <w:b/>
        </w:rPr>
        <w:t xml:space="preserve">an indicative </w:t>
      </w:r>
      <w:r w:rsidR="00B82A5E" w:rsidRPr="0031664E">
        <w:rPr>
          <w:b/>
        </w:rPr>
        <w:t>high-level</w:t>
      </w:r>
      <w:r w:rsidRPr="0031664E">
        <w:rPr>
          <w:b/>
        </w:rPr>
        <w:t xml:space="preserve"> </w:t>
      </w:r>
      <w:r w:rsidR="000356EC">
        <w:rPr>
          <w:b/>
        </w:rPr>
        <w:t>MEL</w:t>
      </w:r>
      <w:r w:rsidRPr="0031664E">
        <w:rPr>
          <w:b/>
        </w:rPr>
        <w:t xml:space="preserve"> Framework for ECP </w:t>
      </w:r>
      <w:r>
        <w:t xml:space="preserve">based on the initial priority activities, goal and intended outcomes. Additional detailed logic models are provided </w:t>
      </w:r>
      <w:r w:rsidR="0019023F">
        <w:t>for each of the initial activities</w:t>
      </w:r>
      <w:r>
        <w:t xml:space="preserve">. This framework will continue to expand and become more specific as each annual plan is developed and approved. A </w:t>
      </w:r>
      <w:r w:rsidRPr="0031664E">
        <w:rPr>
          <w:b/>
        </w:rPr>
        <w:t>baseline study</w:t>
      </w:r>
      <w:r>
        <w:t xml:space="preserve"> will be undertaken during the inception phase of ECP to seek agreement on the baseline situation for each outcome area and to identify critical and achievable targets. </w:t>
      </w:r>
    </w:p>
    <w:p w14:paraId="2F14FD60" w14:textId="77777777" w:rsidR="0019023F" w:rsidRDefault="0019023F" w:rsidP="002805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2234"/>
        <w:gridCol w:w="2707"/>
        <w:gridCol w:w="1991"/>
        <w:gridCol w:w="1435"/>
        <w:gridCol w:w="1784"/>
        <w:gridCol w:w="2036"/>
      </w:tblGrid>
      <w:tr w:rsidR="000D73AB" w:rsidRPr="00673B8A" w14:paraId="51F11B60" w14:textId="77777777" w:rsidTr="00D81CF1">
        <w:trPr>
          <w:trHeight w:val="1038"/>
          <w:tblHeader/>
        </w:trPr>
        <w:tc>
          <w:tcPr>
            <w:tcW w:w="0" w:type="auto"/>
            <w:shd w:val="clear" w:color="auto" w:fill="69F0FF" w:themeFill="accent6" w:themeFillTint="66"/>
            <w:vAlign w:val="center"/>
          </w:tcPr>
          <w:p w14:paraId="1C7EB567" w14:textId="77777777" w:rsidR="00280550" w:rsidRPr="00DD2F7A" w:rsidRDefault="00280550" w:rsidP="00302D1E">
            <w:pPr>
              <w:rPr>
                <w:rFonts w:cstheme="minorHAnsi"/>
                <w:b/>
                <w:bCs/>
                <w:sz w:val="20"/>
                <w:szCs w:val="20"/>
              </w:rPr>
            </w:pPr>
            <w:r w:rsidRPr="00DD2F7A">
              <w:rPr>
                <w:rFonts w:cstheme="minorHAnsi"/>
                <w:b/>
                <w:bCs/>
                <w:sz w:val="20"/>
                <w:szCs w:val="20"/>
              </w:rPr>
              <w:t>Outcome</w:t>
            </w:r>
          </w:p>
        </w:tc>
        <w:tc>
          <w:tcPr>
            <w:tcW w:w="2234" w:type="dxa"/>
            <w:shd w:val="clear" w:color="auto" w:fill="69F0FF" w:themeFill="accent6" w:themeFillTint="66"/>
            <w:vAlign w:val="center"/>
          </w:tcPr>
          <w:p w14:paraId="4401FCEB" w14:textId="77777777" w:rsidR="00280550" w:rsidRPr="00DD2F7A" w:rsidRDefault="00280550" w:rsidP="00302D1E">
            <w:pPr>
              <w:spacing w:before="0" w:after="0" w:line="240" w:lineRule="auto"/>
              <w:rPr>
                <w:rFonts w:cstheme="minorHAnsi"/>
                <w:b/>
                <w:bCs/>
                <w:sz w:val="20"/>
                <w:szCs w:val="20"/>
                <w:lang w:eastAsia="en-GB"/>
              </w:rPr>
            </w:pPr>
            <w:r w:rsidRPr="00DD2F7A">
              <w:rPr>
                <w:rFonts w:cstheme="minorHAnsi"/>
                <w:b/>
                <w:bCs/>
                <w:sz w:val="20"/>
                <w:szCs w:val="20"/>
              </w:rPr>
              <w:t>Desired result</w:t>
            </w:r>
          </w:p>
        </w:tc>
        <w:tc>
          <w:tcPr>
            <w:tcW w:w="2707" w:type="dxa"/>
            <w:shd w:val="clear" w:color="auto" w:fill="69F0FF" w:themeFill="accent6" w:themeFillTint="66"/>
            <w:vAlign w:val="center"/>
          </w:tcPr>
          <w:p w14:paraId="1B50AEAC" w14:textId="77777777" w:rsidR="00280550" w:rsidRPr="00DD2F7A" w:rsidRDefault="00280550" w:rsidP="00302D1E">
            <w:pPr>
              <w:spacing w:after="120"/>
              <w:rPr>
                <w:rFonts w:cstheme="minorHAnsi"/>
                <w:b/>
                <w:bCs/>
                <w:sz w:val="20"/>
                <w:szCs w:val="20"/>
              </w:rPr>
            </w:pPr>
            <w:r w:rsidRPr="00DD2F7A">
              <w:rPr>
                <w:rFonts w:cstheme="minorHAnsi"/>
                <w:b/>
                <w:bCs/>
                <w:sz w:val="20"/>
                <w:szCs w:val="20"/>
              </w:rPr>
              <w:t>Indicator</w:t>
            </w:r>
          </w:p>
        </w:tc>
        <w:tc>
          <w:tcPr>
            <w:tcW w:w="0" w:type="auto"/>
            <w:shd w:val="clear" w:color="auto" w:fill="69F0FF" w:themeFill="accent6" w:themeFillTint="66"/>
          </w:tcPr>
          <w:p w14:paraId="0149B429" w14:textId="77777777" w:rsidR="00280550" w:rsidRPr="00DD2F7A" w:rsidRDefault="00280550" w:rsidP="00302D1E">
            <w:pPr>
              <w:spacing w:after="120"/>
              <w:rPr>
                <w:rFonts w:cstheme="minorHAnsi"/>
                <w:b/>
                <w:bCs/>
                <w:sz w:val="20"/>
                <w:szCs w:val="20"/>
              </w:rPr>
            </w:pPr>
            <w:r w:rsidRPr="00DD2F7A">
              <w:rPr>
                <w:rFonts w:cstheme="minorHAnsi"/>
                <w:b/>
                <w:bCs/>
                <w:sz w:val="20"/>
                <w:szCs w:val="20"/>
              </w:rPr>
              <w:t>Data collection method &amp; frequency</w:t>
            </w:r>
          </w:p>
        </w:tc>
        <w:tc>
          <w:tcPr>
            <w:tcW w:w="0" w:type="auto"/>
            <w:shd w:val="clear" w:color="auto" w:fill="69F0FF" w:themeFill="accent6" w:themeFillTint="66"/>
            <w:vAlign w:val="center"/>
          </w:tcPr>
          <w:p w14:paraId="03913ACD" w14:textId="77777777" w:rsidR="00280550" w:rsidRPr="00DD2F7A" w:rsidRDefault="00280550" w:rsidP="00302D1E">
            <w:pPr>
              <w:spacing w:after="120"/>
              <w:rPr>
                <w:rFonts w:cstheme="minorHAnsi"/>
                <w:b/>
                <w:bCs/>
                <w:sz w:val="20"/>
                <w:szCs w:val="20"/>
              </w:rPr>
            </w:pPr>
            <w:r w:rsidRPr="00DD2F7A">
              <w:rPr>
                <w:rFonts w:cstheme="minorHAnsi"/>
                <w:b/>
                <w:bCs/>
                <w:sz w:val="20"/>
                <w:szCs w:val="20"/>
              </w:rPr>
              <w:t>Who will collect and analyse the data</w:t>
            </w:r>
          </w:p>
        </w:tc>
        <w:tc>
          <w:tcPr>
            <w:tcW w:w="0" w:type="auto"/>
            <w:shd w:val="clear" w:color="auto" w:fill="69F0FF" w:themeFill="accent6" w:themeFillTint="66"/>
            <w:vAlign w:val="center"/>
          </w:tcPr>
          <w:p w14:paraId="75897CE6" w14:textId="77777777" w:rsidR="00280550" w:rsidRPr="00DD2F7A" w:rsidRDefault="00280550" w:rsidP="00302D1E">
            <w:pPr>
              <w:spacing w:after="120"/>
              <w:rPr>
                <w:rFonts w:cstheme="minorHAnsi"/>
                <w:b/>
                <w:bCs/>
                <w:sz w:val="20"/>
                <w:szCs w:val="20"/>
              </w:rPr>
            </w:pPr>
            <w:r w:rsidRPr="00DD2F7A">
              <w:rPr>
                <w:rFonts w:cstheme="minorHAnsi"/>
                <w:b/>
                <w:bCs/>
                <w:sz w:val="20"/>
                <w:szCs w:val="20"/>
              </w:rPr>
              <w:t>Baseline</w:t>
            </w:r>
          </w:p>
        </w:tc>
        <w:tc>
          <w:tcPr>
            <w:tcW w:w="0" w:type="auto"/>
            <w:shd w:val="clear" w:color="auto" w:fill="69F0FF" w:themeFill="accent6" w:themeFillTint="66"/>
            <w:vAlign w:val="center"/>
          </w:tcPr>
          <w:p w14:paraId="36897242" w14:textId="77777777" w:rsidR="00280550" w:rsidRPr="00DD2F7A" w:rsidRDefault="00280550" w:rsidP="00302D1E">
            <w:pPr>
              <w:spacing w:after="120"/>
              <w:rPr>
                <w:rFonts w:cstheme="minorHAnsi"/>
                <w:b/>
                <w:bCs/>
                <w:sz w:val="20"/>
                <w:szCs w:val="20"/>
              </w:rPr>
            </w:pPr>
            <w:r w:rsidRPr="00DD2F7A">
              <w:rPr>
                <w:rFonts w:cstheme="minorHAnsi"/>
                <w:b/>
                <w:bCs/>
                <w:sz w:val="20"/>
                <w:szCs w:val="20"/>
              </w:rPr>
              <w:t>Target</w:t>
            </w:r>
          </w:p>
        </w:tc>
      </w:tr>
      <w:tr w:rsidR="000D73AB" w:rsidRPr="00A05A14" w14:paraId="23C63EA2" w14:textId="77777777" w:rsidTr="00D81CF1">
        <w:trPr>
          <w:trHeight w:val="1038"/>
        </w:trPr>
        <w:tc>
          <w:tcPr>
            <w:tcW w:w="0" w:type="auto"/>
            <w:shd w:val="clear" w:color="auto" w:fill="B4F7FF" w:themeFill="accent6" w:themeFillTint="33"/>
          </w:tcPr>
          <w:p w14:paraId="29B42411" w14:textId="71A327D5" w:rsidR="00280550" w:rsidRPr="00DD2F7A" w:rsidRDefault="00A87681" w:rsidP="00302D1E">
            <w:pPr>
              <w:rPr>
                <w:rFonts w:cstheme="minorHAnsi"/>
                <w:b/>
                <w:bCs/>
                <w:sz w:val="20"/>
                <w:szCs w:val="20"/>
              </w:rPr>
            </w:pPr>
            <w:r>
              <w:rPr>
                <w:rFonts w:cstheme="minorHAnsi"/>
                <w:b/>
                <w:bCs/>
                <w:sz w:val="20"/>
                <w:szCs w:val="20"/>
              </w:rPr>
              <w:t>Goal</w:t>
            </w:r>
          </w:p>
        </w:tc>
        <w:tc>
          <w:tcPr>
            <w:tcW w:w="2234" w:type="dxa"/>
            <w:shd w:val="clear" w:color="auto" w:fill="B4F7FF" w:themeFill="accent6" w:themeFillTint="33"/>
          </w:tcPr>
          <w:p w14:paraId="7ED8731E" w14:textId="1B3C11B7" w:rsidR="00280550" w:rsidRPr="00DD2F7A" w:rsidRDefault="007F09E7" w:rsidP="00302D1E">
            <w:pPr>
              <w:spacing w:before="0" w:after="0" w:line="240" w:lineRule="auto"/>
              <w:rPr>
                <w:rFonts w:eastAsia="Calibri" w:cstheme="minorHAnsi"/>
                <w:b/>
                <w:sz w:val="20"/>
                <w:szCs w:val="20"/>
              </w:rPr>
            </w:pPr>
            <w:r>
              <w:rPr>
                <w:rFonts w:cstheme="minorHAnsi"/>
                <w:b/>
                <w:bCs/>
                <w:sz w:val="20"/>
                <w:szCs w:val="20"/>
                <w:lang w:eastAsia="en-GB"/>
              </w:rPr>
              <w:t>The benefits of IA-CEPA are maximised, supporting trade and investment, improving market access, and promoting inclusive economic growth in Indonesia.</w:t>
            </w:r>
          </w:p>
        </w:tc>
        <w:tc>
          <w:tcPr>
            <w:tcW w:w="2707" w:type="dxa"/>
            <w:shd w:val="clear" w:color="auto" w:fill="B4F7FF" w:themeFill="accent6" w:themeFillTint="33"/>
          </w:tcPr>
          <w:p w14:paraId="50C54906" w14:textId="401B67F2" w:rsidR="00280550" w:rsidRPr="00DD2F7A" w:rsidRDefault="00280550" w:rsidP="009D3124">
            <w:pPr>
              <w:pStyle w:val="ListParagraph"/>
              <w:numPr>
                <w:ilvl w:val="0"/>
                <w:numId w:val="43"/>
              </w:numPr>
              <w:spacing w:after="120"/>
              <w:rPr>
                <w:rFonts w:cstheme="minorHAnsi"/>
                <w:sz w:val="20"/>
                <w:szCs w:val="20"/>
              </w:rPr>
            </w:pPr>
            <w:r w:rsidRPr="00DD2F7A">
              <w:rPr>
                <w:rFonts w:cstheme="minorHAnsi"/>
                <w:sz w:val="20"/>
                <w:szCs w:val="20"/>
              </w:rPr>
              <w:t xml:space="preserve">Volume and value of two way trade </w:t>
            </w:r>
            <w:r w:rsidR="000B55E8">
              <w:rPr>
                <w:rFonts w:cstheme="minorHAnsi"/>
                <w:sz w:val="20"/>
                <w:szCs w:val="20"/>
              </w:rPr>
              <w:t>—</w:t>
            </w:r>
            <w:r w:rsidRPr="00DD2F7A">
              <w:rPr>
                <w:rFonts w:cstheme="minorHAnsi"/>
                <w:sz w:val="20"/>
                <w:szCs w:val="20"/>
              </w:rPr>
              <w:t xml:space="preserve"> imports and exports in target sectors between Australia and Indonesia</w:t>
            </w:r>
          </w:p>
          <w:p w14:paraId="3B8F4039" w14:textId="77777777" w:rsidR="00280550" w:rsidRPr="00DD2F7A" w:rsidRDefault="00280550" w:rsidP="009D3124">
            <w:pPr>
              <w:pStyle w:val="ListParagraph"/>
              <w:numPr>
                <w:ilvl w:val="0"/>
                <w:numId w:val="43"/>
              </w:numPr>
              <w:spacing w:after="120"/>
              <w:rPr>
                <w:rFonts w:cstheme="minorHAnsi"/>
                <w:sz w:val="20"/>
                <w:szCs w:val="20"/>
              </w:rPr>
            </w:pPr>
            <w:r w:rsidRPr="00DD2F7A">
              <w:rPr>
                <w:rFonts w:cstheme="minorHAnsi"/>
                <w:sz w:val="20"/>
                <w:szCs w:val="20"/>
              </w:rPr>
              <w:t>Total new value added exports from Indonesia to third markets using Australian commodities</w:t>
            </w:r>
          </w:p>
          <w:p w14:paraId="5DC918A9" w14:textId="77777777" w:rsidR="00280550" w:rsidRPr="00DD2F7A" w:rsidRDefault="00280550" w:rsidP="009D3124">
            <w:pPr>
              <w:pStyle w:val="ListParagraph"/>
              <w:numPr>
                <w:ilvl w:val="0"/>
                <w:numId w:val="43"/>
              </w:numPr>
              <w:spacing w:after="120"/>
              <w:rPr>
                <w:rFonts w:cstheme="minorHAnsi"/>
                <w:sz w:val="20"/>
                <w:szCs w:val="20"/>
              </w:rPr>
            </w:pPr>
            <w:r w:rsidRPr="00DD2F7A">
              <w:rPr>
                <w:rFonts w:cstheme="minorHAnsi"/>
                <w:sz w:val="20"/>
                <w:szCs w:val="20"/>
              </w:rPr>
              <w:t>Foreign and domestic investment in target sectors</w:t>
            </w:r>
          </w:p>
          <w:p w14:paraId="019FAAC5" w14:textId="42C7009F" w:rsidR="00C30664" w:rsidRPr="00DD2F7A" w:rsidRDefault="00CD1615" w:rsidP="009D3124">
            <w:pPr>
              <w:pStyle w:val="ListParagraph"/>
              <w:numPr>
                <w:ilvl w:val="0"/>
                <w:numId w:val="43"/>
              </w:numPr>
              <w:spacing w:after="120"/>
              <w:rPr>
                <w:rFonts w:cstheme="minorHAnsi"/>
                <w:sz w:val="20"/>
                <w:szCs w:val="20"/>
              </w:rPr>
            </w:pPr>
            <w:r w:rsidRPr="00DD2F7A">
              <w:rPr>
                <w:rFonts w:cstheme="minorHAnsi"/>
                <w:sz w:val="20"/>
                <w:szCs w:val="20"/>
              </w:rPr>
              <w:t xml:space="preserve">Increased economic opportunities for women </w:t>
            </w:r>
            <w:r w:rsidRPr="00DD2F7A">
              <w:rPr>
                <w:rFonts w:cstheme="minorHAnsi"/>
                <w:sz w:val="20"/>
                <w:szCs w:val="20"/>
              </w:rPr>
              <w:lastRenderedPageBreak/>
              <w:t>and people living with disabilities</w:t>
            </w:r>
          </w:p>
        </w:tc>
        <w:tc>
          <w:tcPr>
            <w:tcW w:w="0" w:type="auto"/>
            <w:shd w:val="clear" w:color="auto" w:fill="B4F7FF" w:themeFill="accent6" w:themeFillTint="33"/>
          </w:tcPr>
          <w:p w14:paraId="6566F5CC" w14:textId="77777777" w:rsidR="00280550" w:rsidRPr="00DD2F7A" w:rsidRDefault="00280550" w:rsidP="00302D1E">
            <w:pPr>
              <w:spacing w:after="120"/>
              <w:rPr>
                <w:rFonts w:cstheme="minorHAnsi"/>
                <w:sz w:val="20"/>
                <w:szCs w:val="20"/>
              </w:rPr>
            </w:pPr>
            <w:r w:rsidRPr="00DD2F7A">
              <w:rPr>
                <w:rFonts w:cstheme="minorHAnsi"/>
                <w:sz w:val="20"/>
                <w:szCs w:val="20"/>
              </w:rPr>
              <w:lastRenderedPageBreak/>
              <w:t>Annual data collection</w:t>
            </w:r>
          </w:p>
          <w:p w14:paraId="39F06FB9" w14:textId="77777777" w:rsidR="00280550" w:rsidRPr="00DD2F7A" w:rsidRDefault="00280550" w:rsidP="00302D1E">
            <w:pPr>
              <w:spacing w:after="120"/>
              <w:rPr>
                <w:rFonts w:cstheme="minorHAnsi"/>
                <w:sz w:val="20"/>
                <w:szCs w:val="20"/>
              </w:rPr>
            </w:pPr>
            <w:r w:rsidRPr="00DD2F7A">
              <w:rPr>
                <w:rFonts w:cstheme="minorHAnsi"/>
                <w:sz w:val="20"/>
                <w:szCs w:val="20"/>
              </w:rPr>
              <w:t xml:space="preserve">Case study research by targeted sector </w:t>
            </w:r>
          </w:p>
          <w:p w14:paraId="57FADEA1" w14:textId="77777777" w:rsidR="00280550" w:rsidRPr="00DD2F7A" w:rsidRDefault="00280550" w:rsidP="00302D1E">
            <w:pPr>
              <w:spacing w:after="120"/>
              <w:rPr>
                <w:rFonts w:cstheme="minorHAnsi"/>
                <w:sz w:val="20"/>
                <w:szCs w:val="20"/>
              </w:rPr>
            </w:pPr>
            <w:r w:rsidRPr="00DD2F7A">
              <w:rPr>
                <w:rFonts w:cstheme="minorHAnsi"/>
                <w:sz w:val="20"/>
                <w:szCs w:val="20"/>
              </w:rPr>
              <w:t>Contribution analysis of IA-CEPA implementation to Indonesia’s development goals.</w:t>
            </w:r>
          </w:p>
          <w:p w14:paraId="4E3B98D5" w14:textId="31E53001" w:rsidR="00280550" w:rsidRPr="00DD2F7A" w:rsidRDefault="00C30664" w:rsidP="00302D1E">
            <w:pPr>
              <w:spacing w:after="120"/>
              <w:rPr>
                <w:rFonts w:cstheme="minorHAnsi"/>
                <w:sz w:val="20"/>
                <w:szCs w:val="20"/>
              </w:rPr>
            </w:pPr>
            <w:r w:rsidRPr="00DD2F7A">
              <w:rPr>
                <w:rFonts w:cstheme="minorHAnsi"/>
                <w:sz w:val="20"/>
                <w:szCs w:val="20"/>
              </w:rPr>
              <w:t xml:space="preserve">Contribution analysis of increasing economic opportunities for </w:t>
            </w:r>
            <w:r w:rsidRPr="00DD2F7A">
              <w:rPr>
                <w:rFonts w:cstheme="minorHAnsi"/>
                <w:sz w:val="20"/>
                <w:szCs w:val="20"/>
              </w:rPr>
              <w:lastRenderedPageBreak/>
              <w:t>women and people living with disabilities</w:t>
            </w:r>
          </w:p>
        </w:tc>
        <w:tc>
          <w:tcPr>
            <w:tcW w:w="0" w:type="auto"/>
            <w:shd w:val="clear" w:color="auto" w:fill="B4F7FF" w:themeFill="accent6" w:themeFillTint="33"/>
          </w:tcPr>
          <w:p w14:paraId="5F63151E" w14:textId="77777777" w:rsidR="00280550" w:rsidRPr="00DD2F7A" w:rsidRDefault="00280550" w:rsidP="00302D1E">
            <w:pPr>
              <w:spacing w:after="120"/>
              <w:rPr>
                <w:rFonts w:cstheme="minorHAnsi"/>
                <w:sz w:val="20"/>
                <w:szCs w:val="20"/>
              </w:rPr>
            </w:pPr>
            <w:r w:rsidRPr="00DD2F7A">
              <w:rPr>
                <w:rFonts w:cstheme="minorHAnsi"/>
                <w:sz w:val="20"/>
                <w:szCs w:val="20"/>
              </w:rPr>
              <w:lastRenderedPageBreak/>
              <w:t>Annual – Indonesian National Statistics Agency</w:t>
            </w:r>
          </w:p>
          <w:p w14:paraId="772E15C2" w14:textId="77777777" w:rsidR="00280550" w:rsidRPr="00DD2F7A" w:rsidRDefault="00280550" w:rsidP="00302D1E">
            <w:pPr>
              <w:spacing w:after="120"/>
              <w:rPr>
                <w:rFonts w:cstheme="minorHAnsi"/>
                <w:sz w:val="20"/>
                <w:szCs w:val="20"/>
              </w:rPr>
            </w:pPr>
            <w:r w:rsidRPr="00DD2F7A">
              <w:rPr>
                <w:rFonts w:cstheme="minorHAnsi"/>
                <w:sz w:val="20"/>
                <w:szCs w:val="20"/>
              </w:rPr>
              <w:t>Australian Bureau of Statistics (ABS)</w:t>
            </w:r>
          </w:p>
          <w:p w14:paraId="3E05A8F7" w14:textId="77777777" w:rsidR="00280550" w:rsidRPr="00DD2F7A" w:rsidRDefault="00280550" w:rsidP="00302D1E">
            <w:pPr>
              <w:spacing w:after="120"/>
              <w:rPr>
                <w:rFonts w:cstheme="minorHAnsi"/>
                <w:sz w:val="20"/>
                <w:szCs w:val="20"/>
              </w:rPr>
            </w:pPr>
            <w:r w:rsidRPr="00DD2F7A">
              <w:rPr>
                <w:rFonts w:cstheme="minorHAnsi"/>
                <w:sz w:val="20"/>
                <w:szCs w:val="20"/>
              </w:rPr>
              <w:t>ECP through case studies</w:t>
            </w:r>
          </w:p>
        </w:tc>
        <w:tc>
          <w:tcPr>
            <w:tcW w:w="0" w:type="auto"/>
            <w:shd w:val="clear" w:color="auto" w:fill="B4F7FF" w:themeFill="accent6" w:themeFillTint="33"/>
          </w:tcPr>
          <w:p w14:paraId="7A2FDE60" w14:textId="77777777" w:rsidR="00280550" w:rsidRPr="00DD2F7A" w:rsidRDefault="00280550" w:rsidP="00302D1E">
            <w:pPr>
              <w:spacing w:after="120"/>
              <w:rPr>
                <w:rFonts w:cstheme="minorHAnsi"/>
                <w:sz w:val="20"/>
                <w:szCs w:val="20"/>
              </w:rPr>
            </w:pPr>
            <w:r w:rsidRPr="00DD2F7A">
              <w:rPr>
                <w:rFonts w:cstheme="minorHAnsi"/>
                <w:sz w:val="20"/>
                <w:szCs w:val="20"/>
              </w:rPr>
              <w:t>Trade and investment statistics 2020</w:t>
            </w:r>
          </w:p>
          <w:p w14:paraId="1972F021" w14:textId="0E69C9FB" w:rsidR="00280550" w:rsidRPr="00DD2F7A" w:rsidRDefault="00C30664" w:rsidP="00302D1E">
            <w:pPr>
              <w:spacing w:after="120"/>
              <w:rPr>
                <w:rFonts w:cstheme="minorHAnsi"/>
                <w:sz w:val="20"/>
                <w:szCs w:val="20"/>
              </w:rPr>
            </w:pPr>
            <w:r w:rsidRPr="00DD2F7A">
              <w:rPr>
                <w:rFonts w:cstheme="minorHAnsi"/>
                <w:sz w:val="20"/>
                <w:szCs w:val="20"/>
              </w:rPr>
              <w:t>0</w:t>
            </w:r>
            <w:r w:rsidR="00280550" w:rsidRPr="00DD2F7A">
              <w:rPr>
                <w:rFonts w:cstheme="minorHAnsi"/>
                <w:sz w:val="20"/>
                <w:szCs w:val="20"/>
              </w:rPr>
              <w:t xml:space="preserve"> case studies</w:t>
            </w:r>
          </w:p>
          <w:p w14:paraId="6972E127" w14:textId="77777777" w:rsidR="00280550" w:rsidRPr="00DD2F7A" w:rsidRDefault="00280550" w:rsidP="00302D1E">
            <w:pPr>
              <w:spacing w:after="120"/>
              <w:rPr>
                <w:rFonts w:cstheme="minorHAnsi"/>
                <w:sz w:val="20"/>
                <w:szCs w:val="20"/>
              </w:rPr>
            </w:pPr>
            <w:r w:rsidRPr="00DD2F7A">
              <w:rPr>
                <w:rFonts w:cstheme="minorHAnsi"/>
                <w:sz w:val="20"/>
                <w:szCs w:val="20"/>
              </w:rPr>
              <w:t>2020 Medium Term Development Plan KPI values in 2020</w:t>
            </w:r>
          </w:p>
        </w:tc>
        <w:tc>
          <w:tcPr>
            <w:tcW w:w="0" w:type="auto"/>
            <w:shd w:val="clear" w:color="auto" w:fill="B4F7FF" w:themeFill="accent6" w:themeFillTint="33"/>
          </w:tcPr>
          <w:p w14:paraId="773473B9" w14:textId="77777777" w:rsidR="00280550" w:rsidRPr="00DD2F7A" w:rsidRDefault="00280550" w:rsidP="00302D1E">
            <w:pPr>
              <w:spacing w:after="120"/>
              <w:rPr>
                <w:rFonts w:cstheme="minorHAnsi"/>
                <w:sz w:val="20"/>
                <w:szCs w:val="20"/>
              </w:rPr>
            </w:pPr>
            <w:r w:rsidRPr="00DD2F7A">
              <w:rPr>
                <w:rFonts w:cstheme="minorHAnsi"/>
                <w:sz w:val="20"/>
                <w:szCs w:val="20"/>
              </w:rPr>
              <w:t>Increases to be determined</w:t>
            </w:r>
            <w:r w:rsidRPr="00DD2F7A">
              <w:rPr>
                <w:rStyle w:val="FootnoteReference"/>
                <w:rFonts w:cstheme="minorHAnsi"/>
                <w:sz w:val="20"/>
                <w:szCs w:val="20"/>
              </w:rPr>
              <w:footnoteReference w:id="35"/>
            </w:r>
          </w:p>
          <w:p w14:paraId="32488941" w14:textId="77777777" w:rsidR="00280550" w:rsidRPr="00DD2F7A" w:rsidRDefault="00280550" w:rsidP="00302D1E">
            <w:pPr>
              <w:spacing w:after="120"/>
              <w:rPr>
                <w:rFonts w:cstheme="minorHAnsi"/>
                <w:sz w:val="20"/>
                <w:szCs w:val="20"/>
              </w:rPr>
            </w:pPr>
            <w:r w:rsidRPr="00DD2F7A">
              <w:rPr>
                <w:rFonts w:cstheme="minorHAnsi"/>
                <w:sz w:val="20"/>
                <w:szCs w:val="20"/>
              </w:rPr>
              <w:t>2 new case studies per annum commencing in 2021</w:t>
            </w:r>
          </w:p>
        </w:tc>
      </w:tr>
      <w:tr w:rsidR="000D73AB" w:rsidRPr="00A05A14" w14:paraId="7095CF97" w14:textId="77777777" w:rsidTr="00D81CF1">
        <w:trPr>
          <w:trHeight w:val="1038"/>
        </w:trPr>
        <w:tc>
          <w:tcPr>
            <w:tcW w:w="0" w:type="auto"/>
            <w:shd w:val="clear" w:color="auto" w:fill="C1C7C6" w:themeFill="background2" w:themeFillShade="E6"/>
          </w:tcPr>
          <w:p w14:paraId="075D934A" w14:textId="4F5F44AF" w:rsidR="00280550" w:rsidRPr="00DD2F7A" w:rsidRDefault="00280550" w:rsidP="00302D1E">
            <w:pPr>
              <w:rPr>
                <w:rFonts w:cstheme="minorHAnsi"/>
                <w:b/>
                <w:bCs/>
                <w:sz w:val="20"/>
                <w:szCs w:val="20"/>
              </w:rPr>
            </w:pPr>
            <w:r w:rsidRPr="00DD2F7A">
              <w:rPr>
                <w:rFonts w:cstheme="minorHAnsi"/>
                <w:b/>
                <w:bCs/>
                <w:sz w:val="20"/>
                <w:szCs w:val="20"/>
              </w:rPr>
              <w:t>End of investment outcome</w:t>
            </w:r>
            <w:r w:rsidR="007F09E7">
              <w:rPr>
                <w:rFonts w:cstheme="minorHAnsi"/>
                <w:b/>
                <w:bCs/>
                <w:sz w:val="20"/>
                <w:szCs w:val="20"/>
              </w:rPr>
              <w:t xml:space="preserve"> - 2025</w:t>
            </w:r>
          </w:p>
        </w:tc>
        <w:tc>
          <w:tcPr>
            <w:tcW w:w="2234" w:type="dxa"/>
            <w:shd w:val="clear" w:color="auto" w:fill="C1C7C6" w:themeFill="background2" w:themeFillShade="E6"/>
          </w:tcPr>
          <w:p w14:paraId="2BE82778" w14:textId="6894E329" w:rsidR="00280550" w:rsidRPr="00DD2F7A" w:rsidRDefault="00280550" w:rsidP="009D3124">
            <w:pPr>
              <w:pStyle w:val="ListParagraph"/>
              <w:numPr>
                <w:ilvl w:val="0"/>
                <w:numId w:val="28"/>
              </w:numPr>
              <w:spacing w:after="120"/>
              <w:rPr>
                <w:rFonts w:cstheme="minorHAnsi"/>
                <w:b/>
                <w:sz w:val="20"/>
                <w:szCs w:val="20"/>
              </w:rPr>
            </w:pPr>
            <w:r w:rsidRPr="00DD2F7A">
              <w:rPr>
                <w:rFonts w:eastAsia="Calibri" w:cstheme="minorHAnsi"/>
                <w:b/>
                <w:sz w:val="20"/>
                <w:szCs w:val="20"/>
              </w:rPr>
              <w:t>Greater market access</w:t>
            </w:r>
            <w:r w:rsidR="007F09E7">
              <w:rPr>
                <w:rFonts w:eastAsia="Calibri" w:cstheme="minorHAnsi"/>
                <w:b/>
                <w:sz w:val="20"/>
                <w:szCs w:val="20"/>
              </w:rPr>
              <w:t xml:space="preserve"> for Indonesian and Australian businesses</w:t>
            </w:r>
          </w:p>
        </w:tc>
        <w:tc>
          <w:tcPr>
            <w:tcW w:w="2707" w:type="dxa"/>
            <w:shd w:val="clear" w:color="auto" w:fill="C1C7C6" w:themeFill="background2" w:themeFillShade="E6"/>
          </w:tcPr>
          <w:p w14:paraId="043EF92B" w14:textId="77777777" w:rsidR="00280550" w:rsidRPr="00DD2F7A" w:rsidRDefault="00280550" w:rsidP="009D3124">
            <w:pPr>
              <w:pStyle w:val="ListParagraph"/>
              <w:numPr>
                <w:ilvl w:val="0"/>
                <w:numId w:val="43"/>
              </w:numPr>
              <w:spacing w:after="120"/>
              <w:rPr>
                <w:rFonts w:cstheme="minorHAnsi"/>
                <w:sz w:val="20"/>
                <w:szCs w:val="20"/>
              </w:rPr>
            </w:pPr>
            <w:r w:rsidRPr="00DD2F7A">
              <w:rPr>
                <w:rFonts w:cstheme="minorHAnsi"/>
                <w:sz w:val="20"/>
                <w:szCs w:val="20"/>
              </w:rPr>
              <w:t>Increase in type and volume of exports (including to third markets)</w:t>
            </w:r>
          </w:p>
          <w:p w14:paraId="7EE9A08A" w14:textId="77777777" w:rsidR="00280550" w:rsidRPr="00DD2F7A" w:rsidRDefault="00280550" w:rsidP="009D3124">
            <w:pPr>
              <w:pStyle w:val="ListParagraph"/>
              <w:numPr>
                <w:ilvl w:val="0"/>
                <w:numId w:val="43"/>
              </w:numPr>
              <w:spacing w:after="120"/>
              <w:rPr>
                <w:rFonts w:cstheme="minorHAnsi"/>
                <w:sz w:val="20"/>
                <w:szCs w:val="20"/>
              </w:rPr>
            </w:pPr>
            <w:r w:rsidRPr="00DD2F7A">
              <w:rPr>
                <w:rFonts w:cstheme="minorHAnsi"/>
                <w:sz w:val="20"/>
                <w:szCs w:val="20"/>
              </w:rPr>
              <w:t xml:space="preserve">Number of emerging viable “powerhouse” opportunities </w:t>
            </w:r>
          </w:p>
          <w:p w14:paraId="63C0B7A1" w14:textId="67654F41" w:rsidR="00280550" w:rsidRPr="00DD2F7A" w:rsidRDefault="00280550" w:rsidP="009D3124">
            <w:pPr>
              <w:pStyle w:val="ListParagraph"/>
              <w:numPr>
                <w:ilvl w:val="0"/>
                <w:numId w:val="43"/>
              </w:numPr>
              <w:spacing w:after="120"/>
              <w:rPr>
                <w:rFonts w:cstheme="minorHAnsi"/>
                <w:sz w:val="20"/>
                <w:szCs w:val="20"/>
              </w:rPr>
            </w:pPr>
            <w:r w:rsidRPr="00DD2F7A">
              <w:rPr>
                <w:rFonts w:cstheme="minorHAnsi"/>
                <w:sz w:val="20"/>
                <w:szCs w:val="20"/>
              </w:rPr>
              <w:t xml:space="preserve">Number of </w:t>
            </w:r>
            <w:r w:rsidR="005E7B57" w:rsidRPr="00DD2F7A">
              <w:rPr>
                <w:rFonts w:cstheme="minorHAnsi"/>
                <w:sz w:val="20"/>
                <w:szCs w:val="20"/>
              </w:rPr>
              <w:t>“</w:t>
            </w:r>
            <w:r w:rsidRPr="00DD2F7A">
              <w:rPr>
                <w:rFonts w:cstheme="minorHAnsi"/>
                <w:sz w:val="20"/>
                <w:szCs w:val="20"/>
              </w:rPr>
              <w:t>trusted</w:t>
            </w:r>
            <w:r w:rsidR="005E7B57" w:rsidRPr="00DD2F7A">
              <w:rPr>
                <w:rStyle w:val="FootnoteReference"/>
                <w:rFonts w:cstheme="minorHAnsi"/>
                <w:sz w:val="20"/>
                <w:szCs w:val="20"/>
              </w:rPr>
              <w:footnoteReference w:id="36"/>
            </w:r>
            <w:r w:rsidR="005E7B57" w:rsidRPr="00DD2F7A">
              <w:rPr>
                <w:rFonts w:cstheme="minorHAnsi"/>
                <w:sz w:val="20"/>
                <w:szCs w:val="20"/>
              </w:rPr>
              <w:t>”</w:t>
            </w:r>
            <w:r w:rsidRPr="00DD2F7A">
              <w:rPr>
                <w:rFonts w:cstheme="minorHAnsi"/>
                <w:sz w:val="20"/>
                <w:szCs w:val="20"/>
              </w:rPr>
              <w:t xml:space="preserve"> trade relationships across more sectors</w:t>
            </w:r>
          </w:p>
        </w:tc>
        <w:tc>
          <w:tcPr>
            <w:tcW w:w="0" w:type="auto"/>
            <w:shd w:val="clear" w:color="auto" w:fill="C1C7C6" w:themeFill="background2" w:themeFillShade="E6"/>
          </w:tcPr>
          <w:p w14:paraId="73519219" w14:textId="77777777" w:rsidR="00280550" w:rsidRPr="00DD2F7A" w:rsidRDefault="00280550" w:rsidP="00302D1E">
            <w:pPr>
              <w:spacing w:after="120"/>
              <w:rPr>
                <w:rFonts w:cstheme="minorHAnsi"/>
                <w:sz w:val="20"/>
                <w:szCs w:val="20"/>
              </w:rPr>
            </w:pPr>
            <w:r w:rsidRPr="00DD2F7A">
              <w:rPr>
                <w:rFonts w:cstheme="minorHAnsi"/>
                <w:sz w:val="20"/>
                <w:szCs w:val="20"/>
              </w:rPr>
              <w:t>Annual data collection</w:t>
            </w:r>
          </w:p>
          <w:p w14:paraId="1B5EB787" w14:textId="77777777" w:rsidR="00280550" w:rsidRPr="00DD2F7A" w:rsidRDefault="00280550" w:rsidP="00302D1E">
            <w:pPr>
              <w:spacing w:after="120"/>
              <w:rPr>
                <w:rFonts w:cstheme="minorHAnsi"/>
                <w:sz w:val="20"/>
                <w:szCs w:val="20"/>
              </w:rPr>
            </w:pPr>
            <w:r w:rsidRPr="00DD2F7A">
              <w:rPr>
                <w:rFonts w:cstheme="minorHAnsi"/>
                <w:sz w:val="20"/>
                <w:szCs w:val="20"/>
              </w:rPr>
              <w:t>Contribution analysis</w:t>
            </w:r>
          </w:p>
          <w:p w14:paraId="1BB385FE" w14:textId="77777777" w:rsidR="00280550" w:rsidRPr="00DD2F7A" w:rsidRDefault="00280550" w:rsidP="00302D1E">
            <w:pPr>
              <w:spacing w:after="120"/>
              <w:rPr>
                <w:rFonts w:cstheme="minorHAnsi"/>
                <w:sz w:val="20"/>
                <w:szCs w:val="20"/>
              </w:rPr>
            </w:pPr>
            <w:r w:rsidRPr="00DD2F7A">
              <w:rPr>
                <w:rFonts w:cstheme="minorHAnsi"/>
                <w:sz w:val="20"/>
                <w:szCs w:val="20"/>
              </w:rPr>
              <w:t>Case study research by targeted sector</w:t>
            </w:r>
          </w:p>
        </w:tc>
        <w:tc>
          <w:tcPr>
            <w:tcW w:w="0" w:type="auto"/>
            <w:shd w:val="clear" w:color="auto" w:fill="C1C7C6" w:themeFill="background2" w:themeFillShade="E6"/>
          </w:tcPr>
          <w:p w14:paraId="512833D8" w14:textId="77777777" w:rsidR="00280550" w:rsidRPr="00DD2F7A" w:rsidRDefault="00280550" w:rsidP="00302D1E">
            <w:pPr>
              <w:spacing w:after="120"/>
              <w:rPr>
                <w:rFonts w:cstheme="minorHAnsi"/>
                <w:sz w:val="20"/>
                <w:szCs w:val="20"/>
              </w:rPr>
            </w:pPr>
            <w:r w:rsidRPr="00DD2F7A">
              <w:rPr>
                <w:rFonts w:cstheme="minorHAnsi"/>
                <w:sz w:val="20"/>
                <w:szCs w:val="20"/>
              </w:rPr>
              <w:t>Annual – Indonesian National Statistics Agency</w:t>
            </w:r>
          </w:p>
          <w:p w14:paraId="0E59C5C1" w14:textId="77777777" w:rsidR="00280550" w:rsidRPr="00DD2F7A" w:rsidRDefault="00280550" w:rsidP="00302D1E">
            <w:pPr>
              <w:spacing w:after="120"/>
              <w:rPr>
                <w:rFonts w:cstheme="minorHAnsi"/>
                <w:sz w:val="20"/>
                <w:szCs w:val="20"/>
              </w:rPr>
            </w:pPr>
            <w:r w:rsidRPr="00DD2F7A">
              <w:rPr>
                <w:rFonts w:cstheme="minorHAnsi"/>
                <w:sz w:val="20"/>
                <w:szCs w:val="20"/>
              </w:rPr>
              <w:t>Australian Bureau of Statistics (ABS)</w:t>
            </w:r>
          </w:p>
          <w:p w14:paraId="25044040" w14:textId="77777777" w:rsidR="00280550" w:rsidRPr="00DD2F7A" w:rsidRDefault="00280550" w:rsidP="00302D1E">
            <w:pPr>
              <w:spacing w:after="120"/>
              <w:rPr>
                <w:rFonts w:cstheme="minorHAnsi"/>
                <w:sz w:val="20"/>
                <w:szCs w:val="20"/>
              </w:rPr>
            </w:pPr>
            <w:r w:rsidRPr="00DD2F7A">
              <w:rPr>
                <w:rFonts w:cstheme="minorHAnsi"/>
                <w:sz w:val="20"/>
                <w:szCs w:val="20"/>
              </w:rPr>
              <w:t>ECP case studies</w:t>
            </w:r>
          </w:p>
        </w:tc>
        <w:tc>
          <w:tcPr>
            <w:tcW w:w="0" w:type="auto"/>
            <w:shd w:val="clear" w:color="auto" w:fill="C1C7C6" w:themeFill="background2" w:themeFillShade="E6"/>
          </w:tcPr>
          <w:p w14:paraId="2F21A780" w14:textId="77777777" w:rsidR="00280550" w:rsidRPr="00DD2F7A" w:rsidRDefault="00280550" w:rsidP="00302D1E">
            <w:pPr>
              <w:spacing w:after="120"/>
              <w:rPr>
                <w:rFonts w:cstheme="minorHAnsi"/>
                <w:sz w:val="20"/>
                <w:szCs w:val="20"/>
              </w:rPr>
            </w:pPr>
            <w:r w:rsidRPr="00DD2F7A">
              <w:rPr>
                <w:rFonts w:cstheme="minorHAnsi"/>
                <w:sz w:val="20"/>
                <w:szCs w:val="20"/>
              </w:rPr>
              <w:t>Trade and investment statistics 2020</w:t>
            </w:r>
          </w:p>
          <w:p w14:paraId="3923A195" w14:textId="54D550AC" w:rsidR="00280550" w:rsidRPr="00DD2F7A" w:rsidRDefault="00C30664" w:rsidP="00302D1E">
            <w:pPr>
              <w:spacing w:after="120"/>
              <w:rPr>
                <w:rFonts w:cstheme="minorHAnsi"/>
                <w:sz w:val="20"/>
                <w:szCs w:val="20"/>
              </w:rPr>
            </w:pPr>
            <w:r w:rsidRPr="00DD2F7A">
              <w:rPr>
                <w:rFonts w:cstheme="minorHAnsi"/>
                <w:sz w:val="20"/>
                <w:szCs w:val="20"/>
              </w:rPr>
              <w:t>0</w:t>
            </w:r>
            <w:r w:rsidR="00280550" w:rsidRPr="00DD2F7A">
              <w:rPr>
                <w:rFonts w:cstheme="minorHAnsi"/>
                <w:sz w:val="20"/>
                <w:szCs w:val="20"/>
              </w:rPr>
              <w:t xml:space="preserve"> case studies</w:t>
            </w:r>
          </w:p>
          <w:p w14:paraId="26FAA0EE" w14:textId="685C42F3" w:rsidR="00280550" w:rsidRPr="00DD2F7A" w:rsidRDefault="00CD1615" w:rsidP="00302D1E">
            <w:pPr>
              <w:spacing w:after="120"/>
              <w:rPr>
                <w:rFonts w:cstheme="minorHAnsi"/>
                <w:sz w:val="20"/>
                <w:szCs w:val="20"/>
              </w:rPr>
            </w:pPr>
            <w:r w:rsidRPr="00DD2F7A">
              <w:rPr>
                <w:rFonts w:cstheme="minorHAnsi"/>
                <w:sz w:val="20"/>
                <w:szCs w:val="20"/>
              </w:rPr>
              <w:t xml:space="preserve">0 </w:t>
            </w:r>
            <w:r w:rsidR="00280550" w:rsidRPr="00DD2F7A">
              <w:rPr>
                <w:rFonts w:cstheme="minorHAnsi"/>
                <w:sz w:val="20"/>
                <w:szCs w:val="20"/>
              </w:rPr>
              <w:t>additional trusted relationships</w:t>
            </w:r>
          </w:p>
        </w:tc>
        <w:tc>
          <w:tcPr>
            <w:tcW w:w="0" w:type="auto"/>
            <w:shd w:val="clear" w:color="auto" w:fill="C1C7C6" w:themeFill="background2" w:themeFillShade="E6"/>
          </w:tcPr>
          <w:p w14:paraId="77FC8F18" w14:textId="77777777" w:rsidR="00280550" w:rsidRPr="00DD2F7A" w:rsidRDefault="00280550" w:rsidP="00302D1E">
            <w:pPr>
              <w:spacing w:after="120"/>
              <w:rPr>
                <w:rFonts w:cstheme="minorHAnsi"/>
                <w:sz w:val="20"/>
                <w:szCs w:val="20"/>
              </w:rPr>
            </w:pPr>
            <w:r w:rsidRPr="00DD2F7A">
              <w:rPr>
                <w:rFonts w:cstheme="minorHAnsi"/>
                <w:sz w:val="20"/>
                <w:szCs w:val="20"/>
              </w:rPr>
              <w:t>Increases TBD</w:t>
            </w:r>
          </w:p>
          <w:p w14:paraId="2F0A743F" w14:textId="77777777" w:rsidR="00280550" w:rsidRPr="00DD2F7A" w:rsidRDefault="00280550" w:rsidP="00302D1E">
            <w:pPr>
              <w:spacing w:after="120"/>
              <w:rPr>
                <w:rFonts w:cstheme="minorHAnsi"/>
                <w:sz w:val="20"/>
                <w:szCs w:val="20"/>
              </w:rPr>
            </w:pPr>
            <w:r w:rsidRPr="00DD2F7A">
              <w:rPr>
                <w:rFonts w:cstheme="minorHAnsi"/>
                <w:sz w:val="20"/>
                <w:szCs w:val="20"/>
              </w:rPr>
              <w:t>2 new case studies per annum commencing in 2021</w:t>
            </w:r>
          </w:p>
          <w:p w14:paraId="3F1A5759" w14:textId="77777777" w:rsidR="00280550" w:rsidRPr="00DD2F7A" w:rsidRDefault="00280550" w:rsidP="00302D1E">
            <w:pPr>
              <w:spacing w:after="120"/>
              <w:rPr>
                <w:rFonts w:cstheme="minorHAnsi"/>
                <w:sz w:val="20"/>
                <w:szCs w:val="20"/>
              </w:rPr>
            </w:pPr>
            <w:r w:rsidRPr="00DD2F7A">
              <w:rPr>
                <w:rFonts w:cstheme="minorHAnsi"/>
                <w:sz w:val="20"/>
                <w:szCs w:val="20"/>
              </w:rPr>
              <w:t>2 new trusted trade relationships in key sectors</w:t>
            </w:r>
          </w:p>
        </w:tc>
      </w:tr>
      <w:tr w:rsidR="000D73AB" w:rsidRPr="00A05A14" w14:paraId="08F56C0B" w14:textId="77777777" w:rsidTr="00D81CF1">
        <w:trPr>
          <w:trHeight w:val="783"/>
        </w:trPr>
        <w:tc>
          <w:tcPr>
            <w:tcW w:w="0" w:type="auto"/>
            <w:shd w:val="clear" w:color="auto" w:fill="FFFFFF" w:themeFill="background1"/>
          </w:tcPr>
          <w:p w14:paraId="3E49C107" w14:textId="3D107CDB" w:rsidR="00280550" w:rsidRPr="00DD2F7A" w:rsidRDefault="00280550" w:rsidP="00302D1E">
            <w:pPr>
              <w:rPr>
                <w:rFonts w:cstheme="minorHAnsi"/>
                <w:b/>
                <w:bCs/>
                <w:sz w:val="20"/>
                <w:szCs w:val="20"/>
              </w:rPr>
            </w:pPr>
            <w:r w:rsidRPr="00DD2F7A">
              <w:rPr>
                <w:rFonts w:cstheme="minorHAnsi"/>
                <w:b/>
                <w:bCs/>
                <w:sz w:val="20"/>
                <w:szCs w:val="20"/>
              </w:rPr>
              <w:t>Intermediate outcomes</w:t>
            </w:r>
            <w:r w:rsidR="007F09E7">
              <w:rPr>
                <w:rFonts w:cstheme="minorHAnsi"/>
                <w:b/>
                <w:bCs/>
                <w:sz w:val="20"/>
                <w:szCs w:val="20"/>
              </w:rPr>
              <w:t xml:space="preserve"> – 2023 emergent</w:t>
            </w:r>
          </w:p>
        </w:tc>
        <w:tc>
          <w:tcPr>
            <w:tcW w:w="2234" w:type="dxa"/>
            <w:shd w:val="clear" w:color="auto" w:fill="FFFFFF" w:themeFill="background1"/>
          </w:tcPr>
          <w:p w14:paraId="2E7EF60C" w14:textId="29BD4AA3" w:rsidR="00280550" w:rsidRPr="00DD2F7A" w:rsidRDefault="00F018F2" w:rsidP="00302D1E">
            <w:pPr>
              <w:spacing w:after="120"/>
              <w:rPr>
                <w:rFonts w:eastAsia="Calibri" w:cstheme="minorHAnsi"/>
                <w:b/>
                <w:sz w:val="20"/>
                <w:szCs w:val="20"/>
              </w:rPr>
            </w:pPr>
            <w:r w:rsidRPr="00DD2F7A">
              <w:rPr>
                <w:rFonts w:eastAsia="Calibri" w:cstheme="minorHAnsi"/>
                <w:b/>
                <w:sz w:val="20"/>
                <w:szCs w:val="20"/>
              </w:rPr>
              <w:t>1.1 IA</w:t>
            </w:r>
            <w:r w:rsidR="00280550" w:rsidRPr="00DD2F7A">
              <w:rPr>
                <w:rFonts w:eastAsia="Calibri" w:cstheme="minorHAnsi"/>
                <w:b/>
                <w:sz w:val="20"/>
                <w:szCs w:val="20"/>
              </w:rPr>
              <w:t xml:space="preserve">-CEPA commitments are </w:t>
            </w:r>
            <w:r w:rsidR="007F09E7">
              <w:rPr>
                <w:rFonts w:eastAsia="Calibri" w:cstheme="minorHAnsi"/>
                <w:b/>
                <w:sz w:val="20"/>
                <w:szCs w:val="20"/>
              </w:rPr>
              <w:t xml:space="preserve">efficiently and effectively </w:t>
            </w:r>
            <w:r w:rsidR="00280550" w:rsidRPr="00DD2F7A">
              <w:rPr>
                <w:rFonts w:eastAsia="Calibri" w:cstheme="minorHAnsi"/>
                <w:b/>
                <w:sz w:val="20"/>
                <w:szCs w:val="20"/>
              </w:rPr>
              <w:t>implemented and maximised</w:t>
            </w:r>
            <w:r w:rsidR="007F09E7">
              <w:rPr>
                <w:rFonts w:eastAsia="Calibri" w:cstheme="minorHAnsi"/>
                <w:b/>
                <w:sz w:val="20"/>
                <w:szCs w:val="20"/>
              </w:rPr>
              <w:t xml:space="preserve"> supported by regulatory frameworks. Strategic market access opportunities identified.</w:t>
            </w:r>
          </w:p>
          <w:p w14:paraId="57B1EF4B" w14:textId="77777777" w:rsidR="00280550" w:rsidRPr="00DD2F7A" w:rsidRDefault="00280550" w:rsidP="00302D1E">
            <w:pPr>
              <w:spacing w:after="120"/>
              <w:rPr>
                <w:rFonts w:eastAsia="Calibri" w:cstheme="minorHAnsi"/>
                <w:b/>
                <w:sz w:val="20"/>
                <w:szCs w:val="20"/>
              </w:rPr>
            </w:pPr>
          </w:p>
        </w:tc>
        <w:tc>
          <w:tcPr>
            <w:tcW w:w="2707" w:type="dxa"/>
            <w:shd w:val="clear" w:color="auto" w:fill="FFFFFF" w:themeFill="background1"/>
          </w:tcPr>
          <w:p w14:paraId="7A423F45" w14:textId="77777777" w:rsidR="00C30664" w:rsidRPr="00DD2F7A" w:rsidRDefault="00280550" w:rsidP="009D3124">
            <w:pPr>
              <w:pStyle w:val="ListParagraph"/>
              <w:numPr>
                <w:ilvl w:val="0"/>
                <w:numId w:val="43"/>
              </w:numPr>
              <w:spacing w:after="120"/>
              <w:rPr>
                <w:rFonts w:cstheme="minorHAnsi"/>
                <w:sz w:val="20"/>
                <w:szCs w:val="20"/>
              </w:rPr>
            </w:pPr>
            <w:r w:rsidRPr="00DD2F7A">
              <w:rPr>
                <w:rFonts w:cstheme="minorHAnsi"/>
                <w:sz w:val="20"/>
                <w:szCs w:val="20"/>
              </w:rPr>
              <w:t>Regulatory and policy framework established</w:t>
            </w:r>
          </w:p>
          <w:p w14:paraId="6035EE48" w14:textId="5A824069" w:rsidR="00280550" w:rsidRPr="00DD2F7A" w:rsidRDefault="00280550" w:rsidP="009D3124">
            <w:pPr>
              <w:pStyle w:val="ListParagraph"/>
              <w:numPr>
                <w:ilvl w:val="0"/>
                <w:numId w:val="43"/>
              </w:numPr>
              <w:spacing w:after="120"/>
              <w:rPr>
                <w:rFonts w:cstheme="minorHAnsi"/>
                <w:sz w:val="20"/>
                <w:szCs w:val="20"/>
              </w:rPr>
            </w:pPr>
            <w:r w:rsidRPr="00DD2F7A">
              <w:rPr>
                <w:rFonts w:cstheme="minorHAnsi"/>
                <w:sz w:val="20"/>
                <w:szCs w:val="20"/>
              </w:rPr>
              <w:t>Number of commitments effectively implemented</w:t>
            </w:r>
          </w:p>
          <w:p w14:paraId="302508F5" w14:textId="77777777" w:rsidR="00280550" w:rsidRPr="00DD2F7A" w:rsidRDefault="00280550" w:rsidP="009D3124">
            <w:pPr>
              <w:pStyle w:val="ListParagraph"/>
              <w:numPr>
                <w:ilvl w:val="0"/>
                <w:numId w:val="43"/>
              </w:numPr>
              <w:spacing w:after="120"/>
              <w:rPr>
                <w:rFonts w:cstheme="minorHAnsi"/>
                <w:sz w:val="20"/>
                <w:szCs w:val="20"/>
              </w:rPr>
            </w:pPr>
            <w:r w:rsidRPr="00DD2F7A">
              <w:rPr>
                <w:rFonts w:cstheme="minorHAnsi"/>
                <w:sz w:val="20"/>
                <w:szCs w:val="20"/>
              </w:rPr>
              <w:t>Number of new business partnerships between Indonesia and Australia</w:t>
            </w:r>
          </w:p>
          <w:p w14:paraId="14CCE33B" w14:textId="77777777" w:rsidR="00C30664" w:rsidRDefault="00CD1615" w:rsidP="009D3124">
            <w:pPr>
              <w:pStyle w:val="ListParagraph"/>
              <w:numPr>
                <w:ilvl w:val="0"/>
                <w:numId w:val="43"/>
              </w:numPr>
              <w:spacing w:after="120"/>
              <w:rPr>
                <w:rFonts w:cstheme="minorHAnsi"/>
                <w:sz w:val="20"/>
                <w:szCs w:val="20"/>
              </w:rPr>
            </w:pPr>
            <w:r w:rsidRPr="00DD2F7A">
              <w:rPr>
                <w:rFonts w:cstheme="minorHAnsi"/>
                <w:sz w:val="20"/>
                <w:szCs w:val="20"/>
              </w:rPr>
              <w:t>Increased economic opportunities for women and people living with disabilities</w:t>
            </w:r>
          </w:p>
          <w:p w14:paraId="1003186D" w14:textId="749FB6C9" w:rsidR="007F09E7" w:rsidRPr="00DD2F7A" w:rsidRDefault="007F09E7" w:rsidP="009D3124">
            <w:pPr>
              <w:pStyle w:val="ListParagraph"/>
              <w:numPr>
                <w:ilvl w:val="0"/>
                <w:numId w:val="43"/>
              </w:numPr>
              <w:spacing w:after="120"/>
              <w:rPr>
                <w:rFonts w:cstheme="minorHAnsi"/>
                <w:sz w:val="20"/>
                <w:szCs w:val="20"/>
              </w:rPr>
            </w:pPr>
            <w:r>
              <w:rPr>
                <w:rFonts w:cstheme="minorHAnsi"/>
                <w:sz w:val="20"/>
                <w:szCs w:val="20"/>
              </w:rPr>
              <w:t>Number of market access opportunities identified</w:t>
            </w:r>
          </w:p>
        </w:tc>
        <w:tc>
          <w:tcPr>
            <w:tcW w:w="0" w:type="auto"/>
            <w:shd w:val="clear" w:color="auto" w:fill="FFFFFF" w:themeFill="background1"/>
          </w:tcPr>
          <w:p w14:paraId="61CCC006" w14:textId="77777777" w:rsidR="00280550" w:rsidRPr="00DD2F7A" w:rsidRDefault="00280550" w:rsidP="00302D1E">
            <w:pPr>
              <w:spacing w:after="120"/>
              <w:rPr>
                <w:rFonts w:cstheme="minorHAnsi"/>
                <w:sz w:val="20"/>
                <w:szCs w:val="20"/>
              </w:rPr>
            </w:pPr>
            <w:r w:rsidRPr="00DD2F7A">
              <w:rPr>
                <w:rFonts w:cstheme="minorHAnsi"/>
                <w:sz w:val="20"/>
                <w:szCs w:val="20"/>
              </w:rPr>
              <w:t>6 monthly progress reports</w:t>
            </w:r>
          </w:p>
          <w:p w14:paraId="06EF8963" w14:textId="77777777" w:rsidR="00280550" w:rsidRPr="00DD2F7A" w:rsidRDefault="00280550" w:rsidP="00302D1E">
            <w:pPr>
              <w:spacing w:after="120"/>
              <w:rPr>
                <w:rFonts w:cstheme="minorHAnsi"/>
                <w:sz w:val="20"/>
                <w:szCs w:val="20"/>
              </w:rPr>
            </w:pPr>
            <w:r w:rsidRPr="00DD2F7A">
              <w:rPr>
                <w:rFonts w:cstheme="minorHAnsi"/>
                <w:sz w:val="20"/>
                <w:szCs w:val="20"/>
              </w:rPr>
              <w:t>Government reviews of KPIs</w:t>
            </w:r>
          </w:p>
          <w:p w14:paraId="68DA100D" w14:textId="77777777" w:rsidR="00280550" w:rsidRPr="00DD2F7A" w:rsidRDefault="00280550" w:rsidP="00302D1E">
            <w:pPr>
              <w:spacing w:after="120"/>
              <w:rPr>
                <w:rFonts w:cstheme="minorHAnsi"/>
                <w:sz w:val="20"/>
                <w:szCs w:val="20"/>
              </w:rPr>
            </w:pPr>
            <w:r w:rsidRPr="00DD2F7A">
              <w:rPr>
                <w:rFonts w:cstheme="minorHAnsi"/>
                <w:sz w:val="20"/>
                <w:szCs w:val="20"/>
              </w:rPr>
              <w:t>Commitment status monitoring</w:t>
            </w:r>
          </w:p>
          <w:p w14:paraId="25964006" w14:textId="77777777" w:rsidR="00C30664" w:rsidRDefault="00C30664" w:rsidP="00302D1E">
            <w:pPr>
              <w:spacing w:after="120"/>
              <w:rPr>
                <w:rFonts w:cstheme="minorHAnsi"/>
                <w:sz w:val="20"/>
                <w:szCs w:val="20"/>
              </w:rPr>
            </w:pPr>
            <w:r w:rsidRPr="00DD2F7A">
              <w:rPr>
                <w:rFonts w:cstheme="minorHAnsi"/>
                <w:sz w:val="20"/>
                <w:szCs w:val="20"/>
              </w:rPr>
              <w:t>GESI Policy analysis</w:t>
            </w:r>
          </w:p>
          <w:p w14:paraId="2E766153" w14:textId="4DD93D51" w:rsidR="007F09E7" w:rsidRPr="00DD2F7A" w:rsidRDefault="007F09E7" w:rsidP="00302D1E">
            <w:pPr>
              <w:spacing w:after="120"/>
              <w:rPr>
                <w:rFonts w:cstheme="minorHAnsi"/>
                <w:sz w:val="20"/>
                <w:szCs w:val="20"/>
              </w:rPr>
            </w:pPr>
            <w:r>
              <w:rPr>
                <w:rFonts w:cstheme="minorHAnsi"/>
                <w:sz w:val="20"/>
                <w:szCs w:val="20"/>
              </w:rPr>
              <w:t>Research studies</w:t>
            </w:r>
          </w:p>
        </w:tc>
        <w:tc>
          <w:tcPr>
            <w:tcW w:w="0" w:type="auto"/>
            <w:shd w:val="clear" w:color="auto" w:fill="FFFFFF" w:themeFill="background1"/>
          </w:tcPr>
          <w:p w14:paraId="0E807623" w14:textId="77777777" w:rsidR="00280550" w:rsidRPr="00DD2F7A" w:rsidRDefault="00280550" w:rsidP="00302D1E">
            <w:pPr>
              <w:spacing w:after="120"/>
              <w:rPr>
                <w:rFonts w:cstheme="minorHAnsi"/>
                <w:sz w:val="20"/>
                <w:szCs w:val="20"/>
              </w:rPr>
            </w:pPr>
            <w:proofErr w:type="spellStart"/>
            <w:r w:rsidRPr="00DD2F7A">
              <w:rPr>
                <w:rFonts w:cstheme="minorHAnsi"/>
                <w:sz w:val="20"/>
                <w:szCs w:val="20"/>
              </w:rPr>
              <w:t>Bappenas</w:t>
            </w:r>
            <w:proofErr w:type="spellEnd"/>
            <w:r w:rsidRPr="00DD2F7A">
              <w:rPr>
                <w:rFonts w:cstheme="minorHAnsi"/>
                <w:sz w:val="20"/>
                <w:szCs w:val="20"/>
              </w:rPr>
              <w:t xml:space="preserve"> in partnership with ECP</w:t>
            </w:r>
          </w:p>
        </w:tc>
        <w:tc>
          <w:tcPr>
            <w:tcW w:w="0" w:type="auto"/>
            <w:shd w:val="clear" w:color="auto" w:fill="FFFFFF" w:themeFill="background1"/>
          </w:tcPr>
          <w:p w14:paraId="3B9BF5BB" w14:textId="77777777" w:rsidR="00280550" w:rsidRPr="00DD2F7A" w:rsidRDefault="00420217" w:rsidP="00302D1E">
            <w:pPr>
              <w:spacing w:after="120"/>
              <w:rPr>
                <w:rFonts w:cstheme="minorHAnsi"/>
                <w:sz w:val="20"/>
                <w:szCs w:val="20"/>
              </w:rPr>
            </w:pPr>
            <w:r w:rsidRPr="00DD2F7A">
              <w:rPr>
                <w:rFonts w:cstheme="minorHAnsi"/>
                <w:sz w:val="20"/>
                <w:szCs w:val="20"/>
              </w:rPr>
              <w:t>0</w:t>
            </w:r>
            <w:r w:rsidR="00280550" w:rsidRPr="00DD2F7A">
              <w:rPr>
                <w:rFonts w:cstheme="minorHAnsi"/>
                <w:sz w:val="20"/>
                <w:szCs w:val="20"/>
              </w:rPr>
              <w:t xml:space="preserve"> commitments implemented at commencement</w:t>
            </w:r>
          </w:p>
          <w:p w14:paraId="7140CD0A" w14:textId="1A5297B3" w:rsidR="00C30664" w:rsidRPr="00DD2F7A" w:rsidRDefault="00C30664" w:rsidP="00302D1E">
            <w:pPr>
              <w:spacing w:after="120"/>
              <w:rPr>
                <w:rFonts w:cstheme="minorHAnsi"/>
                <w:sz w:val="20"/>
                <w:szCs w:val="20"/>
              </w:rPr>
            </w:pPr>
            <w:r w:rsidRPr="00DD2F7A">
              <w:rPr>
                <w:rFonts w:cstheme="minorHAnsi"/>
                <w:sz w:val="20"/>
                <w:szCs w:val="20"/>
              </w:rPr>
              <w:t>0 GESI policies and regulations updated as a result of IA-CEPA</w:t>
            </w:r>
          </w:p>
        </w:tc>
        <w:tc>
          <w:tcPr>
            <w:tcW w:w="0" w:type="auto"/>
            <w:shd w:val="clear" w:color="auto" w:fill="FFFFFF" w:themeFill="background1"/>
          </w:tcPr>
          <w:p w14:paraId="5E06FEE7" w14:textId="77777777" w:rsidR="00280550" w:rsidRPr="00DD2F7A" w:rsidRDefault="00280550" w:rsidP="00302D1E">
            <w:pPr>
              <w:spacing w:after="120"/>
              <w:rPr>
                <w:rFonts w:cstheme="minorHAnsi"/>
                <w:sz w:val="20"/>
                <w:szCs w:val="20"/>
              </w:rPr>
            </w:pPr>
            <w:r w:rsidRPr="00DD2F7A">
              <w:rPr>
                <w:rFonts w:cstheme="minorHAnsi"/>
                <w:sz w:val="20"/>
                <w:szCs w:val="20"/>
              </w:rPr>
              <w:t>100% of commitments implemented by 2025</w:t>
            </w:r>
          </w:p>
          <w:p w14:paraId="4D6DD0F0" w14:textId="5F4308F9" w:rsidR="00280550" w:rsidRPr="00DD2F7A" w:rsidRDefault="00280550" w:rsidP="00302D1E">
            <w:pPr>
              <w:spacing w:after="120"/>
              <w:rPr>
                <w:rFonts w:cstheme="minorHAnsi"/>
                <w:sz w:val="20"/>
                <w:szCs w:val="20"/>
              </w:rPr>
            </w:pPr>
            <w:r w:rsidRPr="00DD2F7A">
              <w:rPr>
                <w:rFonts w:cstheme="minorHAnsi"/>
                <w:sz w:val="20"/>
                <w:szCs w:val="20"/>
              </w:rPr>
              <w:t>4 new business partnerships emerge in key sectors</w:t>
            </w:r>
            <w:r w:rsidR="007F09E7">
              <w:rPr>
                <w:rFonts w:cstheme="minorHAnsi"/>
                <w:sz w:val="20"/>
                <w:szCs w:val="20"/>
              </w:rPr>
              <w:t xml:space="preserve"> based on market access research</w:t>
            </w:r>
          </w:p>
        </w:tc>
      </w:tr>
      <w:tr w:rsidR="000D73AB" w:rsidRPr="00A05A14" w14:paraId="081BB034" w14:textId="77777777" w:rsidTr="00D81CF1">
        <w:trPr>
          <w:trHeight w:val="1038"/>
        </w:trPr>
        <w:tc>
          <w:tcPr>
            <w:tcW w:w="0" w:type="auto"/>
            <w:shd w:val="clear" w:color="auto" w:fill="C1C7C6" w:themeFill="background2" w:themeFillShade="E6"/>
          </w:tcPr>
          <w:p w14:paraId="4A3EA834" w14:textId="77777777" w:rsidR="00280550" w:rsidRPr="00DD2F7A" w:rsidRDefault="00280550" w:rsidP="00302D1E">
            <w:pPr>
              <w:rPr>
                <w:rFonts w:cstheme="minorHAnsi"/>
                <w:b/>
                <w:bCs/>
                <w:sz w:val="20"/>
                <w:szCs w:val="20"/>
              </w:rPr>
            </w:pPr>
            <w:r w:rsidRPr="00DD2F7A">
              <w:rPr>
                <w:rFonts w:cstheme="minorHAnsi"/>
                <w:b/>
                <w:bCs/>
                <w:sz w:val="20"/>
                <w:szCs w:val="20"/>
              </w:rPr>
              <w:lastRenderedPageBreak/>
              <w:t>End of investment outcome</w:t>
            </w:r>
          </w:p>
        </w:tc>
        <w:tc>
          <w:tcPr>
            <w:tcW w:w="2234" w:type="dxa"/>
            <w:shd w:val="clear" w:color="auto" w:fill="C1C7C6" w:themeFill="background2" w:themeFillShade="E6"/>
          </w:tcPr>
          <w:p w14:paraId="60C7B44C" w14:textId="56E061C2" w:rsidR="00280550" w:rsidRPr="00DD2F7A" w:rsidRDefault="00280550" w:rsidP="009D3124">
            <w:pPr>
              <w:pStyle w:val="ListParagraph"/>
              <w:numPr>
                <w:ilvl w:val="0"/>
                <w:numId w:val="28"/>
              </w:numPr>
              <w:spacing w:after="120"/>
              <w:rPr>
                <w:rFonts w:cstheme="minorHAnsi"/>
                <w:b/>
                <w:sz w:val="20"/>
                <w:szCs w:val="20"/>
              </w:rPr>
            </w:pPr>
            <w:r w:rsidRPr="00DD2F7A">
              <w:rPr>
                <w:rFonts w:eastAsia="Calibri" w:cstheme="minorHAnsi"/>
                <w:b/>
                <w:sz w:val="20"/>
                <w:szCs w:val="20"/>
              </w:rPr>
              <w:t>Better integrated markets</w:t>
            </w:r>
            <w:r w:rsidR="007F09E7">
              <w:rPr>
                <w:rFonts w:eastAsia="Calibri" w:cstheme="minorHAnsi"/>
                <w:b/>
                <w:sz w:val="20"/>
                <w:szCs w:val="20"/>
              </w:rPr>
              <w:t xml:space="preserve"> between Indonesia and Australia fostering new inclusive economic partnerships by 2025</w:t>
            </w:r>
          </w:p>
        </w:tc>
        <w:tc>
          <w:tcPr>
            <w:tcW w:w="2707" w:type="dxa"/>
            <w:shd w:val="clear" w:color="auto" w:fill="C1C7C6" w:themeFill="background2" w:themeFillShade="E6"/>
          </w:tcPr>
          <w:p w14:paraId="685CA68B" w14:textId="77777777" w:rsidR="00280550" w:rsidRPr="00DD2F7A" w:rsidRDefault="00280550" w:rsidP="009D3124">
            <w:pPr>
              <w:pStyle w:val="ListParagraph"/>
              <w:numPr>
                <w:ilvl w:val="0"/>
                <w:numId w:val="43"/>
              </w:numPr>
              <w:spacing w:after="120"/>
              <w:rPr>
                <w:rFonts w:cstheme="minorHAnsi"/>
                <w:sz w:val="20"/>
                <w:szCs w:val="20"/>
              </w:rPr>
            </w:pPr>
            <w:r w:rsidRPr="00DD2F7A">
              <w:rPr>
                <w:rFonts w:cstheme="minorHAnsi"/>
                <w:sz w:val="20"/>
                <w:szCs w:val="20"/>
              </w:rPr>
              <w:t xml:space="preserve">Trade flows between Indonesia and Australia in the </w:t>
            </w:r>
            <w:proofErr w:type="spellStart"/>
            <w:r w:rsidRPr="00DD2F7A">
              <w:rPr>
                <w:rFonts w:cstheme="minorHAnsi"/>
                <w:sz w:val="20"/>
                <w:szCs w:val="20"/>
              </w:rPr>
              <w:t>agrifoods</w:t>
            </w:r>
            <w:proofErr w:type="spellEnd"/>
            <w:r w:rsidRPr="00DD2F7A">
              <w:rPr>
                <w:rFonts w:cstheme="minorHAnsi"/>
                <w:sz w:val="20"/>
                <w:szCs w:val="20"/>
              </w:rPr>
              <w:t>, advanced manufacturing and services sectors.</w:t>
            </w:r>
          </w:p>
          <w:p w14:paraId="284257BC" w14:textId="77777777" w:rsidR="00280550" w:rsidRPr="00DD2F7A" w:rsidRDefault="00280550" w:rsidP="009D3124">
            <w:pPr>
              <w:pStyle w:val="ListParagraph"/>
              <w:numPr>
                <w:ilvl w:val="0"/>
                <w:numId w:val="43"/>
              </w:numPr>
              <w:spacing w:after="120"/>
              <w:rPr>
                <w:rFonts w:cstheme="minorHAnsi"/>
                <w:sz w:val="20"/>
                <w:szCs w:val="20"/>
              </w:rPr>
            </w:pPr>
            <w:r w:rsidRPr="00DD2F7A">
              <w:rPr>
                <w:rFonts w:cstheme="minorHAnsi"/>
                <w:sz w:val="20"/>
                <w:szCs w:val="20"/>
              </w:rPr>
              <w:t>Number of new partnerships in the private sector in targeted markets.</w:t>
            </w:r>
          </w:p>
          <w:p w14:paraId="142C88A3" w14:textId="0DBBE431" w:rsidR="00280550" w:rsidRPr="00DD2F7A" w:rsidRDefault="00280550" w:rsidP="009D3124">
            <w:pPr>
              <w:pStyle w:val="ListParagraph"/>
              <w:numPr>
                <w:ilvl w:val="0"/>
                <w:numId w:val="43"/>
              </w:numPr>
              <w:spacing w:after="120"/>
              <w:rPr>
                <w:rFonts w:cstheme="minorHAnsi"/>
                <w:sz w:val="20"/>
                <w:szCs w:val="20"/>
              </w:rPr>
            </w:pPr>
            <w:r w:rsidRPr="00DD2F7A">
              <w:rPr>
                <w:rFonts w:cstheme="minorHAnsi"/>
                <w:sz w:val="20"/>
                <w:szCs w:val="20"/>
              </w:rPr>
              <w:t xml:space="preserve">Level of </w:t>
            </w:r>
            <w:r w:rsidR="00C30664" w:rsidRPr="00DD2F7A">
              <w:rPr>
                <w:rFonts w:cstheme="minorHAnsi"/>
                <w:sz w:val="20"/>
                <w:szCs w:val="20"/>
              </w:rPr>
              <w:t xml:space="preserve">new </w:t>
            </w:r>
            <w:r w:rsidRPr="00DD2F7A">
              <w:rPr>
                <w:rFonts w:cstheme="minorHAnsi"/>
                <w:sz w:val="20"/>
                <w:szCs w:val="20"/>
              </w:rPr>
              <w:t>capital investment in Indonesian companies</w:t>
            </w:r>
          </w:p>
          <w:p w14:paraId="0B8297AE" w14:textId="77777777" w:rsidR="00280550" w:rsidRPr="00DD2F7A" w:rsidRDefault="00280550" w:rsidP="009D3124">
            <w:pPr>
              <w:pStyle w:val="ListParagraph"/>
              <w:numPr>
                <w:ilvl w:val="0"/>
                <w:numId w:val="43"/>
              </w:numPr>
              <w:spacing w:after="120"/>
              <w:rPr>
                <w:rFonts w:cstheme="minorHAnsi"/>
                <w:sz w:val="20"/>
                <w:szCs w:val="20"/>
              </w:rPr>
            </w:pPr>
            <w:r w:rsidRPr="00DD2F7A">
              <w:rPr>
                <w:rFonts w:cstheme="minorHAnsi"/>
                <w:sz w:val="20"/>
                <w:szCs w:val="20"/>
              </w:rPr>
              <w:t>Extent of expansion, investment and innovation in new markets</w:t>
            </w:r>
          </w:p>
          <w:p w14:paraId="2C01A61C" w14:textId="36814DC7" w:rsidR="00C30664" w:rsidRPr="00DD2F7A" w:rsidRDefault="00280550" w:rsidP="009D3124">
            <w:pPr>
              <w:pStyle w:val="ListParagraph"/>
              <w:numPr>
                <w:ilvl w:val="0"/>
                <w:numId w:val="43"/>
              </w:numPr>
              <w:spacing w:after="120"/>
              <w:rPr>
                <w:rFonts w:cstheme="minorHAnsi"/>
                <w:sz w:val="20"/>
                <w:szCs w:val="20"/>
              </w:rPr>
            </w:pPr>
            <w:r w:rsidRPr="00DD2F7A">
              <w:rPr>
                <w:rFonts w:cstheme="minorHAnsi"/>
                <w:sz w:val="20"/>
                <w:szCs w:val="20"/>
              </w:rPr>
              <w:t>Productivity and added value across supply chains</w:t>
            </w:r>
          </w:p>
        </w:tc>
        <w:tc>
          <w:tcPr>
            <w:tcW w:w="0" w:type="auto"/>
            <w:shd w:val="clear" w:color="auto" w:fill="C1C7C6" w:themeFill="background2" w:themeFillShade="E6"/>
          </w:tcPr>
          <w:p w14:paraId="564E46FA" w14:textId="77777777" w:rsidR="00280550" w:rsidRPr="00DD2F7A" w:rsidRDefault="00280550" w:rsidP="00302D1E">
            <w:pPr>
              <w:spacing w:after="120"/>
              <w:rPr>
                <w:rFonts w:cstheme="minorHAnsi"/>
                <w:sz w:val="20"/>
                <w:szCs w:val="20"/>
              </w:rPr>
            </w:pPr>
            <w:r w:rsidRPr="00DD2F7A">
              <w:rPr>
                <w:rFonts w:cstheme="minorHAnsi"/>
                <w:sz w:val="20"/>
                <w:szCs w:val="20"/>
              </w:rPr>
              <w:t>Statistics reporting through national agencies (ABS and BPS)</w:t>
            </w:r>
          </w:p>
          <w:p w14:paraId="1405D79D" w14:textId="77777777" w:rsidR="00280550" w:rsidRPr="00DD2F7A" w:rsidRDefault="00280550" w:rsidP="00302D1E">
            <w:pPr>
              <w:spacing w:after="120"/>
              <w:rPr>
                <w:rFonts w:cstheme="minorHAnsi"/>
                <w:sz w:val="20"/>
                <w:szCs w:val="20"/>
              </w:rPr>
            </w:pPr>
            <w:r w:rsidRPr="00DD2F7A">
              <w:rPr>
                <w:rFonts w:cstheme="minorHAnsi"/>
                <w:sz w:val="20"/>
                <w:szCs w:val="20"/>
              </w:rPr>
              <w:t>6 monthly and annual reporting on progress towards outcomes</w:t>
            </w:r>
          </w:p>
          <w:p w14:paraId="3F2D6000" w14:textId="77777777" w:rsidR="00280550" w:rsidRPr="00DD2F7A" w:rsidRDefault="00280550" w:rsidP="00302D1E">
            <w:pPr>
              <w:spacing w:after="120"/>
              <w:rPr>
                <w:rFonts w:cstheme="minorHAnsi"/>
                <w:sz w:val="20"/>
                <w:szCs w:val="20"/>
              </w:rPr>
            </w:pPr>
            <w:r w:rsidRPr="00DD2F7A">
              <w:rPr>
                <w:rFonts w:cstheme="minorHAnsi"/>
                <w:sz w:val="20"/>
                <w:szCs w:val="20"/>
              </w:rPr>
              <w:t xml:space="preserve">Line agency reporting to </w:t>
            </w:r>
            <w:proofErr w:type="spellStart"/>
            <w:r w:rsidRPr="00DD2F7A">
              <w:rPr>
                <w:rFonts w:cstheme="minorHAnsi"/>
                <w:sz w:val="20"/>
                <w:szCs w:val="20"/>
              </w:rPr>
              <w:t>Bappenas</w:t>
            </w:r>
            <w:proofErr w:type="spellEnd"/>
            <w:r w:rsidRPr="00DD2F7A">
              <w:rPr>
                <w:rFonts w:cstheme="minorHAnsi"/>
                <w:sz w:val="20"/>
                <w:szCs w:val="20"/>
              </w:rPr>
              <w:t xml:space="preserve"> on KPIs</w:t>
            </w:r>
          </w:p>
          <w:p w14:paraId="12CD506D" w14:textId="63CACB00" w:rsidR="00280550" w:rsidRPr="00DD2F7A" w:rsidRDefault="00280550" w:rsidP="00302D1E">
            <w:pPr>
              <w:spacing w:after="120"/>
              <w:rPr>
                <w:rFonts w:cstheme="minorHAnsi"/>
                <w:sz w:val="20"/>
                <w:szCs w:val="20"/>
              </w:rPr>
            </w:pPr>
            <w:r w:rsidRPr="00DD2F7A">
              <w:rPr>
                <w:rFonts w:cstheme="minorHAnsi"/>
                <w:sz w:val="20"/>
                <w:szCs w:val="20"/>
              </w:rPr>
              <w:t>Annual case study analysis through ECP</w:t>
            </w:r>
            <w:r w:rsidR="00C30664" w:rsidRPr="00DD2F7A">
              <w:rPr>
                <w:rFonts w:cstheme="minorHAnsi"/>
                <w:sz w:val="20"/>
                <w:szCs w:val="20"/>
              </w:rPr>
              <w:t xml:space="preserve"> in each targeted sector or partnership</w:t>
            </w:r>
          </w:p>
        </w:tc>
        <w:tc>
          <w:tcPr>
            <w:tcW w:w="0" w:type="auto"/>
            <w:shd w:val="clear" w:color="auto" w:fill="C1C7C6" w:themeFill="background2" w:themeFillShade="E6"/>
          </w:tcPr>
          <w:p w14:paraId="69931B8B" w14:textId="1E8A0236" w:rsidR="00280550" w:rsidRPr="00DD2F7A" w:rsidRDefault="00280550" w:rsidP="00302D1E">
            <w:pPr>
              <w:spacing w:after="120"/>
              <w:rPr>
                <w:rFonts w:cstheme="minorHAnsi"/>
                <w:sz w:val="20"/>
                <w:szCs w:val="20"/>
              </w:rPr>
            </w:pPr>
            <w:r w:rsidRPr="00DD2F7A">
              <w:rPr>
                <w:rFonts w:cstheme="minorHAnsi"/>
                <w:sz w:val="20"/>
                <w:szCs w:val="20"/>
              </w:rPr>
              <w:t>Annual – Indonesian National Statistics Agency</w:t>
            </w:r>
            <w:r w:rsidR="00991A77" w:rsidRPr="00DD2F7A">
              <w:rPr>
                <w:rStyle w:val="FootnoteReference"/>
                <w:rFonts w:cstheme="minorHAnsi"/>
                <w:sz w:val="20"/>
                <w:szCs w:val="20"/>
              </w:rPr>
              <w:footnoteReference w:id="37"/>
            </w:r>
          </w:p>
          <w:p w14:paraId="4B949B4E" w14:textId="77777777" w:rsidR="00280550" w:rsidRPr="00DD2F7A" w:rsidRDefault="00280550" w:rsidP="00302D1E">
            <w:pPr>
              <w:spacing w:after="120"/>
              <w:rPr>
                <w:rFonts w:cstheme="minorHAnsi"/>
                <w:sz w:val="20"/>
                <w:szCs w:val="20"/>
              </w:rPr>
            </w:pPr>
            <w:r w:rsidRPr="00DD2F7A">
              <w:rPr>
                <w:rFonts w:cstheme="minorHAnsi"/>
                <w:sz w:val="20"/>
                <w:szCs w:val="20"/>
              </w:rPr>
              <w:t>Australian Bureau of Statistics (ABS)</w:t>
            </w:r>
          </w:p>
          <w:p w14:paraId="1F16EA30" w14:textId="23D9FF5D" w:rsidR="00280550" w:rsidRPr="00DD2F7A" w:rsidRDefault="00280550" w:rsidP="00302D1E">
            <w:pPr>
              <w:spacing w:after="120"/>
              <w:rPr>
                <w:rFonts w:cstheme="minorHAnsi"/>
                <w:sz w:val="20"/>
                <w:szCs w:val="20"/>
              </w:rPr>
            </w:pPr>
            <w:proofErr w:type="spellStart"/>
            <w:r w:rsidRPr="00DD2F7A">
              <w:rPr>
                <w:rFonts w:cstheme="minorHAnsi"/>
                <w:sz w:val="20"/>
                <w:szCs w:val="20"/>
              </w:rPr>
              <w:t>Bappenas</w:t>
            </w:r>
            <w:proofErr w:type="spellEnd"/>
            <w:r w:rsidR="005E7B57" w:rsidRPr="00DD2F7A">
              <w:rPr>
                <w:rFonts w:cstheme="minorHAnsi"/>
                <w:sz w:val="20"/>
                <w:szCs w:val="20"/>
              </w:rPr>
              <w:t xml:space="preserve"> review of KPIs</w:t>
            </w:r>
          </w:p>
          <w:p w14:paraId="4D22E7A9" w14:textId="77777777" w:rsidR="00280550" w:rsidRPr="00DD2F7A" w:rsidRDefault="00280550" w:rsidP="00302D1E">
            <w:pPr>
              <w:spacing w:after="120"/>
              <w:rPr>
                <w:rFonts w:cstheme="minorHAnsi"/>
                <w:sz w:val="20"/>
                <w:szCs w:val="20"/>
              </w:rPr>
            </w:pPr>
            <w:r w:rsidRPr="00DD2F7A">
              <w:rPr>
                <w:rFonts w:cstheme="minorHAnsi"/>
                <w:sz w:val="20"/>
                <w:szCs w:val="20"/>
              </w:rPr>
              <w:t>ECP through case studies</w:t>
            </w:r>
          </w:p>
        </w:tc>
        <w:tc>
          <w:tcPr>
            <w:tcW w:w="0" w:type="auto"/>
            <w:shd w:val="clear" w:color="auto" w:fill="C1C7C6" w:themeFill="background2" w:themeFillShade="E6"/>
          </w:tcPr>
          <w:p w14:paraId="4F1E2F63" w14:textId="77777777" w:rsidR="00280550" w:rsidRPr="00DD2F7A" w:rsidRDefault="00280550" w:rsidP="00302D1E">
            <w:pPr>
              <w:spacing w:after="120"/>
              <w:rPr>
                <w:rFonts w:cstheme="minorHAnsi"/>
                <w:sz w:val="20"/>
                <w:szCs w:val="20"/>
              </w:rPr>
            </w:pPr>
            <w:r w:rsidRPr="00DD2F7A">
              <w:rPr>
                <w:rFonts w:cstheme="minorHAnsi"/>
                <w:sz w:val="20"/>
                <w:szCs w:val="20"/>
              </w:rPr>
              <w:t>TBD</w:t>
            </w:r>
          </w:p>
        </w:tc>
        <w:tc>
          <w:tcPr>
            <w:tcW w:w="0" w:type="auto"/>
            <w:shd w:val="clear" w:color="auto" w:fill="C1C7C6" w:themeFill="background2" w:themeFillShade="E6"/>
          </w:tcPr>
          <w:p w14:paraId="540CBF82" w14:textId="77777777" w:rsidR="00280550" w:rsidRPr="00DD2F7A" w:rsidRDefault="00280550" w:rsidP="00302D1E">
            <w:pPr>
              <w:spacing w:after="120"/>
              <w:rPr>
                <w:rFonts w:cstheme="minorHAnsi"/>
                <w:sz w:val="20"/>
                <w:szCs w:val="20"/>
              </w:rPr>
            </w:pPr>
            <w:r w:rsidRPr="00DD2F7A">
              <w:rPr>
                <w:rFonts w:cstheme="minorHAnsi"/>
                <w:sz w:val="20"/>
                <w:szCs w:val="20"/>
              </w:rPr>
              <w:t>TBD</w:t>
            </w:r>
          </w:p>
        </w:tc>
      </w:tr>
      <w:tr w:rsidR="000D73AB" w:rsidRPr="00A05A14" w14:paraId="1564C636" w14:textId="77777777" w:rsidTr="00D81CF1">
        <w:trPr>
          <w:trHeight w:val="783"/>
        </w:trPr>
        <w:tc>
          <w:tcPr>
            <w:tcW w:w="0" w:type="auto"/>
            <w:shd w:val="clear" w:color="auto" w:fill="FFFFFF" w:themeFill="background1"/>
          </w:tcPr>
          <w:p w14:paraId="2943636E" w14:textId="77777777" w:rsidR="00280550" w:rsidRPr="00673B8A" w:rsidRDefault="00280550" w:rsidP="00302D1E">
            <w:pPr>
              <w:rPr>
                <w:b/>
                <w:bCs/>
              </w:rPr>
            </w:pPr>
            <w:r w:rsidRPr="00673B8A">
              <w:rPr>
                <w:b/>
                <w:bCs/>
              </w:rPr>
              <w:t>Intermediate outcomes</w:t>
            </w:r>
          </w:p>
        </w:tc>
        <w:tc>
          <w:tcPr>
            <w:tcW w:w="2234" w:type="dxa"/>
            <w:shd w:val="clear" w:color="auto" w:fill="FFFFFF" w:themeFill="background1"/>
          </w:tcPr>
          <w:p w14:paraId="194A30B4" w14:textId="6A804C5B" w:rsidR="00280550" w:rsidRPr="002B5E50" w:rsidRDefault="00280550" w:rsidP="00302D1E">
            <w:pPr>
              <w:spacing w:after="120"/>
              <w:rPr>
                <w:rFonts w:eastAsia="Calibri"/>
                <w:b/>
                <w:sz w:val="20"/>
                <w:szCs w:val="20"/>
              </w:rPr>
            </w:pPr>
            <w:r>
              <w:rPr>
                <w:rFonts w:eastAsia="Calibri"/>
                <w:b/>
                <w:sz w:val="20"/>
                <w:szCs w:val="20"/>
              </w:rPr>
              <w:t xml:space="preserve">2.1 </w:t>
            </w:r>
            <w:r w:rsidRPr="002B5E50">
              <w:rPr>
                <w:rFonts w:eastAsia="Calibri"/>
                <w:b/>
                <w:sz w:val="20"/>
                <w:szCs w:val="20"/>
              </w:rPr>
              <w:t>Engaged industry identifies</w:t>
            </w:r>
            <w:r w:rsidR="007F09E7">
              <w:rPr>
                <w:rFonts w:eastAsia="Calibri"/>
                <w:b/>
                <w:sz w:val="20"/>
                <w:szCs w:val="20"/>
              </w:rPr>
              <w:t xml:space="preserve">, </w:t>
            </w:r>
            <w:r w:rsidRPr="002B5E50">
              <w:rPr>
                <w:rFonts w:eastAsia="Calibri"/>
                <w:b/>
                <w:sz w:val="20"/>
                <w:szCs w:val="20"/>
              </w:rPr>
              <w:t xml:space="preserve">drives </w:t>
            </w:r>
            <w:r w:rsidR="007F09E7">
              <w:rPr>
                <w:rFonts w:eastAsia="Calibri"/>
                <w:b/>
                <w:sz w:val="20"/>
                <w:szCs w:val="20"/>
              </w:rPr>
              <w:t xml:space="preserve">and invests in </w:t>
            </w:r>
            <w:r w:rsidRPr="002B5E50">
              <w:rPr>
                <w:rFonts w:eastAsia="Calibri"/>
                <w:b/>
                <w:sz w:val="20"/>
                <w:szCs w:val="20"/>
              </w:rPr>
              <w:t>opportunities for trade and investment</w:t>
            </w:r>
          </w:p>
        </w:tc>
        <w:tc>
          <w:tcPr>
            <w:tcW w:w="2707" w:type="dxa"/>
            <w:shd w:val="clear" w:color="auto" w:fill="FFFFFF" w:themeFill="background1"/>
          </w:tcPr>
          <w:p w14:paraId="4E3B36A4" w14:textId="77777777" w:rsidR="00280550" w:rsidRDefault="00280550" w:rsidP="009D3124">
            <w:pPr>
              <w:pStyle w:val="ListParagraph"/>
              <w:numPr>
                <w:ilvl w:val="0"/>
                <w:numId w:val="43"/>
              </w:numPr>
              <w:spacing w:after="120"/>
              <w:rPr>
                <w:sz w:val="20"/>
              </w:rPr>
            </w:pPr>
            <w:r>
              <w:rPr>
                <w:sz w:val="20"/>
              </w:rPr>
              <w:t xml:space="preserve">Number and quality of new opportunities identified for trade and investment </w:t>
            </w:r>
          </w:p>
          <w:p w14:paraId="50AC15D5" w14:textId="77777777" w:rsidR="00280550" w:rsidRDefault="00280550" w:rsidP="009D3124">
            <w:pPr>
              <w:pStyle w:val="ListParagraph"/>
              <w:numPr>
                <w:ilvl w:val="0"/>
                <w:numId w:val="43"/>
              </w:numPr>
              <w:spacing w:after="120"/>
              <w:rPr>
                <w:sz w:val="20"/>
              </w:rPr>
            </w:pPr>
            <w:r>
              <w:rPr>
                <w:sz w:val="20"/>
              </w:rPr>
              <w:t>Number and quality of new industry business strategies developed</w:t>
            </w:r>
          </w:p>
          <w:p w14:paraId="74CE6790" w14:textId="720D3CB4" w:rsidR="00280550" w:rsidRPr="00A05A14" w:rsidRDefault="005E7B57" w:rsidP="009D3124">
            <w:pPr>
              <w:pStyle w:val="ListParagraph"/>
              <w:numPr>
                <w:ilvl w:val="0"/>
                <w:numId w:val="43"/>
              </w:numPr>
              <w:spacing w:after="120"/>
              <w:rPr>
                <w:sz w:val="20"/>
              </w:rPr>
            </w:pPr>
            <w:r>
              <w:rPr>
                <w:sz w:val="20"/>
              </w:rPr>
              <w:t xml:space="preserve">Increased economic opportunities for women </w:t>
            </w:r>
            <w:r>
              <w:rPr>
                <w:sz w:val="20"/>
              </w:rPr>
              <w:lastRenderedPageBreak/>
              <w:t>and people living with disabilities</w:t>
            </w:r>
          </w:p>
        </w:tc>
        <w:tc>
          <w:tcPr>
            <w:tcW w:w="0" w:type="auto"/>
            <w:shd w:val="clear" w:color="auto" w:fill="FFFFFF" w:themeFill="background1"/>
          </w:tcPr>
          <w:p w14:paraId="2D6801B0" w14:textId="77777777" w:rsidR="00280550" w:rsidRDefault="00280550" w:rsidP="00302D1E">
            <w:pPr>
              <w:spacing w:after="120"/>
              <w:rPr>
                <w:sz w:val="20"/>
              </w:rPr>
            </w:pPr>
            <w:r>
              <w:rPr>
                <w:sz w:val="20"/>
              </w:rPr>
              <w:lastRenderedPageBreak/>
              <w:t>Industry case studies</w:t>
            </w:r>
          </w:p>
          <w:p w14:paraId="79969E57" w14:textId="65DEAC90" w:rsidR="00280550" w:rsidRPr="00A05A14" w:rsidRDefault="00280550" w:rsidP="00302D1E">
            <w:pPr>
              <w:spacing w:after="120"/>
              <w:rPr>
                <w:sz w:val="20"/>
              </w:rPr>
            </w:pPr>
            <w:r>
              <w:rPr>
                <w:sz w:val="20"/>
              </w:rPr>
              <w:t>Viability assessments of business strategies</w:t>
            </w:r>
          </w:p>
        </w:tc>
        <w:tc>
          <w:tcPr>
            <w:tcW w:w="0" w:type="auto"/>
            <w:shd w:val="clear" w:color="auto" w:fill="FFFFFF" w:themeFill="background1"/>
          </w:tcPr>
          <w:p w14:paraId="22456F10" w14:textId="77777777" w:rsidR="00280550" w:rsidRPr="00A05A14" w:rsidRDefault="00280550" w:rsidP="00302D1E">
            <w:pPr>
              <w:spacing w:after="120"/>
              <w:rPr>
                <w:sz w:val="20"/>
              </w:rPr>
            </w:pPr>
            <w:r>
              <w:rPr>
                <w:sz w:val="20"/>
              </w:rPr>
              <w:t>ECP in consultation with industry partnerships</w:t>
            </w:r>
          </w:p>
        </w:tc>
        <w:tc>
          <w:tcPr>
            <w:tcW w:w="0" w:type="auto"/>
            <w:shd w:val="clear" w:color="auto" w:fill="FFFFFF" w:themeFill="background1"/>
          </w:tcPr>
          <w:p w14:paraId="5CC26B3D" w14:textId="77777777" w:rsidR="00280550" w:rsidRPr="00A05A14" w:rsidRDefault="00280550" w:rsidP="00302D1E">
            <w:pPr>
              <w:spacing w:after="120"/>
              <w:rPr>
                <w:sz w:val="20"/>
              </w:rPr>
            </w:pPr>
            <w:r>
              <w:rPr>
                <w:sz w:val="20"/>
              </w:rPr>
              <w:t>0 at commencement</w:t>
            </w:r>
          </w:p>
        </w:tc>
        <w:tc>
          <w:tcPr>
            <w:tcW w:w="0" w:type="auto"/>
            <w:shd w:val="clear" w:color="auto" w:fill="FFFFFF" w:themeFill="background1"/>
          </w:tcPr>
          <w:p w14:paraId="52B5C978" w14:textId="77777777" w:rsidR="00280550" w:rsidRDefault="00280550" w:rsidP="00302D1E">
            <w:pPr>
              <w:spacing w:after="120"/>
              <w:rPr>
                <w:sz w:val="20"/>
              </w:rPr>
            </w:pPr>
            <w:r>
              <w:rPr>
                <w:sz w:val="20"/>
              </w:rPr>
              <w:t>4 new opportunities generating increased trade and investment in the target sectors by 2025</w:t>
            </w:r>
          </w:p>
          <w:p w14:paraId="69CA6A81" w14:textId="73E5509A" w:rsidR="005E7B57" w:rsidRPr="00A05A14" w:rsidRDefault="005E7B57" w:rsidP="00302D1E">
            <w:pPr>
              <w:spacing w:after="120"/>
              <w:rPr>
                <w:sz w:val="20"/>
              </w:rPr>
            </w:pPr>
            <w:r>
              <w:rPr>
                <w:sz w:val="20"/>
              </w:rPr>
              <w:t xml:space="preserve">2o% increase in women’s involvement in Partnerships and investments arising </w:t>
            </w:r>
            <w:r>
              <w:rPr>
                <w:sz w:val="20"/>
              </w:rPr>
              <w:lastRenderedPageBreak/>
              <w:t>from IA-CEPA opportunities</w:t>
            </w:r>
          </w:p>
        </w:tc>
      </w:tr>
      <w:tr w:rsidR="000D73AB" w:rsidRPr="00A05A14" w14:paraId="3B302995" w14:textId="77777777" w:rsidTr="00D81CF1">
        <w:trPr>
          <w:trHeight w:val="783"/>
        </w:trPr>
        <w:tc>
          <w:tcPr>
            <w:tcW w:w="0" w:type="auto"/>
            <w:shd w:val="clear" w:color="auto" w:fill="FFFFFF" w:themeFill="background1"/>
          </w:tcPr>
          <w:p w14:paraId="5614B5F2" w14:textId="77777777" w:rsidR="00280550" w:rsidRPr="00673B8A" w:rsidRDefault="00280550" w:rsidP="00302D1E">
            <w:pPr>
              <w:rPr>
                <w:b/>
                <w:bCs/>
              </w:rPr>
            </w:pPr>
            <w:r w:rsidRPr="00673B8A">
              <w:rPr>
                <w:b/>
                <w:bCs/>
              </w:rPr>
              <w:lastRenderedPageBreak/>
              <w:t>Intermediate outcomes</w:t>
            </w:r>
          </w:p>
        </w:tc>
        <w:tc>
          <w:tcPr>
            <w:tcW w:w="2234" w:type="dxa"/>
            <w:shd w:val="clear" w:color="auto" w:fill="FFFFFF" w:themeFill="background1"/>
          </w:tcPr>
          <w:p w14:paraId="7394E4D2" w14:textId="56FE25B6" w:rsidR="00280550" w:rsidRPr="002B5E50" w:rsidRDefault="00280550" w:rsidP="00FA3963">
            <w:pPr>
              <w:spacing w:after="120"/>
              <w:rPr>
                <w:rFonts w:eastAsia="Calibri"/>
                <w:b/>
                <w:sz w:val="20"/>
                <w:szCs w:val="20"/>
              </w:rPr>
            </w:pPr>
            <w:r>
              <w:rPr>
                <w:rFonts w:eastAsia="Calibri"/>
                <w:b/>
                <w:sz w:val="20"/>
                <w:szCs w:val="20"/>
              </w:rPr>
              <w:t xml:space="preserve">2.2 </w:t>
            </w:r>
            <w:r w:rsidRPr="002B5E50">
              <w:rPr>
                <w:rFonts w:eastAsia="Calibri"/>
                <w:b/>
                <w:sz w:val="20"/>
                <w:szCs w:val="20"/>
              </w:rPr>
              <w:t xml:space="preserve">Indonesia-Australia </w:t>
            </w:r>
            <w:r w:rsidR="007F09E7">
              <w:rPr>
                <w:rFonts w:eastAsia="Calibri"/>
                <w:b/>
                <w:sz w:val="20"/>
                <w:szCs w:val="20"/>
              </w:rPr>
              <w:t>economic p</w:t>
            </w:r>
            <w:r w:rsidRPr="002B5E50">
              <w:rPr>
                <w:rFonts w:eastAsia="Calibri"/>
                <w:b/>
                <w:sz w:val="20"/>
                <w:szCs w:val="20"/>
              </w:rPr>
              <w:t xml:space="preserve">artnerships are developed across </w:t>
            </w:r>
            <w:proofErr w:type="spellStart"/>
            <w:r w:rsidRPr="002B5E50">
              <w:rPr>
                <w:rFonts w:eastAsia="Calibri"/>
                <w:b/>
                <w:sz w:val="20"/>
                <w:szCs w:val="20"/>
              </w:rPr>
              <w:t>agrifood</w:t>
            </w:r>
            <w:proofErr w:type="spellEnd"/>
            <w:r w:rsidRPr="002B5E50">
              <w:rPr>
                <w:rFonts w:eastAsia="Calibri"/>
                <w:b/>
                <w:sz w:val="20"/>
                <w:szCs w:val="20"/>
              </w:rPr>
              <w:t>, advanced manufacturing and services</w:t>
            </w:r>
          </w:p>
        </w:tc>
        <w:tc>
          <w:tcPr>
            <w:tcW w:w="2707" w:type="dxa"/>
            <w:shd w:val="clear" w:color="auto" w:fill="FFFFFF" w:themeFill="background1"/>
          </w:tcPr>
          <w:p w14:paraId="321B3950" w14:textId="77777777" w:rsidR="00280550" w:rsidRDefault="00280550" w:rsidP="009D3124">
            <w:pPr>
              <w:pStyle w:val="ListParagraph"/>
              <w:numPr>
                <w:ilvl w:val="0"/>
                <w:numId w:val="43"/>
              </w:numPr>
              <w:spacing w:after="120"/>
              <w:rPr>
                <w:sz w:val="20"/>
              </w:rPr>
            </w:pPr>
            <w:r>
              <w:rPr>
                <w:sz w:val="20"/>
              </w:rPr>
              <w:t>Number and quality of new partnership agreements signed with tangible commitments made by partners.</w:t>
            </w:r>
          </w:p>
          <w:p w14:paraId="2ED46B96" w14:textId="77777777" w:rsidR="00280550" w:rsidRDefault="00280550" w:rsidP="009D3124">
            <w:pPr>
              <w:pStyle w:val="ListParagraph"/>
              <w:numPr>
                <w:ilvl w:val="0"/>
                <w:numId w:val="43"/>
              </w:numPr>
              <w:spacing w:after="120"/>
              <w:rPr>
                <w:sz w:val="20"/>
              </w:rPr>
            </w:pPr>
            <w:r>
              <w:rPr>
                <w:sz w:val="20"/>
              </w:rPr>
              <w:t xml:space="preserve">Level of trade and investment in </w:t>
            </w:r>
            <w:proofErr w:type="spellStart"/>
            <w:r>
              <w:rPr>
                <w:sz w:val="20"/>
              </w:rPr>
              <w:t>agrifoods</w:t>
            </w:r>
            <w:proofErr w:type="spellEnd"/>
            <w:r>
              <w:rPr>
                <w:sz w:val="20"/>
              </w:rPr>
              <w:t>, advanced manufacturing and services resulting from ECP investments</w:t>
            </w:r>
          </w:p>
          <w:p w14:paraId="597270A0" w14:textId="60E06053" w:rsidR="00794A7F" w:rsidRPr="00A05A14" w:rsidRDefault="005E7B57" w:rsidP="009D3124">
            <w:pPr>
              <w:pStyle w:val="ListParagraph"/>
              <w:numPr>
                <w:ilvl w:val="0"/>
                <w:numId w:val="43"/>
              </w:numPr>
              <w:spacing w:after="120"/>
              <w:rPr>
                <w:sz w:val="20"/>
              </w:rPr>
            </w:pPr>
            <w:r>
              <w:rPr>
                <w:sz w:val="20"/>
              </w:rPr>
              <w:t>Increased economic opportunities for women and people living with disabilities</w:t>
            </w:r>
          </w:p>
        </w:tc>
        <w:tc>
          <w:tcPr>
            <w:tcW w:w="0" w:type="auto"/>
            <w:shd w:val="clear" w:color="auto" w:fill="FFFFFF" w:themeFill="background1"/>
          </w:tcPr>
          <w:p w14:paraId="16579DAB" w14:textId="77777777" w:rsidR="00280550" w:rsidRDefault="00280550" w:rsidP="00302D1E">
            <w:pPr>
              <w:spacing w:after="120"/>
              <w:rPr>
                <w:sz w:val="20"/>
              </w:rPr>
            </w:pPr>
            <w:r>
              <w:rPr>
                <w:sz w:val="20"/>
              </w:rPr>
              <w:t>Annual industry partnership case studies and contribution analysis</w:t>
            </w:r>
          </w:p>
          <w:p w14:paraId="61861261" w14:textId="77777777" w:rsidR="00280550" w:rsidRDefault="00280550" w:rsidP="00302D1E">
            <w:pPr>
              <w:spacing w:after="120"/>
              <w:rPr>
                <w:sz w:val="20"/>
              </w:rPr>
            </w:pPr>
            <w:r>
              <w:rPr>
                <w:sz w:val="20"/>
              </w:rPr>
              <w:t>Annual analysis of private sector contributions to partnership agreements and investment opportunities</w:t>
            </w:r>
          </w:p>
          <w:p w14:paraId="3A48600B" w14:textId="22B30394" w:rsidR="00794A7F" w:rsidRPr="00A05A14" w:rsidRDefault="00794A7F" w:rsidP="00302D1E">
            <w:pPr>
              <w:spacing w:after="120"/>
              <w:rPr>
                <w:sz w:val="20"/>
              </w:rPr>
            </w:pPr>
            <w:r>
              <w:rPr>
                <w:sz w:val="20"/>
              </w:rPr>
              <w:t>Annual ECP progress reporting</w:t>
            </w:r>
          </w:p>
        </w:tc>
        <w:tc>
          <w:tcPr>
            <w:tcW w:w="0" w:type="auto"/>
            <w:shd w:val="clear" w:color="auto" w:fill="FFFFFF" w:themeFill="background1"/>
          </w:tcPr>
          <w:p w14:paraId="0599654F" w14:textId="77777777" w:rsidR="00280550" w:rsidRPr="00A05A14" w:rsidRDefault="00280550" w:rsidP="00302D1E">
            <w:pPr>
              <w:spacing w:after="120"/>
              <w:rPr>
                <w:sz w:val="20"/>
              </w:rPr>
            </w:pPr>
            <w:r>
              <w:rPr>
                <w:sz w:val="20"/>
              </w:rPr>
              <w:t>ECP in consultation with industry partnerships</w:t>
            </w:r>
          </w:p>
        </w:tc>
        <w:tc>
          <w:tcPr>
            <w:tcW w:w="0" w:type="auto"/>
            <w:shd w:val="clear" w:color="auto" w:fill="FFFFFF" w:themeFill="background1"/>
          </w:tcPr>
          <w:p w14:paraId="68D03CF9" w14:textId="77777777" w:rsidR="00280550" w:rsidRPr="00A05A14" w:rsidRDefault="00280550" w:rsidP="00302D1E">
            <w:pPr>
              <w:spacing w:after="120"/>
              <w:rPr>
                <w:sz w:val="20"/>
              </w:rPr>
            </w:pPr>
            <w:r>
              <w:rPr>
                <w:sz w:val="20"/>
              </w:rPr>
              <w:t>0 at commencement</w:t>
            </w:r>
          </w:p>
        </w:tc>
        <w:tc>
          <w:tcPr>
            <w:tcW w:w="0" w:type="auto"/>
            <w:shd w:val="clear" w:color="auto" w:fill="FFFFFF" w:themeFill="background1"/>
          </w:tcPr>
          <w:p w14:paraId="17BFFBEB" w14:textId="77777777" w:rsidR="00280550" w:rsidRPr="00A05A14" w:rsidRDefault="00280550" w:rsidP="00302D1E">
            <w:pPr>
              <w:spacing w:after="120"/>
              <w:rPr>
                <w:sz w:val="20"/>
              </w:rPr>
            </w:pPr>
            <w:r>
              <w:rPr>
                <w:sz w:val="20"/>
              </w:rPr>
              <w:t>4 new partnership agreements signed in target sectors by 2025</w:t>
            </w:r>
          </w:p>
        </w:tc>
      </w:tr>
      <w:tr w:rsidR="000D73AB" w:rsidRPr="00A05A14" w14:paraId="6BDDE321" w14:textId="77777777" w:rsidTr="00D81CF1">
        <w:trPr>
          <w:trHeight w:val="783"/>
        </w:trPr>
        <w:tc>
          <w:tcPr>
            <w:tcW w:w="0" w:type="auto"/>
            <w:shd w:val="clear" w:color="auto" w:fill="FFFFFF" w:themeFill="background1"/>
          </w:tcPr>
          <w:p w14:paraId="41B81058" w14:textId="77777777" w:rsidR="00280550" w:rsidRPr="00673B8A" w:rsidRDefault="00280550" w:rsidP="00302D1E">
            <w:pPr>
              <w:rPr>
                <w:b/>
                <w:bCs/>
              </w:rPr>
            </w:pPr>
            <w:r w:rsidRPr="00673B8A">
              <w:rPr>
                <w:b/>
                <w:bCs/>
              </w:rPr>
              <w:t>Intermediate outcomes</w:t>
            </w:r>
          </w:p>
        </w:tc>
        <w:tc>
          <w:tcPr>
            <w:tcW w:w="2234" w:type="dxa"/>
            <w:shd w:val="clear" w:color="auto" w:fill="FFFFFF" w:themeFill="background1"/>
          </w:tcPr>
          <w:p w14:paraId="4D57EA4B" w14:textId="6EF98B1C" w:rsidR="00280550" w:rsidRPr="002B5E50" w:rsidRDefault="00280550" w:rsidP="00302D1E">
            <w:pPr>
              <w:spacing w:after="120"/>
              <w:rPr>
                <w:rFonts w:eastAsia="Calibri"/>
                <w:b/>
                <w:sz w:val="20"/>
                <w:szCs w:val="20"/>
              </w:rPr>
            </w:pPr>
            <w:r>
              <w:rPr>
                <w:rFonts w:eastAsia="Calibri"/>
                <w:b/>
                <w:sz w:val="20"/>
                <w:szCs w:val="20"/>
              </w:rPr>
              <w:t xml:space="preserve">2.3 </w:t>
            </w:r>
            <w:r w:rsidRPr="002B5E50">
              <w:rPr>
                <w:rFonts w:eastAsia="Calibri"/>
                <w:b/>
                <w:sz w:val="20"/>
                <w:szCs w:val="20"/>
              </w:rPr>
              <w:t>Enhanced and aligned Standards</w:t>
            </w:r>
            <w:r w:rsidR="000E444B">
              <w:rPr>
                <w:rFonts w:eastAsia="Calibri"/>
                <w:b/>
                <w:sz w:val="20"/>
                <w:szCs w:val="20"/>
              </w:rPr>
              <w:t xml:space="preserve"> </w:t>
            </w:r>
            <w:r w:rsidR="000E444B" w:rsidRPr="007C4ABD">
              <w:rPr>
                <w:rFonts w:cstheme="majorHAnsi"/>
                <w:b/>
                <w:bCs/>
                <w:sz w:val="20"/>
                <w:szCs w:val="21"/>
              </w:rPr>
              <w:t xml:space="preserve">and </w:t>
            </w:r>
            <w:r w:rsidR="007F09E7">
              <w:rPr>
                <w:rFonts w:cstheme="majorHAnsi"/>
                <w:b/>
                <w:bCs/>
                <w:sz w:val="20"/>
                <w:szCs w:val="21"/>
              </w:rPr>
              <w:t>C</w:t>
            </w:r>
            <w:r w:rsidR="000E444B" w:rsidRPr="007C4ABD">
              <w:rPr>
                <w:rFonts w:cstheme="majorHAnsi"/>
                <w:b/>
                <w:bCs/>
                <w:sz w:val="20"/>
                <w:szCs w:val="21"/>
              </w:rPr>
              <w:t>onformance</w:t>
            </w:r>
            <w:r w:rsidRPr="002B5E50">
              <w:rPr>
                <w:rFonts w:eastAsia="Calibri"/>
                <w:b/>
                <w:sz w:val="20"/>
                <w:szCs w:val="20"/>
              </w:rPr>
              <w:t xml:space="preserve"> Ecosystem</w:t>
            </w:r>
            <w:r w:rsidR="007F09E7">
              <w:rPr>
                <w:rFonts w:eastAsia="Calibri"/>
                <w:b/>
                <w:sz w:val="20"/>
                <w:szCs w:val="20"/>
              </w:rPr>
              <w:t xml:space="preserve"> supporting more integrated markets</w:t>
            </w:r>
          </w:p>
        </w:tc>
        <w:tc>
          <w:tcPr>
            <w:tcW w:w="2707" w:type="dxa"/>
            <w:shd w:val="clear" w:color="auto" w:fill="FFFFFF" w:themeFill="background1"/>
          </w:tcPr>
          <w:p w14:paraId="40C40F6B" w14:textId="77777777" w:rsidR="00280550" w:rsidRPr="004D030A" w:rsidRDefault="00280550" w:rsidP="009D3124">
            <w:pPr>
              <w:pStyle w:val="ListParagraph"/>
              <w:numPr>
                <w:ilvl w:val="0"/>
                <w:numId w:val="44"/>
              </w:numPr>
              <w:spacing w:after="120"/>
              <w:rPr>
                <w:sz w:val="20"/>
              </w:rPr>
            </w:pPr>
            <w:r w:rsidRPr="004D030A">
              <w:rPr>
                <w:sz w:val="20"/>
              </w:rPr>
              <w:t>Level of alignment of standards</w:t>
            </w:r>
          </w:p>
          <w:p w14:paraId="3C906359" w14:textId="77777777" w:rsidR="00280550" w:rsidRPr="004D030A" w:rsidRDefault="00280550" w:rsidP="009D3124">
            <w:pPr>
              <w:pStyle w:val="ListParagraph"/>
              <w:numPr>
                <w:ilvl w:val="0"/>
                <w:numId w:val="44"/>
              </w:numPr>
              <w:spacing w:after="120"/>
              <w:rPr>
                <w:sz w:val="20"/>
              </w:rPr>
            </w:pPr>
            <w:r w:rsidRPr="004D030A">
              <w:rPr>
                <w:sz w:val="20"/>
              </w:rPr>
              <w:t>Number and quality of enhancements to standards in Indonesia</w:t>
            </w:r>
          </w:p>
        </w:tc>
        <w:tc>
          <w:tcPr>
            <w:tcW w:w="0" w:type="auto"/>
            <w:shd w:val="clear" w:color="auto" w:fill="FFFFFF" w:themeFill="background1"/>
          </w:tcPr>
          <w:p w14:paraId="0A402141" w14:textId="77777777" w:rsidR="00280550" w:rsidRDefault="00280550" w:rsidP="00302D1E">
            <w:pPr>
              <w:spacing w:after="120"/>
              <w:rPr>
                <w:sz w:val="20"/>
              </w:rPr>
            </w:pPr>
            <w:r>
              <w:rPr>
                <w:sz w:val="20"/>
              </w:rPr>
              <w:t>Case study analysis</w:t>
            </w:r>
          </w:p>
          <w:p w14:paraId="59487EDF" w14:textId="77777777" w:rsidR="00280550" w:rsidRPr="00A05A14" w:rsidRDefault="00280550" w:rsidP="00302D1E">
            <w:pPr>
              <w:spacing w:after="120"/>
              <w:rPr>
                <w:sz w:val="20"/>
              </w:rPr>
            </w:pPr>
            <w:r>
              <w:rPr>
                <w:sz w:val="20"/>
              </w:rPr>
              <w:t>Annual investment activity reporting on adoption of standards</w:t>
            </w:r>
          </w:p>
        </w:tc>
        <w:tc>
          <w:tcPr>
            <w:tcW w:w="0" w:type="auto"/>
            <w:shd w:val="clear" w:color="auto" w:fill="FFFFFF" w:themeFill="background1"/>
          </w:tcPr>
          <w:p w14:paraId="4D381D0F" w14:textId="77777777" w:rsidR="00280550" w:rsidRPr="00A05A14" w:rsidRDefault="00280550" w:rsidP="00302D1E">
            <w:pPr>
              <w:spacing w:after="120"/>
              <w:rPr>
                <w:sz w:val="20"/>
              </w:rPr>
            </w:pPr>
            <w:r>
              <w:rPr>
                <w:sz w:val="20"/>
              </w:rPr>
              <w:t>ECP in consultation with government and industry</w:t>
            </w:r>
          </w:p>
        </w:tc>
        <w:tc>
          <w:tcPr>
            <w:tcW w:w="0" w:type="auto"/>
            <w:shd w:val="clear" w:color="auto" w:fill="FFFFFF" w:themeFill="background1"/>
          </w:tcPr>
          <w:p w14:paraId="7CBF9F70" w14:textId="77777777" w:rsidR="00280550" w:rsidRPr="00A05A14" w:rsidRDefault="00280550" w:rsidP="00302D1E">
            <w:pPr>
              <w:spacing w:after="120"/>
              <w:rPr>
                <w:sz w:val="20"/>
              </w:rPr>
            </w:pPr>
            <w:r>
              <w:rPr>
                <w:sz w:val="20"/>
              </w:rPr>
              <w:t>TBD</w:t>
            </w:r>
          </w:p>
        </w:tc>
        <w:tc>
          <w:tcPr>
            <w:tcW w:w="0" w:type="auto"/>
            <w:shd w:val="clear" w:color="auto" w:fill="FFFFFF" w:themeFill="background1"/>
          </w:tcPr>
          <w:p w14:paraId="5E548778" w14:textId="77777777" w:rsidR="00280550" w:rsidRPr="00A05A14" w:rsidRDefault="00280550" w:rsidP="00302D1E">
            <w:pPr>
              <w:spacing w:after="120"/>
              <w:rPr>
                <w:sz w:val="20"/>
              </w:rPr>
            </w:pPr>
            <w:r>
              <w:rPr>
                <w:sz w:val="20"/>
              </w:rPr>
              <w:t>TBD</w:t>
            </w:r>
          </w:p>
        </w:tc>
      </w:tr>
      <w:tr w:rsidR="000D73AB" w:rsidRPr="00A05A14" w14:paraId="563EBA20" w14:textId="77777777" w:rsidTr="00D81CF1">
        <w:trPr>
          <w:trHeight w:val="1038"/>
        </w:trPr>
        <w:tc>
          <w:tcPr>
            <w:tcW w:w="0" w:type="auto"/>
            <w:shd w:val="clear" w:color="auto" w:fill="C1C7C6" w:themeFill="background2" w:themeFillShade="E6"/>
          </w:tcPr>
          <w:p w14:paraId="3A5F4F57" w14:textId="77777777" w:rsidR="00280550" w:rsidRPr="00673B8A" w:rsidRDefault="00280550" w:rsidP="00302D1E">
            <w:pPr>
              <w:rPr>
                <w:b/>
                <w:bCs/>
              </w:rPr>
            </w:pPr>
            <w:r w:rsidRPr="00673B8A">
              <w:rPr>
                <w:b/>
                <w:bCs/>
              </w:rPr>
              <w:t>End of investment outcomes</w:t>
            </w:r>
          </w:p>
        </w:tc>
        <w:tc>
          <w:tcPr>
            <w:tcW w:w="2234" w:type="dxa"/>
            <w:shd w:val="clear" w:color="auto" w:fill="C1C7C6" w:themeFill="background2" w:themeFillShade="E6"/>
          </w:tcPr>
          <w:p w14:paraId="75739B3D" w14:textId="00519D11" w:rsidR="00280550" w:rsidRPr="00A017BD" w:rsidRDefault="00280550" w:rsidP="009D3124">
            <w:pPr>
              <w:pStyle w:val="ListParagraph"/>
              <w:numPr>
                <w:ilvl w:val="0"/>
                <w:numId w:val="28"/>
              </w:numPr>
              <w:spacing w:after="120"/>
              <w:rPr>
                <w:b/>
                <w:sz w:val="20"/>
              </w:rPr>
            </w:pPr>
            <w:r w:rsidRPr="00A017BD">
              <w:rPr>
                <w:rFonts w:eastAsia="Calibri"/>
                <w:b/>
                <w:sz w:val="20"/>
                <w:szCs w:val="20"/>
              </w:rPr>
              <w:t>Enhanced labour market skills</w:t>
            </w:r>
            <w:r w:rsidR="007F09E7">
              <w:rPr>
                <w:rFonts w:eastAsia="Calibri"/>
                <w:b/>
                <w:sz w:val="20"/>
                <w:szCs w:val="20"/>
              </w:rPr>
              <w:t xml:space="preserve"> for Indonesian businesses and government boosting productivity, gender </w:t>
            </w:r>
            <w:r w:rsidR="007F09E7">
              <w:rPr>
                <w:rFonts w:eastAsia="Calibri"/>
                <w:b/>
                <w:sz w:val="20"/>
                <w:szCs w:val="20"/>
              </w:rPr>
              <w:lastRenderedPageBreak/>
              <w:t>equality and social inclusion by 2025</w:t>
            </w:r>
          </w:p>
        </w:tc>
        <w:tc>
          <w:tcPr>
            <w:tcW w:w="2707" w:type="dxa"/>
            <w:shd w:val="clear" w:color="auto" w:fill="C1C7C6" w:themeFill="background2" w:themeFillShade="E6"/>
          </w:tcPr>
          <w:p w14:paraId="6F175CCE" w14:textId="77777777" w:rsidR="00280550" w:rsidRPr="004D030A" w:rsidRDefault="00280550" w:rsidP="009D3124">
            <w:pPr>
              <w:pStyle w:val="ListParagraph"/>
              <w:numPr>
                <w:ilvl w:val="0"/>
                <w:numId w:val="44"/>
              </w:numPr>
              <w:spacing w:after="120"/>
              <w:rPr>
                <w:sz w:val="20"/>
              </w:rPr>
            </w:pPr>
            <w:r w:rsidRPr="004D030A">
              <w:rPr>
                <w:sz w:val="20"/>
              </w:rPr>
              <w:lastRenderedPageBreak/>
              <w:t>Number of pilot TVET models scaled up with joint Australian-Indonesian investment</w:t>
            </w:r>
          </w:p>
          <w:p w14:paraId="6E504F88" w14:textId="34A81280" w:rsidR="00280550" w:rsidRPr="004D030A" w:rsidRDefault="00280550" w:rsidP="009D3124">
            <w:pPr>
              <w:pStyle w:val="ListParagraph"/>
              <w:numPr>
                <w:ilvl w:val="0"/>
                <w:numId w:val="44"/>
              </w:numPr>
              <w:spacing w:after="120"/>
              <w:rPr>
                <w:sz w:val="20"/>
              </w:rPr>
            </w:pPr>
            <w:r w:rsidRPr="004D030A">
              <w:rPr>
                <w:sz w:val="20"/>
              </w:rPr>
              <w:t>Increased women leadership and participation</w:t>
            </w:r>
            <w:r w:rsidR="00A87681">
              <w:rPr>
                <w:sz w:val="20"/>
              </w:rPr>
              <w:t xml:space="preserve"> of </w:t>
            </w:r>
            <w:r w:rsidR="00A87681">
              <w:rPr>
                <w:sz w:val="20"/>
              </w:rPr>
              <w:lastRenderedPageBreak/>
              <w:t>disadvantaged groups</w:t>
            </w:r>
            <w:r w:rsidRPr="004D030A">
              <w:rPr>
                <w:sz w:val="20"/>
              </w:rPr>
              <w:t xml:space="preserve"> in target sectors </w:t>
            </w:r>
          </w:p>
          <w:p w14:paraId="1A08089F" w14:textId="41D3A7B4" w:rsidR="00280550" w:rsidRPr="004D030A" w:rsidRDefault="00280550" w:rsidP="009D3124">
            <w:pPr>
              <w:pStyle w:val="ListParagraph"/>
              <w:numPr>
                <w:ilvl w:val="0"/>
                <w:numId w:val="44"/>
              </w:numPr>
              <w:spacing w:after="120"/>
              <w:rPr>
                <w:sz w:val="20"/>
              </w:rPr>
            </w:pPr>
            <w:r w:rsidRPr="004D030A">
              <w:rPr>
                <w:sz w:val="20"/>
              </w:rPr>
              <w:t xml:space="preserve">Number of Australian TVET providers </w:t>
            </w:r>
            <w:r w:rsidR="00794A7F">
              <w:rPr>
                <w:sz w:val="20"/>
              </w:rPr>
              <w:t xml:space="preserve">commercially </w:t>
            </w:r>
            <w:r w:rsidRPr="004D030A">
              <w:rPr>
                <w:sz w:val="20"/>
              </w:rPr>
              <w:t>active in Indonesia</w:t>
            </w:r>
          </w:p>
        </w:tc>
        <w:tc>
          <w:tcPr>
            <w:tcW w:w="0" w:type="auto"/>
            <w:shd w:val="clear" w:color="auto" w:fill="C1C7C6" w:themeFill="background2" w:themeFillShade="E6"/>
          </w:tcPr>
          <w:p w14:paraId="413F8B1C" w14:textId="77777777" w:rsidR="00280550" w:rsidRDefault="00280550" w:rsidP="00302D1E">
            <w:pPr>
              <w:spacing w:after="120"/>
              <w:rPr>
                <w:sz w:val="20"/>
              </w:rPr>
            </w:pPr>
            <w:r>
              <w:rPr>
                <w:sz w:val="20"/>
              </w:rPr>
              <w:lastRenderedPageBreak/>
              <w:t>Program evaluation of TVET models, including industry and participant feedback.</w:t>
            </w:r>
          </w:p>
          <w:p w14:paraId="3DC898B9" w14:textId="77777777" w:rsidR="00280550" w:rsidRPr="00A05A14" w:rsidRDefault="00280550" w:rsidP="00302D1E">
            <w:pPr>
              <w:spacing w:after="120"/>
              <w:rPr>
                <w:sz w:val="20"/>
              </w:rPr>
            </w:pPr>
            <w:r>
              <w:rPr>
                <w:sz w:val="20"/>
              </w:rPr>
              <w:lastRenderedPageBreak/>
              <w:t>Annual case study analysis of TVET models</w:t>
            </w:r>
          </w:p>
        </w:tc>
        <w:tc>
          <w:tcPr>
            <w:tcW w:w="0" w:type="auto"/>
            <w:shd w:val="clear" w:color="auto" w:fill="C1C7C6" w:themeFill="background2" w:themeFillShade="E6"/>
          </w:tcPr>
          <w:p w14:paraId="5397CC18" w14:textId="77777777" w:rsidR="00280550" w:rsidRDefault="00280550" w:rsidP="00302D1E">
            <w:pPr>
              <w:spacing w:after="120"/>
              <w:rPr>
                <w:sz w:val="20"/>
              </w:rPr>
            </w:pPr>
            <w:r>
              <w:rPr>
                <w:sz w:val="20"/>
              </w:rPr>
              <w:lastRenderedPageBreak/>
              <w:t>ECP in partnership with service providers</w:t>
            </w:r>
          </w:p>
          <w:p w14:paraId="017D9B3A" w14:textId="77777777" w:rsidR="00280550" w:rsidRPr="00A05A14" w:rsidRDefault="00280550" w:rsidP="00302D1E">
            <w:pPr>
              <w:spacing w:after="120"/>
              <w:rPr>
                <w:sz w:val="20"/>
              </w:rPr>
            </w:pPr>
            <w:r>
              <w:rPr>
                <w:sz w:val="20"/>
              </w:rPr>
              <w:lastRenderedPageBreak/>
              <w:t>PAIR in partnership with ECP</w:t>
            </w:r>
          </w:p>
        </w:tc>
        <w:tc>
          <w:tcPr>
            <w:tcW w:w="0" w:type="auto"/>
            <w:shd w:val="clear" w:color="auto" w:fill="C1C7C6" w:themeFill="background2" w:themeFillShade="E6"/>
          </w:tcPr>
          <w:p w14:paraId="4AB89FC4" w14:textId="6B97D7C5" w:rsidR="00280550" w:rsidRPr="00A05A14" w:rsidRDefault="00794A7F" w:rsidP="00302D1E">
            <w:pPr>
              <w:spacing w:after="120"/>
              <w:rPr>
                <w:sz w:val="20"/>
              </w:rPr>
            </w:pPr>
            <w:r>
              <w:rPr>
                <w:sz w:val="20"/>
              </w:rPr>
              <w:lastRenderedPageBreak/>
              <w:t>0</w:t>
            </w:r>
            <w:r w:rsidR="00280550">
              <w:rPr>
                <w:sz w:val="20"/>
              </w:rPr>
              <w:t xml:space="preserve"> models scaled up</w:t>
            </w:r>
          </w:p>
        </w:tc>
        <w:tc>
          <w:tcPr>
            <w:tcW w:w="0" w:type="auto"/>
            <w:shd w:val="clear" w:color="auto" w:fill="C1C7C6" w:themeFill="background2" w:themeFillShade="E6"/>
          </w:tcPr>
          <w:p w14:paraId="27D5F5AD" w14:textId="77777777" w:rsidR="00280550" w:rsidRPr="00A05A14" w:rsidRDefault="00280550" w:rsidP="00302D1E">
            <w:pPr>
              <w:spacing w:after="120"/>
              <w:rPr>
                <w:sz w:val="20"/>
              </w:rPr>
            </w:pPr>
            <w:r>
              <w:rPr>
                <w:sz w:val="20"/>
              </w:rPr>
              <w:t>2 successful models scaled up in a partnership between Indonesia and Australia in the TVET sector.</w:t>
            </w:r>
          </w:p>
        </w:tc>
      </w:tr>
      <w:tr w:rsidR="000D73AB" w:rsidRPr="00A05A14" w14:paraId="347C659D" w14:textId="77777777" w:rsidTr="00D81CF1">
        <w:trPr>
          <w:trHeight w:val="783"/>
        </w:trPr>
        <w:tc>
          <w:tcPr>
            <w:tcW w:w="0" w:type="auto"/>
            <w:shd w:val="clear" w:color="auto" w:fill="FFFFFF" w:themeFill="background1"/>
          </w:tcPr>
          <w:p w14:paraId="3F773405" w14:textId="77777777" w:rsidR="00280550" w:rsidRPr="00673B8A" w:rsidRDefault="00280550" w:rsidP="00302D1E">
            <w:pPr>
              <w:rPr>
                <w:b/>
                <w:bCs/>
              </w:rPr>
            </w:pPr>
            <w:r w:rsidRPr="00673B8A">
              <w:rPr>
                <w:b/>
                <w:bCs/>
              </w:rPr>
              <w:t>Intermediate outcomes</w:t>
            </w:r>
          </w:p>
        </w:tc>
        <w:tc>
          <w:tcPr>
            <w:tcW w:w="2234" w:type="dxa"/>
            <w:shd w:val="clear" w:color="auto" w:fill="FFFFFF" w:themeFill="background1"/>
          </w:tcPr>
          <w:p w14:paraId="5B1367DA" w14:textId="765AA2C3" w:rsidR="00280550" w:rsidRPr="002B5E50" w:rsidRDefault="00280550" w:rsidP="00302D1E">
            <w:pPr>
              <w:spacing w:after="120"/>
              <w:rPr>
                <w:rFonts w:eastAsia="Calibri"/>
                <w:b/>
                <w:sz w:val="20"/>
                <w:szCs w:val="20"/>
              </w:rPr>
            </w:pPr>
            <w:r>
              <w:rPr>
                <w:rFonts w:eastAsia="Calibri"/>
                <w:b/>
                <w:sz w:val="20"/>
                <w:szCs w:val="20"/>
              </w:rPr>
              <w:t xml:space="preserve">3.1 </w:t>
            </w:r>
            <w:r w:rsidRPr="002B5E50">
              <w:rPr>
                <w:rFonts w:eastAsia="Calibri"/>
                <w:b/>
                <w:sz w:val="20"/>
                <w:szCs w:val="20"/>
              </w:rPr>
              <w:t xml:space="preserve">Improved systems </w:t>
            </w:r>
            <w:r w:rsidR="00A87681">
              <w:rPr>
                <w:rFonts w:eastAsia="Calibri"/>
                <w:b/>
                <w:sz w:val="20"/>
                <w:szCs w:val="20"/>
              </w:rPr>
              <w:t xml:space="preserve">and inclusive policies for </w:t>
            </w:r>
            <w:r w:rsidRPr="002B5E50">
              <w:rPr>
                <w:rFonts w:eastAsia="Calibri"/>
                <w:b/>
                <w:sz w:val="20"/>
                <w:szCs w:val="20"/>
              </w:rPr>
              <w:t>developing</w:t>
            </w:r>
            <w:r w:rsidR="00A87681">
              <w:rPr>
                <w:rFonts w:eastAsia="Calibri"/>
                <w:b/>
                <w:sz w:val="20"/>
                <w:szCs w:val="20"/>
              </w:rPr>
              <w:t xml:space="preserve"> and identifying</w:t>
            </w:r>
            <w:r w:rsidRPr="002B5E50">
              <w:rPr>
                <w:rFonts w:eastAsia="Calibri"/>
                <w:b/>
                <w:sz w:val="20"/>
                <w:szCs w:val="20"/>
              </w:rPr>
              <w:t xml:space="preserve"> labour market skills</w:t>
            </w:r>
            <w:r w:rsidR="00A87681">
              <w:rPr>
                <w:rFonts w:eastAsia="Calibri"/>
                <w:b/>
                <w:sz w:val="20"/>
                <w:szCs w:val="20"/>
              </w:rPr>
              <w:t xml:space="preserve"> and requirements</w:t>
            </w:r>
          </w:p>
        </w:tc>
        <w:tc>
          <w:tcPr>
            <w:tcW w:w="2707" w:type="dxa"/>
            <w:shd w:val="clear" w:color="auto" w:fill="FFFFFF" w:themeFill="background1"/>
          </w:tcPr>
          <w:p w14:paraId="1283ED57" w14:textId="77777777" w:rsidR="00280550" w:rsidRPr="004D030A" w:rsidRDefault="00280550" w:rsidP="009D3124">
            <w:pPr>
              <w:pStyle w:val="ListParagraph"/>
              <w:numPr>
                <w:ilvl w:val="0"/>
                <w:numId w:val="45"/>
              </w:numPr>
              <w:spacing w:after="120"/>
              <w:rPr>
                <w:sz w:val="20"/>
              </w:rPr>
            </w:pPr>
            <w:r w:rsidRPr="004D030A">
              <w:rPr>
                <w:sz w:val="20"/>
              </w:rPr>
              <w:t>Number of policies and strategies developed through pilot models adopted by Indonesia to improve its TVET system</w:t>
            </w:r>
          </w:p>
          <w:p w14:paraId="6A34DF98" w14:textId="77777777" w:rsidR="00280550" w:rsidRPr="004D030A" w:rsidRDefault="00280550" w:rsidP="009D3124">
            <w:pPr>
              <w:pStyle w:val="ListParagraph"/>
              <w:numPr>
                <w:ilvl w:val="0"/>
                <w:numId w:val="45"/>
              </w:numPr>
              <w:spacing w:after="120"/>
              <w:rPr>
                <w:sz w:val="20"/>
              </w:rPr>
            </w:pPr>
            <w:r w:rsidRPr="004D030A">
              <w:rPr>
                <w:sz w:val="20"/>
              </w:rPr>
              <w:t>Number and quality of curriculum improvements</w:t>
            </w:r>
          </w:p>
          <w:p w14:paraId="0972C4E1" w14:textId="77777777" w:rsidR="00280550" w:rsidRPr="004D030A" w:rsidRDefault="00280550" w:rsidP="009D3124">
            <w:pPr>
              <w:pStyle w:val="ListParagraph"/>
              <w:numPr>
                <w:ilvl w:val="0"/>
                <w:numId w:val="45"/>
              </w:numPr>
              <w:spacing w:after="120"/>
              <w:rPr>
                <w:sz w:val="20"/>
              </w:rPr>
            </w:pPr>
            <w:r w:rsidRPr="004D030A">
              <w:rPr>
                <w:sz w:val="20"/>
              </w:rPr>
              <w:t>Level of foreign investment in Indonesian TVET sector</w:t>
            </w:r>
          </w:p>
          <w:p w14:paraId="41A1AD1D" w14:textId="775D954E" w:rsidR="00794A7F" w:rsidRDefault="00794A7F" w:rsidP="009D3124">
            <w:pPr>
              <w:pStyle w:val="ListParagraph"/>
              <w:numPr>
                <w:ilvl w:val="0"/>
                <w:numId w:val="45"/>
              </w:numPr>
              <w:spacing w:after="120"/>
              <w:rPr>
                <w:sz w:val="20"/>
              </w:rPr>
            </w:pPr>
            <w:r>
              <w:rPr>
                <w:sz w:val="20"/>
              </w:rPr>
              <w:t>Percentage</w:t>
            </w:r>
            <w:r w:rsidR="00280550" w:rsidRPr="004D030A">
              <w:rPr>
                <w:sz w:val="20"/>
              </w:rPr>
              <w:t xml:space="preserve"> of women entering TVET courses</w:t>
            </w:r>
          </w:p>
          <w:p w14:paraId="12F7AC7B" w14:textId="0B1B3990" w:rsidR="00280550" w:rsidRPr="004D030A" w:rsidRDefault="005E7B57" w:rsidP="009D3124">
            <w:pPr>
              <w:pStyle w:val="ListParagraph"/>
              <w:numPr>
                <w:ilvl w:val="0"/>
                <w:numId w:val="45"/>
              </w:numPr>
              <w:spacing w:after="120"/>
              <w:rPr>
                <w:sz w:val="20"/>
              </w:rPr>
            </w:pPr>
            <w:r>
              <w:rPr>
                <w:sz w:val="20"/>
              </w:rPr>
              <w:t>Percentage of women and people with disability entering the labour force</w:t>
            </w:r>
            <w:r w:rsidRPr="004D030A">
              <w:rPr>
                <w:sz w:val="20"/>
              </w:rPr>
              <w:t xml:space="preserve"> </w:t>
            </w:r>
            <w:r>
              <w:rPr>
                <w:sz w:val="20"/>
              </w:rPr>
              <w:t>by sector as a result of TVET courses</w:t>
            </w:r>
          </w:p>
        </w:tc>
        <w:tc>
          <w:tcPr>
            <w:tcW w:w="0" w:type="auto"/>
            <w:shd w:val="clear" w:color="auto" w:fill="FFFFFF" w:themeFill="background1"/>
          </w:tcPr>
          <w:p w14:paraId="42A09BC3" w14:textId="77777777" w:rsidR="00280550" w:rsidRDefault="00280550" w:rsidP="00302D1E">
            <w:pPr>
              <w:spacing w:after="120"/>
              <w:rPr>
                <w:sz w:val="20"/>
              </w:rPr>
            </w:pPr>
            <w:r>
              <w:rPr>
                <w:sz w:val="20"/>
              </w:rPr>
              <w:t>Annual evaluations of TVET models being implemented and tested</w:t>
            </w:r>
          </w:p>
          <w:p w14:paraId="268460B5" w14:textId="77777777" w:rsidR="00280550" w:rsidRDefault="00280550" w:rsidP="00302D1E">
            <w:pPr>
              <w:spacing w:after="120"/>
              <w:rPr>
                <w:sz w:val="20"/>
              </w:rPr>
            </w:pPr>
            <w:r>
              <w:rPr>
                <w:sz w:val="20"/>
              </w:rPr>
              <w:t>BPS – annual statistics on investment in TVET sector</w:t>
            </w:r>
          </w:p>
          <w:p w14:paraId="3F7EC390" w14:textId="77777777" w:rsidR="00280550" w:rsidRDefault="00280550" w:rsidP="00302D1E">
            <w:pPr>
              <w:spacing w:after="120"/>
              <w:rPr>
                <w:sz w:val="20"/>
              </w:rPr>
            </w:pPr>
            <w:r>
              <w:rPr>
                <w:sz w:val="20"/>
              </w:rPr>
              <w:t>Annual statistics on female enrolments in targeted sectors</w:t>
            </w:r>
          </w:p>
          <w:p w14:paraId="451ED519" w14:textId="77777777" w:rsidR="00280550" w:rsidRDefault="00280550" w:rsidP="00302D1E">
            <w:pPr>
              <w:spacing w:after="120"/>
              <w:rPr>
                <w:sz w:val="20"/>
              </w:rPr>
            </w:pPr>
            <w:r>
              <w:rPr>
                <w:sz w:val="20"/>
              </w:rPr>
              <w:t xml:space="preserve">KPI reporting from relevant line ministries to </w:t>
            </w:r>
            <w:proofErr w:type="spellStart"/>
            <w:r>
              <w:rPr>
                <w:sz w:val="20"/>
              </w:rPr>
              <w:t>Bappenas</w:t>
            </w:r>
            <w:proofErr w:type="spellEnd"/>
          </w:p>
          <w:p w14:paraId="6B0AE6DD" w14:textId="77777777" w:rsidR="00794A7F" w:rsidRDefault="00794A7F" w:rsidP="00302D1E">
            <w:pPr>
              <w:spacing w:after="120"/>
              <w:rPr>
                <w:sz w:val="20"/>
              </w:rPr>
            </w:pPr>
            <w:r>
              <w:rPr>
                <w:sz w:val="20"/>
              </w:rPr>
              <w:t>Case studies</w:t>
            </w:r>
          </w:p>
          <w:p w14:paraId="7D2153E9" w14:textId="00AF5939" w:rsidR="00794A7F" w:rsidRPr="00A05A14" w:rsidRDefault="00794A7F" w:rsidP="00302D1E">
            <w:pPr>
              <w:spacing w:after="120"/>
              <w:rPr>
                <w:sz w:val="20"/>
              </w:rPr>
            </w:pPr>
            <w:r>
              <w:rPr>
                <w:sz w:val="20"/>
              </w:rPr>
              <w:t>Work placement surveys</w:t>
            </w:r>
          </w:p>
        </w:tc>
        <w:tc>
          <w:tcPr>
            <w:tcW w:w="0" w:type="auto"/>
            <w:shd w:val="clear" w:color="auto" w:fill="FFFFFF" w:themeFill="background1"/>
          </w:tcPr>
          <w:p w14:paraId="029D015E" w14:textId="77777777" w:rsidR="00280550" w:rsidRDefault="00280550" w:rsidP="00302D1E">
            <w:pPr>
              <w:spacing w:after="120"/>
              <w:rPr>
                <w:sz w:val="20"/>
              </w:rPr>
            </w:pPr>
            <w:r>
              <w:rPr>
                <w:sz w:val="20"/>
              </w:rPr>
              <w:t>TVET institutions in partnership with ECP</w:t>
            </w:r>
          </w:p>
          <w:p w14:paraId="5C4A2007" w14:textId="77777777" w:rsidR="00280550" w:rsidRPr="00A05A14" w:rsidRDefault="00280550" w:rsidP="00302D1E">
            <w:pPr>
              <w:spacing w:after="120"/>
              <w:rPr>
                <w:sz w:val="20"/>
              </w:rPr>
            </w:pPr>
            <w:proofErr w:type="spellStart"/>
            <w:r>
              <w:rPr>
                <w:sz w:val="20"/>
              </w:rPr>
              <w:t>Bappenas</w:t>
            </w:r>
            <w:proofErr w:type="spellEnd"/>
            <w:r>
              <w:rPr>
                <w:sz w:val="20"/>
              </w:rPr>
              <w:t xml:space="preserve"> with support from ECP</w:t>
            </w:r>
          </w:p>
        </w:tc>
        <w:tc>
          <w:tcPr>
            <w:tcW w:w="0" w:type="auto"/>
            <w:shd w:val="clear" w:color="auto" w:fill="FFFFFF" w:themeFill="background1"/>
          </w:tcPr>
          <w:p w14:paraId="22BBA52F" w14:textId="77777777" w:rsidR="00280550" w:rsidRPr="00A05A14" w:rsidRDefault="00280550" w:rsidP="00302D1E">
            <w:pPr>
              <w:spacing w:after="120"/>
              <w:rPr>
                <w:sz w:val="20"/>
              </w:rPr>
            </w:pPr>
            <w:r>
              <w:rPr>
                <w:sz w:val="20"/>
              </w:rPr>
              <w:t xml:space="preserve">2020 TVET statistics on enrolments </w:t>
            </w:r>
          </w:p>
        </w:tc>
        <w:tc>
          <w:tcPr>
            <w:tcW w:w="0" w:type="auto"/>
            <w:shd w:val="clear" w:color="auto" w:fill="FFFFFF" w:themeFill="background1"/>
          </w:tcPr>
          <w:p w14:paraId="13BCB120" w14:textId="77777777" w:rsidR="00280550" w:rsidRDefault="00280550" w:rsidP="00302D1E">
            <w:pPr>
              <w:spacing w:after="120"/>
              <w:rPr>
                <w:sz w:val="20"/>
              </w:rPr>
            </w:pPr>
            <w:r>
              <w:rPr>
                <w:sz w:val="20"/>
              </w:rPr>
              <w:t>2 new pilot models tested and used to inform government strategies</w:t>
            </w:r>
          </w:p>
          <w:p w14:paraId="48E3E32E" w14:textId="61FE7E6D" w:rsidR="00280550" w:rsidRDefault="00280550" w:rsidP="00302D1E">
            <w:pPr>
              <w:spacing w:after="120"/>
              <w:rPr>
                <w:sz w:val="20"/>
              </w:rPr>
            </w:pPr>
            <w:r>
              <w:rPr>
                <w:sz w:val="20"/>
              </w:rPr>
              <w:t>10% increase in female participation in TVET in targeted sectors</w:t>
            </w:r>
          </w:p>
          <w:p w14:paraId="2F4B9054" w14:textId="05D2893B" w:rsidR="005E7B57" w:rsidRDefault="005E7B57" w:rsidP="005E7B57">
            <w:pPr>
              <w:spacing w:after="120"/>
              <w:rPr>
                <w:sz w:val="20"/>
              </w:rPr>
            </w:pPr>
            <w:r>
              <w:rPr>
                <w:sz w:val="20"/>
              </w:rPr>
              <w:t xml:space="preserve">10% increase in labour force participation </w:t>
            </w:r>
            <w:r w:rsidR="000D73AB">
              <w:rPr>
                <w:sz w:val="20"/>
              </w:rPr>
              <w:t xml:space="preserve">in targeted sectors </w:t>
            </w:r>
            <w:r>
              <w:rPr>
                <w:sz w:val="20"/>
              </w:rPr>
              <w:t>from improved TVET courses, including women and people living with disability</w:t>
            </w:r>
          </w:p>
          <w:p w14:paraId="698F2B48" w14:textId="77777777" w:rsidR="00280550" w:rsidRPr="00A05A14" w:rsidRDefault="00280550" w:rsidP="00302D1E">
            <w:pPr>
              <w:spacing w:after="120"/>
              <w:rPr>
                <w:sz w:val="20"/>
              </w:rPr>
            </w:pPr>
            <w:r>
              <w:rPr>
                <w:sz w:val="20"/>
              </w:rPr>
              <w:t>Level of foreign investment TBD</w:t>
            </w:r>
          </w:p>
        </w:tc>
      </w:tr>
    </w:tbl>
    <w:p w14:paraId="23530690" w14:textId="77777777" w:rsidR="00280550" w:rsidRPr="000B55E8" w:rsidRDefault="00280550" w:rsidP="00280550">
      <w:pPr>
        <w:rPr>
          <w:sz w:val="21"/>
          <w:szCs w:val="21"/>
        </w:rPr>
      </w:pPr>
      <w:r w:rsidRPr="000B55E8">
        <w:rPr>
          <w:sz w:val="21"/>
          <w:szCs w:val="21"/>
        </w:rPr>
        <w:t>Notes:</w:t>
      </w:r>
    </w:p>
    <w:p w14:paraId="432F8393" w14:textId="19919B8B" w:rsidR="00280550" w:rsidRPr="000B55E8" w:rsidRDefault="00280550" w:rsidP="009D3124">
      <w:pPr>
        <w:pStyle w:val="ListParagraph"/>
        <w:numPr>
          <w:ilvl w:val="0"/>
          <w:numId w:val="42"/>
        </w:numPr>
        <w:rPr>
          <w:sz w:val="21"/>
          <w:szCs w:val="21"/>
        </w:rPr>
      </w:pPr>
      <w:r w:rsidRPr="000B55E8">
        <w:rPr>
          <w:sz w:val="21"/>
          <w:szCs w:val="21"/>
        </w:rPr>
        <w:t xml:space="preserve">Outputs, activities and inputs are not shown in the </w:t>
      </w:r>
      <w:r w:rsidR="000356EC" w:rsidRPr="000B55E8">
        <w:rPr>
          <w:sz w:val="21"/>
          <w:szCs w:val="21"/>
        </w:rPr>
        <w:t>MEL</w:t>
      </w:r>
      <w:r w:rsidRPr="000B55E8">
        <w:rPr>
          <w:sz w:val="21"/>
          <w:szCs w:val="21"/>
        </w:rPr>
        <w:t xml:space="preserve"> framework. These will be determined during annual planning processes.</w:t>
      </w:r>
    </w:p>
    <w:p w14:paraId="10D78043" w14:textId="77777777" w:rsidR="00280550" w:rsidRPr="000B55E8" w:rsidRDefault="00280550" w:rsidP="009D3124">
      <w:pPr>
        <w:pStyle w:val="ListParagraph"/>
        <w:numPr>
          <w:ilvl w:val="0"/>
          <w:numId w:val="42"/>
        </w:numPr>
        <w:rPr>
          <w:sz w:val="21"/>
          <w:szCs w:val="21"/>
        </w:rPr>
      </w:pPr>
      <w:r w:rsidRPr="000B55E8">
        <w:rPr>
          <w:sz w:val="21"/>
          <w:szCs w:val="21"/>
        </w:rPr>
        <w:lastRenderedPageBreak/>
        <w:t>Outputs are monitored and evaluated according to the terms of reference (specifications) of each activity investment. Outputs will be specified in each annual plan and tracked based on expenditure, performance and quality of products and services.</w:t>
      </w:r>
    </w:p>
    <w:p w14:paraId="3660465C" w14:textId="77777777" w:rsidR="00280550" w:rsidRPr="000B55E8" w:rsidRDefault="00280550" w:rsidP="009D3124">
      <w:pPr>
        <w:pStyle w:val="ListParagraph"/>
        <w:numPr>
          <w:ilvl w:val="0"/>
          <w:numId w:val="42"/>
        </w:numPr>
        <w:rPr>
          <w:sz w:val="21"/>
          <w:szCs w:val="21"/>
        </w:rPr>
      </w:pPr>
      <w:r w:rsidRPr="000B55E8">
        <w:rPr>
          <w:sz w:val="21"/>
          <w:szCs w:val="21"/>
        </w:rPr>
        <w:t>Inputs and activities are monitored as part of the operational monitoring system and corresponding indicators. Efficiency is measured according to the resources used to produce outputs. Effectiveness is measured as the ratio of inputs used to produce effective immediate and intermediate outcomes.</w:t>
      </w:r>
      <w:bookmarkEnd w:id="3"/>
    </w:p>
    <w:p w14:paraId="29916ECA" w14:textId="0CDD353F" w:rsidR="002D3BDC" w:rsidRPr="00B82A5E" w:rsidRDefault="002D3BDC" w:rsidP="00F22CD9">
      <w:pPr>
        <w:pStyle w:val="Heading1"/>
        <w:pBdr>
          <w:bottom w:val="single" w:sz="4" w:space="1" w:color="auto"/>
        </w:pBdr>
        <w:rPr>
          <w:rFonts w:asciiTheme="minorHAnsi" w:eastAsiaTheme="minorHAnsi" w:hAnsiTheme="minorHAnsi" w:cstheme="minorBidi"/>
          <w:b w:val="0"/>
          <w:bCs w:val="0"/>
          <w:caps w:val="0"/>
          <w:sz w:val="22"/>
          <w:szCs w:val="22"/>
        </w:rPr>
        <w:sectPr w:rsidR="002D3BDC" w:rsidRPr="00B82A5E" w:rsidSect="006466E1">
          <w:pgSz w:w="16838" w:h="11906" w:orient="landscape" w:code="9"/>
          <w:pgMar w:top="1134" w:right="1701" w:bottom="1134" w:left="1418" w:header="425" w:footer="493" w:gutter="0"/>
          <w:cols w:space="397"/>
          <w:titlePg/>
          <w:docGrid w:linePitch="360"/>
        </w:sectPr>
      </w:pPr>
    </w:p>
    <w:p w14:paraId="35EADBAC" w14:textId="2A0595F2" w:rsidR="006466E1" w:rsidRPr="006129FE" w:rsidRDefault="009A4CAC" w:rsidP="00002F36">
      <w:pPr>
        <w:pStyle w:val="Heading3"/>
        <w:spacing w:before="0"/>
        <w:rPr>
          <w:rFonts w:asciiTheme="minorHAnsi" w:hAnsiTheme="minorHAnsi" w:cstheme="minorHAnsi"/>
          <w:sz w:val="38"/>
          <w:szCs w:val="38"/>
        </w:rPr>
      </w:pPr>
      <w:r>
        <w:rPr>
          <w:rFonts w:asciiTheme="minorHAnsi" w:hAnsiTheme="minorHAnsi" w:cstheme="minorHAnsi"/>
          <w:sz w:val="38"/>
          <w:szCs w:val="38"/>
        </w:rPr>
        <w:lastRenderedPageBreak/>
        <w:t>A</w:t>
      </w:r>
      <w:r w:rsidR="006466E1" w:rsidRPr="006129FE">
        <w:rPr>
          <w:rFonts w:asciiTheme="minorHAnsi" w:hAnsiTheme="minorHAnsi" w:cstheme="minorHAnsi"/>
          <w:sz w:val="38"/>
          <w:szCs w:val="38"/>
        </w:rPr>
        <w:t>NNEX</w:t>
      </w:r>
      <w:r>
        <w:rPr>
          <w:rFonts w:asciiTheme="minorHAnsi" w:hAnsiTheme="minorHAnsi" w:cstheme="minorHAnsi"/>
          <w:sz w:val="38"/>
          <w:szCs w:val="38"/>
        </w:rPr>
        <w:t xml:space="preserve"> 4</w:t>
      </w:r>
      <w:r w:rsidR="006466E1" w:rsidRPr="006129FE">
        <w:rPr>
          <w:rFonts w:asciiTheme="minorHAnsi" w:hAnsiTheme="minorHAnsi" w:cstheme="minorHAnsi"/>
          <w:sz w:val="38"/>
          <w:szCs w:val="38"/>
        </w:rPr>
        <w:t xml:space="preserve">. OPPORTUNITIES TO COLLABORATE WITH EXISTING DFAT FACILITIES &amp; PROGRAMS </w:t>
      </w:r>
    </w:p>
    <w:p w14:paraId="78D15F7A" w14:textId="0C1FAE13" w:rsidR="00554AFD" w:rsidRDefault="00554AFD" w:rsidP="00554AFD">
      <w:pPr>
        <w:spacing w:after="0"/>
        <w:jc w:val="both"/>
        <w:rPr>
          <w:rFonts w:eastAsia="Calibri" w:cs="Calibri"/>
          <w:bCs/>
          <w:sz w:val="21"/>
          <w:szCs w:val="21"/>
        </w:rPr>
      </w:pPr>
      <w:r w:rsidRPr="00554AFD">
        <w:rPr>
          <w:rFonts w:eastAsia="Calibri" w:cs="Calibri"/>
          <w:bCs/>
          <w:sz w:val="21"/>
          <w:szCs w:val="21"/>
        </w:rPr>
        <w:t>There are multiple organisations and existing programs where collaborations with the ECP could enable and accelerate achievement of the outcomes envisaged though the IA-CEPA, for the mutual benefit of Australia and Indonesia. Organisations and programs that have already been identified as potential collaborators are outline</w:t>
      </w:r>
      <w:r w:rsidR="00302D1E">
        <w:rPr>
          <w:rFonts w:eastAsia="Calibri" w:cs="Calibri"/>
          <w:bCs/>
          <w:sz w:val="21"/>
          <w:szCs w:val="21"/>
        </w:rPr>
        <w:t>d</w:t>
      </w:r>
      <w:r w:rsidRPr="00554AFD">
        <w:rPr>
          <w:rFonts w:eastAsia="Calibri" w:cs="Calibri"/>
          <w:bCs/>
          <w:sz w:val="21"/>
          <w:szCs w:val="21"/>
        </w:rPr>
        <w:t xml:space="preserve"> below. It is not an exhaustive list and does not limit the involvement of other organisations and programs where there is a need and a compelling case.</w:t>
      </w:r>
    </w:p>
    <w:p w14:paraId="52DA2BB5" w14:textId="33563803" w:rsidR="000C4676" w:rsidRPr="00554AFD" w:rsidRDefault="000C4676" w:rsidP="00554AFD">
      <w:pPr>
        <w:spacing w:after="0"/>
        <w:jc w:val="both"/>
        <w:rPr>
          <w:rFonts w:eastAsia="Calibri" w:cs="Calibri"/>
          <w:bCs/>
          <w:sz w:val="21"/>
          <w:szCs w:val="21"/>
        </w:rPr>
      </w:pPr>
      <w:r>
        <w:rPr>
          <w:rFonts w:eastAsia="Calibri" w:cs="Calibri"/>
          <w:bCs/>
          <w:sz w:val="21"/>
          <w:szCs w:val="21"/>
        </w:rPr>
        <w:t xml:space="preserve">Further details on a specific activity basis are set out in the detailed activity descriptions </w:t>
      </w:r>
      <w:r w:rsidR="00F5504F">
        <w:rPr>
          <w:rFonts w:eastAsia="Calibri" w:cs="Calibri"/>
          <w:bCs/>
          <w:sz w:val="21"/>
          <w:szCs w:val="21"/>
        </w:rPr>
        <w:t xml:space="preserve">in </w:t>
      </w:r>
      <w:r w:rsidRPr="00F5504F">
        <w:rPr>
          <w:rFonts w:eastAsia="Calibri" w:cs="Calibri"/>
          <w:bCs/>
          <w:sz w:val="21"/>
          <w:szCs w:val="21"/>
          <w:u w:val="single"/>
        </w:rPr>
        <w:t xml:space="preserve">Annex </w:t>
      </w:r>
      <w:r w:rsidR="00622562">
        <w:rPr>
          <w:rFonts w:eastAsia="Calibri" w:cs="Calibri"/>
          <w:bCs/>
          <w:sz w:val="21"/>
          <w:szCs w:val="21"/>
          <w:u w:val="single"/>
        </w:rPr>
        <w:t>6</w:t>
      </w:r>
      <w:r>
        <w:rPr>
          <w:rFonts w:eastAsia="Calibri" w:cs="Calibri"/>
          <w:bCs/>
          <w:sz w:val="21"/>
          <w:szCs w:val="21"/>
        </w:rPr>
        <w:t xml:space="preserve">. </w:t>
      </w:r>
    </w:p>
    <w:p w14:paraId="1348CB87" w14:textId="77777777" w:rsidR="00554AFD" w:rsidRPr="00554AFD" w:rsidRDefault="00554AFD" w:rsidP="00B56BFC">
      <w:pPr>
        <w:spacing w:before="240" w:after="0"/>
        <w:jc w:val="both"/>
        <w:rPr>
          <w:rFonts w:eastAsia="Calibri" w:cs="Calibri"/>
          <w:b/>
          <w:sz w:val="21"/>
          <w:szCs w:val="21"/>
        </w:rPr>
      </w:pPr>
      <w:r w:rsidRPr="00554AFD">
        <w:rPr>
          <w:rFonts w:eastAsia="Calibri Light" w:cs="Calibri"/>
          <w:b/>
          <w:sz w:val="21"/>
          <w:szCs w:val="21"/>
        </w:rPr>
        <w:t>PROSPERA</w:t>
      </w:r>
    </w:p>
    <w:p w14:paraId="6AB4A56D" w14:textId="62C1BD0F" w:rsidR="00554AFD" w:rsidRPr="00554AFD" w:rsidRDefault="00FC4538" w:rsidP="00554AFD">
      <w:pPr>
        <w:spacing w:after="0"/>
        <w:jc w:val="both"/>
        <w:rPr>
          <w:rFonts w:eastAsia="Calibri" w:cs="Calibri"/>
          <w:sz w:val="21"/>
          <w:szCs w:val="21"/>
        </w:rPr>
      </w:pPr>
      <w:r>
        <w:rPr>
          <w:rFonts w:eastAsia="Calibri Light" w:cs="Calibri"/>
          <w:sz w:val="21"/>
          <w:szCs w:val="21"/>
        </w:rPr>
        <w:t>PROS</w:t>
      </w:r>
      <w:r w:rsidR="00680EAE">
        <w:rPr>
          <w:rFonts w:eastAsia="Calibri Light" w:cs="Calibri"/>
          <w:sz w:val="21"/>
          <w:szCs w:val="21"/>
        </w:rPr>
        <w:t>P</w:t>
      </w:r>
      <w:r>
        <w:rPr>
          <w:rFonts w:eastAsia="Calibri Light" w:cs="Calibri"/>
          <w:sz w:val="21"/>
          <w:szCs w:val="21"/>
        </w:rPr>
        <w:t>ERA</w:t>
      </w:r>
      <w:r w:rsidRPr="00554AFD">
        <w:rPr>
          <w:rFonts w:eastAsia="Calibri" w:cs="Calibri"/>
          <w:sz w:val="21"/>
          <w:szCs w:val="21"/>
        </w:rPr>
        <w:t xml:space="preserve"> </w:t>
      </w:r>
      <w:r w:rsidR="00554AFD" w:rsidRPr="00554AFD">
        <w:rPr>
          <w:rFonts w:eastAsia="Calibri" w:cs="Calibri"/>
          <w:sz w:val="21"/>
          <w:szCs w:val="21"/>
        </w:rPr>
        <w:t xml:space="preserve">is a partnership facility between the Government of Australia and the Government of Indonesia. It aims to foster strong, sustainable and inclusive economic growth in Indonesia. Commencing from 1 March 2018, </w:t>
      </w:r>
      <w:r>
        <w:rPr>
          <w:rFonts w:eastAsia="Calibri Light" w:cs="Calibri"/>
          <w:sz w:val="21"/>
          <w:szCs w:val="21"/>
        </w:rPr>
        <w:t>PROSPERA</w:t>
      </w:r>
      <w:r w:rsidRPr="00554AFD">
        <w:rPr>
          <w:rFonts w:eastAsia="Calibri" w:cs="Calibri"/>
          <w:sz w:val="21"/>
          <w:szCs w:val="21"/>
        </w:rPr>
        <w:t xml:space="preserve"> </w:t>
      </w:r>
      <w:r w:rsidR="00554AFD" w:rsidRPr="00554AFD">
        <w:rPr>
          <w:rFonts w:eastAsia="Calibri" w:cs="Calibri"/>
          <w:sz w:val="21"/>
          <w:szCs w:val="21"/>
        </w:rPr>
        <w:t>is a planned five-year investment</w:t>
      </w:r>
      <w:r>
        <w:rPr>
          <w:rFonts w:eastAsia="Calibri" w:cs="Calibri"/>
          <w:sz w:val="21"/>
          <w:szCs w:val="21"/>
        </w:rPr>
        <w:t xml:space="preserve"> (with an option to extend for a further three years)</w:t>
      </w:r>
      <w:r w:rsidR="00554AFD" w:rsidRPr="00554AFD">
        <w:rPr>
          <w:rFonts w:eastAsia="Calibri" w:cs="Calibri"/>
          <w:sz w:val="21"/>
          <w:szCs w:val="21"/>
        </w:rPr>
        <w:t xml:space="preserve"> that draws together the former Government Partnership Fund (GPF) and Australia Indonesia Partnership for Economic Governance (AIPEG). </w:t>
      </w:r>
      <w:r>
        <w:rPr>
          <w:rFonts w:eastAsia="Calibri Light" w:cs="Calibri"/>
          <w:sz w:val="21"/>
          <w:szCs w:val="21"/>
        </w:rPr>
        <w:t>PROSPERA</w:t>
      </w:r>
      <w:r w:rsidRPr="00554AFD">
        <w:rPr>
          <w:rFonts w:eastAsia="Calibri" w:cs="Calibri"/>
          <w:sz w:val="21"/>
          <w:szCs w:val="21"/>
        </w:rPr>
        <w:t xml:space="preserve"> </w:t>
      </w:r>
      <w:r w:rsidR="00554AFD" w:rsidRPr="00554AFD">
        <w:rPr>
          <w:rFonts w:eastAsia="Calibri" w:cs="Calibri"/>
          <w:sz w:val="21"/>
          <w:szCs w:val="21"/>
        </w:rPr>
        <w:t xml:space="preserve">will be responsive to the needs of a wide range of agencies in the Indonesian </w:t>
      </w:r>
      <w:r w:rsidR="003E61FA">
        <w:rPr>
          <w:rFonts w:eastAsia="Calibri" w:cs="Calibri"/>
          <w:sz w:val="21"/>
          <w:szCs w:val="21"/>
        </w:rPr>
        <w:t>G</w:t>
      </w:r>
      <w:r w:rsidR="00554AFD" w:rsidRPr="00554AFD">
        <w:rPr>
          <w:rFonts w:eastAsia="Calibri" w:cs="Calibri"/>
          <w:sz w:val="21"/>
          <w:szCs w:val="21"/>
        </w:rPr>
        <w:t xml:space="preserve">overnment, covering six Engagement Areas: </w:t>
      </w:r>
    </w:p>
    <w:p w14:paraId="2F3B26F5" w14:textId="3D7EC4FC" w:rsidR="00554AFD" w:rsidRPr="00554AFD" w:rsidRDefault="00FC4538" w:rsidP="00280550">
      <w:pPr>
        <w:numPr>
          <w:ilvl w:val="0"/>
          <w:numId w:val="20"/>
        </w:numPr>
        <w:spacing w:before="0" w:after="0" w:line="276" w:lineRule="auto"/>
        <w:ind w:left="1077"/>
        <w:jc w:val="both"/>
        <w:rPr>
          <w:rFonts w:eastAsia="Calibri" w:cs="Calibri"/>
          <w:sz w:val="21"/>
          <w:szCs w:val="21"/>
        </w:rPr>
      </w:pPr>
      <w:r>
        <w:rPr>
          <w:rFonts w:eastAsia="Calibri" w:cs="Calibri"/>
          <w:iCs/>
          <w:sz w:val="21"/>
          <w:szCs w:val="21"/>
        </w:rPr>
        <w:t>M</w:t>
      </w:r>
      <w:r w:rsidRPr="00554AFD">
        <w:rPr>
          <w:rFonts w:eastAsia="Calibri" w:cs="Calibri"/>
          <w:iCs/>
          <w:sz w:val="21"/>
          <w:szCs w:val="21"/>
        </w:rPr>
        <w:t xml:space="preserve">arkets </w:t>
      </w:r>
      <w:r>
        <w:rPr>
          <w:rFonts w:eastAsia="Calibri" w:cs="Calibri"/>
          <w:iCs/>
          <w:sz w:val="21"/>
          <w:szCs w:val="21"/>
        </w:rPr>
        <w:t>—</w:t>
      </w:r>
      <w:r w:rsidRPr="00554AFD">
        <w:rPr>
          <w:rFonts w:eastAsia="Calibri" w:cs="Calibri"/>
          <w:iCs/>
          <w:sz w:val="21"/>
          <w:szCs w:val="21"/>
        </w:rPr>
        <w:t xml:space="preserve"> </w:t>
      </w:r>
      <w:r w:rsidR="00554AFD" w:rsidRPr="00554AFD">
        <w:rPr>
          <w:rFonts w:eastAsia="Calibri" w:cs="Calibri"/>
          <w:iCs/>
          <w:sz w:val="21"/>
          <w:szCs w:val="21"/>
        </w:rPr>
        <w:t>improving product and factor market efficiency</w:t>
      </w:r>
      <w:r>
        <w:rPr>
          <w:rFonts w:eastAsia="Calibri" w:cs="Calibri"/>
          <w:iCs/>
          <w:sz w:val="21"/>
          <w:szCs w:val="21"/>
        </w:rPr>
        <w:t xml:space="preserve">. </w:t>
      </w:r>
      <w:r w:rsidR="00554AFD" w:rsidRPr="00554AFD">
        <w:rPr>
          <w:rFonts w:eastAsia="Calibri" w:cs="Calibri"/>
          <w:iCs/>
          <w:sz w:val="21"/>
          <w:szCs w:val="21"/>
        </w:rPr>
        <w:t xml:space="preserve"> </w:t>
      </w:r>
    </w:p>
    <w:p w14:paraId="0B524F1D" w14:textId="4357DDE6" w:rsidR="00554AFD" w:rsidRPr="00554AFD" w:rsidRDefault="00FC4538" w:rsidP="00280550">
      <w:pPr>
        <w:numPr>
          <w:ilvl w:val="0"/>
          <w:numId w:val="20"/>
        </w:numPr>
        <w:spacing w:before="0" w:after="0" w:line="276" w:lineRule="auto"/>
        <w:ind w:left="1077"/>
        <w:jc w:val="both"/>
        <w:rPr>
          <w:rFonts w:eastAsia="Calibri" w:cs="Calibri"/>
          <w:sz w:val="21"/>
          <w:szCs w:val="21"/>
        </w:rPr>
      </w:pPr>
      <w:r>
        <w:rPr>
          <w:rFonts w:eastAsia="Calibri" w:cs="Calibri"/>
          <w:iCs/>
          <w:sz w:val="21"/>
          <w:szCs w:val="21"/>
        </w:rPr>
        <w:t>F</w:t>
      </w:r>
      <w:r w:rsidRPr="00554AFD">
        <w:rPr>
          <w:rFonts w:eastAsia="Calibri" w:cs="Calibri"/>
          <w:iCs/>
          <w:sz w:val="21"/>
          <w:szCs w:val="21"/>
        </w:rPr>
        <w:t xml:space="preserve">inance </w:t>
      </w:r>
      <w:r>
        <w:rPr>
          <w:rFonts w:eastAsia="Calibri" w:cs="Calibri"/>
          <w:iCs/>
          <w:sz w:val="21"/>
          <w:szCs w:val="21"/>
        </w:rPr>
        <w:t>—</w:t>
      </w:r>
      <w:r w:rsidRPr="00554AFD">
        <w:rPr>
          <w:rFonts w:eastAsia="Calibri" w:cs="Calibri"/>
          <w:iCs/>
          <w:sz w:val="21"/>
          <w:szCs w:val="21"/>
        </w:rPr>
        <w:t xml:space="preserve"> </w:t>
      </w:r>
      <w:r w:rsidR="00554AFD" w:rsidRPr="00554AFD">
        <w:rPr>
          <w:rFonts w:eastAsia="Calibri" w:cs="Calibri"/>
          <w:iCs/>
          <w:sz w:val="21"/>
          <w:szCs w:val="21"/>
        </w:rPr>
        <w:t>delivering financial stability and development</w:t>
      </w:r>
      <w:r>
        <w:rPr>
          <w:rFonts w:eastAsia="Calibri" w:cs="Calibri"/>
          <w:iCs/>
          <w:sz w:val="21"/>
          <w:szCs w:val="21"/>
        </w:rPr>
        <w:t xml:space="preserve">. </w:t>
      </w:r>
    </w:p>
    <w:p w14:paraId="6FB1B14C" w14:textId="1CE89F0B" w:rsidR="00554AFD" w:rsidRPr="00554AFD" w:rsidRDefault="00FC4538" w:rsidP="00280550">
      <w:pPr>
        <w:numPr>
          <w:ilvl w:val="0"/>
          <w:numId w:val="20"/>
        </w:numPr>
        <w:spacing w:before="0" w:after="0" w:line="276" w:lineRule="auto"/>
        <w:ind w:left="1077"/>
        <w:jc w:val="both"/>
        <w:rPr>
          <w:rFonts w:eastAsia="Calibri" w:cs="Calibri"/>
          <w:sz w:val="21"/>
          <w:szCs w:val="21"/>
        </w:rPr>
      </w:pPr>
      <w:r>
        <w:rPr>
          <w:rFonts w:eastAsia="Calibri" w:cs="Calibri"/>
          <w:iCs/>
          <w:sz w:val="21"/>
          <w:szCs w:val="21"/>
        </w:rPr>
        <w:t>S</w:t>
      </w:r>
      <w:r w:rsidR="00554AFD" w:rsidRPr="00554AFD">
        <w:rPr>
          <w:rFonts w:eastAsia="Calibri" w:cs="Calibri"/>
          <w:iCs/>
          <w:sz w:val="21"/>
          <w:szCs w:val="21"/>
        </w:rPr>
        <w:t>pending</w:t>
      </w:r>
      <w:r w:rsidR="00554AFD" w:rsidRPr="00554AFD">
        <w:rPr>
          <w:rFonts w:eastAsia="Calibri" w:cs="Calibri"/>
          <w:sz w:val="21"/>
          <w:szCs w:val="21"/>
        </w:rPr>
        <w:t xml:space="preserve"> </w:t>
      </w:r>
      <w:r>
        <w:rPr>
          <w:rFonts w:eastAsia="Calibri" w:cs="Calibri"/>
          <w:sz w:val="21"/>
          <w:szCs w:val="21"/>
        </w:rPr>
        <w:t>—</w:t>
      </w:r>
      <w:r w:rsidR="00554AFD" w:rsidRPr="00554AFD">
        <w:rPr>
          <w:rFonts w:eastAsia="Calibri" w:cs="Calibri"/>
          <w:sz w:val="21"/>
          <w:szCs w:val="21"/>
        </w:rPr>
        <w:t xml:space="preserve"> improving the quality, delivery efficiency, and access to public services</w:t>
      </w:r>
      <w:r>
        <w:rPr>
          <w:rFonts w:eastAsia="Calibri" w:cs="Calibri"/>
          <w:sz w:val="21"/>
          <w:szCs w:val="21"/>
        </w:rPr>
        <w:t xml:space="preserve">. </w:t>
      </w:r>
    </w:p>
    <w:p w14:paraId="0EEB9F6F" w14:textId="232A1E59" w:rsidR="00554AFD" w:rsidRPr="00554AFD" w:rsidRDefault="00FC4538" w:rsidP="00280550">
      <w:pPr>
        <w:numPr>
          <w:ilvl w:val="0"/>
          <w:numId w:val="20"/>
        </w:numPr>
        <w:spacing w:before="0" w:after="0" w:line="276" w:lineRule="auto"/>
        <w:ind w:left="1077"/>
        <w:jc w:val="both"/>
        <w:rPr>
          <w:rFonts w:eastAsia="Calibri" w:cs="Calibri"/>
          <w:sz w:val="21"/>
          <w:szCs w:val="21"/>
        </w:rPr>
      </w:pPr>
      <w:r>
        <w:rPr>
          <w:rFonts w:eastAsia="Calibri" w:cs="Calibri"/>
          <w:iCs/>
          <w:sz w:val="21"/>
          <w:szCs w:val="21"/>
        </w:rPr>
        <w:t>R</w:t>
      </w:r>
      <w:r w:rsidR="00554AFD" w:rsidRPr="00554AFD">
        <w:rPr>
          <w:rFonts w:eastAsia="Calibri" w:cs="Calibri"/>
          <w:iCs/>
          <w:sz w:val="21"/>
          <w:szCs w:val="21"/>
        </w:rPr>
        <w:t>evenue</w:t>
      </w:r>
      <w:r w:rsidR="00554AFD" w:rsidRPr="00554AFD">
        <w:rPr>
          <w:rFonts w:eastAsia="Calibri" w:cs="Calibri"/>
          <w:sz w:val="21"/>
          <w:szCs w:val="21"/>
        </w:rPr>
        <w:t xml:space="preserve"> </w:t>
      </w:r>
      <w:r>
        <w:rPr>
          <w:rFonts w:eastAsia="Calibri" w:cs="Calibri"/>
          <w:sz w:val="21"/>
          <w:szCs w:val="21"/>
        </w:rPr>
        <w:t>—</w:t>
      </w:r>
      <w:r w:rsidRPr="00554AFD">
        <w:rPr>
          <w:rFonts w:eastAsia="Calibri" w:cs="Calibri"/>
          <w:sz w:val="21"/>
          <w:szCs w:val="21"/>
        </w:rPr>
        <w:t xml:space="preserve"> </w:t>
      </w:r>
      <w:r w:rsidR="00554AFD" w:rsidRPr="00554AFD">
        <w:rPr>
          <w:rFonts w:eastAsia="Calibri" w:cs="Calibri"/>
          <w:sz w:val="21"/>
          <w:szCs w:val="21"/>
        </w:rPr>
        <w:t xml:space="preserve">mobilising revenues without unduly impeding private activity; </w:t>
      </w:r>
    </w:p>
    <w:p w14:paraId="00500B51" w14:textId="21DAFC66" w:rsidR="00554AFD" w:rsidRPr="00554AFD" w:rsidRDefault="00554AFD" w:rsidP="00280550">
      <w:pPr>
        <w:numPr>
          <w:ilvl w:val="0"/>
          <w:numId w:val="20"/>
        </w:numPr>
        <w:spacing w:before="0" w:after="0" w:line="276" w:lineRule="auto"/>
        <w:ind w:left="1077"/>
        <w:jc w:val="both"/>
        <w:rPr>
          <w:rFonts w:eastAsia="Calibri" w:cs="Calibri"/>
          <w:iCs/>
          <w:sz w:val="21"/>
          <w:szCs w:val="21"/>
        </w:rPr>
      </w:pPr>
      <w:r w:rsidRPr="00554AFD">
        <w:rPr>
          <w:rFonts w:eastAsia="Calibri" w:cs="Calibri"/>
          <w:iCs/>
          <w:sz w:val="21"/>
          <w:szCs w:val="21"/>
        </w:rPr>
        <w:t xml:space="preserve">Public Sector Reform </w:t>
      </w:r>
      <w:r w:rsidR="00FC4538">
        <w:rPr>
          <w:rFonts w:eastAsia="Calibri" w:cs="Calibri"/>
          <w:iCs/>
          <w:sz w:val="21"/>
          <w:szCs w:val="21"/>
        </w:rPr>
        <w:t>—</w:t>
      </w:r>
      <w:r w:rsidR="00FC4538" w:rsidRPr="00554AFD">
        <w:rPr>
          <w:rFonts w:eastAsia="Calibri" w:cs="Calibri"/>
          <w:iCs/>
          <w:sz w:val="21"/>
          <w:szCs w:val="21"/>
        </w:rPr>
        <w:t xml:space="preserve"> </w:t>
      </w:r>
      <w:r w:rsidRPr="00554AFD">
        <w:rPr>
          <w:rFonts w:eastAsia="Calibri" w:cs="Calibri"/>
          <w:iCs/>
          <w:sz w:val="21"/>
          <w:szCs w:val="21"/>
        </w:rPr>
        <w:t>strengthening economic institutions</w:t>
      </w:r>
      <w:r w:rsidR="00FC4538">
        <w:rPr>
          <w:rFonts w:eastAsia="Calibri" w:cs="Calibri"/>
          <w:iCs/>
          <w:sz w:val="21"/>
          <w:szCs w:val="21"/>
        </w:rPr>
        <w:t xml:space="preserve">. </w:t>
      </w:r>
    </w:p>
    <w:p w14:paraId="19CED96D" w14:textId="71484356" w:rsidR="00554AFD" w:rsidRPr="00554AFD" w:rsidRDefault="00554AFD" w:rsidP="00280550">
      <w:pPr>
        <w:numPr>
          <w:ilvl w:val="0"/>
          <w:numId w:val="20"/>
        </w:numPr>
        <w:spacing w:before="0" w:after="0" w:line="276" w:lineRule="auto"/>
        <w:ind w:left="1077"/>
        <w:jc w:val="both"/>
        <w:rPr>
          <w:rFonts w:eastAsia="Calibri" w:cs="Calibri"/>
          <w:iCs/>
          <w:sz w:val="21"/>
          <w:szCs w:val="21"/>
        </w:rPr>
      </w:pPr>
      <w:r w:rsidRPr="00554AFD">
        <w:rPr>
          <w:rFonts w:eastAsia="Calibri" w:cs="Calibri"/>
          <w:sz w:val="21"/>
          <w:szCs w:val="21"/>
        </w:rPr>
        <w:t xml:space="preserve">Economics &amp; Inclusion </w:t>
      </w:r>
      <w:r w:rsidR="00FC4538">
        <w:rPr>
          <w:rFonts w:eastAsia="Calibri" w:cs="Calibri"/>
          <w:sz w:val="21"/>
          <w:szCs w:val="21"/>
        </w:rPr>
        <w:t>—</w:t>
      </w:r>
      <w:r w:rsidR="00FC4538" w:rsidRPr="00554AFD">
        <w:rPr>
          <w:rFonts w:eastAsia="Calibri" w:cs="Calibri"/>
          <w:sz w:val="21"/>
          <w:szCs w:val="21"/>
        </w:rPr>
        <w:t xml:space="preserve"> </w:t>
      </w:r>
      <w:r w:rsidRPr="00554AFD">
        <w:rPr>
          <w:rFonts w:eastAsia="Calibri" w:cs="Calibri"/>
          <w:sz w:val="21"/>
          <w:szCs w:val="21"/>
        </w:rPr>
        <w:t>providing analysis to boost the evidence for economic policy.</w:t>
      </w:r>
    </w:p>
    <w:p w14:paraId="57C090C2" w14:textId="69119424" w:rsidR="00554AFD" w:rsidRPr="00B56BFC" w:rsidRDefault="00554AFD" w:rsidP="00554AFD">
      <w:pPr>
        <w:spacing w:after="0"/>
        <w:jc w:val="both"/>
        <w:rPr>
          <w:rFonts w:eastAsia="Calibri" w:cs="Calibri"/>
          <w:sz w:val="21"/>
          <w:szCs w:val="21"/>
        </w:rPr>
      </w:pPr>
      <w:r w:rsidRPr="00554AFD">
        <w:rPr>
          <w:rFonts w:eastAsia="Calibri" w:cs="Calibri"/>
          <w:sz w:val="21"/>
          <w:szCs w:val="21"/>
        </w:rPr>
        <w:t xml:space="preserve">Collaboration is anticipated in supporting the implementation of IA-CEPA outcomes, research into market access, trade and investment opportunities, and capital market deepening, amongst other areas to be discussed and agreed with </w:t>
      </w:r>
      <w:r w:rsidR="00FC4538">
        <w:rPr>
          <w:rFonts w:eastAsia="Calibri" w:cs="Calibri"/>
          <w:sz w:val="21"/>
          <w:szCs w:val="21"/>
        </w:rPr>
        <w:t>PROSPERA</w:t>
      </w:r>
      <w:r w:rsidRPr="00554AFD">
        <w:rPr>
          <w:rFonts w:eastAsia="Calibri" w:cs="Calibri"/>
          <w:sz w:val="21"/>
          <w:szCs w:val="21"/>
        </w:rPr>
        <w:t xml:space="preserve">. </w:t>
      </w:r>
    </w:p>
    <w:p w14:paraId="266C897A" w14:textId="77777777" w:rsidR="00554AFD" w:rsidRPr="00554AFD" w:rsidRDefault="00554AFD" w:rsidP="00B56BFC">
      <w:pPr>
        <w:spacing w:before="240" w:after="0"/>
        <w:jc w:val="both"/>
        <w:rPr>
          <w:rFonts w:eastAsia="Calibri Light" w:cs="Calibri"/>
          <w:b/>
          <w:sz w:val="21"/>
          <w:szCs w:val="21"/>
        </w:rPr>
      </w:pPr>
      <w:r w:rsidRPr="00554AFD">
        <w:rPr>
          <w:rFonts w:eastAsia="Calibri Light" w:cs="Calibri"/>
          <w:b/>
          <w:sz w:val="21"/>
          <w:szCs w:val="21"/>
        </w:rPr>
        <w:t>PRISMA</w:t>
      </w:r>
    </w:p>
    <w:p w14:paraId="2CE2C9DD" w14:textId="77777777" w:rsidR="00554AFD" w:rsidRPr="00554AFD" w:rsidRDefault="00554AFD" w:rsidP="00554AFD">
      <w:pPr>
        <w:rPr>
          <w:rFonts w:eastAsia="Calibri Light" w:cs="Times New Roman"/>
          <w:sz w:val="21"/>
          <w:szCs w:val="21"/>
        </w:rPr>
      </w:pPr>
      <w:r w:rsidRPr="00554AFD">
        <w:rPr>
          <w:rFonts w:eastAsia="Calibri Light" w:cs="Times New Roman"/>
          <w:sz w:val="21"/>
          <w:szCs w:val="21"/>
        </w:rPr>
        <w:t>The Australia-Indonesia Partnership for Promoting Rural Incomes through Support for Markets in Agriculture (PRISMA) is a development partnership between the Government of Australia (Department of Foreign Affairs and Trade, DFAT) and the Government of Indonesia (</w:t>
      </w:r>
      <w:proofErr w:type="spellStart"/>
      <w:r w:rsidRPr="00554AFD">
        <w:rPr>
          <w:rFonts w:eastAsia="Calibri Light" w:cs="Times New Roman"/>
          <w:sz w:val="21"/>
          <w:szCs w:val="21"/>
        </w:rPr>
        <w:t>Bappenas</w:t>
      </w:r>
      <w:proofErr w:type="spellEnd"/>
      <w:r w:rsidRPr="00554AFD">
        <w:rPr>
          <w:rFonts w:eastAsia="Calibri Light" w:cs="Times New Roman"/>
          <w:sz w:val="21"/>
          <w:szCs w:val="21"/>
        </w:rPr>
        <w:t xml:space="preserve">). The multi-year development partnership aims to accelerate poverty reduction through promoting inclusive economic growth. </w:t>
      </w:r>
    </w:p>
    <w:p w14:paraId="1366F423" w14:textId="77777777" w:rsidR="00554AFD" w:rsidRPr="00554AFD" w:rsidRDefault="00554AFD" w:rsidP="00554AFD">
      <w:pPr>
        <w:rPr>
          <w:rFonts w:eastAsia="Calibri Light" w:cs="Times New Roman"/>
          <w:sz w:val="21"/>
          <w:szCs w:val="21"/>
        </w:rPr>
      </w:pPr>
      <w:r w:rsidRPr="00554AFD">
        <w:rPr>
          <w:rFonts w:eastAsia="Calibri Light" w:cs="Times New Roman"/>
          <w:sz w:val="21"/>
          <w:szCs w:val="21"/>
        </w:rPr>
        <w:t xml:space="preserve">The program is in its second phase, where it seeks to improve market efficiency and economic returns in agricultural value chains over the next five years (2019-2023). </w:t>
      </w:r>
    </w:p>
    <w:p w14:paraId="6FB095D0" w14:textId="77777777" w:rsidR="00554AFD" w:rsidRPr="00554AFD" w:rsidRDefault="00554AFD" w:rsidP="00554AFD">
      <w:pPr>
        <w:rPr>
          <w:rFonts w:eastAsia="Calibri Light" w:cs="Times New Roman"/>
          <w:sz w:val="21"/>
          <w:szCs w:val="21"/>
        </w:rPr>
      </w:pPr>
      <w:r w:rsidRPr="00554AFD">
        <w:rPr>
          <w:rFonts w:eastAsia="Calibri Light" w:cs="Times New Roman"/>
          <w:sz w:val="21"/>
          <w:szCs w:val="21"/>
        </w:rPr>
        <w:t>PRISMA works to increase smallholder farmers’ competitiveness and access to new markets, better inputs, know-how and technology. It focuses on the agriculture, horticulture, livestock and aquaculture sectors which have strong growth potential and are the main source of incomes for a large number of Indonesia’s smallholder farming households. In the first phase, the program operated in five provinces in Indonesia - East Java, East Nusa Tenggara (NTT), West Nusa Tenggara (NTB), West Papua and Papua. It will expand into Central Java and bring the number of provinces in Phase II to six.</w:t>
      </w:r>
    </w:p>
    <w:p w14:paraId="6470481E" w14:textId="107F44B6" w:rsidR="00554AFD" w:rsidRDefault="00554AFD" w:rsidP="00554AFD">
      <w:pPr>
        <w:rPr>
          <w:rFonts w:eastAsia="Calibri Light" w:cs="Times New Roman"/>
          <w:sz w:val="21"/>
          <w:szCs w:val="21"/>
        </w:rPr>
      </w:pPr>
      <w:r w:rsidRPr="00554AFD">
        <w:rPr>
          <w:rFonts w:eastAsia="Calibri Light" w:cs="Times New Roman"/>
          <w:sz w:val="21"/>
          <w:szCs w:val="21"/>
        </w:rPr>
        <w:t xml:space="preserve">Collaboration with IA-CEPA is intended at provincial levels, where there are opportunities to build relationships and share information about markets. The linkages will be through the specific organisations and agricultural value </w:t>
      </w:r>
      <w:r w:rsidR="00836CAF">
        <w:rPr>
          <w:rFonts w:eastAsia="Calibri Light" w:cs="Times New Roman"/>
          <w:sz w:val="21"/>
          <w:szCs w:val="21"/>
        </w:rPr>
        <w:t xml:space="preserve">chains involved in the ECP </w:t>
      </w:r>
      <w:proofErr w:type="spellStart"/>
      <w:r w:rsidR="00D07C6A">
        <w:rPr>
          <w:rFonts w:eastAsia="Calibri Light" w:cs="Times New Roman"/>
          <w:sz w:val="21"/>
          <w:szCs w:val="21"/>
        </w:rPr>
        <w:t>Agrifood</w:t>
      </w:r>
      <w:proofErr w:type="spellEnd"/>
      <w:r w:rsidR="00D07C6A">
        <w:rPr>
          <w:rFonts w:eastAsia="Calibri Light" w:cs="Times New Roman"/>
          <w:sz w:val="21"/>
          <w:szCs w:val="21"/>
        </w:rPr>
        <w:t xml:space="preserve"> Innovation Partnerships</w:t>
      </w:r>
      <w:r w:rsidRPr="00554AFD">
        <w:rPr>
          <w:rFonts w:eastAsia="Calibri Light" w:cs="Times New Roman"/>
          <w:sz w:val="21"/>
          <w:szCs w:val="21"/>
        </w:rPr>
        <w:t>. Connections with larger and intermediary market players will support system change and two-way flow of information.</w:t>
      </w:r>
    </w:p>
    <w:p w14:paraId="1A5EC0D3" w14:textId="77777777" w:rsidR="007A0106" w:rsidRDefault="007A0106" w:rsidP="00554AFD">
      <w:pPr>
        <w:rPr>
          <w:rFonts w:eastAsia="Calibri Light" w:cs="Times New Roman"/>
          <w:sz w:val="21"/>
          <w:szCs w:val="21"/>
        </w:rPr>
      </w:pPr>
    </w:p>
    <w:p w14:paraId="4018254F" w14:textId="77777777" w:rsidR="007A0106" w:rsidRPr="00554AFD" w:rsidRDefault="007A0106" w:rsidP="00554AFD">
      <w:pPr>
        <w:rPr>
          <w:rFonts w:eastAsia="Calibri Light" w:cs="Times New Roman"/>
          <w:sz w:val="21"/>
          <w:szCs w:val="21"/>
        </w:rPr>
      </w:pPr>
    </w:p>
    <w:p w14:paraId="428B94F8" w14:textId="77777777" w:rsidR="00554AFD" w:rsidRPr="00554AFD" w:rsidRDefault="00554AFD" w:rsidP="00B56BFC">
      <w:pPr>
        <w:spacing w:before="240" w:after="0"/>
        <w:jc w:val="both"/>
        <w:rPr>
          <w:rFonts w:eastAsia="Calibri Light" w:cs="Calibri"/>
          <w:b/>
          <w:sz w:val="21"/>
          <w:szCs w:val="21"/>
        </w:rPr>
      </w:pPr>
      <w:r w:rsidRPr="00554AFD">
        <w:rPr>
          <w:rFonts w:eastAsia="Calibri Light" w:cs="Calibri"/>
          <w:b/>
          <w:sz w:val="21"/>
          <w:szCs w:val="21"/>
        </w:rPr>
        <w:lastRenderedPageBreak/>
        <w:t>INVESTING IN WOMEN</w:t>
      </w:r>
    </w:p>
    <w:p w14:paraId="7FDEC169" w14:textId="77777777" w:rsidR="00554AFD" w:rsidRPr="00554AFD" w:rsidRDefault="00554AFD" w:rsidP="00554AFD">
      <w:pPr>
        <w:rPr>
          <w:rFonts w:eastAsia="Calibri Light" w:cs="Times New Roman"/>
          <w:sz w:val="21"/>
          <w:szCs w:val="21"/>
        </w:rPr>
      </w:pPr>
      <w:r w:rsidRPr="00554AFD">
        <w:rPr>
          <w:rFonts w:eastAsia="Calibri Light" w:cs="Times New Roman"/>
          <w:sz w:val="21"/>
          <w:szCs w:val="21"/>
        </w:rPr>
        <w:t>Investing in Women is an initiative of the Australian Government. The program was established in 2016 to catalyse inclusive economic growth through women’s economic empowerment in South East Asia. Women’s economic empowerment is not only a fundamental aspect of promoting gender equality, but it is vital to enhancing business competitiveness, fuelling inclusive economic growth and building equitable societies.</w:t>
      </w:r>
    </w:p>
    <w:p w14:paraId="1FAED8C0" w14:textId="77777777" w:rsidR="00554AFD" w:rsidRPr="00554AFD" w:rsidRDefault="00554AFD" w:rsidP="00554AFD">
      <w:pPr>
        <w:rPr>
          <w:rFonts w:eastAsia="Calibri Light" w:cs="Times New Roman"/>
          <w:sz w:val="21"/>
          <w:szCs w:val="21"/>
        </w:rPr>
      </w:pPr>
      <w:r w:rsidRPr="00554AFD">
        <w:rPr>
          <w:rFonts w:eastAsia="Calibri Light" w:cs="Times New Roman"/>
          <w:sz w:val="21"/>
          <w:szCs w:val="21"/>
        </w:rPr>
        <w:t>Investing in Women uses innovative approaches to improve women’s economic participation as employees and as entrepreneurs and to influence the enabling environment to promote women’s economic empowerment</w:t>
      </w:r>
    </w:p>
    <w:p w14:paraId="7B5CCC3F" w14:textId="7D7BB5AF" w:rsidR="00554AFD" w:rsidRPr="00B56BFC" w:rsidRDefault="00554AFD" w:rsidP="00B56BFC">
      <w:pPr>
        <w:rPr>
          <w:rFonts w:eastAsia="Calibri Light" w:cs="Times New Roman"/>
          <w:sz w:val="21"/>
          <w:szCs w:val="21"/>
        </w:rPr>
      </w:pPr>
      <w:r w:rsidRPr="00554AFD">
        <w:rPr>
          <w:rFonts w:eastAsia="Calibri Light" w:cs="Times New Roman"/>
          <w:sz w:val="21"/>
          <w:szCs w:val="21"/>
        </w:rPr>
        <w:t xml:space="preserve">It is anticipated that there would be </w:t>
      </w:r>
      <w:r w:rsidR="00FC4538">
        <w:rPr>
          <w:rFonts w:eastAsia="Calibri Light" w:cs="Times New Roman"/>
          <w:sz w:val="21"/>
          <w:szCs w:val="21"/>
        </w:rPr>
        <w:t xml:space="preserve">potential for </w:t>
      </w:r>
      <w:r w:rsidRPr="00554AFD">
        <w:rPr>
          <w:rFonts w:eastAsia="Calibri Light" w:cs="Times New Roman"/>
          <w:sz w:val="21"/>
          <w:szCs w:val="21"/>
        </w:rPr>
        <w:t>collaboration with Investing in Women across all activities in the ECP.</w:t>
      </w:r>
    </w:p>
    <w:p w14:paraId="40CA7980" w14:textId="49788CC4" w:rsidR="00554AFD" w:rsidRPr="00B56BFC" w:rsidRDefault="00554AFD" w:rsidP="006466E1">
      <w:pPr>
        <w:spacing w:before="240" w:after="0"/>
        <w:jc w:val="both"/>
        <w:rPr>
          <w:rFonts w:eastAsia="Calibri Light" w:cs="Calibri"/>
          <w:b/>
          <w:bCs/>
          <w:caps/>
          <w:sz w:val="21"/>
          <w:szCs w:val="21"/>
        </w:rPr>
      </w:pPr>
      <w:r w:rsidRPr="00B56BFC">
        <w:rPr>
          <w:rFonts w:eastAsia="Calibri Light" w:cs="Calibri"/>
          <w:b/>
          <w:bCs/>
          <w:caps/>
          <w:sz w:val="21"/>
          <w:szCs w:val="21"/>
        </w:rPr>
        <w:t>Partnership for Australia-Indonesia Research (PAIR)</w:t>
      </w:r>
    </w:p>
    <w:p w14:paraId="32A3EA9C" w14:textId="77777777" w:rsidR="00554AFD" w:rsidRPr="00554AFD" w:rsidRDefault="00554AFD" w:rsidP="00554AFD">
      <w:pPr>
        <w:rPr>
          <w:rFonts w:eastAsia="Calibri Light" w:cs="Times New Roman"/>
          <w:sz w:val="21"/>
          <w:szCs w:val="21"/>
        </w:rPr>
      </w:pPr>
      <w:r w:rsidRPr="00554AFD">
        <w:rPr>
          <w:rFonts w:eastAsia="Calibri Light" w:cs="Times New Roman"/>
          <w:sz w:val="21"/>
          <w:szCs w:val="21"/>
        </w:rPr>
        <w:t>The Partnership for Australia-Indonesia Research (PAIR) is an Australia Indonesia Centre (AIC) initiative supported by the Australian Government, the Indonesian Government and 11 leading universities to advance the research linkages between the two countries and improve the impact of that research.</w:t>
      </w:r>
    </w:p>
    <w:p w14:paraId="556C249C" w14:textId="77777777" w:rsidR="00554AFD" w:rsidRPr="00554AFD" w:rsidRDefault="00554AFD" w:rsidP="00554AFD">
      <w:pPr>
        <w:rPr>
          <w:rFonts w:eastAsia="Calibri Light" w:cs="Times New Roman"/>
          <w:sz w:val="21"/>
          <w:szCs w:val="21"/>
        </w:rPr>
      </w:pPr>
      <w:r w:rsidRPr="00554AFD">
        <w:rPr>
          <w:rFonts w:eastAsia="Calibri Light" w:cs="Times New Roman"/>
          <w:sz w:val="21"/>
          <w:szCs w:val="21"/>
        </w:rPr>
        <w:t>Operating from 2019 to 2022, PAIR focuses on the importance of knowledge production and research capability building to support development, planning and policy-making for both countries.</w:t>
      </w:r>
    </w:p>
    <w:p w14:paraId="321481B3" w14:textId="1202B4C1" w:rsidR="00554AFD" w:rsidRDefault="00554AFD" w:rsidP="00475BF4">
      <w:pPr>
        <w:rPr>
          <w:rFonts w:eastAsia="Calibri Light" w:cs="Calibri"/>
          <w:b/>
          <w:sz w:val="21"/>
          <w:szCs w:val="21"/>
        </w:rPr>
      </w:pPr>
      <w:r w:rsidRPr="00554AFD">
        <w:rPr>
          <w:rFonts w:eastAsia="Calibri Light" w:cs="Times New Roman"/>
          <w:sz w:val="21"/>
          <w:szCs w:val="21"/>
        </w:rPr>
        <w:t xml:space="preserve">PAIR demonstrates a research pathway-to-impact model that spans countries and institutions and that can be applied to any problem or location. There is potential for collaboration with PAIR as part of </w:t>
      </w:r>
      <w:proofErr w:type="spellStart"/>
      <w:r w:rsidR="00D07C6A">
        <w:rPr>
          <w:rFonts w:eastAsia="Calibri Light" w:cs="Times New Roman"/>
          <w:sz w:val="21"/>
          <w:szCs w:val="21"/>
        </w:rPr>
        <w:t>A</w:t>
      </w:r>
      <w:r w:rsidRPr="00554AFD">
        <w:rPr>
          <w:rFonts w:eastAsia="Calibri Light" w:cs="Times New Roman"/>
          <w:sz w:val="21"/>
          <w:szCs w:val="21"/>
        </w:rPr>
        <w:t>grifood</w:t>
      </w:r>
      <w:proofErr w:type="spellEnd"/>
      <w:r w:rsidRPr="00554AFD">
        <w:rPr>
          <w:rFonts w:eastAsia="Calibri Light" w:cs="Times New Roman"/>
          <w:sz w:val="21"/>
          <w:szCs w:val="21"/>
        </w:rPr>
        <w:t xml:space="preserve"> </w:t>
      </w:r>
      <w:r w:rsidR="00D07C6A">
        <w:rPr>
          <w:rFonts w:eastAsia="Calibri Light" w:cs="Times New Roman"/>
          <w:sz w:val="21"/>
          <w:szCs w:val="21"/>
        </w:rPr>
        <w:t>Innovation P</w:t>
      </w:r>
      <w:r w:rsidRPr="00554AFD">
        <w:rPr>
          <w:rFonts w:eastAsia="Calibri Light" w:cs="Times New Roman"/>
          <w:sz w:val="21"/>
          <w:szCs w:val="21"/>
        </w:rPr>
        <w:t xml:space="preserve">artnerships in regions such as Makassar where </w:t>
      </w:r>
      <w:r w:rsidRPr="00554AFD">
        <w:rPr>
          <w:rFonts w:eastAsia="Calibri Light" w:cs="Times New Roman"/>
          <w:iCs/>
          <w:sz w:val="21"/>
          <w:szCs w:val="21"/>
        </w:rPr>
        <w:t xml:space="preserve">there is significant grains processing </w:t>
      </w:r>
      <w:r w:rsidR="00FE39AE">
        <w:rPr>
          <w:rFonts w:eastAsia="Calibri Light" w:cs="Times New Roman"/>
          <w:iCs/>
          <w:sz w:val="21"/>
          <w:szCs w:val="21"/>
        </w:rPr>
        <w:t>focus</w:t>
      </w:r>
      <w:r w:rsidRPr="00554AFD">
        <w:rPr>
          <w:rFonts w:eastAsia="Calibri Light" w:cs="Times New Roman"/>
          <w:iCs/>
          <w:sz w:val="21"/>
          <w:szCs w:val="21"/>
        </w:rPr>
        <w:t>.</w:t>
      </w:r>
    </w:p>
    <w:p w14:paraId="767516AE" w14:textId="470629D6" w:rsidR="00554AFD" w:rsidRPr="00B56BFC" w:rsidRDefault="00554AFD" w:rsidP="00B56BFC">
      <w:pPr>
        <w:spacing w:before="240" w:after="0"/>
        <w:jc w:val="both"/>
        <w:rPr>
          <w:rFonts w:eastAsia="Calibri Light" w:cs="Calibri"/>
          <w:b/>
          <w:bCs/>
          <w:caps/>
          <w:sz w:val="21"/>
          <w:szCs w:val="21"/>
        </w:rPr>
      </w:pPr>
      <w:r w:rsidRPr="00B56BFC">
        <w:rPr>
          <w:rFonts w:eastAsia="Calibri Light" w:cs="Calibri"/>
          <w:b/>
          <w:bCs/>
          <w:caps/>
          <w:sz w:val="21"/>
          <w:szCs w:val="21"/>
        </w:rPr>
        <w:t xml:space="preserve">Australia Awards </w:t>
      </w:r>
    </w:p>
    <w:p w14:paraId="04F4014F" w14:textId="77777777" w:rsidR="00554AFD" w:rsidRPr="00554AFD" w:rsidRDefault="00554AFD" w:rsidP="00554AFD">
      <w:pPr>
        <w:spacing w:after="0"/>
        <w:jc w:val="both"/>
        <w:rPr>
          <w:rFonts w:eastAsia="Calibri Light" w:cs="Calibri"/>
          <w:bCs/>
          <w:sz w:val="21"/>
          <w:szCs w:val="21"/>
        </w:rPr>
      </w:pPr>
      <w:r w:rsidRPr="00554AFD">
        <w:rPr>
          <w:rFonts w:eastAsia="Calibri Light" w:cs="Calibri"/>
          <w:bCs/>
          <w:sz w:val="21"/>
          <w:szCs w:val="21"/>
        </w:rPr>
        <w:t>Australia Awards are prestigious international scholarships and short courses offering the next generation of global leaders an opportunity to undertake study, research and professional development in Australia.</w:t>
      </w:r>
    </w:p>
    <w:p w14:paraId="1FE2DCFD" w14:textId="77777777" w:rsidR="00554AFD" w:rsidRPr="00554AFD" w:rsidRDefault="00554AFD" w:rsidP="00554AFD">
      <w:pPr>
        <w:spacing w:after="0"/>
        <w:jc w:val="both"/>
        <w:rPr>
          <w:rFonts w:eastAsia="Calibri Light" w:cs="Calibri"/>
          <w:bCs/>
          <w:sz w:val="21"/>
          <w:szCs w:val="21"/>
        </w:rPr>
      </w:pPr>
      <w:r w:rsidRPr="00554AFD">
        <w:rPr>
          <w:rFonts w:eastAsia="Calibri Light" w:cs="Calibri"/>
          <w:bCs/>
          <w:sz w:val="21"/>
          <w:szCs w:val="21"/>
        </w:rPr>
        <w:t>Australia Awards contribute to the long-term objectives of promoting growth and stability in our region, as well as strengthening links between people and organisations to enhance mutual understanding and cooperation. They equip recipients with the skills and knowledge to drive change and contribute to the economic and social development of their own countries, in effect, building the human resource capacity of partner countries within mutually agreed development sectors.</w:t>
      </w:r>
    </w:p>
    <w:p w14:paraId="29D30714" w14:textId="03642508" w:rsidR="00554AFD" w:rsidRPr="00554AFD" w:rsidRDefault="00554AFD" w:rsidP="00554AFD">
      <w:pPr>
        <w:spacing w:after="0"/>
        <w:jc w:val="both"/>
        <w:rPr>
          <w:rFonts w:eastAsia="Calibri Light" w:cs="Calibri"/>
          <w:bCs/>
          <w:sz w:val="21"/>
          <w:szCs w:val="21"/>
        </w:rPr>
      </w:pPr>
      <w:r w:rsidRPr="00554AFD">
        <w:rPr>
          <w:rFonts w:eastAsia="Calibri Light" w:cs="Calibri"/>
          <w:bCs/>
          <w:sz w:val="21"/>
          <w:szCs w:val="21"/>
        </w:rPr>
        <w:t xml:space="preserve">The ECP implementation will involve collaboration with the Australia Awards program to provide short courses in targeted programs in priority activities such as </w:t>
      </w:r>
      <w:proofErr w:type="spellStart"/>
      <w:r w:rsidR="00D07C6A">
        <w:rPr>
          <w:rFonts w:eastAsia="Calibri Light" w:cs="Calibri"/>
          <w:bCs/>
          <w:sz w:val="21"/>
          <w:szCs w:val="21"/>
        </w:rPr>
        <w:t>A</w:t>
      </w:r>
      <w:r w:rsidRPr="00554AFD">
        <w:rPr>
          <w:rFonts w:eastAsia="Calibri Light" w:cs="Calibri"/>
          <w:bCs/>
          <w:sz w:val="21"/>
          <w:szCs w:val="21"/>
        </w:rPr>
        <w:t>grifood</w:t>
      </w:r>
      <w:proofErr w:type="spellEnd"/>
      <w:r w:rsidRPr="00554AFD">
        <w:rPr>
          <w:rFonts w:eastAsia="Calibri Light" w:cs="Calibri"/>
          <w:bCs/>
          <w:sz w:val="21"/>
          <w:szCs w:val="21"/>
        </w:rPr>
        <w:t xml:space="preserve"> </w:t>
      </w:r>
      <w:r w:rsidR="00D07C6A">
        <w:rPr>
          <w:rFonts w:eastAsia="Calibri Light" w:cs="Calibri"/>
          <w:bCs/>
          <w:sz w:val="21"/>
          <w:szCs w:val="21"/>
        </w:rPr>
        <w:t>Innovation P</w:t>
      </w:r>
      <w:r w:rsidRPr="00554AFD">
        <w:rPr>
          <w:rFonts w:eastAsia="Calibri Light" w:cs="Calibri"/>
          <w:bCs/>
          <w:sz w:val="21"/>
          <w:szCs w:val="21"/>
        </w:rPr>
        <w:t xml:space="preserve">artnerships and advanced manufacturing. </w:t>
      </w:r>
    </w:p>
    <w:p w14:paraId="719CA826" w14:textId="6396A587" w:rsidR="00B56BFC" w:rsidRPr="00B56BFC" w:rsidRDefault="00B56BFC" w:rsidP="00B56BFC">
      <w:pPr>
        <w:spacing w:before="240" w:after="0"/>
        <w:jc w:val="both"/>
        <w:rPr>
          <w:rFonts w:eastAsia="Calibri Light" w:cs="Calibri"/>
          <w:b/>
          <w:bCs/>
          <w:caps/>
          <w:sz w:val="21"/>
          <w:szCs w:val="21"/>
        </w:rPr>
      </w:pPr>
      <w:r w:rsidRPr="00B56BFC">
        <w:rPr>
          <w:rFonts w:eastAsia="Calibri Light" w:cs="Calibri"/>
          <w:b/>
          <w:bCs/>
          <w:caps/>
          <w:sz w:val="21"/>
          <w:szCs w:val="21"/>
        </w:rPr>
        <w:t>OTHER</w:t>
      </w:r>
    </w:p>
    <w:p w14:paraId="1FC34BE8" w14:textId="11F975EA" w:rsidR="00554AFD" w:rsidRPr="00B56BFC" w:rsidRDefault="00554AFD" w:rsidP="00554AFD">
      <w:pPr>
        <w:spacing w:after="0"/>
        <w:jc w:val="both"/>
        <w:rPr>
          <w:rFonts w:eastAsia="Calibri Light" w:cs="Calibri"/>
          <w:bCs/>
          <w:sz w:val="21"/>
          <w:szCs w:val="21"/>
        </w:rPr>
      </w:pPr>
      <w:r w:rsidRPr="00B56BFC">
        <w:rPr>
          <w:rFonts w:eastAsia="Calibri Light" w:cs="Calibri"/>
          <w:bCs/>
          <w:sz w:val="21"/>
          <w:szCs w:val="21"/>
        </w:rPr>
        <w:t xml:space="preserve">Collaboration is also anticipated with a number of Australian Government departments and agencies, including: </w:t>
      </w:r>
      <w:proofErr w:type="spellStart"/>
      <w:r w:rsidRPr="00B56BFC">
        <w:rPr>
          <w:rFonts w:eastAsia="Calibri Light" w:cs="Calibri"/>
          <w:bCs/>
          <w:sz w:val="21"/>
          <w:szCs w:val="21"/>
        </w:rPr>
        <w:t>Aus</w:t>
      </w:r>
      <w:r w:rsidR="006129FE">
        <w:rPr>
          <w:rFonts w:eastAsia="Calibri Light" w:cs="Calibri"/>
          <w:bCs/>
          <w:sz w:val="21"/>
          <w:szCs w:val="21"/>
        </w:rPr>
        <w:t>t</w:t>
      </w:r>
      <w:r w:rsidRPr="00B56BFC">
        <w:rPr>
          <w:rFonts w:eastAsia="Calibri Light" w:cs="Calibri"/>
          <w:bCs/>
          <w:sz w:val="21"/>
          <w:szCs w:val="21"/>
        </w:rPr>
        <w:t>rade</w:t>
      </w:r>
      <w:proofErr w:type="spellEnd"/>
      <w:r w:rsidRPr="00B56BFC">
        <w:rPr>
          <w:rFonts w:eastAsia="Calibri Light" w:cs="Calibri"/>
          <w:bCs/>
          <w:sz w:val="21"/>
          <w:szCs w:val="21"/>
        </w:rPr>
        <w:t>, Department of Agriculture, Department of Education</w:t>
      </w:r>
      <w:r w:rsidR="006129FE">
        <w:rPr>
          <w:rFonts w:eastAsia="Calibri Light" w:cs="Calibri"/>
          <w:bCs/>
          <w:sz w:val="21"/>
          <w:szCs w:val="21"/>
        </w:rPr>
        <w:t>, Skills and Employment,</w:t>
      </w:r>
      <w:r w:rsidRPr="00B56BFC">
        <w:rPr>
          <w:rFonts w:eastAsia="Calibri Light" w:cs="Calibri"/>
          <w:bCs/>
          <w:sz w:val="21"/>
          <w:szCs w:val="21"/>
        </w:rPr>
        <w:t xml:space="preserve"> and the Department of Industry. </w:t>
      </w:r>
    </w:p>
    <w:p w14:paraId="2243BB41" w14:textId="0DAF8F6E" w:rsidR="00554AFD" w:rsidRPr="00B56BFC" w:rsidRDefault="00554AFD" w:rsidP="00554AFD">
      <w:pPr>
        <w:spacing w:after="0"/>
        <w:jc w:val="both"/>
        <w:rPr>
          <w:rFonts w:eastAsia="Calibri Light" w:cs="Calibri"/>
          <w:bCs/>
          <w:sz w:val="21"/>
          <w:szCs w:val="21"/>
        </w:rPr>
      </w:pPr>
      <w:r w:rsidRPr="00B56BFC">
        <w:rPr>
          <w:rFonts w:eastAsia="Calibri Light" w:cs="Calibri"/>
          <w:bCs/>
          <w:sz w:val="21"/>
          <w:szCs w:val="21"/>
        </w:rPr>
        <w:t xml:space="preserve">Collaboration with Indonesian Ministries is expected to include: </w:t>
      </w:r>
      <w:proofErr w:type="spellStart"/>
      <w:r w:rsidRPr="00B56BFC">
        <w:rPr>
          <w:rFonts w:eastAsia="Calibri Light" w:cs="Calibri"/>
          <w:bCs/>
          <w:sz w:val="21"/>
          <w:szCs w:val="21"/>
        </w:rPr>
        <w:t>Bappenas</w:t>
      </w:r>
      <w:proofErr w:type="spellEnd"/>
      <w:r w:rsidRPr="00B56BFC">
        <w:rPr>
          <w:rFonts w:eastAsia="Calibri Light" w:cs="Calibri"/>
          <w:bCs/>
          <w:sz w:val="21"/>
          <w:szCs w:val="21"/>
        </w:rPr>
        <w:t>, Ministry of Trade, BKPM, Department of Agriculture, Ministry of Manpower, among other</w:t>
      </w:r>
      <w:r w:rsidR="006129FE">
        <w:rPr>
          <w:rFonts w:eastAsia="Calibri Light" w:cs="Calibri"/>
          <w:bCs/>
          <w:sz w:val="21"/>
          <w:szCs w:val="21"/>
        </w:rPr>
        <w:t>s</w:t>
      </w:r>
      <w:r w:rsidRPr="00B56BFC">
        <w:rPr>
          <w:rFonts w:eastAsia="Calibri Light" w:cs="Calibri"/>
          <w:bCs/>
          <w:sz w:val="21"/>
          <w:szCs w:val="21"/>
        </w:rPr>
        <w:t xml:space="preserve">. </w:t>
      </w:r>
      <w:r w:rsidR="00FC4538" w:rsidRPr="00B56BFC">
        <w:rPr>
          <w:rFonts w:eastAsia="Calibri Light" w:cs="Calibri"/>
          <w:bCs/>
          <w:sz w:val="21"/>
          <w:szCs w:val="21"/>
        </w:rPr>
        <w:t>K</w:t>
      </w:r>
      <w:r w:rsidR="00FC4538">
        <w:rPr>
          <w:rFonts w:eastAsia="Calibri Light" w:cs="Calibri"/>
          <w:bCs/>
          <w:sz w:val="21"/>
          <w:szCs w:val="21"/>
        </w:rPr>
        <w:t>ADIN</w:t>
      </w:r>
      <w:r w:rsidR="00FC4538" w:rsidRPr="00B56BFC">
        <w:rPr>
          <w:rFonts w:eastAsia="Calibri Light" w:cs="Calibri"/>
          <w:bCs/>
          <w:sz w:val="21"/>
          <w:szCs w:val="21"/>
        </w:rPr>
        <w:t xml:space="preserve"> </w:t>
      </w:r>
      <w:r w:rsidR="00C805FD">
        <w:rPr>
          <w:rFonts w:eastAsia="Calibri Light" w:cs="Calibri"/>
          <w:bCs/>
          <w:sz w:val="21"/>
          <w:szCs w:val="21"/>
        </w:rPr>
        <w:t>may</w:t>
      </w:r>
      <w:r w:rsidR="00C805FD" w:rsidRPr="00B56BFC">
        <w:rPr>
          <w:rFonts w:eastAsia="Calibri Light" w:cs="Calibri"/>
          <w:bCs/>
          <w:sz w:val="21"/>
          <w:szCs w:val="21"/>
        </w:rPr>
        <w:t xml:space="preserve"> </w:t>
      </w:r>
      <w:r w:rsidRPr="00B56BFC">
        <w:rPr>
          <w:rFonts w:eastAsia="Calibri Light" w:cs="Calibri"/>
          <w:bCs/>
          <w:sz w:val="21"/>
          <w:szCs w:val="21"/>
        </w:rPr>
        <w:t xml:space="preserve">also play an important role in supporting private sector engagement. </w:t>
      </w:r>
    </w:p>
    <w:p w14:paraId="0AA09332" w14:textId="7874C468" w:rsidR="006466E1" w:rsidRDefault="006466E1" w:rsidP="00B24B65">
      <w:pPr>
        <w:spacing w:after="0"/>
        <w:jc w:val="both"/>
        <w:rPr>
          <w:rFonts w:cs="Calibri"/>
          <w:b/>
          <w:sz w:val="21"/>
          <w:szCs w:val="21"/>
        </w:rPr>
        <w:sectPr w:rsidR="006466E1" w:rsidSect="006466E1">
          <w:headerReference w:type="first" r:id="rId24"/>
          <w:pgSz w:w="11906" w:h="16838" w:code="9"/>
          <w:pgMar w:top="1701" w:right="1134" w:bottom="1418" w:left="1134" w:header="425" w:footer="493" w:gutter="0"/>
          <w:cols w:space="397"/>
          <w:titlePg/>
          <w:docGrid w:linePitch="360"/>
        </w:sectPr>
      </w:pPr>
    </w:p>
    <w:p w14:paraId="1DD689D3" w14:textId="231E1540" w:rsidR="00E14D2D" w:rsidRPr="006129FE" w:rsidRDefault="00E14D2D" w:rsidP="004037BC">
      <w:pPr>
        <w:pStyle w:val="Heading3"/>
        <w:spacing w:before="0"/>
        <w:rPr>
          <w:rFonts w:asciiTheme="minorHAnsi" w:hAnsiTheme="minorHAnsi" w:cstheme="minorHAnsi"/>
          <w:b/>
        </w:rPr>
      </w:pPr>
      <w:r w:rsidRPr="006129FE">
        <w:rPr>
          <w:rFonts w:asciiTheme="minorHAnsi" w:hAnsiTheme="minorHAnsi" w:cstheme="minorHAnsi"/>
          <w:sz w:val="38"/>
          <w:szCs w:val="38"/>
        </w:rPr>
        <w:lastRenderedPageBreak/>
        <w:t xml:space="preserve">ANNEX </w:t>
      </w:r>
      <w:r w:rsidR="009A4CAC">
        <w:rPr>
          <w:rFonts w:asciiTheme="minorHAnsi" w:hAnsiTheme="minorHAnsi" w:cstheme="minorHAnsi"/>
          <w:sz w:val="38"/>
          <w:szCs w:val="38"/>
        </w:rPr>
        <w:t>5</w:t>
      </w:r>
      <w:r w:rsidRPr="006129FE">
        <w:rPr>
          <w:rFonts w:asciiTheme="minorHAnsi" w:hAnsiTheme="minorHAnsi" w:cstheme="minorHAnsi"/>
          <w:sz w:val="38"/>
          <w:szCs w:val="38"/>
        </w:rPr>
        <w:t>. STAKEHOLDERS CONSULTED AS PART OF DESIGN</w:t>
      </w:r>
    </w:p>
    <w:p w14:paraId="1A4F2C3A" w14:textId="77777777" w:rsidR="00E14D2D" w:rsidRPr="00216E7D" w:rsidRDefault="00E14D2D" w:rsidP="00E14D2D">
      <w:pPr>
        <w:rPr>
          <w:rFonts w:cstheme="minorHAnsi"/>
          <w:i/>
          <w:sz w:val="21"/>
          <w:szCs w:val="21"/>
        </w:rPr>
      </w:pPr>
      <w:r w:rsidRPr="00216E7D">
        <w:rPr>
          <w:rFonts w:cstheme="minorHAnsi"/>
          <w:i/>
          <w:sz w:val="21"/>
          <w:szCs w:val="21"/>
        </w:rPr>
        <w:t>Jakarta, 14-16 August 2019</w:t>
      </w:r>
    </w:p>
    <w:tbl>
      <w:tblPr>
        <w:tblW w:w="0" w:type="auto"/>
        <w:tblCellMar>
          <w:left w:w="0" w:type="dxa"/>
          <w:right w:w="0" w:type="dxa"/>
        </w:tblCellMar>
        <w:tblLook w:val="04A0" w:firstRow="1" w:lastRow="0" w:firstColumn="1" w:lastColumn="0" w:noHBand="0" w:noVBand="1"/>
      </w:tblPr>
      <w:tblGrid>
        <w:gridCol w:w="3458"/>
        <w:gridCol w:w="3304"/>
        <w:gridCol w:w="2856"/>
      </w:tblGrid>
      <w:tr w:rsidR="00E14D2D" w:rsidRPr="00216E7D" w14:paraId="772F8810" w14:textId="77777777" w:rsidTr="007D0381">
        <w:trPr>
          <w:tblHeader/>
        </w:trPr>
        <w:tc>
          <w:tcPr>
            <w:tcW w:w="42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A606424" w14:textId="77777777" w:rsidR="00E14D2D" w:rsidRPr="00216E7D" w:rsidRDefault="00E14D2D" w:rsidP="007D0381">
            <w:pPr>
              <w:rPr>
                <w:rFonts w:cstheme="minorHAnsi"/>
                <w:b/>
                <w:bCs/>
                <w:color w:val="000000"/>
                <w:sz w:val="21"/>
                <w:szCs w:val="21"/>
              </w:rPr>
            </w:pPr>
            <w:r w:rsidRPr="00216E7D">
              <w:rPr>
                <w:rFonts w:cstheme="minorHAnsi"/>
                <w:b/>
                <w:bCs/>
                <w:color w:val="000000"/>
                <w:sz w:val="21"/>
                <w:szCs w:val="21"/>
              </w:rPr>
              <w:t xml:space="preserve">Indonesian Government </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EEEA654" w14:textId="77777777" w:rsidR="00E14D2D" w:rsidRPr="00216E7D" w:rsidRDefault="00E14D2D" w:rsidP="007D0381">
            <w:pPr>
              <w:rPr>
                <w:rFonts w:cstheme="minorHAnsi"/>
                <w:b/>
                <w:bCs/>
                <w:color w:val="000000"/>
                <w:sz w:val="21"/>
                <w:szCs w:val="21"/>
              </w:rPr>
            </w:pPr>
            <w:r w:rsidRPr="00216E7D">
              <w:rPr>
                <w:rFonts w:cstheme="minorHAnsi"/>
                <w:b/>
                <w:bCs/>
                <w:color w:val="000000"/>
                <w:sz w:val="21"/>
                <w:szCs w:val="21"/>
              </w:rPr>
              <w:t>Australian Government (Embassy)</w:t>
            </w:r>
          </w:p>
        </w:tc>
        <w:tc>
          <w:tcPr>
            <w:tcW w:w="36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46F918B" w14:textId="77777777" w:rsidR="00E14D2D" w:rsidRPr="00216E7D" w:rsidRDefault="00E14D2D" w:rsidP="007D0381">
            <w:pPr>
              <w:rPr>
                <w:rFonts w:cstheme="minorHAnsi"/>
                <w:b/>
                <w:bCs/>
                <w:color w:val="000000"/>
                <w:sz w:val="21"/>
                <w:szCs w:val="21"/>
              </w:rPr>
            </w:pPr>
            <w:r w:rsidRPr="00216E7D">
              <w:rPr>
                <w:rFonts w:cstheme="minorHAnsi"/>
                <w:b/>
                <w:bCs/>
                <w:color w:val="000000"/>
                <w:sz w:val="21"/>
                <w:szCs w:val="21"/>
              </w:rPr>
              <w:t>Development programs and partners</w:t>
            </w:r>
          </w:p>
        </w:tc>
      </w:tr>
      <w:tr w:rsidR="00E14D2D" w:rsidRPr="00216E7D" w14:paraId="47D3D752" w14:textId="77777777" w:rsidTr="007D0381">
        <w:tc>
          <w:tcPr>
            <w:tcW w:w="424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83D6B4" w14:textId="77777777" w:rsidR="00E14D2D" w:rsidRPr="00216E7D" w:rsidRDefault="00E14D2D" w:rsidP="009D3124">
            <w:pPr>
              <w:pStyle w:val="ListParagraph"/>
              <w:numPr>
                <w:ilvl w:val="0"/>
                <w:numId w:val="48"/>
              </w:numPr>
              <w:suppressAutoHyphens w:val="0"/>
              <w:spacing w:before="0" w:after="0" w:line="240" w:lineRule="auto"/>
              <w:contextualSpacing w:val="0"/>
              <w:rPr>
                <w:rFonts w:cstheme="minorHAnsi"/>
                <w:color w:val="000000"/>
                <w:sz w:val="21"/>
                <w:szCs w:val="21"/>
              </w:rPr>
            </w:pPr>
            <w:proofErr w:type="spellStart"/>
            <w:r w:rsidRPr="00216E7D">
              <w:rPr>
                <w:rFonts w:cstheme="minorHAnsi"/>
                <w:color w:val="000000"/>
                <w:sz w:val="21"/>
                <w:szCs w:val="21"/>
              </w:rPr>
              <w:t>Bappenas</w:t>
            </w:r>
            <w:proofErr w:type="spellEnd"/>
          </w:p>
          <w:p w14:paraId="5DD0B232" w14:textId="77777777" w:rsidR="00E14D2D" w:rsidRPr="00216E7D" w:rsidRDefault="00E14D2D" w:rsidP="009D3124">
            <w:pPr>
              <w:pStyle w:val="ListParagraph"/>
              <w:numPr>
                <w:ilvl w:val="0"/>
                <w:numId w:val="48"/>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Coordinating Ministry of Economic Affairs, who convened a roundtable with representatives from:</w:t>
            </w:r>
          </w:p>
          <w:p w14:paraId="2A511D47" w14:textId="77777777" w:rsidR="00E14D2D" w:rsidRPr="00216E7D" w:rsidRDefault="00E14D2D" w:rsidP="009D3124">
            <w:pPr>
              <w:pStyle w:val="ListParagraph"/>
              <w:numPr>
                <w:ilvl w:val="1"/>
                <w:numId w:val="48"/>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Ministry of Education and Culture</w:t>
            </w:r>
          </w:p>
          <w:p w14:paraId="04DD02F7" w14:textId="77777777" w:rsidR="00E14D2D" w:rsidRPr="00216E7D" w:rsidRDefault="00E14D2D" w:rsidP="009D3124">
            <w:pPr>
              <w:pStyle w:val="ListParagraph"/>
              <w:numPr>
                <w:ilvl w:val="1"/>
                <w:numId w:val="48"/>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Ministry of Manpower</w:t>
            </w:r>
          </w:p>
          <w:p w14:paraId="2DC76CDD" w14:textId="77777777" w:rsidR="00E14D2D" w:rsidRPr="00216E7D" w:rsidRDefault="00E14D2D" w:rsidP="009D3124">
            <w:pPr>
              <w:pStyle w:val="ListParagraph"/>
              <w:numPr>
                <w:ilvl w:val="1"/>
                <w:numId w:val="48"/>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Ministry of Research and Technology</w:t>
            </w:r>
          </w:p>
          <w:p w14:paraId="56A8176D" w14:textId="77777777" w:rsidR="00E14D2D" w:rsidRPr="00216E7D" w:rsidRDefault="00E14D2D" w:rsidP="009D3124">
            <w:pPr>
              <w:pStyle w:val="ListParagraph"/>
              <w:numPr>
                <w:ilvl w:val="0"/>
                <w:numId w:val="48"/>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Ministry of Foreign Affairs</w:t>
            </w:r>
          </w:p>
          <w:p w14:paraId="099792D5" w14:textId="77777777" w:rsidR="00E14D2D" w:rsidRPr="00216E7D" w:rsidRDefault="00E14D2D" w:rsidP="009D3124">
            <w:pPr>
              <w:pStyle w:val="ListParagraph"/>
              <w:numPr>
                <w:ilvl w:val="0"/>
                <w:numId w:val="48"/>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Ministry of Trade</w:t>
            </w:r>
          </w:p>
        </w:tc>
        <w:tc>
          <w:tcPr>
            <w:tcW w:w="4111" w:type="dxa"/>
            <w:tcBorders>
              <w:top w:val="nil"/>
              <w:left w:val="nil"/>
              <w:bottom w:val="single" w:sz="8" w:space="0" w:color="auto"/>
              <w:right w:val="single" w:sz="8" w:space="0" w:color="auto"/>
            </w:tcBorders>
            <w:tcMar>
              <w:top w:w="0" w:type="dxa"/>
              <w:left w:w="108" w:type="dxa"/>
              <w:bottom w:w="0" w:type="dxa"/>
              <w:right w:w="108" w:type="dxa"/>
            </w:tcMar>
          </w:tcPr>
          <w:p w14:paraId="16E8ADE1" w14:textId="77777777" w:rsidR="00E14D2D" w:rsidRPr="00216E7D" w:rsidRDefault="00E14D2D" w:rsidP="009D3124">
            <w:pPr>
              <w:pStyle w:val="ListParagraph"/>
              <w:numPr>
                <w:ilvl w:val="0"/>
                <w:numId w:val="64"/>
              </w:numPr>
              <w:suppressAutoHyphens w:val="0"/>
              <w:spacing w:before="0" w:after="0" w:line="240" w:lineRule="auto"/>
              <w:contextualSpacing w:val="0"/>
              <w:rPr>
                <w:rFonts w:cstheme="minorHAnsi"/>
                <w:color w:val="000000"/>
                <w:sz w:val="21"/>
                <w:szCs w:val="21"/>
              </w:rPr>
            </w:pPr>
            <w:proofErr w:type="spellStart"/>
            <w:r w:rsidRPr="00216E7D">
              <w:rPr>
                <w:rFonts w:cstheme="minorHAnsi"/>
                <w:color w:val="000000"/>
                <w:sz w:val="21"/>
                <w:szCs w:val="21"/>
              </w:rPr>
              <w:t>Austrade</w:t>
            </w:r>
            <w:proofErr w:type="spellEnd"/>
          </w:p>
          <w:p w14:paraId="77634290" w14:textId="77777777" w:rsidR="00E14D2D" w:rsidRPr="00216E7D" w:rsidRDefault="00E14D2D" w:rsidP="009D3124">
            <w:pPr>
              <w:pStyle w:val="ListParagraph"/>
              <w:numPr>
                <w:ilvl w:val="0"/>
                <w:numId w:val="64"/>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 xml:space="preserve">Department of Agriculture </w:t>
            </w:r>
          </w:p>
          <w:p w14:paraId="35FD8680" w14:textId="77777777" w:rsidR="00E14D2D" w:rsidRPr="00216E7D" w:rsidRDefault="00E14D2D" w:rsidP="009D3124">
            <w:pPr>
              <w:pStyle w:val="ListParagraph"/>
              <w:numPr>
                <w:ilvl w:val="0"/>
                <w:numId w:val="64"/>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 xml:space="preserve">Department of Education </w:t>
            </w:r>
          </w:p>
          <w:p w14:paraId="5A1D9D76" w14:textId="77777777" w:rsidR="00E14D2D" w:rsidRPr="00216E7D" w:rsidRDefault="00E14D2D" w:rsidP="009D3124">
            <w:pPr>
              <w:pStyle w:val="ListParagraph"/>
              <w:numPr>
                <w:ilvl w:val="0"/>
                <w:numId w:val="64"/>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 xml:space="preserve">Department of Foreign Affairs and Trade: </w:t>
            </w:r>
          </w:p>
          <w:p w14:paraId="3D2EA437" w14:textId="77777777" w:rsidR="00E14D2D" w:rsidRPr="00216E7D" w:rsidRDefault="00E14D2D" w:rsidP="009D3124">
            <w:pPr>
              <w:pStyle w:val="ListParagraph"/>
              <w:numPr>
                <w:ilvl w:val="0"/>
                <w:numId w:val="62"/>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Basic Education Team</w:t>
            </w:r>
          </w:p>
          <w:p w14:paraId="415E9E7C" w14:textId="77777777" w:rsidR="00E14D2D" w:rsidRPr="00216E7D" w:rsidRDefault="00E14D2D" w:rsidP="009D3124">
            <w:pPr>
              <w:pStyle w:val="ListParagraph"/>
              <w:numPr>
                <w:ilvl w:val="0"/>
                <w:numId w:val="62"/>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 xml:space="preserve">Deputy Head of Mission </w:t>
            </w:r>
          </w:p>
          <w:p w14:paraId="65F2BFFB" w14:textId="77777777" w:rsidR="00E14D2D" w:rsidRPr="00216E7D" w:rsidRDefault="00E14D2D" w:rsidP="009D3124">
            <w:pPr>
              <w:pStyle w:val="ListParagraph"/>
              <w:numPr>
                <w:ilvl w:val="0"/>
                <w:numId w:val="62"/>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Economic Governance Team</w:t>
            </w:r>
          </w:p>
          <w:p w14:paraId="2CBBDE38" w14:textId="77777777" w:rsidR="00E14D2D" w:rsidRPr="00216E7D" w:rsidRDefault="00E14D2D" w:rsidP="009D3124">
            <w:pPr>
              <w:pStyle w:val="ListParagraph"/>
              <w:numPr>
                <w:ilvl w:val="0"/>
                <w:numId w:val="62"/>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 xml:space="preserve">Economic Section </w:t>
            </w:r>
          </w:p>
          <w:p w14:paraId="3E48E29C" w14:textId="77777777" w:rsidR="00E14D2D" w:rsidRPr="00216E7D" w:rsidRDefault="00E14D2D" w:rsidP="009D3124">
            <w:pPr>
              <w:pStyle w:val="ListParagraph"/>
              <w:numPr>
                <w:ilvl w:val="0"/>
                <w:numId w:val="62"/>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Health Development Team</w:t>
            </w:r>
          </w:p>
          <w:p w14:paraId="0D2A5377" w14:textId="77777777" w:rsidR="00E14D2D" w:rsidRPr="00216E7D" w:rsidRDefault="00E14D2D" w:rsidP="009D3124">
            <w:pPr>
              <w:pStyle w:val="ListParagraph"/>
              <w:numPr>
                <w:ilvl w:val="0"/>
                <w:numId w:val="62"/>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Poverty and Social Protection Team</w:t>
            </w:r>
          </w:p>
          <w:p w14:paraId="2BD0B913" w14:textId="77777777" w:rsidR="00E14D2D" w:rsidRPr="00216E7D" w:rsidRDefault="00E14D2D" w:rsidP="009D3124">
            <w:pPr>
              <w:pStyle w:val="ListParagraph"/>
              <w:numPr>
                <w:ilvl w:val="0"/>
                <w:numId w:val="62"/>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Rural Development Team</w:t>
            </w:r>
          </w:p>
        </w:tc>
        <w:tc>
          <w:tcPr>
            <w:tcW w:w="3685" w:type="dxa"/>
            <w:tcBorders>
              <w:top w:val="nil"/>
              <w:left w:val="nil"/>
              <w:bottom w:val="single" w:sz="8" w:space="0" w:color="auto"/>
              <w:right w:val="single" w:sz="8" w:space="0" w:color="auto"/>
            </w:tcBorders>
            <w:tcMar>
              <w:top w:w="0" w:type="dxa"/>
              <w:left w:w="108" w:type="dxa"/>
              <w:bottom w:w="0" w:type="dxa"/>
              <w:right w:w="108" w:type="dxa"/>
            </w:tcMar>
          </w:tcPr>
          <w:p w14:paraId="0158D444" w14:textId="77777777" w:rsidR="00E14D2D" w:rsidRPr="00216E7D" w:rsidRDefault="00E14D2D" w:rsidP="009D3124">
            <w:pPr>
              <w:pStyle w:val="ListParagraph"/>
              <w:numPr>
                <w:ilvl w:val="0"/>
                <w:numId w:val="49"/>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 xml:space="preserve">PROSPERA Economic Governance Facility </w:t>
            </w:r>
          </w:p>
        </w:tc>
      </w:tr>
    </w:tbl>
    <w:p w14:paraId="24F83B7C" w14:textId="77777777" w:rsidR="00E14D2D" w:rsidRPr="00216E7D" w:rsidRDefault="00E14D2D" w:rsidP="00E14D2D">
      <w:pPr>
        <w:rPr>
          <w:rFonts w:cstheme="minorHAnsi"/>
          <w:i/>
          <w:sz w:val="21"/>
          <w:szCs w:val="21"/>
        </w:rPr>
      </w:pPr>
      <w:r w:rsidRPr="00216E7D">
        <w:rPr>
          <w:rFonts w:cstheme="minorHAnsi"/>
          <w:i/>
          <w:sz w:val="21"/>
          <w:szCs w:val="21"/>
        </w:rPr>
        <w:t>Canberra, 9-11 September 2019</w:t>
      </w:r>
    </w:p>
    <w:tbl>
      <w:tblPr>
        <w:tblW w:w="0" w:type="auto"/>
        <w:tblInd w:w="10" w:type="dxa"/>
        <w:tblCellMar>
          <w:left w:w="0" w:type="dxa"/>
          <w:right w:w="0" w:type="dxa"/>
        </w:tblCellMar>
        <w:tblLook w:val="04A0" w:firstRow="1" w:lastRow="0" w:firstColumn="1" w:lastColumn="0" w:noHBand="0" w:noVBand="1"/>
      </w:tblPr>
      <w:tblGrid>
        <w:gridCol w:w="5548"/>
        <w:gridCol w:w="4065"/>
      </w:tblGrid>
      <w:tr w:rsidR="00E14D2D" w:rsidRPr="00216E7D" w14:paraId="08375D81" w14:textId="77777777" w:rsidTr="007D0381">
        <w:trPr>
          <w:tblHeader/>
        </w:trPr>
        <w:tc>
          <w:tcPr>
            <w:tcW w:w="6364"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620EC90E" w14:textId="77777777" w:rsidR="00E14D2D" w:rsidRPr="00216E7D" w:rsidRDefault="00E14D2D" w:rsidP="007D0381">
            <w:pPr>
              <w:rPr>
                <w:rFonts w:cstheme="minorHAnsi"/>
                <w:b/>
                <w:bCs/>
                <w:color w:val="000000"/>
                <w:sz w:val="21"/>
                <w:szCs w:val="21"/>
              </w:rPr>
            </w:pPr>
            <w:r w:rsidRPr="00216E7D">
              <w:rPr>
                <w:rFonts w:cstheme="minorHAnsi"/>
                <w:b/>
                <w:bCs/>
                <w:color w:val="000000"/>
                <w:sz w:val="21"/>
                <w:szCs w:val="21"/>
              </w:rPr>
              <w:t xml:space="preserve">Australian Government </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440316" w14:textId="77777777" w:rsidR="00E14D2D" w:rsidRPr="00216E7D" w:rsidRDefault="00E14D2D" w:rsidP="007D0381">
            <w:pPr>
              <w:rPr>
                <w:rFonts w:cstheme="minorHAnsi"/>
                <w:b/>
                <w:bCs/>
                <w:color w:val="000000"/>
                <w:sz w:val="21"/>
                <w:szCs w:val="21"/>
              </w:rPr>
            </w:pPr>
            <w:r>
              <w:rPr>
                <w:rFonts w:cstheme="minorHAnsi"/>
                <w:b/>
                <w:bCs/>
                <w:color w:val="000000"/>
                <w:sz w:val="21"/>
                <w:szCs w:val="21"/>
              </w:rPr>
              <w:t>Other</w:t>
            </w:r>
          </w:p>
        </w:tc>
      </w:tr>
      <w:tr w:rsidR="00E14D2D" w:rsidRPr="00216E7D" w14:paraId="04A6C210" w14:textId="77777777" w:rsidTr="007D0381">
        <w:tc>
          <w:tcPr>
            <w:tcW w:w="6364"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4F0AD0BD" w14:textId="77777777" w:rsidR="00E14D2D" w:rsidRPr="00216E7D" w:rsidRDefault="00E14D2D" w:rsidP="009D3124">
            <w:pPr>
              <w:pStyle w:val="ListParagraph"/>
              <w:numPr>
                <w:ilvl w:val="0"/>
                <w:numId w:val="54"/>
              </w:numPr>
              <w:suppressAutoHyphens w:val="0"/>
              <w:spacing w:before="0" w:after="0" w:line="240" w:lineRule="auto"/>
              <w:contextualSpacing w:val="0"/>
              <w:rPr>
                <w:rFonts w:cstheme="minorHAnsi"/>
                <w:color w:val="000000"/>
                <w:sz w:val="21"/>
                <w:szCs w:val="21"/>
              </w:rPr>
            </w:pPr>
            <w:proofErr w:type="spellStart"/>
            <w:r w:rsidRPr="00216E7D">
              <w:rPr>
                <w:rFonts w:cstheme="minorHAnsi"/>
                <w:color w:val="000000"/>
                <w:sz w:val="21"/>
                <w:szCs w:val="21"/>
              </w:rPr>
              <w:t>Austrade</w:t>
            </w:r>
            <w:proofErr w:type="spellEnd"/>
            <w:r w:rsidRPr="00216E7D">
              <w:rPr>
                <w:rFonts w:cstheme="minorHAnsi"/>
                <w:color w:val="000000"/>
                <w:sz w:val="21"/>
                <w:szCs w:val="21"/>
              </w:rPr>
              <w:t xml:space="preserve"> </w:t>
            </w:r>
          </w:p>
          <w:p w14:paraId="6CF6C94F" w14:textId="77777777" w:rsidR="00E14D2D" w:rsidRPr="00216E7D" w:rsidRDefault="00E14D2D" w:rsidP="009D3124">
            <w:pPr>
              <w:pStyle w:val="ListParagraph"/>
              <w:numPr>
                <w:ilvl w:val="0"/>
                <w:numId w:val="54"/>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 xml:space="preserve">Department of Agriculture </w:t>
            </w:r>
          </w:p>
          <w:p w14:paraId="5295D60E" w14:textId="77777777" w:rsidR="00E14D2D" w:rsidRPr="00216E7D" w:rsidRDefault="00E14D2D" w:rsidP="009D3124">
            <w:pPr>
              <w:pStyle w:val="ListParagraph"/>
              <w:numPr>
                <w:ilvl w:val="0"/>
                <w:numId w:val="54"/>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 xml:space="preserve">Department of Education </w:t>
            </w:r>
          </w:p>
          <w:p w14:paraId="5941C8C0" w14:textId="77777777" w:rsidR="00E14D2D" w:rsidRPr="00216E7D" w:rsidRDefault="00E14D2D" w:rsidP="009D3124">
            <w:pPr>
              <w:pStyle w:val="ListParagraph"/>
              <w:numPr>
                <w:ilvl w:val="0"/>
                <w:numId w:val="54"/>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Department of Employment, Skills, Small and Family Business'</w:t>
            </w:r>
          </w:p>
          <w:p w14:paraId="4BBF5CA5" w14:textId="77777777" w:rsidR="00E14D2D" w:rsidRPr="00216E7D" w:rsidRDefault="00E14D2D" w:rsidP="009D3124">
            <w:pPr>
              <w:pStyle w:val="ListParagraph"/>
              <w:numPr>
                <w:ilvl w:val="0"/>
                <w:numId w:val="54"/>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 xml:space="preserve">Department of Foreign Affairs and Trade: </w:t>
            </w:r>
          </w:p>
          <w:p w14:paraId="0751F931" w14:textId="77777777" w:rsidR="00E14D2D" w:rsidRPr="00216E7D" w:rsidRDefault="00E14D2D" w:rsidP="009D3124">
            <w:pPr>
              <w:pStyle w:val="ListParagraph"/>
              <w:numPr>
                <w:ilvl w:val="1"/>
                <w:numId w:val="61"/>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 xml:space="preserve">Contracting and Aid Management Division </w:t>
            </w:r>
          </w:p>
          <w:p w14:paraId="6ED178B5" w14:textId="77777777" w:rsidR="00E14D2D" w:rsidRPr="00216E7D" w:rsidRDefault="00E14D2D" w:rsidP="009D3124">
            <w:pPr>
              <w:pStyle w:val="ListParagraph"/>
              <w:numPr>
                <w:ilvl w:val="1"/>
                <w:numId w:val="61"/>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 xml:space="preserve">Development Economics Unit and Chief Economist </w:t>
            </w:r>
          </w:p>
          <w:p w14:paraId="7510A286" w14:textId="77777777" w:rsidR="00E14D2D" w:rsidRPr="00216E7D" w:rsidRDefault="00E14D2D" w:rsidP="009D3124">
            <w:pPr>
              <w:pStyle w:val="ListParagraph"/>
              <w:numPr>
                <w:ilvl w:val="1"/>
                <w:numId w:val="61"/>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Former AANZFTA Program Managers</w:t>
            </w:r>
          </w:p>
          <w:p w14:paraId="1A37E8BE" w14:textId="77777777" w:rsidR="00E14D2D" w:rsidRPr="00216E7D" w:rsidRDefault="00E14D2D" w:rsidP="009D3124">
            <w:pPr>
              <w:pStyle w:val="ListParagraph"/>
              <w:numPr>
                <w:ilvl w:val="1"/>
                <w:numId w:val="61"/>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Pacific Economic Growth and Trade Section</w:t>
            </w:r>
          </w:p>
          <w:p w14:paraId="6DE87073" w14:textId="77777777" w:rsidR="00E14D2D" w:rsidRPr="00216E7D" w:rsidRDefault="00E14D2D" w:rsidP="009D3124">
            <w:pPr>
              <w:pStyle w:val="ListParagraph"/>
              <w:numPr>
                <w:ilvl w:val="1"/>
                <w:numId w:val="61"/>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 xml:space="preserve">Private Sector Development Section </w:t>
            </w:r>
          </w:p>
          <w:p w14:paraId="092EEB29" w14:textId="77777777" w:rsidR="00E14D2D" w:rsidRPr="00216E7D" w:rsidRDefault="00E14D2D" w:rsidP="009D3124">
            <w:pPr>
              <w:pStyle w:val="ListParagraph"/>
              <w:numPr>
                <w:ilvl w:val="1"/>
                <w:numId w:val="61"/>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 xml:space="preserve">Regional Trade Agreements Division </w:t>
            </w:r>
          </w:p>
          <w:p w14:paraId="68002F47" w14:textId="77777777" w:rsidR="00E14D2D" w:rsidRPr="00216E7D" w:rsidRDefault="00E14D2D" w:rsidP="009D3124">
            <w:pPr>
              <w:pStyle w:val="ListParagraph"/>
              <w:numPr>
                <w:ilvl w:val="1"/>
                <w:numId w:val="61"/>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 xml:space="preserve">South East Asia Division </w:t>
            </w:r>
          </w:p>
          <w:p w14:paraId="6A229726" w14:textId="77777777" w:rsidR="00E14D2D" w:rsidRPr="00216E7D" w:rsidRDefault="00E14D2D" w:rsidP="009D3124">
            <w:pPr>
              <w:pStyle w:val="ListParagraph"/>
              <w:numPr>
                <w:ilvl w:val="0"/>
                <w:numId w:val="54"/>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 xml:space="preserve">Department of Health </w:t>
            </w:r>
          </w:p>
          <w:p w14:paraId="4C0D7D46" w14:textId="77777777" w:rsidR="00E14D2D" w:rsidRPr="00216E7D" w:rsidRDefault="00E14D2D" w:rsidP="009D3124">
            <w:pPr>
              <w:pStyle w:val="ListParagraph"/>
              <w:numPr>
                <w:ilvl w:val="0"/>
                <w:numId w:val="54"/>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Department of Industry, Innovation and Science</w:t>
            </w:r>
          </w:p>
          <w:p w14:paraId="3C8BB28F" w14:textId="77777777" w:rsidR="00E14D2D" w:rsidRPr="00216E7D" w:rsidRDefault="00E14D2D" w:rsidP="009D3124">
            <w:pPr>
              <w:pStyle w:val="ListParagraph"/>
              <w:numPr>
                <w:ilvl w:val="0"/>
                <w:numId w:val="54"/>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Standards Australia</w:t>
            </w:r>
          </w:p>
        </w:tc>
        <w:tc>
          <w:tcPr>
            <w:tcW w:w="4678" w:type="dxa"/>
            <w:tcBorders>
              <w:top w:val="nil"/>
              <w:left w:val="nil"/>
              <w:bottom w:val="single" w:sz="8" w:space="0" w:color="auto"/>
              <w:right w:val="single" w:sz="8" w:space="0" w:color="auto"/>
            </w:tcBorders>
            <w:tcMar>
              <w:top w:w="0" w:type="dxa"/>
              <w:left w:w="108" w:type="dxa"/>
              <w:bottom w:w="0" w:type="dxa"/>
              <w:right w:w="108" w:type="dxa"/>
            </w:tcMar>
          </w:tcPr>
          <w:p w14:paraId="564DE067" w14:textId="77777777" w:rsidR="00E14D2D" w:rsidRPr="00216E7D" w:rsidRDefault="00E14D2D" w:rsidP="009D3124">
            <w:pPr>
              <w:pStyle w:val="ListParagraph"/>
              <w:numPr>
                <w:ilvl w:val="0"/>
                <w:numId w:val="55"/>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QP3 Consulting (Independent Probity Adviser)</w:t>
            </w:r>
          </w:p>
        </w:tc>
      </w:tr>
    </w:tbl>
    <w:p w14:paraId="0C6F8FD8" w14:textId="77777777" w:rsidR="00E14D2D" w:rsidRPr="00216E7D" w:rsidRDefault="00E14D2D" w:rsidP="00E14D2D">
      <w:pPr>
        <w:rPr>
          <w:rFonts w:cstheme="minorHAnsi"/>
          <w:i/>
          <w:sz w:val="21"/>
          <w:szCs w:val="21"/>
        </w:rPr>
      </w:pPr>
      <w:r w:rsidRPr="00216E7D">
        <w:rPr>
          <w:rFonts w:cstheme="minorHAnsi"/>
          <w:i/>
          <w:sz w:val="21"/>
          <w:szCs w:val="21"/>
        </w:rPr>
        <w:t>Jakarta, 25-29 November 2019</w:t>
      </w:r>
    </w:p>
    <w:tbl>
      <w:tblPr>
        <w:tblW w:w="0" w:type="auto"/>
        <w:tblLayout w:type="fixed"/>
        <w:tblCellMar>
          <w:left w:w="0" w:type="dxa"/>
          <w:right w:w="0" w:type="dxa"/>
        </w:tblCellMar>
        <w:tblLook w:val="04A0" w:firstRow="1" w:lastRow="0" w:firstColumn="1" w:lastColumn="0" w:noHBand="0" w:noVBand="1"/>
      </w:tblPr>
      <w:tblGrid>
        <w:gridCol w:w="2235"/>
        <w:gridCol w:w="2268"/>
        <w:gridCol w:w="2409"/>
        <w:gridCol w:w="2330"/>
      </w:tblGrid>
      <w:tr w:rsidR="00A05509" w:rsidRPr="00216E7D" w14:paraId="34C3628F" w14:textId="77777777" w:rsidTr="004037BC">
        <w:trPr>
          <w:tblHeader/>
        </w:trPr>
        <w:tc>
          <w:tcPr>
            <w:tcW w:w="22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EEE1581" w14:textId="77777777" w:rsidR="00E14D2D" w:rsidRPr="00216E7D" w:rsidRDefault="00E14D2D" w:rsidP="007D0381">
            <w:pPr>
              <w:rPr>
                <w:rFonts w:cstheme="minorHAnsi"/>
                <w:b/>
                <w:bCs/>
                <w:color w:val="000000"/>
                <w:sz w:val="21"/>
                <w:szCs w:val="21"/>
              </w:rPr>
            </w:pPr>
            <w:r w:rsidRPr="00216E7D">
              <w:rPr>
                <w:rFonts w:cstheme="minorHAnsi"/>
                <w:b/>
                <w:bCs/>
                <w:color w:val="000000"/>
                <w:sz w:val="21"/>
                <w:szCs w:val="21"/>
              </w:rPr>
              <w:t xml:space="preserve">Indonesian Government </w:t>
            </w:r>
          </w:p>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BBCD00" w14:textId="77777777" w:rsidR="00E14D2D" w:rsidRPr="00216E7D" w:rsidRDefault="00E14D2D" w:rsidP="007D0381">
            <w:pPr>
              <w:rPr>
                <w:rFonts w:cstheme="minorHAnsi"/>
                <w:b/>
                <w:bCs/>
                <w:color w:val="000000"/>
                <w:sz w:val="21"/>
                <w:szCs w:val="21"/>
              </w:rPr>
            </w:pPr>
            <w:r w:rsidRPr="00216E7D">
              <w:rPr>
                <w:rFonts w:cstheme="minorHAnsi"/>
                <w:b/>
                <w:bCs/>
                <w:color w:val="000000"/>
                <w:sz w:val="21"/>
                <w:szCs w:val="21"/>
              </w:rPr>
              <w:t>Australian Government (Embassy)</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B482B9" w14:textId="77777777" w:rsidR="00E14D2D" w:rsidRPr="00216E7D" w:rsidRDefault="00E14D2D" w:rsidP="007D0381">
            <w:pPr>
              <w:rPr>
                <w:rFonts w:cstheme="minorHAnsi"/>
                <w:b/>
                <w:bCs/>
                <w:color w:val="000000"/>
                <w:sz w:val="21"/>
                <w:szCs w:val="21"/>
              </w:rPr>
            </w:pPr>
            <w:r w:rsidRPr="00216E7D">
              <w:rPr>
                <w:rFonts w:cstheme="minorHAnsi"/>
                <w:b/>
                <w:bCs/>
                <w:color w:val="000000"/>
                <w:sz w:val="21"/>
                <w:szCs w:val="21"/>
              </w:rPr>
              <w:t>Private Sector</w:t>
            </w:r>
          </w:p>
        </w:tc>
        <w:tc>
          <w:tcPr>
            <w:tcW w:w="23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07A149" w14:textId="77777777" w:rsidR="00E14D2D" w:rsidRPr="00216E7D" w:rsidRDefault="00E14D2D" w:rsidP="007D0381">
            <w:pPr>
              <w:rPr>
                <w:rFonts w:cstheme="minorHAnsi"/>
                <w:b/>
                <w:bCs/>
                <w:color w:val="000000"/>
                <w:sz w:val="21"/>
                <w:szCs w:val="21"/>
              </w:rPr>
            </w:pPr>
            <w:r w:rsidRPr="00216E7D">
              <w:rPr>
                <w:rFonts w:cstheme="minorHAnsi"/>
                <w:b/>
                <w:bCs/>
                <w:color w:val="000000"/>
                <w:sz w:val="21"/>
                <w:szCs w:val="21"/>
              </w:rPr>
              <w:t>Development programs and partners</w:t>
            </w:r>
          </w:p>
        </w:tc>
      </w:tr>
      <w:tr w:rsidR="00A05509" w:rsidRPr="00216E7D" w14:paraId="3FC4D4F7" w14:textId="77777777" w:rsidTr="004037BC">
        <w:tc>
          <w:tcPr>
            <w:tcW w:w="223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A8D74C" w14:textId="77777777" w:rsidR="00E14D2D" w:rsidRPr="00216E7D" w:rsidRDefault="00E14D2D" w:rsidP="009D3124">
            <w:pPr>
              <w:pStyle w:val="ListParagraph"/>
              <w:numPr>
                <w:ilvl w:val="0"/>
                <w:numId w:val="57"/>
              </w:numPr>
              <w:suppressAutoHyphens w:val="0"/>
              <w:spacing w:before="0" w:after="0" w:line="240" w:lineRule="auto"/>
              <w:contextualSpacing w:val="0"/>
              <w:rPr>
                <w:rFonts w:cstheme="minorHAnsi"/>
                <w:color w:val="000000"/>
                <w:sz w:val="21"/>
                <w:szCs w:val="21"/>
              </w:rPr>
            </w:pPr>
            <w:proofErr w:type="spellStart"/>
            <w:r w:rsidRPr="00216E7D">
              <w:rPr>
                <w:rFonts w:cstheme="minorHAnsi"/>
                <w:color w:val="000000"/>
                <w:sz w:val="21"/>
                <w:szCs w:val="21"/>
              </w:rPr>
              <w:t>Bappenas</w:t>
            </w:r>
            <w:proofErr w:type="spellEnd"/>
          </w:p>
          <w:p w14:paraId="56586629" w14:textId="77777777" w:rsidR="00E14D2D" w:rsidRPr="00216E7D" w:rsidRDefault="00E14D2D" w:rsidP="009D3124">
            <w:pPr>
              <w:pStyle w:val="ListParagraph"/>
              <w:numPr>
                <w:ilvl w:val="0"/>
                <w:numId w:val="57"/>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BKPM</w:t>
            </w:r>
          </w:p>
          <w:p w14:paraId="18540DC9" w14:textId="77777777" w:rsidR="00E14D2D" w:rsidRPr="00216E7D" w:rsidRDefault="00E14D2D" w:rsidP="009D3124">
            <w:pPr>
              <w:pStyle w:val="ListParagraph"/>
              <w:numPr>
                <w:ilvl w:val="0"/>
                <w:numId w:val="57"/>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 xml:space="preserve">BSN </w:t>
            </w:r>
          </w:p>
          <w:p w14:paraId="6BA19828" w14:textId="77777777" w:rsidR="00E14D2D" w:rsidRPr="00216E7D" w:rsidRDefault="00E14D2D" w:rsidP="009D3124">
            <w:pPr>
              <w:pStyle w:val="ListParagraph"/>
              <w:numPr>
                <w:ilvl w:val="0"/>
                <w:numId w:val="57"/>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 xml:space="preserve">Coordinating Ministry of Economic Affairs, who convened a </w:t>
            </w:r>
            <w:r w:rsidRPr="00216E7D">
              <w:rPr>
                <w:rFonts w:cstheme="minorHAnsi"/>
                <w:color w:val="000000"/>
                <w:sz w:val="21"/>
                <w:szCs w:val="21"/>
              </w:rPr>
              <w:lastRenderedPageBreak/>
              <w:t xml:space="preserve">skills roundtable with representatives from: </w:t>
            </w:r>
          </w:p>
          <w:p w14:paraId="315722F4" w14:textId="77777777" w:rsidR="00E14D2D" w:rsidRPr="00216E7D" w:rsidRDefault="00E14D2D" w:rsidP="009D3124">
            <w:pPr>
              <w:pStyle w:val="ListParagraph"/>
              <w:numPr>
                <w:ilvl w:val="1"/>
                <w:numId w:val="63"/>
              </w:numPr>
              <w:suppressAutoHyphens w:val="0"/>
              <w:spacing w:before="0" w:after="0" w:line="240" w:lineRule="auto"/>
              <w:ind w:left="709" w:hanging="142"/>
              <w:contextualSpacing w:val="0"/>
              <w:rPr>
                <w:rFonts w:cstheme="minorHAnsi"/>
                <w:color w:val="000000"/>
                <w:sz w:val="21"/>
                <w:szCs w:val="21"/>
              </w:rPr>
            </w:pPr>
            <w:proofErr w:type="spellStart"/>
            <w:r w:rsidRPr="00216E7D">
              <w:rPr>
                <w:rFonts w:cstheme="minorHAnsi"/>
                <w:color w:val="000000"/>
                <w:sz w:val="21"/>
                <w:szCs w:val="21"/>
              </w:rPr>
              <w:t>Bappenas</w:t>
            </w:r>
            <w:proofErr w:type="spellEnd"/>
          </w:p>
          <w:p w14:paraId="76E4BE2F" w14:textId="77777777" w:rsidR="00E14D2D" w:rsidRPr="00216E7D" w:rsidRDefault="00E14D2D" w:rsidP="009D3124">
            <w:pPr>
              <w:pStyle w:val="ListParagraph"/>
              <w:numPr>
                <w:ilvl w:val="1"/>
                <w:numId w:val="63"/>
              </w:numPr>
              <w:suppressAutoHyphens w:val="0"/>
              <w:spacing w:before="0" w:after="0" w:line="240" w:lineRule="auto"/>
              <w:ind w:left="709" w:hanging="142"/>
              <w:contextualSpacing w:val="0"/>
              <w:rPr>
                <w:rFonts w:cstheme="minorHAnsi"/>
                <w:color w:val="000000"/>
                <w:sz w:val="21"/>
                <w:szCs w:val="21"/>
              </w:rPr>
            </w:pPr>
            <w:r w:rsidRPr="00216E7D">
              <w:rPr>
                <w:rFonts w:cstheme="minorHAnsi"/>
                <w:color w:val="000000"/>
                <w:sz w:val="21"/>
                <w:szCs w:val="21"/>
              </w:rPr>
              <w:t>Ministry of Manpower</w:t>
            </w:r>
          </w:p>
          <w:p w14:paraId="4060FF38" w14:textId="77777777" w:rsidR="00E14D2D" w:rsidRPr="00216E7D" w:rsidRDefault="00E14D2D" w:rsidP="009D3124">
            <w:pPr>
              <w:pStyle w:val="ListParagraph"/>
              <w:numPr>
                <w:ilvl w:val="1"/>
                <w:numId w:val="63"/>
              </w:numPr>
              <w:suppressAutoHyphens w:val="0"/>
              <w:spacing w:before="0" w:after="0" w:line="240" w:lineRule="auto"/>
              <w:ind w:left="709" w:hanging="142"/>
              <w:contextualSpacing w:val="0"/>
              <w:rPr>
                <w:rFonts w:cstheme="minorHAnsi"/>
                <w:color w:val="000000"/>
                <w:sz w:val="21"/>
                <w:szCs w:val="21"/>
              </w:rPr>
            </w:pPr>
            <w:r w:rsidRPr="00216E7D">
              <w:rPr>
                <w:rFonts w:cstheme="minorHAnsi"/>
                <w:color w:val="000000"/>
                <w:sz w:val="21"/>
                <w:szCs w:val="21"/>
              </w:rPr>
              <w:t>Ministry of SOEs</w:t>
            </w:r>
          </w:p>
          <w:p w14:paraId="642BE1C8" w14:textId="77777777" w:rsidR="00E14D2D" w:rsidRPr="00216E7D" w:rsidRDefault="00E14D2D" w:rsidP="009D3124">
            <w:pPr>
              <w:pStyle w:val="ListParagraph"/>
              <w:numPr>
                <w:ilvl w:val="1"/>
                <w:numId w:val="63"/>
              </w:numPr>
              <w:suppressAutoHyphens w:val="0"/>
              <w:spacing w:before="0" w:after="0" w:line="240" w:lineRule="auto"/>
              <w:ind w:left="709" w:hanging="142"/>
              <w:contextualSpacing w:val="0"/>
              <w:rPr>
                <w:rFonts w:cstheme="minorHAnsi"/>
                <w:color w:val="000000"/>
                <w:sz w:val="21"/>
                <w:szCs w:val="21"/>
              </w:rPr>
            </w:pPr>
            <w:r w:rsidRPr="00216E7D">
              <w:rPr>
                <w:rFonts w:cstheme="minorHAnsi"/>
                <w:color w:val="000000"/>
                <w:sz w:val="21"/>
                <w:szCs w:val="21"/>
              </w:rPr>
              <w:t>Ministry of Research and Technology</w:t>
            </w:r>
          </w:p>
          <w:p w14:paraId="028198B7" w14:textId="77777777" w:rsidR="00E14D2D" w:rsidRPr="00216E7D" w:rsidRDefault="00E14D2D" w:rsidP="009D3124">
            <w:pPr>
              <w:pStyle w:val="ListParagraph"/>
              <w:numPr>
                <w:ilvl w:val="1"/>
                <w:numId w:val="63"/>
              </w:numPr>
              <w:suppressAutoHyphens w:val="0"/>
              <w:spacing w:before="0" w:after="0" w:line="240" w:lineRule="auto"/>
              <w:ind w:left="709" w:hanging="142"/>
              <w:contextualSpacing w:val="0"/>
              <w:rPr>
                <w:rFonts w:cstheme="minorHAnsi"/>
                <w:color w:val="000000"/>
                <w:sz w:val="21"/>
                <w:szCs w:val="21"/>
              </w:rPr>
            </w:pPr>
            <w:r w:rsidRPr="00216E7D">
              <w:rPr>
                <w:rFonts w:cstheme="minorHAnsi"/>
                <w:color w:val="000000"/>
                <w:sz w:val="21"/>
                <w:szCs w:val="21"/>
              </w:rPr>
              <w:t>Ministry of Education and Culture</w:t>
            </w:r>
          </w:p>
          <w:p w14:paraId="40CC5CE7" w14:textId="77777777" w:rsidR="00E14D2D" w:rsidRPr="00216E7D" w:rsidRDefault="00E14D2D" w:rsidP="009D3124">
            <w:pPr>
              <w:pStyle w:val="ListParagraph"/>
              <w:numPr>
                <w:ilvl w:val="0"/>
                <w:numId w:val="57"/>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Ministry of Agriculture</w:t>
            </w:r>
          </w:p>
          <w:p w14:paraId="7B14DB24" w14:textId="77777777" w:rsidR="00E14D2D" w:rsidRPr="00216E7D" w:rsidRDefault="00E14D2D" w:rsidP="009D3124">
            <w:pPr>
              <w:pStyle w:val="ListParagraph"/>
              <w:numPr>
                <w:ilvl w:val="0"/>
                <w:numId w:val="57"/>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 xml:space="preserve">Ministry of Health </w:t>
            </w:r>
          </w:p>
          <w:p w14:paraId="6A27E106" w14:textId="77777777" w:rsidR="00E14D2D" w:rsidRPr="00216E7D" w:rsidRDefault="00E14D2D" w:rsidP="009D3124">
            <w:pPr>
              <w:pStyle w:val="ListParagraph"/>
              <w:numPr>
                <w:ilvl w:val="0"/>
                <w:numId w:val="57"/>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Ministry of Industry</w:t>
            </w:r>
          </w:p>
          <w:p w14:paraId="16F08138" w14:textId="77777777" w:rsidR="00E14D2D" w:rsidRPr="00216E7D" w:rsidRDefault="00E14D2D" w:rsidP="009D3124">
            <w:pPr>
              <w:pStyle w:val="ListParagraph"/>
              <w:numPr>
                <w:ilvl w:val="0"/>
                <w:numId w:val="57"/>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Ministry of SMEs</w:t>
            </w:r>
          </w:p>
          <w:p w14:paraId="2399F340" w14:textId="77777777" w:rsidR="00E14D2D" w:rsidRPr="00216E7D" w:rsidRDefault="00E14D2D" w:rsidP="009D3124">
            <w:pPr>
              <w:pStyle w:val="ListParagraph"/>
              <w:numPr>
                <w:ilvl w:val="0"/>
                <w:numId w:val="57"/>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Ministry of Trade</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41590AD" w14:textId="77777777" w:rsidR="00E14D2D" w:rsidRPr="00216E7D" w:rsidRDefault="00E14D2D" w:rsidP="009D3124">
            <w:pPr>
              <w:pStyle w:val="ListParagraph"/>
              <w:numPr>
                <w:ilvl w:val="0"/>
                <w:numId w:val="58"/>
              </w:numPr>
              <w:suppressAutoHyphens w:val="0"/>
              <w:spacing w:before="0" w:after="0" w:line="240" w:lineRule="auto"/>
              <w:contextualSpacing w:val="0"/>
              <w:rPr>
                <w:rFonts w:cstheme="minorHAnsi"/>
                <w:color w:val="000000"/>
                <w:sz w:val="21"/>
                <w:szCs w:val="21"/>
              </w:rPr>
            </w:pPr>
            <w:proofErr w:type="spellStart"/>
            <w:r w:rsidRPr="00216E7D">
              <w:rPr>
                <w:rFonts w:cstheme="minorHAnsi"/>
                <w:color w:val="000000"/>
                <w:sz w:val="21"/>
                <w:szCs w:val="21"/>
              </w:rPr>
              <w:lastRenderedPageBreak/>
              <w:t>Austrade</w:t>
            </w:r>
            <w:proofErr w:type="spellEnd"/>
          </w:p>
          <w:p w14:paraId="2A5C200E" w14:textId="77777777" w:rsidR="00E14D2D" w:rsidRPr="00216E7D" w:rsidRDefault="00E14D2D" w:rsidP="009D3124">
            <w:pPr>
              <w:pStyle w:val="ListParagraph"/>
              <w:numPr>
                <w:ilvl w:val="0"/>
                <w:numId w:val="58"/>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CSIRO</w:t>
            </w:r>
          </w:p>
          <w:p w14:paraId="2B467F72" w14:textId="77777777" w:rsidR="00E14D2D" w:rsidRPr="00216E7D" w:rsidRDefault="00E14D2D" w:rsidP="009D3124">
            <w:pPr>
              <w:pStyle w:val="ListParagraph"/>
              <w:numPr>
                <w:ilvl w:val="0"/>
                <w:numId w:val="58"/>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 xml:space="preserve">Department of Agriculture </w:t>
            </w:r>
          </w:p>
          <w:p w14:paraId="4A940165" w14:textId="77777777" w:rsidR="00E14D2D" w:rsidRPr="00216E7D" w:rsidRDefault="00E14D2D" w:rsidP="009D3124">
            <w:pPr>
              <w:pStyle w:val="ListParagraph"/>
              <w:numPr>
                <w:ilvl w:val="0"/>
                <w:numId w:val="58"/>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 xml:space="preserve">Department of Education </w:t>
            </w:r>
          </w:p>
          <w:p w14:paraId="2B065663" w14:textId="77777777" w:rsidR="00E14D2D" w:rsidRPr="00216E7D" w:rsidRDefault="00E14D2D" w:rsidP="009D3124">
            <w:pPr>
              <w:pStyle w:val="ListParagraph"/>
              <w:numPr>
                <w:ilvl w:val="0"/>
                <w:numId w:val="58"/>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lastRenderedPageBreak/>
              <w:t xml:space="preserve">Department of Foreign Affairs and Trade: </w:t>
            </w:r>
          </w:p>
          <w:p w14:paraId="2D2CCD83" w14:textId="77777777" w:rsidR="00E14D2D" w:rsidRPr="00216E7D" w:rsidRDefault="00E14D2D" w:rsidP="009D3124">
            <w:pPr>
              <w:pStyle w:val="ListParagraph"/>
              <w:numPr>
                <w:ilvl w:val="1"/>
                <w:numId w:val="60"/>
              </w:numPr>
              <w:suppressAutoHyphens w:val="0"/>
              <w:spacing w:before="0" w:after="0" w:line="240" w:lineRule="auto"/>
              <w:ind w:left="601" w:hanging="142"/>
              <w:contextualSpacing w:val="0"/>
              <w:rPr>
                <w:rFonts w:cstheme="minorHAnsi"/>
                <w:color w:val="000000"/>
                <w:sz w:val="21"/>
                <w:szCs w:val="21"/>
              </w:rPr>
            </w:pPr>
            <w:r w:rsidRPr="00216E7D">
              <w:rPr>
                <w:rFonts w:cstheme="minorHAnsi"/>
                <w:color w:val="000000"/>
                <w:sz w:val="21"/>
                <w:szCs w:val="21"/>
              </w:rPr>
              <w:t>Australia’s Ambassador to Indonesia, Gary Quinlan</w:t>
            </w:r>
          </w:p>
          <w:p w14:paraId="2AD4E140" w14:textId="77777777" w:rsidR="00E14D2D" w:rsidRPr="00216E7D" w:rsidRDefault="00E14D2D" w:rsidP="009D3124">
            <w:pPr>
              <w:pStyle w:val="ListParagraph"/>
              <w:numPr>
                <w:ilvl w:val="1"/>
                <w:numId w:val="60"/>
              </w:numPr>
              <w:suppressAutoHyphens w:val="0"/>
              <w:spacing w:before="0" w:after="0" w:line="240" w:lineRule="auto"/>
              <w:ind w:left="601" w:hanging="142"/>
              <w:contextualSpacing w:val="0"/>
              <w:rPr>
                <w:rFonts w:cstheme="minorHAnsi"/>
                <w:color w:val="000000"/>
                <w:sz w:val="21"/>
                <w:szCs w:val="21"/>
              </w:rPr>
            </w:pPr>
            <w:r w:rsidRPr="00216E7D">
              <w:rPr>
                <w:rFonts w:cstheme="minorHAnsi"/>
                <w:color w:val="000000"/>
                <w:sz w:val="21"/>
                <w:szCs w:val="21"/>
              </w:rPr>
              <w:t>Australia’s Indonesian Consulate Generals: Surabaya, Bali, Makassar (via teleconference)</w:t>
            </w:r>
          </w:p>
          <w:p w14:paraId="43D212BE" w14:textId="77777777" w:rsidR="00E14D2D" w:rsidRPr="00216E7D" w:rsidRDefault="00E14D2D" w:rsidP="009D3124">
            <w:pPr>
              <w:pStyle w:val="ListParagraph"/>
              <w:numPr>
                <w:ilvl w:val="1"/>
                <w:numId w:val="60"/>
              </w:numPr>
              <w:suppressAutoHyphens w:val="0"/>
              <w:spacing w:before="0" w:after="0" w:line="240" w:lineRule="auto"/>
              <w:ind w:left="601" w:hanging="142"/>
              <w:contextualSpacing w:val="0"/>
              <w:rPr>
                <w:rFonts w:cstheme="minorHAnsi"/>
                <w:color w:val="000000"/>
                <w:sz w:val="21"/>
                <w:szCs w:val="21"/>
              </w:rPr>
            </w:pPr>
            <w:r w:rsidRPr="00216E7D">
              <w:rPr>
                <w:rFonts w:cstheme="minorHAnsi"/>
                <w:color w:val="000000"/>
                <w:sz w:val="21"/>
                <w:szCs w:val="21"/>
              </w:rPr>
              <w:t>Basic Education Development Team</w:t>
            </w:r>
          </w:p>
          <w:p w14:paraId="6D25C93B" w14:textId="77777777" w:rsidR="00E14D2D" w:rsidRPr="00216E7D" w:rsidRDefault="00E14D2D" w:rsidP="009D3124">
            <w:pPr>
              <w:pStyle w:val="ListParagraph"/>
              <w:numPr>
                <w:ilvl w:val="1"/>
                <w:numId w:val="60"/>
              </w:numPr>
              <w:suppressAutoHyphens w:val="0"/>
              <w:spacing w:before="0" w:after="0" w:line="240" w:lineRule="auto"/>
              <w:ind w:left="601" w:hanging="142"/>
              <w:contextualSpacing w:val="0"/>
              <w:rPr>
                <w:rFonts w:cstheme="minorHAnsi"/>
                <w:color w:val="000000"/>
                <w:sz w:val="21"/>
                <w:szCs w:val="21"/>
              </w:rPr>
            </w:pPr>
            <w:r w:rsidRPr="00216E7D">
              <w:rPr>
                <w:rFonts w:cstheme="minorHAnsi"/>
                <w:color w:val="000000"/>
                <w:sz w:val="21"/>
                <w:szCs w:val="21"/>
              </w:rPr>
              <w:t>Economic Section</w:t>
            </w:r>
          </w:p>
          <w:p w14:paraId="5DA5BDD7" w14:textId="77777777" w:rsidR="00E14D2D" w:rsidRPr="00216E7D" w:rsidRDefault="00E14D2D" w:rsidP="009D3124">
            <w:pPr>
              <w:pStyle w:val="ListParagraph"/>
              <w:numPr>
                <w:ilvl w:val="1"/>
                <w:numId w:val="60"/>
              </w:numPr>
              <w:suppressAutoHyphens w:val="0"/>
              <w:spacing w:before="0" w:after="0" w:line="240" w:lineRule="auto"/>
              <w:ind w:left="601" w:hanging="142"/>
              <w:contextualSpacing w:val="0"/>
              <w:rPr>
                <w:rFonts w:cstheme="minorHAnsi"/>
                <w:color w:val="000000"/>
                <w:sz w:val="21"/>
                <w:szCs w:val="21"/>
              </w:rPr>
            </w:pPr>
            <w:r w:rsidRPr="00216E7D">
              <w:rPr>
                <w:rFonts w:cstheme="minorHAnsi"/>
                <w:color w:val="000000"/>
                <w:sz w:val="21"/>
                <w:szCs w:val="21"/>
              </w:rPr>
              <w:t>Health Development Team, Mission to ASEAN</w:t>
            </w:r>
          </w:p>
          <w:p w14:paraId="3A70C00A" w14:textId="77777777" w:rsidR="00E14D2D" w:rsidRPr="00216E7D" w:rsidRDefault="00E14D2D" w:rsidP="009D3124">
            <w:pPr>
              <w:pStyle w:val="ListParagraph"/>
              <w:numPr>
                <w:ilvl w:val="1"/>
                <w:numId w:val="60"/>
              </w:numPr>
              <w:suppressAutoHyphens w:val="0"/>
              <w:spacing w:before="0" w:after="0" w:line="240" w:lineRule="auto"/>
              <w:ind w:left="601" w:hanging="142"/>
              <w:contextualSpacing w:val="0"/>
              <w:rPr>
                <w:rFonts w:cstheme="minorHAnsi"/>
                <w:color w:val="000000"/>
                <w:sz w:val="21"/>
                <w:szCs w:val="21"/>
              </w:rPr>
            </w:pPr>
            <w:r w:rsidRPr="00216E7D">
              <w:rPr>
                <w:rFonts w:cstheme="minorHAnsi"/>
                <w:color w:val="000000"/>
                <w:sz w:val="21"/>
                <w:szCs w:val="21"/>
              </w:rPr>
              <w:t>Rural Development Team</w:t>
            </w:r>
          </w:p>
          <w:p w14:paraId="12841ECB" w14:textId="77777777" w:rsidR="00E14D2D" w:rsidRPr="00216E7D" w:rsidRDefault="00E14D2D" w:rsidP="009D3124">
            <w:pPr>
              <w:pStyle w:val="ListParagraph"/>
              <w:numPr>
                <w:ilvl w:val="1"/>
                <w:numId w:val="60"/>
              </w:numPr>
              <w:suppressAutoHyphens w:val="0"/>
              <w:spacing w:before="0" w:after="0" w:line="240" w:lineRule="auto"/>
              <w:ind w:left="601" w:hanging="142"/>
              <w:contextualSpacing w:val="0"/>
              <w:rPr>
                <w:rFonts w:cstheme="minorHAnsi"/>
                <w:color w:val="000000"/>
                <w:sz w:val="21"/>
                <w:szCs w:val="21"/>
              </w:rPr>
            </w:pPr>
            <w:r w:rsidRPr="00216E7D">
              <w:rPr>
                <w:rFonts w:cstheme="minorHAnsi"/>
                <w:color w:val="000000"/>
                <w:sz w:val="21"/>
                <w:szCs w:val="21"/>
              </w:rPr>
              <w:t>Scholarships Team</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719E1F72" w14:textId="77777777" w:rsidR="00E14D2D" w:rsidRPr="00216E7D" w:rsidRDefault="00E14D2D" w:rsidP="009D3124">
            <w:pPr>
              <w:pStyle w:val="ListParagraph"/>
              <w:numPr>
                <w:ilvl w:val="0"/>
                <w:numId w:val="59"/>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lastRenderedPageBreak/>
              <w:t>APINDO</w:t>
            </w:r>
          </w:p>
          <w:p w14:paraId="5A29401D" w14:textId="77777777" w:rsidR="00E14D2D" w:rsidRPr="00216E7D" w:rsidRDefault="00E14D2D" w:rsidP="009D3124">
            <w:pPr>
              <w:pStyle w:val="ListParagraph"/>
              <w:numPr>
                <w:ilvl w:val="0"/>
                <w:numId w:val="59"/>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GAPMMI</w:t>
            </w:r>
          </w:p>
          <w:p w14:paraId="7B8D815B" w14:textId="77777777" w:rsidR="00E14D2D" w:rsidRPr="00216E7D" w:rsidRDefault="00E14D2D" w:rsidP="009D3124">
            <w:pPr>
              <w:pStyle w:val="ListParagraph"/>
              <w:numPr>
                <w:ilvl w:val="0"/>
                <w:numId w:val="59"/>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GPMT (Indonesia Feed Mills Association)</w:t>
            </w:r>
          </w:p>
          <w:p w14:paraId="7EA884AE" w14:textId="77777777" w:rsidR="00E14D2D" w:rsidRPr="00216E7D" w:rsidRDefault="00E14D2D" w:rsidP="009D3124">
            <w:pPr>
              <w:pStyle w:val="ListParagraph"/>
              <w:numPr>
                <w:ilvl w:val="0"/>
                <w:numId w:val="59"/>
              </w:numPr>
              <w:suppressAutoHyphens w:val="0"/>
              <w:spacing w:before="0" w:after="0" w:line="240" w:lineRule="auto"/>
              <w:contextualSpacing w:val="0"/>
              <w:rPr>
                <w:rFonts w:cstheme="minorHAnsi"/>
                <w:color w:val="000000"/>
                <w:sz w:val="21"/>
                <w:szCs w:val="21"/>
              </w:rPr>
            </w:pPr>
            <w:proofErr w:type="spellStart"/>
            <w:r w:rsidRPr="00216E7D">
              <w:rPr>
                <w:rFonts w:cstheme="minorHAnsi"/>
                <w:color w:val="000000"/>
                <w:sz w:val="21"/>
                <w:szCs w:val="21"/>
              </w:rPr>
              <w:t>IndoFood</w:t>
            </w:r>
            <w:proofErr w:type="spellEnd"/>
            <w:r w:rsidRPr="00216E7D">
              <w:rPr>
                <w:rFonts w:cstheme="minorHAnsi"/>
                <w:color w:val="000000"/>
                <w:sz w:val="21"/>
                <w:szCs w:val="21"/>
              </w:rPr>
              <w:t xml:space="preserve"> </w:t>
            </w:r>
            <w:proofErr w:type="spellStart"/>
            <w:r w:rsidRPr="00216E7D">
              <w:rPr>
                <w:rFonts w:cstheme="minorHAnsi"/>
                <w:color w:val="000000"/>
                <w:sz w:val="21"/>
                <w:szCs w:val="21"/>
              </w:rPr>
              <w:t>Bogasari</w:t>
            </w:r>
            <w:proofErr w:type="spellEnd"/>
            <w:r w:rsidRPr="00216E7D">
              <w:rPr>
                <w:rFonts w:cstheme="minorHAnsi"/>
                <w:color w:val="000000"/>
                <w:sz w:val="21"/>
                <w:szCs w:val="21"/>
              </w:rPr>
              <w:t xml:space="preserve"> Flour</w:t>
            </w:r>
          </w:p>
          <w:p w14:paraId="21F6F489" w14:textId="77777777" w:rsidR="00E14D2D" w:rsidRPr="00216E7D" w:rsidRDefault="00E14D2D" w:rsidP="009D3124">
            <w:pPr>
              <w:pStyle w:val="ListParagraph"/>
              <w:numPr>
                <w:ilvl w:val="0"/>
                <w:numId w:val="59"/>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lastRenderedPageBreak/>
              <w:t>Indonesia Food Innovation Centre (IFIC)</w:t>
            </w:r>
          </w:p>
          <w:p w14:paraId="1A0FDFD9" w14:textId="77777777" w:rsidR="00E14D2D" w:rsidRPr="00216E7D" w:rsidRDefault="00E14D2D" w:rsidP="009D3124">
            <w:pPr>
              <w:pStyle w:val="ListParagraph"/>
              <w:numPr>
                <w:ilvl w:val="0"/>
                <w:numId w:val="59"/>
              </w:numPr>
              <w:suppressAutoHyphens w:val="0"/>
              <w:spacing w:before="0" w:after="0" w:line="240" w:lineRule="auto"/>
              <w:contextualSpacing w:val="0"/>
              <w:rPr>
                <w:rFonts w:cstheme="minorHAnsi"/>
                <w:color w:val="000000"/>
                <w:sz w:val="21"/>
                <w:szCs w:val="21"/>
                <w:lang w:val="en-ID"/>
              </w:rPr>
            </w:pPr>
            <w:r w:rsidRPr="00216E7D">
              <w:rPr>
                <w:rFonts w:cstheme="minorHAnsi"/>
                <w:color w:val="000000"/>
                <w:sz w:val="21"/>
                <w:szCs w:val="21"/>
              </w:rPr>
              <w:t xml:space="preserve">Indonesia Services Dialogue (ISD), who convened a roundtable with 20 tech companies, including: </w:t>
            </w:r>
            <w:proofErr w:type="spellStart"/>
            <w:r w:rsidRPr="00216E7D">
              <w:rPr>
                <w:rFonts w:cstheme="minorHAnsi"/>
                <w:color w:val="000000"/>
                <w:sz w:val="21"/>
                <w:szCs w:val="21"/>
              </w:rPr>
              <w:t>Bukalapak</w:t>
            </w:r>
            <w:proofErr w:type="spellEnd"/>
            <w:r w:rsidRPr="00216E7D">
              <w:rPr>
                <w:rFonts w:cstheme="minorHAnsi"/>
                <w:color w:val="000000"/>
                <w:sz w:val="21"/>
                <w:szCs w:val="21"/>
              </w:rPr>
              <w:t xml:space="preserve">, </w:t>
            </w:r>
            <w:proofErr w:type="spellStart"/>
            <w:r w:rsidRPr="00216E7D">
              <w:rPr>
                <w:rFonts w:cstheme="minorHAnsi"/>
                <w:color w:val="000000"/>
                <w:sz w:val="21"/>
                <w:szCs w:val="21"/>
              </w:rPr>
              <w:t>Tokopedia</w:t>
            </w:r>
            <w:proofErr w:type="spellEnd"/>
            <w:r w:rsidRPr="00216E7D">
              <w:rPr>
                <w:rFonts w:cstheme="minorHAnsi"/>
                <w:color w:val="000000"/>
                <w:sz w:val="21"/>
                <w:szCs w:val="21"/>
              </w:rPr>
              <w:t xml:space="preserve">, </w:t>
            </w:r>
            <w:proofErr w:type="spellStart"/>
            <w:r w:rsidRPr="00216E7D">
              <w:rPr>
                <w:rFonts w:cstheme="minorHAnsi"/>
                <w:color w:val="000000"/>
                <w:sz w:val="21"/>
                <w:szCs w:val="21"/>
              </w:rPr>
              <w:t>GoJek</w:t>
            </w:r>
            <w:proofErr w:type="spellEnd"/>
            <w:r w:rsidRPr="00216E7D">
              <w:rPr>
                <w:rFonts w:cstheme="minorHAnsi"/>
                <w:color w:val="000000"/>
                <w:sz w:val="21"/>
                <w:szCs w:val="21"/>
              </w:rPr>
              <w:t xml:space="preserve">, </w:t>
            </w:r>
            <w:proofErr w:type="spellStart"/>
            <w:r w:rsidRPr="00216E7D">
              <w:rPr>
                <w:rFonts w:cstheme="minorHAnsi"/>
                <w:color w:val="000000"/>
                <w:sz w:val="21"/>
                <w:szCs w:val="21"/>
                <w:lang w:val="en-ID"/>
              </w:rPr>
              <w:t>Helpster</w:t>
            </w:r>
            <w:proofErr w:type="spellEnd"/>
            <w:r w:rsidRPr="00216E7D">
              <w:rPr>
                <w:rFonts w:cstheme="minorHAnsi"/>
                <w:color w:val="000000"/>
                <w:sz w:val="21"/>
                <w:szCs w:val="21"/>
                <w:lang w:val="en-ID"/>
              </w:rPr>
              <w:t xml:space="preserve"> (online labour platform for blue collar workers), Caravan (Digital illustration), </w:t>
            </w:r>
            <w:proofErr w:type="spellStart"/>
            <w:r w:rsidRPr="00216E7D">
              <w:rPr>
                <w:rFonts w:cstheme="minorHAnsi"/>
                <w:color w:val="000000"/>
                <w:sz w:val="21"/>
                <w:szCs w:val="21"/>
                <w:lang w:val="en-ID"/>
              </w:rPr>
              <w:t>Ainaki</w:t>
            </w:r>
            <w:proofErr w:type="spellEnd"/>
            <w:r w:rsidRPr="00216E7D">
              <w:rPr>
                <w:rFonts w:cstheme="minorHAnsi"/>
                <w:color w:val="000000"/>
                <w:sz w:val="21"/>
                <w:szCs w:val="21"/>
                <w:lang w:val="en-ID"/>
              </w:rPr>
              <w:t xml:space="preserve"> (animation), </w:t>
            </w:r>
            <w:proofErr w:type="spellStart"/>
            <w:r w:rsidRPr="00216E7D">
              <w:rPr>
                <w:rFonts w:cstheme="minorHAnsi"/>
                <w:color w:val="000000"/>
                <w:sz w:val="21"/>
                <w:szCs w:val="21"/>
                <w:lang w:val="en-ID"/>
              </w:rPr>
              <w:t>Coinworks</w:t>
            </w:r>
            <w:proofErr w:type="spellEnd"/>
            <w:r w:rsidRPr="00216E7D">
              <w:rPr>
                <w:rFonts w:cstheme="minorHAnsi"/>
                <w:color w:val="000000"/>
                <w:sz w:val="21"/>
                <w:szCs w:val="21"/>
                <w:lang w:val="en-ID"/>
              </w:rPr>
              <w:t xml:space="preserve"> (Fintech – P2P lending platform), </w:t>
            </w:r>
            <w:proofErr w:type="spellStart"/>
            <w:r w:rsidRPr="00216E7D">
              <w:rPr>
                <w:rFonts w:cstheme="minorHAnsi"/>
                <w:color w:val="000000"/>
                <w:sz w:val="21"/>
                <w:szCs w:val="21"/>
                <w:lang w:val="en-ID"/>
              </w:rPr>
              <w:t>KitaBisa</w:t>
            </w:r>
            <w:proofErr w:type="spellEnd"/>
            <w:r w:rsidRPr="00216E7D">
              <w:rPr>
                <w:rFonts w:cstheme="minorHAnsi"/>
                <w:color w:val="000000"/>
                <w:sz w:val="21"/>
                <w:szCs w:val="21"/>
                <w:lang w:val="en-ID"/>
              </w:rPr>
              <w:t xml:space="preserve"> (Fintech – P2P Digital Fund/Donation Platform), OVO</w:t>
            </w:r>
          </w:p>
          <w:p w14:paraId="6E0B4485" w14:textId="77777777" w:rsidR="00E14D2D" w:rsidRPr="00216E7D" w:rsidRDefault="00E14D2D" w:rsidP="009D3124">
            <w:pPr>
              <w:pStyle w:val="ListParagraph"/>
              <w:numPr>
                <w:ilvl w:val="0"/>
                <w:numId w:val="59"/>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KADIN</w:t>
            </w:r>
          </w:p>
          <w:p w14:paraId="4150A777" w14:textId="77777777" w:rsidR="00E14D2D" w:rsidRPr="00216E7D" w:rsidRDefault="00E14D2D" w:rsidP="009D3124">
            <w:pPr>
              <w:pStyle w:val="ListParagraph"/>
              <w:numPr>
                <w:ilvl w:val="0"/>
                <w:numId w:val="59"/>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Meat and Livestock Australia (MLA)</w:t>
            </w:r>
          </w:p>
          <w:p w14:paraId="4E355187" w14:textId="77777777" w:rsidR="00E14D2D" w:rsidRPr="00216E7D" w:rsidRDefault="00E14D2D" w:rsidP="009D3124">
            <w:pPr>
              <w:pStyle w:val="ListParagraph"/>
              <w:numPr>
                <w:ilvl w:val="0"/>
                <w:numId w:val="59"/>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 xml:space="preserve">PT </w:t>
            </w:r>
            <w:proofErr w:type="spellStart"/>
            <w:r w:rsidRPr="00216E7D">
              <w:rPr>
                <w:rFonts w:cstheme="minorHAnsi"/>
                <w:color w:val="000000"/>
                <w:sz w:val="21"/>
                <w:szCs w:val="21"/>
              </w:rPr>
              <w:t>Mitra</w:t>
            </w:r>
            <w:proofErr w:type="spellEnd"/>
            <w:r w:rsidRPr="00216E7D">
              <w:rPr>
                <w:rFonts w:cstheme="minorHAnsi"/>
                <w:color w:val="000000"/>
                <w:sz w:val="21"/>
                <w:szCs w:val="21"/>
              </w:rPr>
              <w:t xml:space="preserve"> Asia Lestari (John Ackerman)</w:t>
            </w:r>
          </w:p>
          <w:p w14:paraId="6E8584F4" w14:textId="77777777" w:rsidR="00E14D2D" w:rsidRPr="00216E7D" w:rsidRDefault="00E14D2D" w:rsidP="009D3124">
            <w:pPr>
              <w:pStyle w:val="ListParagraph"/>
              <w:numPr>
                <w:ilvl w:val="0"/>
                <w:numId w:val="59"/>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PT. Toyota Motor Manufacturing Indonesia</w:t>
            </w:r>
          </w:p>
          <w:p w14:paraId="134A6779" w14:textId="77777777" w:rsidR="00E14D2D" w:rsidRPr="00216E7D" w:rsidRDefault="00E14D2D" w:rsidP="009D3124">
            <w:pPr>
              <w:pStyle w:val="ListParagraph"/>
              <w:numPr>
                <w:ilvl w:val="0"/>
                <w:numId w:val="59"/>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 xml:space="preserve">SME </w:t>
            </w:r>
            <w:proofErr w:type="spellStart"/>
            <w:r w:rsidRPr="00216E7D">
              <w:rPr>
                <w:rFonts w:cstheme="minorHAnsi"/>
                <w:color w:val="000000"/>
                <w:sz w:val="21"/>
                <w:szCs w:val="21"/>
              </w:rPr>
              <w:t>Center</w:t>
            </w:r>
            <w:proofErr w:type="spellEnd"/>
          </w:p>
        </w:tc>
        <w:tc>
          <w:tcPr>
            <w:tcW w:w="2330" w:type="dxa"/>
            <w:tcBorders>
              <w:top w:val="nil"/>
              <w:left w:val="nil"/>
              <w:bottom w:val="single" w:sz="8" w:space="0" w:color="auto"/>
              <w:right w:val="single" w:sz="8" w:space="0" w:color="auto"/>
            </w:tcBorders>
            <w:tcMar>
              <w:top w:w="0" w:type="dxa"/>
              <w:left w:w="108" w:type="dxa"/>
              <w:bottom w:w="0" w:type="dxa"/>
              <w:right w:w="108" w:type="dxa"/>
            </w:tcMar>
            <w:hideMark/>
          </w:tcPr>
          <w:p w14:paraId="287056EA" w14:textId="77777777" w:rsidR="00E14D2D" w:rsidRPr="00216E7D" w:rsidRDefault="00E14D2D" w:rsidP="009D3124">
            <w:pPr>
              <w:pStyle w:val="ListParagraph"/>
              <w:numPr>
                <w:ilvl w:val="0"/>
                <w:numId w:val="56"/>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lastRenderedPageBreak/>
              <w:t>Australia Awards Scholarships Program (Coffey)</w:t>
            </w:r>
          </w:p>
          <w:p w14:paraId="78C30D32" w14:textId="77777777" w:rsidR="00E14D2D" w:rsidRPr="00216E7D" w:rsidRDefault="00E14D2D" w:rsidP="009D3124">
            <w:pPr>
              <w:pStyle w:val="ListParagraph"/>
              <w:numPr>
                <w:ilvl w:val="0"/>
                <w:numId w:val="56"/>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 xml:space="preserve">KIAT (Australian-funded bilateral infrastructure focused </w:t>
            </w:r>
            <w:r w:rsidRPr="00216E7D">
              <w:rPr>
                <w:rFonts w:cstheme="minorHAnsi"/>
                <w:color w:val="000000"/>
                <w:sz w:val="21"/>
                <w:szCs w:val="21"/>
              </w:rPr>
              <w:lastRenderedPageBreak/>
              <w:t>development program, which has a TVET activity)</w:t>
            </w:r>
          </w:p>
          <w:p w14:paraId="6DDE2E39" w14:textId="77777777" w:rsidR="00E14D2D" w:rsidRPr="00216E7D" w:rsidRDefault="00E14D2D" w:rsidP="009D3124">
            <w:pPr>
              <w:pStyle w:val="ListParagraph"/>
              <w:numPr>
                <w:ilvl w:val="0"/>
                <w:numId w:val="56"/>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TASS and INOVASI (other Australian-funded bilateral education-focused development programs)</w:t>
            </w:r>
          </w:p>
          <w:p w14:paraId="7FA032AB" w14:textId="77777777" w:rsidR="00E14D2D" w:rsidRPr="00216E7D" w:rsidRDefault="00E14D2D" w:rsidP="009D3124">
            <w:pPr>
              <w:pStyle w:val="ListParagraph"/>
              <w:numPr>
                <w:ilvl w:val="0"/>
                <w:numId w:val="56"/>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TVET Development Partners Roundtable with representatives from: UK, Canada, Swiss, US, ILO, Germany, World Bank, France and Japan</w:t>
            </w:r>
          </w:p>
        </w:tc>
      </w:tr>
    </w:tbl>
    <w:p w14:paraId="7D2AD188" w14:textId="77777777" w:rsidR="00E14D2D" w:rsidRPr="00216E7D" w:rsidRDefault="00E14D2D" w:rsidP="00E14D2D">
      <w:pPr>
        <w:rPr>
          <w:rFonts w:cstheme="minorHAnsi"/>
          <w:i/>
          <w:sz w:val="21"/>
          <w:szCs w:val="21"/>
        </w:rPr>
      </w:pPr>
      <w:r w:rsidRPr="00216E7D">
        <w:rPr>
          <w:rFonts w:cstheme="minorHAnsi"/>
          <w:i/>
          <w:sz w:val="21"/>
          <w:szCs w:val="21"/>
        </w:rPr>
        <w:lastRenderedPageBreak/>
        <w:t>Canberra, Sydney and Melbourne, 10-12 December 2019</w:t>
      </w:r>
    </w:p>
    <w:tbl>
      <w:tblPr>
        <w:tblW w:w="9180" w:type="dxa"/>
        <w:tblLayout w:type="fixed"/>
        <w:tblCellMar>
          <w:left w:w="0" w:type="dxa"/>
          <w:right w:w="0" w:type="dxa"/>
        </w:tblCellMar>
        <w:tblLook w:val="04A0" w:firstRow="1" w:lastRow="0" w:firstColumn="1" w:lastColumn="0" w:noHBand="0" w:noVBand="1"/>
      </w:tblPr>
      <w:tblGrid>
        <w:gridCol w:w="3157"/>
        <w:gridCol w:w="3047"/>
        <w:gridCol w:w="2976"/>
      </w:tblGrid>
      <w:tr w:rsidR="002E3B8D" w:rsidRPr="00216E7D" w14:paraId="31E70BCD" w14:textId="77777777" w:rsidTr="004037BC">
        <w:trPr>
          <w:tblHeader/>
        </w:trPr>
        <w:tc>
          <w:tcPr>
            <w:tcW w:w="3157"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6EB54B62" w14:textId="77777777" w:rsidR="00E14D2D" w:rsidRPr="00216E7D" w:rsidRDefault="00E14D2D" w:rsidP="007D0381">
            <w:pPr>
              <w:rPr>
                <w:rFonts w:cstheme="minorHAnsi"/>
                <w:b/>
                <w:bCs/>
                <w:color w:val="000000"/>
                <w:sz w:val="21"/>
                <w:szCs w:val="21"/>
              </w:rPr>
            </w:pPr>
            <w:r w:rsidRPr="00216E7D">
              <w:rPr>
                <w:rFonts w:cstheme="minorHAnsi"/>
                <w:b/>
                <w:bCs/>
                <w:color w:val="000000"/>
                <w:sz w:val="21"/>
                <w:szCs w:val="21"/>
              </w:rPr>
              <w:t xml:space="preserve">Australian Government </w:t>
            </w:r>
          </w:p>
        </w:tc>
        <w:tc>
          <w:tcPr>
            <w:tcW w:w="30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19EDE8" w14:textId="77777777" w:rsidR="00E14D2D" w:rsidRPr="00216E7D" w:rsidRDefault="00E14D2D" w:rsidP="007D0381">
            <w:pPr>
              <w:rPr>
                <w:rFonts w:cstheme="minorHAnsi"/>
                <w:b/>
                <w:bCs/>
                <w:color w:val="000000"/>
                <w:sz w:val="21"/>
                <w:szCs w:val="21"/>
              </w:rPr>
            </w:pPr>
            <w:r w:rsidRPr="00216E7D">
              <w:rPr>
                <w:rFonts w:cstheme="minorHAnsi"/>
                <w:b/>
                <w:bCs/>
                <w:color w:val="000000"/>
                <w:sz w:val="21"/>
                <w:szCs w:val="21"/>
              </w:rPr>
              <w:t>Private Sector</w:t>
            </w:r>
          </w:p>
        </w:tc>
        <w:tc>
          <w:tcPr>
            <w:tcW w:w="2976" w:type="dxa"/>
            <w:tcBorders>
              <w:top w:val="single" w:sz="8" w:space="0" w:color="auto"/>
              <w:left w:val="nil"/>
              <w:bottom w:val="single" w:sz="8" w:space="0" w:color="auto"/>
              <w:right w:val="single" w:sz="8" w:space="0" w:color="auto"/>
            </w:tcBorders>
          </w:tcPr>
          <w:p w14:paraId="49C8A822" w14:textId="77777777" w:rsidR="00E14D2D" w:rsidRPr="00216E7D" w:rsidRDefault="00E14D2D" w:rsidP="00A05509">
            <w:pPr>
              <w:ind w:left="141"/>
              <w:rPr>
                <w:rFonts w:cstheme="minorHAnsi"/>
                <w:b/>
                <w:bCs/>
                <w:color w:val="000000"/>
                <w:sz w:val="21"/>
                <w:szCs w:val="21"/>
              </w:rPr>
            </w:pPr>
            <w:r w:rsidRPr="00216E7D">
              <w:rPr>
                <w:rFonts w:cstheme="minorHAnsi"/>
                <w:b/>
                <w:bCs/>
                <w:color w:val="000000"/>
                <w:sz w:val="21"/>
                <w:szCs w:val="21"/>
              </w:rPr>
              <w:t>Development programs and partners</w:t>
            </w:r>
          </w:p>
        </w:tc>
      </w:tr>
      <w:tr w:rsidR="002E3B8D" w:rsidRPr="00216E7D" w14:paraId="4EBA3F33" w14:textId="77777777" w:rsidTr="004037BC">
        <w:tc>
          <w:tcPr>
            <w:tcW w:w="3157" w:type="dxa"/>
            <w:tcBorders>
              <w:top w:val="nil"/>
              <w:left w:val="single" w:sz="4" w:space="0" w:color="auto"/>
              <w:bottom w:val="single" w:sz="8" w:space="0" w:color="auto"/>
              <w:right w:val="single" w:sz="8" w:space="0" w:color="auto"/>
            </w:tcBorders>
            <w:tcMar>
              <w:top w:w="0" w:type="dxa"/>
              <w:left w:w="108" w:type="dxa"/>
              <w:bottom w:w="0" w:type="dxa"/>
              <w:right w:w="108" w:type="dxa"/>
            </w:tcMar>
          </w:tcPr>
          <w:p w14:paraId="07BC7D16" w14:textId="77777777" w:rsidR="00E14D2D" w:rsidRPr="00216E7D" w:rsidRDefault="00E14D2D" w:rsidP="009D3124">
            <w:pPr>
              <w:pStyle w:val="ListParagraph"/>
              <w:numPr>
                <w:ilvl w:val="0"/>
                <w:numId w:val="51"/>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Department of Agriculture</w:t>
            </w:r>
          </w:p>
          <w:p w14:paraId="65175EA6" w14:textId="77777777" w:rsidR="00E14D2D" w:rsidRPr="00216E7D" w:rsidRDefault="00E14D2D" w:rsidP="009D3124">
            <w:pPr>
              <w:pStyle w:val="ListParagraph"/>
              <w:numPr>
                <w:ilvl w:val="0"/>
                <w:numId w:val="51"/>
              </w:numPr>
              <w:suppressAutoHyphens w:val="0"/>
              <w:spacing w:before="0" w:after="0" w:line="240" w:lineRule="auto"/>
              <w:contextualSpacing w:val="0"/>
              <w:rPr>
                <w:rFonts w:cstheme="minorHAnsi"/>
                <w:color w:val="000000"/>
                <w:sz w:val="21"/>
                <w:szCs w:val="21"/>
              </w:rPr>
            </w:pPr>
            <w:r w:rsidRPr="00216E7D">
              <w:rPr>
                <w:rFonts w:cstheme="minorHAnsi"/>
                <w:sz w:val="21"/>
                <w:szCs w:val="21"/>
              </w:rPr>
              <w:t>Department of Employment, Skills, Small and Family Business</w:t>
            </w:r>
          </w:p>
          <w:p w14:paraId="4C970635" w14:textId="77777777" w:rsidR="00E14D2D" w:rsidRPr="00216E7D" w:rsidRDefault="00E14D2D" w:rsidP="009D3124">
            <w:pPr>
              <w:pStyle w:val="ListParagraph"/>
              <w:numPr>
                <w:ilvl w:val="0"/>
                <w:numId w:val="51"/>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 xml:space="preserve">Department of Foreign Affairs and Trade: </w:t>
            </w:r>
          </w:p>
          <w:p w14:paraId="58D5FB6A" w14:textId="77777777" w:rsidR="00E14D2D" w:rsidRPr="00216E7D" w:rsidRDefault="00E14D2D" w:rsidP="009D3124">
            <w:pPr>
              <w:pStyle w:val="ListParagraph"/>
              <w:numPr>
                <w:ilvl w:val="1"/>
                <w:numId w:val="51"/>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Business Partnerships Platform</w:t>
            </w:r>
          </w:p>
          <w:p w14:paraId="241AFB62" w14:textId="77777777" w:rsidR="00E14D2D" w:rsidRPr="00216E7D" w:rsidRDefault="00E14D2D" w:rsidP="009D3124">
            <w:pPr>
              <w:pStyle w:val="ListParagraph"/>
              <w:numPr>
                <w:ilvl w:val="1"/>
                <w:numId w:val="51"/>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Development Economics Unit</w:t>
            </w:r>
          </w:p>
          <w:p w14:paraId="3A2AAB54" w14:textId="77777777" w:rsidR="00E14D2D" w:rsidRPr="00216E7D" w:rsidRDefault="00E14D2D" w:rsidP="009D3124">
            <w:pPr>
              <w:pStyle w:val="ListParagraph"/>
              <w:numPr>
                <w:ilvl w:val="1"/>
                <w:numId w:val="51"/>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Investing in Women</w:t>
            </w:r>
          </w:p>
          <w:p w14:paraId="11FB8F5C" w14:textId="77777777" w:rsidR="00E14D2D" w:rsidRPr="00216E7D" w:rsidRDefault="00E14D2D" w:rsidP="009D3124">
            <w:pPr>
              <w:pStyle w:val="ListParagraph"/>
              <w:numPr>
                <w:ilvl w:val="1"/>
                <w:numId w:val="51"/>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 xml:space="preserve">Investment Design Section </w:t>
            </w:r>
          </w:p>
          <w:p w14:paraId="7AB767BA" w14:textId="77777777" w:rsidR="00E14D2D" w:rsidRPr="00216E7D" w:rsidRDefault="00E14D2D" w:rsidP="009D3124">
            <w:pPr>
              <w:pStyle w:val="ListParagraph"/>
              <w:numPr>
                <w:ilvl w:val="1"/>
                <w:numId w:val="51"/>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lastRenderedPageBreak/>
              <w:t>Regional Trade Agreements Division</w:t>
            </w:r>
          </w:p>
          <w:p w14:paraId="69134A52" w14:textId="77777777" w:rsidR="00E14D2D" w:rsidRPr="00216E7D" w:rsidRDefault="00E14D2D" w:rsidP="009D3124">
            <w:pPr>
              <w:pStyle w:val="ListParagraph"/>
              <w:numPr>
                <w:ilvl w:val="0"/>
                <w:numId w:val="51"/>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 xml:space="preserve">Department of Industry, Innovation and Science </w:t>
            </w:r>
          </w:p>
          <w:p w14:paraId="24172074" w14:textId="77777777" w:rsidR="00E14D2D" w:rsidRPr="00216E7D" w:rsidRDefault="00E14D2D" w:rsidP="009D3124">
            <w:pPr>
              <w:pStyle w:val="ListParagraph"/>
              <w:numPr>
                <w:ilvl w:val="0"/>
                <w:numId w:val="51"/>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Standards Australia</w:t>
            </w:r>
          </w:p>
        </w:tc>
        <w:tc>
          <w:tcPr>
            <w:tcW w:w="3047" w:type="dxa"/>
            <w:tcBorders>
              <w:top w:val="nil"/>
              <w:left w:val="nil"/>
              <w:bottom w:val="single" w:sz="8" w:space="0" w:color="auto"/>
              <w:right w:val="single" w:sz="8" w:space="0" w:color="auto"/>
            </w:tcBorders>
            <w:tcMar>
              <w:top w:w="0" w:type="dxa"/>
              <w:left w:w="108" w:type="dxa"/>
              <w:bottom w:w="0" w:type="dxa"/>
              <w:right w:w="108" w:type="dxa"/>
            </w:tcMar>
          </w:tcPr>
          <w:p w14:paraId="1962C2EF" w14:textId="7CDD02CB" w:rsidR="002E3B8D" w:rsidRPr="00216E7D" w:rsidRDefault="00E14D2D" w:rsidP="009D3124">
            <w:pPr>
              <w:pStyle w:val="ListParagraph"/>
              <w:numPr>
                <w:ilvl w:val="0"/>
                <w:numId w:val="52"/>
              </w:numPr>
              <w:suppressAutoHyphens w:val="0"/>
              <w:spacing w:before="0" w:after="0" w:line="240" w:lineRule="auto"/>
              <w:contextualSpacing w:val="0"/>
              <w:rPr>
                <w:rFonts w:cstheme="minorHAnsi"/>
                <w:sz w:val="21"/>
                <w:szCs w:val="21"/>
              </w:rPr>
            </w:pPr>
            <w:r w:rsidRPr="00216E7D">
              <w:rPr>
                <w:rFonts w:cstheme="minorHAnsi"/>
                <w:sz w:val="21"/>
                <w:szCs w:val="21"/>
              </w:rPr>
              <w:lastRenderedPageBreak/>
              <w:t>Advanced Manufacturing Growth Centre (AMGC)</w:t>
            </w:r>
            <w:r w:rsidR="002E3B8D">
              <w:rPr>
                <w:rFonts w:cstheme="minorHAnsi"/>
                <w:sz w:val="21"/>
                <w:szCs w:val="21"/>
              </w:rPr>
              <w:t xml:space="preserve"> </w:t>
            </w:r>
          </w:p>
          <w:p w14:paraId="39A6EA24" w14:textId="77777777" w:rsidR="00E14D2D" w:rsidRPr="002E3B8D" w:rsidRDefault="00E14D2D" w:rsidP="009D3124">
            <w:pPr>
              <w:pStyle w:val="ListParagraph"/>
              <w:numPr>
                <w:ilvl w:val="0"/>
                <w:numId w:val="52"/>
              </w:numPr>
              <w:suppressAutoHyphens w:val="0"/>
              <w:spacing w:before="0" w:after="0" w:line="240" w:lineRule="auto"/>
              <w:contextualSpacing w:val="0"/>
              <w:rPr>
                <w:rFonts w:cstheme="minorHAnsi"/>
                <w:color w:val="000000"/>
                <w:sz w:val="21"/>
                <w:szCs w:val="21"/>
              </w:rPr>
            </w:pPr>
            <w:r w:rsidRPr="002E3B8D">
              <w:rPr>
                <w:rFonts w:cstheme="minorHAnsi"/>
                <w:sz w:val="21"/>
                <w:szCs w:val="21"/>
              </w:rPr>
              <w:t>Australian Chamber of Commerce and Industry (ACCI)</w:t>
            </w:r>
          </w:p>
          <w:p w14:paraId="53714856" w14:textId="77777777" w:rsidR="00E14D2D" w:rsidRPr="00216E7D" w:rsidRDefault="00E14D2D" w:rsidP="009D3124">
            <w:pPr>
              <w:pStyle w:val="ListParagraph"/>
              <w:numPr>
                <w:ilvl w:val="0"/>
                <w:numId w:val="52"/>
              </w:numPr>
              <w:suppressAutoHyphens w:val="0"/>
              <w:spacing w:before="0" w:after="0" w:line="240" w:lineRule="auto"/>
              <w:contextualSpacing w:val="0"/>
              <w:rPr>
                <w:rFonts w:cstheme="minorHAnsi"/>
                <w:color w:val="000000"/>
                <w:sz w:val="21"/>
                <w:szCs w:val="21"/>
              </w:rPr>
            </w:pPr>
            <w:r w:rsidRPr="00216E7D">
              <w:rPr>
                <w:rFonts w:cstheme="minorHAnsi"/>
                <w:bCs/>
                <w:sz w:val="21"/>
                <w:szCs w:val="21"/>
              </w:rPr>
              <w:t>Australian Export Grains Innovation Centre (</w:t>
            </w:r>
            <w:r w:rsidRPr="00216E7D">
              <w:rPr>
                <w:rFonts w:cstheme="minorHAnsi"/>
                <w:sz w:val="21"/>
                <w:szCs w:val="21"/>
              </w:rPr>
              <w:t>AEGIC)</w:t>
            </w:r>
          </w:p>
          <w:p w14:paraId="3BF0DC3E" w14:textId="77777777" w:rsidR="00E14D2D" w:rsidRPr="00216E7D" w:rsidRDefault="00E14D2D" w:rsidP="009D3124">
            <w:pPr>
              <w:pStyle w:val="ListParagraph"/>
              <w:numPr>
                <w:ilvl w:val="0"/>
                <w:numId w:val="52"/>
              </w:numPr>
              <w:suppressAutoHyphens w:val="0"/>
              <w:spacing w:before="0" w:after="0" w:line="240" w:lineRule="auto"/>
              <w:contextualSpacing w:val="0"/>
              <w:rPr>
                <w:rFonts w:cstheme="minorHAnsi"/>
                <w:color w:val="000000"/>
                <w:sz w:val="21"/>
                <w:szCs w:val="21"/>
              </w:rPr>
            </w:pPr>
            <w:r w:rsidRPr="00216E7D">
              <w:rPr>
                <w:rFonts w:cstheme="minorHAnsi"/>
                <w:sz w:val="21"/>
                <w:szCs w:val="21"/>
              </w:rPr>
              <w:t>Australian Food and Grocery Council (AFGC)</w:t>
            </w:r>
          </w:p>
          <w:p w14:paraId="223DF790" w14:textId="77777777" w:rsidR="00E14D2D" w:rsidRPr="00216E7D" w:rsidRDefault="00E14D2D" w:rsidP="009D3124">
            <w:pPr>
              <w:pStyle w:val="ListParagraph"/>
              <w:numPr>
                <w:ilvl w:val="0"/>
                <w:numId w:val="52"/>
              </w:numPr>
              <w:suppressAutoHyphens w:val="0"/>
              <w:spacing w:before="0" w:after="0" w:line="240" w:lineRule="auto"/>
              <w:contextualSpacing w:val="0"/>
              <w:rPr>
                <w:rFonts w:cstheme="minorHAnsi"/>
                <w:sz w:val="21"/>
                <w:szCs w:val="21"/>
              </w:rPr>
            </w:pPr>
            <w:r w:rsidRPr="00216E7D">
              <w:rPr>
                <w:rFonts w:cstheme="minorHAnsi"/>
                <w:sz w:val="21"/>
                <w:szCs w:val="21"/>
              </w:rPr>
              <w:t>Australian Industry Group (AIG)</w:t>
            </w:r>
          </w:p>
          <w:p w14:paraId="3E4F1C44" w14:textId="77777777" w:rsidR="00E14D2D" w:rsidRPr="00216E7D" w:rsidRDefault="00E14D2D" w:rsidP="009D3124">
            <w:pPr>
              <w:pStyle w:val="ListParagraph"/>
              <w:numPr>
                <w:ilvl w:val="0"/>
                <w:numId w:val="52"/>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Australian Investment Council (AIC)</w:t>
            </w:r>
          </w:p>
          <w:p w14:paraId="7BFC2515" w14:textId="77777777" w:rsidR="00E14D2D" w:rsidRPr="00216E7D" w:rsidRDefault="00E14D2D" w:rsidP="009D3124">
            <w:pPr>
              <w:pStyle w:val="ListParagraph"/>
              <w:numPr>
                <w:ilvl w:val="0"/>
                <w:numId w:val="52"/>
              </w:numPr>
              <w:suppressAutoHyphens w:val="0"/>
              <w:spacing w:before="0" w:after="0" w:line="240" w:lineRule="auto"/>
              <w:contextualSpacing w:val="0"/>
              <w:rPr>
                <w:rFonts w:cstheme="minorHAnsi"/>
                <w:sz w:val="21"/>
                <w:szCs w:val="21"/>
              </w:rPr>
            </w:pPr>
            <w:r w:rsidRPr="00216E7D">
              <w:rPr>
                <w:rFonts w:cstheme="minorHAnsi"/>
                <w:sz w:val="21"/>
                <w:szCs w:val="21"/>
              </w:rPr>
              <w:lastRenderedPageBreak/>
              <w:t>Australian Securities Exchange (ASX)</w:t>
            </w:r>
          </w:p>
          <w:p w14:paraId="1327824E" w14:textId="77777777" w:rsidR="00E14D2D" w:rsidRPr="00216E7D" w:rsidRDefault="00E14D2D" w:rsidP="009D3124">
            <w:pPr>
              <w:pStyle w:val="ListParagraph"/>
              <w:numPr>
                <w:ilvl w:val="0"/>
                <w:numId w:val="52"/>
              </w:numPr>
              <w:suppressAutoHyphens w:val="0"/>
              <w:spacing w:before="0" w:after="0" w:line="240" w:lineRule="auto"/>
              <w:contextualSpacing w:val="0"/>
              <w:rPr>
                <w:rFonts w:cstheme="minorHAnsi"/>
                <w:color w:val="000000"/>
                <w:sz w:val="21"/>
                <w:szCs w:val="21"/>
              </w:rPr>
            </w:pPr>
            <w:r w:rsidRPr="00216E7D">
              <w:rPr>
                <w:rFonts w:cstheme="minorHAnsi"/>
                <w:color w:val="000000"/>
                <w:sz w:val="21"/>
                <w:szCs w:val="21"/>
              </w:rPr>
              <w:t>Australian Services Roundtable</w:t>
            </w:r>
          </w:p>
          <w:p w14:paraId="6DBE9E8F" w14:textId="77777777" w:rsidR="00E14D2D" w:rsidRPr="00216E7D" w:rsidRDefault="00E14D2D" w:rsidP="009D3124">
            <w:pPr>
              <w:pStyle w:val="ListParagraph"/>
              <w:numPr>
                <w:ilvl w:val="0"/>
                <w:numId w:val="52"/>
              </w:numPr>
              <w:suppressAutoHyphens w:val="0"/>
              <w:spacing w:before="0" w:after="0" w:line="240" w:lineRule="auto"/>
              <w:contextualSpacing w:val="0"/>
              <w:rPr>
                <w:rFonts w:cstheme="minorHAnsi"/>
                <w:color w:val="000000"/>
                <w:sz w:val="21"/>
                <w:szCs w:val="21"/>
              </w:rPr>
            </w:pPr>
            <w:r w:rsidRPr="00216E7D">
              <w:rPr>
                <w:rFonts w:cstheme="minorHAnsi"/>
                <w:sz w:val="21"/>
                <w:szCs w:val="21"/>
              </w:rPr>
              <w:t>Independent Tertiary Education Council Australia (ITECA)</w:t>
            </w:r>
          </w:p>
          <w:p w14:paraId="44D5C4F1" w14:textId="77777777" w:rsidR="00E14D2D" w:rsidRPr="00216E7D" w:rsidRDefault="00E14D2D" w:rsidP="009D3124">
            <w:pPr>
              <w:pStyle w:val="ListParagraph"/>
              <w:numPr>
                <w:ilvl w:val="0"/>
                <w:numId w:val="52"/>
              </w:numPr>
              <w:suppressAutoHyphens w:val="0"/>
              <w:spacing w:before="0" w:after="0" w:line="240" w:lineRule="auto"/>
              <w:contextualSpacing w:val="0"/>
              <w:rPr>
                <w:rFonts w:cstheme="minorHAnsi"/>
                <w:color w:val="000000"/>
                <w:sz w:val="21"/>
                <w:szCs w:val="21"/>
              </w:rPr>
            </w:pPr>
            <w:r w:rsidRPr="00216E7D">
              <w:rPr>
                <w:rFonts w:cstheme="minorHAnsi"/>
                <w:sz w:val="21"/>
                <w:szCs w:val="21"/>
              </w:rPr>
              <w:t xml:space="preserve">SERCO Group </w:t>
            </w:r>
          </w:p>
          <w:p w14:paraId="57F12818" w14:textId="77777777" w:rsidR="00E14D2D" w:rsidRPr="00216E7D" w:rsidRDefault="00E14D2D" w:rsidP="009D3124">
            <w:pPr>
              <w:pStyle w:val="ListParagraph"/>
              <w:numPr>
                <w:ilvl w:val="0"/>
                <w:numId w:val="52"/>
              </w:numPr>
              <w:suppressAutoHyphens w:val="0"/>
              <w:spacing w:before="0" w:after="0" w:line="240" w:lineRule="auto"/>
              <w:contextualSpacing w:val="0"/>
              <w:rPr>
                <w:rFonts w:cstheme="minorHAnsi"/>
                <w:sz w:val="21"/>
                <w:szCs w:val="21"/>
              </w:rPr>
            </w:pPr>
            <w:r w:rsidRPr="00216E7D">
              <w:rPr>
                <w:rFonts w:cstheme="minorHAnsi"/>
                <w:sz w:val="21"/>
                <w:szCs w:val="21"/>
              </w:rPr>
              <w:t>TAFE Directors Australia</w:t>
            </w:r>
          </w:p>
        </w:tc>
        <w:tc>
          <w:tcPr>
            <w:tcW w:w="2976" w:type="dxa"/>
            <w:tcBorders>
              <w:top w:val="nil"/>
              <w:left w:val="nil"/>
              <w:bottom w:val="single" w:sz="8" w:space="0" w:color="auto"/>
              <w:right w:val="single" w:sz="8" w:space="0" w:color="auto"/>
            </w:tcBorders>
          </w:tcPr>
          <w:p w14:paraId="599BF2B0" w14:textId="77777777" w:rsidR="00E14D2D" w:rsidRPr="00216E7D" w:rsidRDefault="00E14D2D" w:rsidP="009D3124">
            <w:pPr>
              <w:pStyle w:val="ListParagraph"/>
              <w:numPr>
                <w:ilvl w:val="0"/>
                <w:numId w:val="53"/>
              </w:numPr>
              <w:suppressAutoHyphens w:val="0"/>
              <w:spacing w:before="0" w:after="0" w:line="240" w:lineRule="auto"/>
              <w:ind w:left="425" w:hanging="284"/>
              <w:contextualSpacing w:val="0"/>
              <w:rPr>
                <w:rFonts w:cstheme="minorHAnsi"/>
                <w:sz w:val="21"/>
                <w:szCs w:val="21"/>
              </w:rPr>
            </w:pPr>
            <w:r w:rsidRPr="00216E7D">
              <w:rPr>
                <w:rFonts w:cstheme="minorHAnsi"/>
                <w:sz w:val="21"/>
                <w:szCs w:val="21"/>
              </w:rPr>
              <w:lastRenderedPageBreak/>
              <w:t>Palladium (Business Partnerships Platform managing contractor)</w:t>
            </w:r>
          </w:p>
        </w:tc>
      </w:tr>
    </w:tbl>
    <w:p w14:paraId="5A176BA1" w14:textId="77777777" w:rsidR="00E14D2D" w:rsidRPr="00216E7D" w:rsidRDefault="00E14D2D" w:rsidP="00E14D2D">
      <w:pPr>
        <w:rPr>
          <w:rFonts w:cstheme="minorHAnsi"/>
          <w:i/>
          <w:sz w:val="21"/>
          <w:szCs w:val="21"/>
        </w:rPr>
      </w:pPr>
      <w:r w:rsidRPr="00216E7D">
        <w:rPr>
          <w:rFonts w:cstheme="minorHAnsi"/>
          <w:i/>
          <w:sz w:val="21"/>
          <w:szCs w:val="21"/>
        </w:rPr>
        <w:t>Via phone, outside dedicated missions</w:t>
      </w:r>
    </w:p>
    <w:tbl>
      <w:tblPr>
        <w:tblStyle w:val="TableGrid"/>
        <w:tblW w:w="0" w:type="auto"/>
        <w:tblLook w:val="04A0" w:firstRow="1" w:lastRow="0" w:firstColumn="1" w:lastColumn="0" w:noHBand="0" w:noVBand="1"/>
      </w:tblPr>
      <w:tblGrid>
        <w:gridCol w:w="9351"/>
      </w:tblGrid>
      <w:tr w:rsidR="00F5504F" w:rsidRPr="00216E7D" w14:paraId="61934054" w14:textId="77777777" w:rsidTr="007D0381">
        <w:trPr>
          <w:tblHeader/>
        </w:trPr>
        <w:tc>
          <w:tcPr>
            <w:tcW w:w="9351" w:type="dxa"/>
          </w:tcPr>
          <w:p w14:paraId="7847479D" w14:textId="56918EB7" w:rsidR="00F5504F" w:rsidRPr="00F5504F" w:rsidRDefault="00F5504F" w:rsidP="007D0381">
            <w:pPr>
              <w:rPr>
                <w:rFonts w:cstheme="minorHAnsi"/>
                <w:b/>
                <w:i/>
                <w:sz w:val="21"/>
                <w:szCs w:val="21"/>
              </w:rPr>
            </w:pPr>
            <w:r>
              <w:rPr>
                <w:rFonts w:cstheme="minorHAnsi"/>
                <w:b/>
                <w:i/>
                <w:sz w:val="21"/>
                <w:szCs w:val="21"/>
              </w:rPr>
              <w:t xml:space="preserve">Government of Australia </w:t>
            </w:r>
          </w:p>
        </w:tc>
      </w:tr>
      <w:tr w:rsidR="00F5504F" w:rsidRPr="00216E7D" w14:paraId="0B19B2F3" w14:textId="77777777" w:rsidTr="007D0381">
        <w:trPr>
          <w:tblHeader/>
        </w:trPr>
        <w:tc>
          <w:tcPr>
            <w:tcW w:w="9351" w:type="dxa"/>
          </w:tcPr>
          <w:p w14:paraId="57419C65" w14:textId="445EF6D3" w:rsidR="00F5504F" w:rsidRPr="00F5504F" w:rsidRDefault="00F5504F" w:rsidP="00F5504F">
            <w:pPr>
              <w:pStyle w:val="ListParagraph"/>
              <w:numPr>
                <w:ilvl w:val="0"/>
                <w:numId w:val="101"/>
              </w:numPr>
              <w:rPr>
                <w:rFonts w:cstheme="minorHAnsi"/>
                <w:sz w:val="21"/>
                <w:szCs w:val="21"/>
              </w:rPr>
            </w:pPr>
            <w:r w:rsidRPr="00F5504F">
              <w:rPr>
                <w:rFonts w:cstheme="minorHAnsi"/>
                <w:sz w:val="21"/>
                <w:szCs w:val="21"/>
              </w:rPr>
              <w:t xml:space="preserve">Australian Bureau of Agricultural and Resource </w:t>
            </w:r>
            <w:r>
              <w:rPr>
                <w:rFonts w:cstheme="minorHAnsi"/>
                <w:sz w:val="21"/>
                <w:szCs w:val="21"/>
              </w:rPr>
              <w:t>Economics and Sciences (ABARES)</w:t>
            </w:r>
          </w:p>
        </w:tc>
      </w:tr>
      <w:tr w:rsidR="00E14D2D" w:rsidRPr="00216E7D" w14:paraId="53E310B3" w14:textId="77777777" w:rsidTr="007D0381">
        <w:trPr>
          <w:tblHeader/>
        </w:trPr>
        <w:tc>
          <w:tcPr>
            <w:tcW w:w="9351" w:type="dxa"/>
          </w:tcPr>
          <w:p w14:paraId="4F88F31A" w14:textId="77777777" w:rsidR="00E14D2D" w:rsidRPr="00216E7D" w:rsidRDefault="00E14D2D" w:rsidP="007D0381">
            <w:pPr>
              <w:rPr>
                <w:rFonts w:cstheme="minorHAnsi"/>
                <w:b/>
                <w:sz w:val="21"/>
                <w:szCs w:val="21"/>
              </w:rPr>
            </w:pPr>
            <w:r w:rsidRPr="00216E7D">
              <w:rPr>
                <w:rFonts w:cstheme="minorHAnsi"/>
                <w:b/>
                <w:sz w:val="21"/>
                <w:szCs w:val="21"/>
              </w:rPr>
              <w:t xml:space="preserve">Private sector </w:t>
            </w:r>
          </w:p>
        </w:tc>
      </w:tr>
      <w:tr w:rsidR="00E14D2D" w:rsidRPr="00216E7D" w14:paraId="24EEC468" w14:textId="77777777" w:rsidTr="007D0381">
        <w:tc>
          <w:tcPr>
            <w:tcW w:w="9351" w:type="dxa"/>
          </w:tcPr>
          <w:p w14:paraId="49047E37" w14:textId="77777777" w:rsidR="00E14D2D" w:rsidRPr="00216E7D" w:rsidRDefault="00E14D2D" w:rsidP="009D3124">
            <w:pPr>
              <w:pStyle w:val="ListParagraph"/>
              <w:numPr>
                <w:ilvl w:val="0"/>
                <w:numId w:val="50"/>
              </w:numPr>
              <w:suppressAutoHyphens w:val="0"/>
              <w:spacing w:before="0" w:after="0" w:line="240" w:lineRule="auto"/>
              <w:contextualSpacing w:val="0"/>
              <w:rPr>
                <w:rFonts w:cstheme="minorHAnsi"/>
                <w:sz w:val="21"/>
                <w:szCs w:val="21"/>
              </w:rPr>
            </w:pPr>
            <w:r w:rsidRPr="00216E7D">
              <w:rPr>
                <w:rFonts w:cstheme="minorHAnsi"/>
                <w:sz w:val="21"/>
                <w:szCs w:val="21"/>
              </w:rPr>
              <w:t>Ascending (Online Nursing Platform)</w:t>
            </w:r>
          </w:p>
          <w:p w14:paraId="4C6ADFFE" w14:textId="77777777" w:rsidR="00E14D2D" w:rsidRPr="00216E7D" w:rsidRDefault="00E14D2D" w:rsidP="009D3124">
            <w:pPr>
              <w:pStyle w:val="ListParagraph"/>
              <w:numPr>
                <w:ilvl w:val="0"/>
                <w:numId w:val="50"/>
              </w:numPr>
              <w:suppressAutoHyphens w:val="0"/>
              <w:spacing w:before="0" w:after="0" w:line="240" w:lineRule="auto"/>
              <w:contextualSpacing w:val="0"/>
              <w:rPr>
                <w:rFonts w:cstheme="minorHAnsi"/>
                <w:sz w:val="21"/>
                <w:szCs w:val="21"/>
              </w:rPr>
            </w:pPr>
            <w:r w:rsidRPr="00216E7D">
              <w:rPr>
                <w:rFonts w:cstheme="minorHAnsi"/>
                <w:sz w:val="21"/>
                <w:szCs w:val="21"/>
              </w:rPr>
              <w:t>Australian Financial Complaints Authority (AFCA)</w:t>
            </w:r>
          </w:p>
          <w:p w14:paraId="3B1FEF36" w14:textId="77777777" w:rsidR="00E14D2D" w:rsidRPr="00216E7D" w:rsidRDefault="00E14D2D" w:rsidP="009D3124">
            <w:pPr>
              <w:pStyle w:val="ListParagraph"/>
              <w:numPr>
                <w:ilvl w:val="0"/>
                <w:numId w:val="50"/>
              </w:numPr>
              <w:suppressAutoHyphens w:val="0"/>
              <w:spacing w:before="0" w:after="0" w:line="240" w:lineRule="auto"/>
              <w:contextualSpacing w:val="0"/>
              <w:rPr>
                <w:rFonts w:cstheme="minorHAnsi"/>
                <w:sz w:val="21"/>
                <w:szCs w:val="21"/>
              </w:rPr>
            </w:pPr>
            <w:r w:rsidRPr="00216E7D">
              <w:rPr>
                <w:rFonts w:cstheme="minorHAnsi"/>
                <w:sz w:val="21"/>
                <w:szCs w:val="21"/>
              </w:rPr>
              <w:t>Australian Grape and Wine</w:t>
            </w:r>
          </w:p>
          <w:p w14:paraId="5328BF96" w14:textId="77777777" w:rsidR="00E14D2D" w:rsidRPr="00216E7D" w:rsidRDefault="00E14D2D" w:rsidP="009D3124">
            <w:pPr>
              <w:pStyle w:val="ListParagraph"/>
              <w:numPr>
                <w:ilvl w:val="0"/>
                <w:numId w:val="50"/>
              </w:numPr>
              <w:suppressAutoHyphens w:val="0"/>
              <w:spacing w:before="0" w:after="0" w:line="240" w:lineRule="auto"/>
              <w:contextualSpacing w:val="0"/>
              <w:rPr>
                <w:rFonts w:cstheme="minorHAnsi"/>
                <w:sz w:val="21"/>
                <w:szCs w:val="21"/>
              </w:rPr>
            </w:pPr>
            <w:r w:rsidRPr="00216E7D">
              <w:rPr>
                <w:rFonts w:cstheme="minorHAnsi"/>
                <w:bCs/>
                <w:sz w:val="21"/>
                <w:szCs w:val="21"/>
              </w:rPr>
              <w:t>Consolidated Pastoral Company</w:t>
            </w:r>
            <w:r w:rsidRPr="00216E7D">
              <w:rPr>
                <w:rFonts w:cstheme="minorHAnsi"/>
                <w:sz w:val="21"/>
                <w:szCs w:val="21"/>
              </w:rPr>
              <w:t xml:space="preserve"> (</w:t>
            </w:r>
            <w:r w:rsidRPr="00216E7D">
              <w:rPr>
                <w:rFonts w:cstheme="minorHAnsi"/>
                <w:bCs/>
                <w:sz w:val="21"/>
                <w:szCs w:val="21"/>
              </w:rPr>
              <w:t>CPC</w:t>
            </w:r>
            <w:r w:rsidRPr="00216E7D">
              <w:rPr>
                <w:rFonts w:cstheme="minorHAnsi"/>
                <w:sz w:val="21"/>
                <w:szCs w:val="21"/>
              </w:rPr>
              <w:t xml:space="preserve">) </w:t>
            </w:r>
          </w:p>
          <w:p w14:paraId="5D4AB695" w14:textId="77777777" w:rsidR="00E14D2D" w:rsidRPr="00216E7D" w:rsidRDefault="00E14D2D" w:rsidP="009D3124">
            <w:pPr>
              <w:pStyle w:val="ListParagraph"/>
              <w:numPr>
                <w:ilvl w:val="0"/>
                <w:numId w:val="50"/>
              </w:numPr>
              <w:suppressAutoHyphens w:val="0"/>
              <w:spacing w:before="0" w:after="0" w:line="240" w:lineRule="auto"/>
              <w:contextualSpacing w:val="0"/>
              <w:rPr>
                <w:rFonts w:cstheme="minorHAnsi"/>
                <w:sz w:val="21"/>
                <w:szCs w:val="21"/>
              </w:rPr>
            </w:pPr>
            <w:r w:rsidRPr="00216E7D">
              <w:rPr>
                <w:rFonts w:cstheme="minorHAnsi"/>
                <w:sz w:val="21"/>
                <w:szCs w:val="21"/>
              </w:rPr>
              <w:t xml:space="preserve">East Java Province Delegation (Provincial Investment Board; </w:t>
            </w:r>
            <w:proofErr w:type="spellStart"/>
            <w:r w:rsidRPr="00216E7D">
              <w:rPr>
                <w:rFonts w:cstheme="minorHAnsi"/>
                <w:sz w:val="21"/>
                <w:szCs w:val="21"/>
              </w:rPr>
              <w:t>Tubang</w:t>
            </w:r>
            <w:proofErr w:type="spellEnd"/>
            <w:r w:rsidRPr="00216E7D">
              <w:rPr>
                <w:rFonts w:cstheme="minorHAnsi"/>
                <w:sz w:val="21"/>
                <w:szCs w:val="21"/>
              </w:rPr>
              <w:t xml:space="preserve"> &amp; </w:t>
            </w:r>
            <w:proofErr w:type="spellStart"/>
            <w:r w:rsidRPr="00216E7D">
              <w:rPr>
                <w:rFonts w:cstheme="minorHAnsi"/>
                <w:sz w:val="21"/>
                <w:szCs w:val="21"/>
              </w:rPr>
              <w:t>Jombang</w:t>
            </w:r>
            <w:proofErr w:type="spellEnd"/>
            <w:r w:rsidRPr="00216E7D">
              <w:rPr>
                <w:rFonts w:cstheme="minorHAnsi"/>
                <w:sz w:val="21"/>
                <w:szCs w:val="21"/>
              </w:rPr>
              <w:t xml:space="preserve"> Regencies)</w:t>
            </w:r>
          </w:p>
          <w:p w14:paraId="164B4AD9" w14:textId="77777777" w:rsidR="00E14D2D" w:rsidRPr="00216E7D" w:rsidRDefault="00E14D2D" w:rsidP="009D3124">
            <w:pPr>
              <w:pStyle w:val="ListParagraph"/>
              <w:numPr>
                <w:ilvl w:val="0"/>
                <w:numId w:val="50"/>
              </w:numPr>
              <w:suppressAutoHyphens w:val="0"/>
              <w:spacing w:before="0" w:after="0" w:line="240" w:lineRule="auto"/>
              <w:contextualSpacing w:val="0"/>
              <w:rPr>
                <w:rFonts w:cstheme="minorHAnsi"/>
                <w:sz w:val="21"/>
                <w:szCs w:val="21"/>
              </w:rPr>
            </w:pPr>
            <w:r w:rsidRPr="00216E7D">
              <w:rPr>
                <w:rFonts w:cstheme="minorHAnsi"/>
                <w:sz w:val="21"/>
                <w:szCs w:val="21"/>
              </w:rPr>
              <w:t xml:space="preserve">Grain Growers Australia </w:t>
            </w:r>
          </w:p>
          <w:p w14:paraId="61831CB4" w14:textId="77777777" w:rsidR="00E14D2D" w:rsidRPr="00216E7D" w:rsidRDefault="00E14D2D" w:rsidP="009D3124">
            <w:pPr>
              <w:pStyle w:val="ListParagraph"/>
              <w:numPr>
                <w:ilvl w:val="0"/>
                <w:numId w:val="50"/>
              </w:numPr>
              <w:suppressAutoHyphens w:val="0"/>
              <w:spacing w:before="0" w:after="0" w:line="240" w:lineRule="auto"/>
              <w:contextualSpacing w:val="0"/>
              <w:rPr>
                <w:rFonts w:cstheme="minorHAnsi"/>
                <w:sz w:val="21"/>
                <w:szCs w:val="21"/>
              </w:rPr>
            </w:pPr>
            <w:r w:rsidRPr="00216E7D">
              <w:rPr>
                <w:rFonts w:cstheme="minorHAnsi"/>
                <w:sz w:val="21"/>
                <w:szCs w:val="21"/>
              </w:rPr>
              <w:t>Grain Trade Australia (GTA)</w:t>
            </w:r>
          </w:p>
          <w:p w14:paraId="7DF1163B" w14:textId="77777777" w:rsidR="00E14D2D" w:rsidRPr="00216E7D" w:rsidRDefault="00E14D2D" w:rsidP="009D3124">
            <w:pPr>
              <w:pStyle w:val="ListParagraph"/>
              <w:numPr>
                <w:ilvl w:val="0"/>
                <w:numId w:val="50"/>
              </w:numPr>
              <w:suppressAutoHyphens w:val="0"/>
              <w:spacing w:before="0" w:after="0" w:line="240" w:lineRule="auto"/>
              <w:contextualSpacing w:val="0"/>
              <w:rPr>
                <w:rFonts w:cstheme="minorHAnsi"/>
                <w:sz w:val="21"/>
                <w:szCs w:val="21"/>
              </w:rPr>
            </w:pPr>
            <w:r w:rsidRPr="00216E7D">
              <w:rPr>
                <w:rFonts w:cstheme="minorHAnsi"/>
                <w:bCs/>
                <w:sz w:val="21"/>
                <w:szCs w:val="21"/>
              </w:rPr>
              <w:t>Grains Industry Market Access Forum (</w:t>
            </w:r>
            <w:r w:rsidRPr="00216E7D">
              <w:rPr>
                <w:rFonts w:cstheme="minorHAnsi"/>
                <w:sz w:val="21"/>
                <w:szCs w:val="21"/>
              </w:rPr>
              <w:t>GIMAF)</w:t>
            </w:r>
          </w:p>
        </w:tc>
      </w:tr>
    </w:tbl>
    <w:p w14:paraId="76F17DB4" w14:textId="77777777" w:rsidR="00E14D2D" w:rsidRPr="00216E7D" w:rsidRDefault="00E14D2D" w:rsidP="00E14D2D">
      <w:pPr>
        <w:rPr>
          <w:rFonts w:cstheme="minorHAnsi"/>
          <w:sz w:val="21"/>
          <w:szCs w:val="21"/>
        </w:rPr>
      </w:pPr>
    </w:p>
    <w:p w14:paraId="5F4CBC09" w14:textId="77777777" w:rsidR="00E14D2D" w:rsidRDefault="00E14D2D">
      <w:pPr>
        <w:suppressAutoHyphens w:val="0"/>
        <w:spacing w:before="0" w:after="120" w:line="440" w:lineRule="atLeast"/>
        <w:rPr>
          <w:rFonts w:asciiTheme="majorHAnsi" w:eastAsiaTheme="majorEastAsia" w:hAnsiTheme="majorHAnsi" w:cstheme="majorBidi"/>
          <w:bCs/>
          <w:sz w:val="38"/>
          <w:szCs w:val="38"/>
        </w:rPr>
      </w:pPr>
      <w:r>
        <w:rPr>
          <w:sz w:val="38"/>
          <w:szCs w:val="38"/>
        </w:rPr>
        <w:br w:type="page"/>
      </w:r>
    </w:p>
    <w:p w14:paraId="572BAC94" w14:textId="54220B1F" w:rsidR="00B24B65" w:rsidRPr="006129FE" w:rsidRDefault="006466E1" w:rsidP="00285101">
      <w:pPr>
        <w:pStyle w:val="Heading3"/>
        <w:rPr>
          <w:rFonts w:asciiTheme="minorHAnsi" w:hAnsiTheme="minorHAnsi" w:cstheme="minorHAnsi"/>
          <w:sz w:val="38"/>
          <w:szCs w:val="38"/>
        </w:rPr>
      </w:pPr>
      <w:r w:rsidRPr="006129FE">
        <w:rPr>
          <w:rFonts w:asciiTheme="minorHAnsi" w:hAnsiTheme="minorHAnsi" w:cstheme="minorHAnsi"/>
          <w:sz w:val="38"/>
          <w:szCs w:val="38"/>
        </w:rPr>
        <w:lastRenderedPageBreak/>
        <w:t xml:space="preserve">ANNEX </w:t>
      </w:r>
      <w:r w:rsidR="009A4CAC">
        <w:rPr>
          <w:rFonts w:asciiTheme="minorHAnsi" w:hAnsiTheme="minorHAnsi" w:cstheme="minorHAnsi"/>
          <w:sz w:val="38"/>
          <w:szCs w:val="38"/>
        </w:rPr>
        <w:t>6</w:t>
      </w:r>
      <w:r w:rsidRPr="006129FE">
        <w:rPr>
          <w:rFonts w:asciiTheme="minorHAnsi" w:hAnsiTheme="minorHAnsi" w:cstheme="minorHAnsi"/>
          <w:sz w:val="38"/>
          <w:szCs w:val="38"/>
        </w:rPr>
        <w:t>. DETAILED</w:t>
      </w:r>
      <w:r w:rsidR="009B5454" w:rsidRPr="006129FE">
        <w:rPr>
          <w:rFonts w:asciiTheme="minorHAnsi" w:hAnsiTheme="minorHAnsi" w:cstheme="minorHAnsi"/>
          <w:sz w:val="38"/>
          <w:szCs w:val="38"/>
        </w:rPr>
        <w:t xml:space="preserve"> </w:t>
      </w:r>
      <w:r w:rsidR="00861186" w:rsidRPr="006129FE">
        <w:rPr>
          <w:rFonts w:asciiTheme="minorHAnsi" w:hAnsiTheme="minorHAnsi" w:cstheme="minorHAnsi"/>
          <w:sz w:val="38"/>
          <w:szCs w:val="38"/>
        </w:rPr>
        <w:t xml:space="preserve">INITIAL </w:t>
      </w:r>
      <w:r w:rsidR="009B5454" w:rsidRPr="006129FE">
        <w:rPr>
          <w:rFonts w:asciiTheme="minorHAnsi" w:hAnsiTheme="minorHAnsi" w:cstheme="minorHAnsi"/>
          <w:sz w:val="38"/>
          <w:szCs w:val="38"/>
        </w:rPr>
        <w:t>ACTIVITY DESCRIPTION</w:t>
      </w:r>
      <w:r w:rsidR="00285101" w:rsidRPr="006129FE">
        <w:rPr>
          <w:rFonts w:asciiTheme="minorHAnsi" w:hAnsiTheme="minorHAnsi" w:cstheme="minorHAnsi"/>
          <w:sz w:val="38"/>
          <w:szCs w:val="38"/>
        </w:rPr>
        <w:t>S</w:t>
      </w:r>
    </w:p>
    <w:p w14:paraId="701A1369" w14:textId="77777777" w:rsidR="00CB1C18" w:rsidRPr="007C4ABD" w:rsidRDefault="00CB1C18" w:rsidP="006367D1">
      <w:pPr>
        <w:pStyle w:val="Subtitle"/>
        <w:rPr>
          <w:b/>
        </w:rPr>
      </w:pPr>
      <w:r w:rsidRPr="007C4ABD">
        <w:rPr>
          <w:b/>
        </w:rPr>
        <w:t>ACTIVITY 1: IA-CEPA IMPLEMENTATION</w:t>
      </w:r>
    </w:p>
    <w:p w14:paraId="27DE9715" w14:textId="77777777" w:rsidR="00CB1C18" w:rsidRPr="001C251C" w:rsidRDefault="00CB1C18" w:rsidP="00CB1C18">
      <w:pPr>
        <w:jc w:val="both"/>
        <w:rPr>
          <w:rFonts w:cstheme="minorHAnsi"/>
          <w:b/>
          <w:bCs/>
          <w:sz w:val="21"/>
          <w:szCs w:val="21"/>
        </w:rPr>
      </w:pPr>
      <w:r w:rsidRPr="001C251C">
        <w:rPr>
          <w:rFonts w:cstheme="minorHAnsi"/>
          <w:b/>
          <w:bCs/>
          <w:sz w:val="21"/>
          <w:szCs w:val="21"/>
        </w:rPr>
        <w:t>Activity in brief</w:t>
      </w:r>
    </w:p>
    <w:p w14:paraId="1792D29C" w14:textId="29ECC35B" w:rsidR="00CB1C18" w:rsidRPr="007C4ABD" w:rsidRDefault="00CB1C18" w:rsidP="00CB1C18">
      <w:pPr>
        <w:jc w:val="both"/>
        <w:rPr>
          <w:rFonts w:cstheme="minorHAnsi"/>
          <w:b/>
          <w:sz w:val="21"/>
          <w:szCs w:val="21"/>
        </w:rPr>
      </w:pPr>
      <w:r w:rsidRPr="001C251C">
        <w:rPr>
          <w:rFonts w:cstheme="minorHAnsi"/>
          <w:sz w:val="21"/>
          <w:szCs w:val="21"/>
        </w:rPr>
        <w:t xml:space="preserve">Cooperative activities to support the full implementation of IA-CEPA, and ensuring that the outcomes of the agreement are maximised, will be the ‘core business’ of the ECP.  Following establishment of the ECP’s functional services, including the Secretariat function for the ECC, and facilitating an Industry Engagement Advisory Group (see below), this activity will </w:t>
      </w:r>
      <w:r w:rsidR="002832DF">
        <w:rPr>
          <w:rFonts w:cstheme="minorHAnsi"/>
          <w:sz w:val="21"/>
          <w:szCs w:val="21"/>
        </w:rPr>
        <w:t xml:space="preserve">commence with the development of an </w:t>
      </w:r>
      <w:r w:rsidR="002832DF" w:rsidRPr="007C4ABD">
        <w:rPr>
          <w:rFonts w:cstheme="minorHAnsi"/>
          <w:b/>
          <w:sz w:val="21"/>
          <w:szCs w:val="21"/>
        </w:rPr>
        <w:t>IA-CEPA Implementation Work Plan</w:t>
      </w:r>
      <w:r w:rsidR="002832DF">
        <w:rPr>
          <w:rFonts w:cstheme="minorHAnsi"/>
          <w:sz w:val="21"/>
          <w:szCs w:val="21"/>
        </w:rPr>
        <w:t xml:space="preserve">, to guide the management team’s activities (and assessment)  through the life of the ECP across this Activity’s </w:t>
      </w:r>
      <w:r w:rsidRPr="001C251C">
        <w:rPr>
          <w:rFonts w:cstheme="minorHAnsi"/>
          <w:sz w:val="21"/>
          <w:szCs w:val="21"/>
        </w:rPr>
        <w:t xml:space="preserve">four </w:t>
      </w:r>
      <w:proofErr w:type="spellStart"/>
      <w:r w:rsidRPr="001C251C">
        <w:rPr>
          <w:rFonts w:cstheme="minorHAnsi"/>
          <w:sz w:val="21"/>
          <w:szCs w:val="21"/>
        </w:rPr>
        <w:t>workstreams</w:t>
      </w:r>
      <w:proofErr w:type="spellEnd"/>
      <w:r w:rsidRPr="001C251C">
        <w:rPr>
          <w:rFonts w:cstheme="minorHAnsi"/>
          <w:sz w:val="21"/>
          <w:szCs w:val="21"/>
        </w:rPr>
        <w:t xml:space="preserve"> - (</w:t>
      </w:r>
      <w:proofErr w:type="spellStart"/>
      <w:r w:rsidRPr="001C251C">
        <w:rPr>
          <w:rFonts w:cstheme="minorHAnsi"/>
          <w:sz w:val="21"/>
          <w:szCs w:val="21"/>
        </w:rPr>
        <w:t>i</w:t>
      </w:r>
      <w:proofErr w:type="spellEnd"/>
      <w:r w:rsidRPr="001C251C">
        <w:rPr>
          <w:rFonts w:cstheme="minorHAnsi"/>
          <w:sz w:val="21"/>
          <w:szCs w:val="21"/>
        </w:rPr>
        <w:t>) implementation, (ii) socialisation (iii) opportunity assessments and (iv) monitoring, evaluation and learning.</w:t>
      </w:r>
      <w:r w:rsidR="00247C79">
        <w:rPr>
          <w:rFonts w:cstheme="minorHAnsi"/>
          <w:sz w:val="21"/>
          <w:szCs w:val="21"/>
        </w:rPr>
        <w:t xml:space="preserve"> </w:t>
      </w:r>
    </w:p>
    <w:p w14:paraId="6B1CDF71" w14:textId="116C2B5A" w:rsidR="00CB1C18" w:rsidRPr="001C251C" w:rsidRDefault="00CB1C18" w:rsidP="00CB1C18">
      <w:pPr>
        <w:jc w:val="both"/>
        <w:rPr>
          <w:rFonts w:cstheme="minorHAnsi"/>
          <w:sz w:val="21"/>
          <w:szCs w:val="21"/>
        </w:rPr>
      </w:pPr>
      <w:r w:rsidRPr="001C251C">
        <w:rPr>
          <w:rFonts w:cstheme="minorHAnsi"/>
          <w:sz w:val="21"/>
          <w:szCs w:val="21"/>
        </w:rPr>
        <w:t xml:space="preserve">The implementation </w:t>
      </w:r>
      <w:proofErr w:type="spellStart"/>
      <w:r w:rsidRPr="001C251C">
        <w:rPr>
          <w:rFonts w:cstheme="minorHAnsi"/>
          <w:sz w:val="21"/>
          <w:szCs w:val="21"/>
        </w:rPr>
        <w:t>workstream</w:t>
      </w:r>
      <w:proofErr w:type="spellEnd"/>
      <w:r w:rsidRPr="001C251C">
        <w:rPr>
          <w:rFonts w:cstheme="minorHAnsi"/>
          <w:sz w:val="21"/>
          <w:szCs w:val="21"/>
        </w:rPr>
        <w:t xml:space="preserve"> will commence with a Needs Assessment for regulatory implementation of IA-CEPA. This will examine an appropriate modality for engagement between Australia and Indonesia on full implementation of key commitments in goods, services and investment commitments (including administration of Tariff Rate Quota arrangements), and broader commitments on a chapter-by-chapter basis. </w:t>
      </w:r>
    </w:p>
    <w:p w14:paraId="32317430" w14:textId="5DF7DA00" w:rsidR="00CB1C18" w:rsidRPr="001C251C" w:rsidRDefault="00CB1C18" w:rsidP="00CB1C18">
      <w:pPr>
        <w:jc w:val="both"/>
        <w:rPr>
          <w:rFonts w:cstheme="minorHAnsi"/>
          <w:sz w:val="21"/>
          <w:szCs w:val="21"/>
        </w:rPr>
      </w:pPr>
      <w:r w:rsidRPr="007C4ABD">
        <w:rPr>
          <w:rFonts w:cstheme="minorHAnsi"/>
          <w:b/>
          <w:bCs/>
          <w:sz w:val="21"/>
          <w:szCs w:val="21"/>
        </w:rPr>
        <w:t>The Needs Assessment</w:t>
      </w:r>
      <w:r w:rsidRPr="001C251C">
        <w:rPr>
          <w:rFonts w:cstheme="minorHAnsi"/>
          <w:sz w:val="21"/>
          <w:szCs w:val="21"/>
        </w:rPr>
        <w:t xml:space="preserve"> will include recommendations for activities to support IA-CEPA implementation by selecting from a range of tools including deeper regulatory implementation studies or analysis, exchange of officials involved in trade regulation and advocacy/industry engagement, short-term embedded officials in trade-related Ministries (including Indonesian officials in Australian agencies), and direct regulatory design and drafting advice. A substantial focus of this activity will be assisting the sub-national level of Government in Indonesia to better ‘localise’ IA-CEPA.</w:t>
      </w:r>
    </w:p>
    <w:p w14:paraId="61BEB0DF" w14:textId="77777777" w:rsidR="00CB1C18" w:rsidRPr="001C251C" w:rsidRDefault="00CB1C18" w:rsidP="00CB1C18">
      <w:pPr>
        <w:jc w:val="both"/>
        <w:rPr>
          <w:rFonts w:cstheme="minorHAnsi"/>
          <w:sz w:val="21"/>
          <w:szCs w:val="21"/>
        </w:rPr>
      </w:pPr>
      <w:r w:rsidRPr="001C251C">
        <w:rPr>
          <w:rFonts w:cstheme="minorHAnsi"/>
          <w:sz w:val="21"/>
          <w:szCs w:val="21"/>
        </w:rPr>
        <w:t>Socialisation activities will progress alongside work on implementation, to build awareness of IA-CEPA benefits among industry groups through the multi-year implementation period.  The ECP will support three functions to help with socialisation of IA-CEPA: (</w:t>
      </w:r>
      <w:proofErr w:type="spellStart"/>
      <w:r w:rsidRPr="001C251C">
        <w:rPr>
          <w:rFonts w:cstheme="minorHAnsi"/>
          <w:sz w:val="21"/>
          <w:szCs w:val="21"/>
        </w:rPr>
        <w:t>i</w:t>
      </w:r>
      <w:proofErr w:type="spellEnd"/>
      <w:r w:rsidRPr="001C251C">
        <w:rPr>
          <w:rFonts w:cstheme="minorHAnsi"/>
          <w:sz w:val="21"/>
          <w:szCs w:val="21"/>
        </w:rPr>
        <w:t xml:space="preserve">) technical advocacy, such as data analysis and ‘fact sheets’ on industry sectors to support line agencies in representations to their stakeholder groups –with a focus on complementarity between the Australian and Indonesian economies, (ii) business dialogue, such as workshops and seminars focused on outcomes and opportunities for Indonesian sectoral groups – which can further drive interest in other ECP activities, and (iii) IA-CEPA localisation, where specific opportunities for provincial economies can be identified, fact sheets produced and information sessions facilitated, commencing in markets where Australia’s Consul-Generals are located. </w:t>
      </w:r>
    </w:p>
    <w:p w14:paraId="2F9142CF" w14:textId="77777777" w:rsidR="00CB1C18" w:rsidRPr="001C251C" w:rsidRDefault="00CB1C18" w:rsidP="00CB1C18">
      <w:pPr>
        <w:jc w:val="both"/>
        <w:rPr>
          <w:rFonts w:cstheme="minorHAnsi"/>
          <w:sz w:val="21"/>
          <w:szCs w:val="21"/>
        </w:rPr>
      </w:pPr>
      <w:r w:rsidRPr="001C251C">
        <w:rPr>
          <w:rFonts w:cstheme="minorHAnsi"/>
          <w:b/>
          <w:bCs/>
          <w:sz w:val="21"/>
          <w:szCs w:val="21"/>
        </w:rPr>
        <w:t>Opportunity Assessments</w:t>
      </w:r>
      <w:r w:rsidRPr="001C251C">
        <w:rPr>
          <w:rFonts w:cstheme="minorHAnsi"/>
          <w:sz w:val="21"/>
          <w:szCs w:val="21"/>
        </w:rPr>
        <w:t xml:space="preserve"> will examine which economic sectors present the greatest mutually beneficial prospects in the coming 5 to 20 years, and will propose strategies for deeper engagement. The assessments would respond to sectoral priorities of Indonesia and Australia that demonstrate mutual benefit, for example by building on inputs (goods and services) from both countries. The ECP would commence with a focus on prospects for areas for assessment include strengthening digital services and capital market linkages where significant opportunity exists to make a substantial contribution to economic cooperation between the two countries. </w:t>
      </w:r>
    </w:p>
    <w:p w14:paraId="4F94C0B0" w14:textId="77777777" w:rsidR="00CB1C18" w:rsidRPr="001C251C" w:rsidRDefault="00CB1C18" w:rsidP="00CB1C18">
      <w:pPr>
        <w:jc w:val="both"/>
        <w:rPr>
          <w:rFonts w:cstheme="minorHAnsi"/>
          <w:sz w:val="21"/>
          <w:szCs w:val="21"/>
        </w:rPr>
      </w:pPr>
      <w:r w:rsidRPr="001C251C">
        <w:rPr>
          <w:rFonts w:cstheme="minorHAnsi"/>
          <w:sz w:val="21"/>
          <w:szCs w:val="21"/>
        </w:rPr>
        <w:t xml:space="preserve">The monitoring, evaluation and learning </w:t>
      </w:r>
      <w:proofErr w:type="spellStart"/>
      <w:r w:rsidRPr="001C251C">
        <w:rPr>
          <w:rFonts w:cstheme="minorHAnsi"/>
          <w:sz w:val="21"/>
          <w:szCs w:val="21"/>
        </w:rPr>
        <w:t>workstream</w:t>
      </w:r>
      <w:proofErr w:type="spellEnd"/>
      <w:r w:rsidRPr="001C251C">
        <w:rPr>
          <w:rFonts w:cstheme="minorHAnsi"/>
          <w:sz w:val="21"/>
          <w:szCs w:val="21"/>
        </w:rPr>
        <w:t xml:space="preserve"> is an important core component of the ECP. It supports decision-making, outcomes monitoring and accountability. It will monitor and evaluate IA-CEPA </w:t>
      </w:r>
      <w:r w:rsidRPr="001C251C">
        <w:rPr>
          <w:rFonts w:cstheme="minorHAnsi"/>
          <w:b/>
          <w:sz w:val="21"/>
          <w:szCs w:val="21"/>
        </w:rPr>
        <w:t>utilisation</w:t>
      </w:r>
      <w:r w:rsidRPr="001C251C">
        <w:rPr>
          <w:rFonts w:cstheme="minorHAnsi"/>
          <w:sz w:val="21"/>
          <w:szCs w:val="21"/>
        </w:rPr>
        <w:t xml:space="preserve"> and the </w:t>
      </w:r>
      <w:r w:rsidRPr="001C251C">
        <w:rPr>
          <w:rFonts w:cstheme="minorHAnsi"/>
          <w:b/>
          <w:sz w:val="21"/>
          <w:szCs w:val="21"/>
        </w:rPr>
        <w:t>impact on trade flows</w:t>
      </w:r>
      <w:r w:rsidRPr="001C251C">
        <w:rPr>
          <w:rFonts w:cstheme="minorHAnsi"/>
          <w:sz w:val="21"/>
          <w:szCs w:val="21"/>
        </w:rPr>
        <w:t xml:space="preserve">, the contribution IA-CEPA makes to </w:t>
      </w:r>
      <w:r w:rsidRPr="001C251C">
        <w:rPr>
          <w:rFonts w:cstheme="minorHAnsi"/>
          <w:b/>
          <w:sz w:val="21"/>
          <w:szCs w:val="21"/>
        </w:rPr>
        <w:t>broader economic and social outcomes</w:t>
      </w:r>
      <w:r w:rsidRPr="001C251C">
        <w:rPr>
          <w:rFonts w:cstheme="minorHAnsi"/>
          <w:sz w:val="21"/>
          <w:szCs w:val="21"/>
        </w:rPr>
        <w:t xml:space="preserve">, including in partnership with </w:t>
      </w:r>
      <w:proofErr w:type="spellStart"/>
      <w:r w:rsidRPr="001C251C">
        <w:rPr>
          <w:rFonts w:cstheme="minorHAnsi"/>
          <w:sz w:val="21"/>
          <w:szCs w:val="21"/>
        </w:rPr>
        <w:t>Bappenas</w:t>
      </w:r>
      <w:proofErr w:type="spellEnd"/>
      <w:r w:rsidRPr="001C251C">
        <w:rPr>
          <w:rFonts w:cstheme="minorHAnsi"/>
          <w:sz w:val="21"/>
          <w:szCs w:val="21"/>
        </w:rPr>
        <w:t xml:space="preserve"> as it seeks to strengthen Indonesia’s measurement and reporting on the impact and value of open trade policies.  </w:t>
      </w:r>
    </w:p>
    <w:p w14:paraId="57E11F2C" w14:textId="3D69AAB3" w:rsidR="00CB1C18" w:rsidRDefault="00CB1C18" w:rsidP="00CB1C18">
      <w:pPr>
        <w:jc w:val="both"/>
        <w:rPr>
          <w:rFonts w:cstheme="minorHAnsi"/>
          <w:sz w:val="21"/>
          <w:szCs w:val="21"/>
        </w:rPr>
      </w:pPr>
      <w:r w:rsidRPr="001C251C">
        <w:rPr>
          <w:rFonts w:cstheme="minorHAnsi"/>
          <w:sz w:val="21"/>
          <w:szCs w:val="21"/>
        </w:rPr>
        <w:t>To better secure industry engagement in the range of ECP activities, and to help raise awareness and potential non-ODA contributions by industry to activities (in cash, or kind), the proposed budget includes funding for a dedicated ‘Industry Engagement Advisory Group’. This group, facilitated through the Collaborative Hub, will have two objectives: (</w:t>
      </w:r>
      <w:proofErr w:type="spellStart"/>
      <w:r w:rsidRPr="001C251C">
        <w:rPr>
          <w:rFonts w:cstheme="minorHAnsi"/>
          <w:sz w:val="21"/>
          <w:szCs w:val="21"/>
        </w:rPr>
        <w:t>i</w:t>
      </w:r>
      <w:proofErr w:type="spellEnd"/>
      <w:r w:rsidRPr="001C251C">
        <w:rPr>
          <w:rFonts w:cstheme="minorHAnsi"/>
          <w:sz w:val="21"/>
          <w:szCs w:val="21"/>
        </w:rPr>
        <w:t>) assist the Collaborative Hub to raise interest, and to increase awareness and engagement with industry groups and firms (with a particular focus on MSMEs) in the sectoral activities of the ECP, and (ii) work with industry groups and firms in the mobilisation of resources (cash or in-kind) for non-ODA components of ECP activities. The Collaborative Hub will set measurable targets for these objectives (including on inclusion of MSMEs</w:t>
      </w:r>
      <w:r w:rsidR="006601A9">
        <w:rPr>
          <w:rFonts w:cstheme="minorHAnsi"/>
          <w:sz w:val="21"/>
          <w:szCs w:val="21"/>
        </w:rPr>
        <w:t xml:space="preserve">, </w:t>
      </w:r>
      <w:r w:rsidR="006601A9">
        <w:rPr>
          <w:rFonts w:cstheme="minorHAnsi"/>
          <w:sz w:val="21"/>
          <w:szCs w:val="21"/>
        </w:rPr>
        <w:lastRenderedPageBreak/>
        <w:t>and the identification of a specific pool of interested Australian and Indonesian firm for activities</w:t>
      </w:r>
      <w:r w:rsidRPr="001C251C">
        <w:rPr>
          <w:rFonts w:cstheme="minorHAnsi"/>
          <w:sz w:val="21"/>
          <w:szCs w:val="21"/>
        </w:rPr>
        <w:t xml:space="preserve">) when determining the membership of the Industry Engagement Advisory Group, in consultation with the ECC. </w:t>
      </w:r>
    </w:p>
    <w:p w14:paraId="1506B918" w14:textId="39117A0E" w:rsidR="008E4707" w:rsidRPr="001C251C" w:rsidRDefault="008E4707" w:rsidP="00CB1C18">
      <w:pPr>
        <w:jc w:val="both"/>
        <w:rPr>
          <w:rFonts w:cstheme="minorHAnsi"/>
          <w:sz w:val="21"/>
          <w:szCs w:val="21"/>
        </w:rPr>
      </w:pPr>
      <w:r w:rsidRPr="00321AD5">
        <w:rPr>
          <w:rFonts w:cstheme="minorHAnsi"/>
          <w:sz w:val="21"/>
          <w:szCs w:val="21"/>
        </w:rPr>
        <w:t xml:space="preserve">Indonesia has a range of existing institutions, both from the government side and private sector </w:t>
      </w:r>
      <w:r w:rsidRPr="006F098B">
        <w:rPr>
          <w:rFonts w:cstheme="minorHAnsi"/>
          <w:sz w:val="21"/>
          <w:szCs w:val="21"/>
        </w:rPr>
        <w:t>that could be utilised for the proposed Industry Engagement Advisory Group</w:t>
      </w:r>
      <w:r w:rsidRPr="00321AD5">
        <w:rPr>
          <w:rFonts w:cstheme="minorHAnsi"/>
          <w:sz w:val="21"/>
          <w:szCs w:val="21"/>
        </w:rPr>
        <w:t xml:space="preserve">. Opportunities to utilise </w:t>
      </w:r>
      <w:r w:rsidR="00194099" w:rsidRPr="007C4ABD">
        <w:rPr>
          <w:rFonts w:cstheme="minorHAnsi"/>
          <w:sz w:val="21"/>
          <w:szCs w:val="21"/>
        </w:rPr>
        <w:t>existing</w:t>
      </w:r>
      <w:r w:rsidRPr="00321AD5">
        <w:rPr>
          <w:rFonts w:cstheme="minorHAnsi"/>
          <w:sz w:val="21"/>
          <w:szCs w:val="21"/>
        </w:rPr>
        <w:t xml:space="preserve"> networks and avoid duplication will be considered in the early stages of this activity.</w:t>
      </w:r>
      <w:r>
        <w:rPr>
          <w:rFonts w:cstheme="minorHAnsi"/>
          <w:sz w:val="21"/>
          <w:szCs w:val="21"/>
        </w:rPr>
        <w:t xml:space="preserve"> </w:t>
      </w:r>
    </w:p>
    <w:p w14:paraId="297B8AC1" w14:textId="77777777" w:rsidR="00CB1C18" w:rsidRPr="001C251C" w:rsidRDefault="00CB1C18" w:rsidP="00CB1C18">
      <w:pPr>
        <w:jc w:val="both"/>
        <w:rPr>
          <w:rFonts w:cstheme="minorHAnsi"/>
          <w:sz w:val="21"/>
          <w:szCs w:val="21"/>
        </w:rPr>
      </w:pPr>
      <w:r w:rsidRPr="001C251C">
        <w:rPr>
          <w:rFonts w:cstheme="minorHAnsi"/>
          <w:sz w:val="21"/>
          <w:szCs w:val="21"/>
        </w:rPr>
        <w:t xml:space="preserve">IA-CEPA Implementation will be both proactive (working to a program of activities) and responsive (providing a resource for support when inevitable challenges to implementation arise).  Much of the focus will be on years 1 – 3 – the critical phase for full implementation and socialisation, with the focus for years 4 and 5 turning to building momentum towards a review of the IA-CEPA and prospects for deeper and commercially meaningful engagement, including in sectors identified through the Opportunity Assessments </w:t>
      </w:r>
      <w:proofErr w:type="spellStart"/>
      <w:r w:rsidRPr="001C251C">
        <w:rPr>
          <w:rFonts w:cstheme="minorHAnsi"/>
          <w:sz w:val="21"/>
          <w:szCs w:val="21"/>
        </w:rPr>
        <w:t>workstream</w:t>
      </w:r>
      <w:proofErr w:type="spellEnd"/>
      <w:r w:rsidRPr="001C251C">
        <w:rPr>
          <w:rFonts w:cstheme="minorHAnsi"/>
          <w:sz w:val="21"/>
          <w:szCs w:val="21"/>
        </w:rPr>
        <w:t xml:space="preserve">. </w:t>
      </w:r>
    </w:p>
    <w:p w14:paraId="69B6CAB9" w14:textId="77777777" w:rsidR="00CB1C18" w:rsidRPr="001C251C" w:rsidRDefault="00CB1C18" w:rsidP="00CB1C18">
      <w:pPr>
        <w:jc w:val="both"/>
        <w:rPr>
          <w:rFonts w:cstheme="minorHAnsi"/>
          <w:b/>
          <w:bCs/>
          <w:sz w:val="21"/>
          <w:szCs w:val="21"/>
        </w:rPr>
      </w:pPr>
      <w:r w:rsidRPr="001C251C">
        <w:rPr>
          <w:rFonts w:cstheme="minorHAnsi"/>
          <w:b/>
          <w:bCs/>
          <w:sz w:val="21"/>
          <w:szCs w:val="21"/>
        </w:rPr>
        <w:t>Period of funding and total funds requested</w:t>
      </w:r>
    </w:p>
    <w:p w14:paraId="248C1544" w14:textId="1A97A8A5" w:rsidR="00CB1C18" w:rsidRPr="001C251C" w:rsidRDefault="00CB1C18" w:rsidP="00CB1C18">
      <w:pPr>
        <w:jc w:val="both"/>
        <w:rPr>
          <w:rFonts w:cstheme="minorHAnsi"/>
          <w:sz w:val="21"/>
          <w:szCs w:val="21"/>
        </w:rPr>
      </w:pPr>
      <w:r w:rsidRPr="001C251C">
        <w:rPr>
          <w:rFonts w:cstheme="minorHAnsi"/>
          <w:sz w:val="21"/>
          <w:szCs w:val="21"/>
        </w:rPr>
        <w:t>The proposed budget for this activity is $9.2 million over 5 years. The table below provides indicative costs. Where appropriate, additional co-funding or in-kind contributions are expected from the Government of Indonesia and the private sector.</w:t>
      </w:r>
    </w:p>
    <w:p w14:paraId="2D18A76C" w14:textId="77777777" w:rsidR="00CB1C18" w:rsidRPr="001C251C" w:rsidRDefault="00CB1C18" w:rsidP="00CB1C18">
      <w:pPr>
        <w:jc w:val="both"/>
        <w:rPr>
          <w:rFonts w:cstheme="minorHAnsi"/>
          <w:sz w:val="21"/>
          <w:szCs w:val="21"/>
        </w:rPr>
      </w:pPr>
    </w:p>
    <w:tbl>
      <w:tblPr>
        <w:tblStyle w:val="MediumGrid3-Accent6"/>
        <w:tblW w:w="0" w:type="auto"/>
        <w:jc w:val="center"/>
        <w:tblLook w:val="04A0" w:firstRow="1" w:lastRow="0" w:firstColumn="1" w:lastColumn="0" w:noHBand="0" w:noVBand="1"/>
      </w:tblPr>
      <w:tblGrid>
        <w:gridCol w:w="1419"/>
        <w:gridCol w:w="1419"/>
        <w:gridCol w:w="1419"/>
        <w:gridCol w:w="1419"/>
        <w:gridCol w:w="1420"/>
        <w:gridCol w:w="1420"/>
      </w:tblGrid>
      <w:tr w:rsidR="00CB1C18" w:rsidRPr="001C251C" w14:paraId="15544E3E" w14:textId="77777777" w:rsidTr="00994A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9" w:type="dxa"/>
          </w:tcPr>
          <w:p w14:paraId="25DBAC48" w14:textId="42F869B3" w:rsidR="00CB1C18" w:rsidRPr="001C251C" w:rsidRDefault="009F70BD" w:rsidP="00994AED">
            <w:pPr>
              <w:jc w:val="both"/>
              <w:rPr>
                <w:rFonts w:cstheme="minorHAnsi"/>
                <w:sz w:val="21"/>
                <w:szCs w:val="21"/>
                <w:lang w:val="en-US"/>
              </w:rPr>
            </w:pPr>
            <w:r>
              <w:rPr>
                <w:rFonts w:cstheme="minorHAnsi"/>
                <w:sz w:val="21"/>
                <w:szCs w:val="21"/>
                <w:lang w:val="en-US"/>
              </w:rPr>
              <w:t>Financial Year</w:t>
            </w:r>
          </w:p>
        </w:tc>
        <w:tc>
          <w:tcPr>
            <w:tcW w:w="1419" w:type="dxa"/>
          </w:tcPr>
          <w:p w14:paraId="776D1C05" w14:textId="77777777" w:rsidR="00CB1C18" w:rsidRPr="001C251C" w:rsidRDefault="00CB1C18" w:rsidP="00994AED">
            <w:pPr>
              <w:jc w:val="both"/>
              <w:cnfStyle w:val="100000000000" w:firstRow="1" w:lastRow="0" w:firstColumn="0" w:lastColumn="0" w:oddVBand="0" w:evenVBand="0" w:oddHBand="0" w:evenHBand="0" w:firstRowFirstColumn="0" w:firstRowLastColumn="0" w:lastRowFirstColumn="0" w:lastRowLastColumn="0"/>
              <w:rPr>
                <w:rFonts w:cstheme="minorHAnsi"/>
                <w:sz w:val="21"/>
                <w:szCs w:val="21"/>
                <w:lang w:val="en-US"/>
              </w:rPr>
            </w:pPr>
            <w:r w:rsidRPr="001C251C">
              <w:rPr>
                <w:rFonts w:cstheme="minorHAnsi"/>
                <w:sz w:val="21"/>
                <w:szCs w:val="21"/>
                <w:lang w:val="en-US"/>
              </w:rPr>
              <w:t>2020-21</w:t>
            </w:r>
          </w:p>
        </w:tc>
        <w:tc>
          <w:tcPr>
            <w:tcW w:w="1419" w:type="dxa"/>
          </w:tcPr>
          <w:p w14:paraId="2FD8F22A" w14:textId="77777777" w:rsidR="00CB1C18" w:rsidRPr="001C251C" w:rsidRDefault="00CB1C18" w:rsidP="00994AED">
            <w:pPr>
              <w:jc w:val="both"/>
              <w:cnfStyle w:val="100000000000" w:firstRow="1" w:lastRow="0" w:firstColumn="0" w:lastColumn="0" w:oddVBand="0" w:evenVBand="0" w:oddHBand="0" w:evenHBand="0" w:firstRowFirstColumn="0" w:firstRowLastColumn="0" w:lastRowFirstColumn="0" w:lastRowLastColumn="0"/>
              <w:rPr>
                <w:rFonts w:cstheme="minorHAnsi"/>
                <w:sz w:val="21"/>
                <w:szCs w:val="21"/>
                <w:lang w:val="en-US"/>
              </w:rPr>
            </w:pPr>
            <w:r w:rsidRPr="001C251C">
              <w:rPr>
                <w:rFonts w:cstheme="minorHAnsi"/>
                <w:sz w:val="21"/>
                <w:szCs w:val="21"/>
                <w:lang w:val="en-US"/>
              </w:rPr>
              <w:t>2021-22</w:t>
            </w:r>
          </w:p>
        </w:tc>
        <w:tc>
          <w:tcPr>
            <w:tcW w:w="1419" w:type="dxa"/>
          </w:tcPr>
          <w:p w14:paraId="30CF02F6" w14:textId="77777777" w:rsidR="00CB1C18" w:rsidRPr="001C251C" w:rsidRDefault="00CB1C18" w:rsidP="00994AED">
            <w:pPr>
              <w:jc w:val="both"/>
              <w:cnfStyle w:val="100000000000" w:firstRow="1" w:lastRow="0" w:firstColumn="0" w:lastColumn="0" w:oddVBand="0" w:evenVBand="0" w:oddHBand="0" w:evenHBand="0" w:firstRowFirstColumn="0" w:firstRowLastColumn="0" w:lastRowFirstColumn="0" w:lastRowLastColumn="0"/>
              <w:rPr>
                <w:rFonts w:cstheme="minorHAnsi"/>
                <w:sz w:val="21"/>
                <w:szCs w:val="21"/>
                <w:lang w:val="en-US"/>
              </w:rPr>
            </w:pPr>
            <w:r w:rsidRPr="001C251C">
              <w:rPr>
                <w:rFonts w:cstheme="minorHAnsi"/>
                <w:sz w:val="21"/>
                <w:szCs w:val="21"/>
                <w:lang w:val="en-US"/>
              </w:rPr>
              <w:t>2022-23</w:t>
            </w:r>
          </w:p>
        </w:tc>
        <w:tc>
          <w:tcPr>
            <w:tcW w:w="1420" w:type="dxa"/>
          </w:tcPr>
          <w:p w14:paraId="10B158B5" w14:textId="77777777" w:rsidR="00CB1C18" w:rsidRPr="001C251C" w:rsidRDefault="00CB1C18" w:rsidP="00994AED">
            <w:pPr>
              <w:jc w:val="both"/>
              <w:cnfStyle w:val="100000000000" w:firstRow="1" w:lastRow="0" w:firstColumn="0" w:lastColumn="0" w:oddVBand="0" w:evenVBand="0" w:oddHBand="0" w:evenHBand="0" w:firstRowFirstColumn="0" w:firstRowLastColumn="0" w:lastRowFirstColumn="0" w:lastRowLastColumn="0"/>
              <w:rPr>
                <w:rFonts w:cstheme="minorHAnsi"/>
                <w:sz w:val="21"/>
                <w:szCs w:val="21"/>
                <w:lang w:val="en-US"/>
              </w:rPr>
            </w:pPr>
            <w:r w:rsidRPr="001C251C">
              <w:rPr>
                <w:rFonts w:cstheme="minorHAnsi"/>
                <w:sz w:val="21"/>
                <w:szCs w:val="21"/>
                <w:lang w:val="en-US"/>
              </w:rPr>
              <w:t>2023-24</w:t>
            </w:r>
          </w:p>
        </w:tc>
        <w:tc>
          <w:tcPr>
            <w:tcW w:w="1420" w:type="dxa"/>
          </w:tcPr>
          <w:p w14:paraId="7EA4DA36" w14:textId="77777777" w:rsidR="00CB1C18" w:rsidRPr="001C251C" w:rsidRDefault="00CB1C18" w:rsidP="00994AED">
            <w:pPr>
              <w:jc w:val="both"/>
              <w:cnfStyle w:val="100000000000" w:firstRow="1" w:lastRow="0" w:firstColumn="0" w:lastColumn="0" w:oddVBand="0" w:evenVBand="0" w:oddHBand="0" w:evenHBand="0" w:firstRowFirstColumn="0" w:firstRowLastColumn="0" w:lastRowFirstColumn="0" w:lastRowLastColumn="0"/>
              <w:rPr>
                <w:rFonts w:cstheme="minorHAnsi"/>
                <w:sz w:val="21"/>
                <w:szCs w:val="21"/>
                <w:lang w:val="en-US"/>
              </w:rPr>
            </w:pPr>
            <w:r w:rsidRPr="001C251C">
              <w:rPr>
                <w:rFonts w:cstheme="minorHAnsi"/>
                <w:sz w:val="21"/>
                <w:szCs w:val="21"/>
                <w:lang w:val="en-US"/>
              </w:rPr>
              <w:t>2024-25</w:t>
            </w:r>
          </w:p>
        </w:tc>
      </w:tr>
      <w:tr w:rsidR="00CB1C18" w:rsidRPr="001C251C" w14:paraId="6A686467" w14:textId="77777777" w:rsidTr="00994A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9" w:type="dxa"/>
          </w:tcPr>
          <w:p w14:paraId="5E4A677B" w14:textId="77777777" w:rsidR="00CB1C18" w:rsidRPr="001C251C" w:rsidRDefault="00CB1C18" w:rsidP="00994AED">
            <w:pPr>
              <w:jc w:val="both"/>
              <w:rPr>
                <w:rFonts w:cstheme="minorHAnsi"/>
                <w:sz w:val="21"/>
                <w:szCs w:val="21"/>
                <w:lang w:val="en-US"/>
              </w:rPr>
            </w:pPr>
            <w:r w:rsidRPr="001C251C">
              <w:rPr>
                <w:rFonts w:cstheme="minorHAnsi"/>
                <w:sz w:val="21"/>
                <w:szCs w:val="21"/>
                <w:lang w:val="en-US"/>
              </w:rPr>
              <w:t>$m</w:t>
            </w:r>
          </w:p>
        </w:tc>
        <w:tc>
          <w:tcPr>
            <w:tcW w:w="1419" w:type="dxa"/>
          </w:tcPr>
          <w:p w14:paraId="6770B40C" w14:textId="77777777" w:rsidR="00CB1C18" w:rsidRPr="001C251C" w:rsidRDefault="00CB1C18" w:rsidP="00994AED">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sidRPr="001C251C">
              <w:rPr>
                <w:rFonts w:cstheme="minorHAnsi"/>
                <w:sz w:val="21"/>
                <w:szCs w:val="21"/>
                <w:lang w:val="en-US"/>
              </w:rPr>
              <w:t>1.6</w:t>
            </w:r>
          </w:p>
        </w:tc>
        <w:tc>
          <w:tcPr>
            <w:tcW w:w="1419" w:type="dxa"/>
          </w:tcPr>
          <w:p w14:paraId="69B80C72" w14:textId="77777777" w:rsidR="00CB1C18" w:rsidRPr="001C251C" w:rsidRDefault="00CB1C18" w:rsidP="00994AED">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sidRPr="001C251C">
              <w:rPr>
                <w:rFonts w:cstheme="minorHAnsi"/>
                <w:sz w:val="21"/>
                <w:szCs w:val="21"/>
                <w:lang w:val="en-US"/>
              </w:rPr>
              <w:t>1.7</w:t>
            </w:r>
          </w:p>
        </w:tc>
        <w:tc>
          <w:tcPr>
            <w:tcW w:w="1419" w:type="dxa"/>
          </w:tcPr>
          <w:p w14:paraId="54C25452" w14:textId="77777777" w:rsidR="00CB1C18" w:rsidRPr="001C251C" w:rsidRDefault="00CB1C18" w:rsidP="00994AED">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sidRPr="001C251C">
              <w:rPr>
                <w:rFonts w:cstheme="minorHAnsi"/>
                <w:sz w:val="21"/>
                <w:szCs w:val="21"/>
                <w:lang w:val="en-US"/>
              </w:rPr>
              <w:t>1.7</w:t>
            </w:r>
          </w:p>
        </w:tc>
        <w:tc>
          <w:tcPr>
            <w:tcW w:w="1420" w:type="dxa"/>
          </w:tcPr>
          <w:p w14:paraId="3E299EA3" w14:textId="77777777" w:rsidR="00CB1C18" w:rsidRPr="001C251C" w:rsidRDefault="00CB1C18" w:rsidP="00994AED">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sidRPr="001C251C">
              <w:rPr>
                <w:rFonts w:cstheme="minorHAnsi"/>
                <w:sz w:val="21"/>
                <w:szCs w:val="21"/>
                <w:lang w:val="en-US"/>
              </w:rPr>
              <w:t>2.1</w:t>
            </w:r>
          </w:p>
        </w:tc>
        <w:tc>
          <w:tcPr>
            <w:tcW w:w="1420" w:type="dxa"/>
          </w:tcPr>
          <w:p w14:paraId="5DB7ACAE" w14:textId="77777777" w:rsidR="00CB1C18" w:rsidRPr="001C251C" w:rsidRDefault="00CB1C18" w:rsidP="00994AED">
            <w:pPr>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en-US"/>
              </w:rPr>
            </w:pPr>
            <w:r w:rsidRPr="001C251C">
              <w:rPr>
                <w:rFonts w:cstheme="minorHAnsi"/>
                <w:sz w:val="21"/>
                <w:szCs w:val="21"/>
                <w:lang w:val="en-US"/>
              </w:rPr>
              <w:t>2.1</w:t>
            </w:r>
          </w:p>
        </w:tc>
      </w:tr>
    </w:tbl>
    <w:p w14:paraId="6402FBDC" w14:textId="77777777" w:rsidR="00CB1C18" w:rsidRPr="001C251C" w:rsidRDefault="00CB1C18" w:rsidP="00CB1C18">
      <w:pPr>
        <w:jc w:val="both"/>
        <w:rPr>
          <w:rFonts w:cstheme="minorHAnsi"/>
          <w:b/>
          <w:bCs/>
          <w:sz w:val="21"/>
          <w:szCs w:val="21"/>
        </w:rPr>
      </w:pPr>
      <w:r w:rsidRPr="001C251C">
        <w:rPr>
          <w:rFonts w:cstheme="minorHAnsi"/>
          <w:b/>
          <w:bCs/>
          <w:sz w:val="21"/>
          <w:szCs w:val="21"/>
        </w:rPr>
        <w:t>Partner agency(s) or institution(s), branch and work group</w:t>
      </w:r>
    </w:p>
    <w:p w14:paraId="61850448" w14:textId="0B7F207C" w:rsidR="00CB1C18" w:rsidRPr="001C251C" w:rsidRDefault="00CB1C18" w:rsidP="00F5504F">
      <w:pPr>
        <w:pStyle w:val="ListParagraph"/>
        <w:numPr>
          <w:ilvl w:val="0"/>
          <w:numId w:val="86"/>
        </w:numPr>
        <w:suppressAutoHyphens w:val="0"/>
        <w:spacing w:before="0" w:after="0" w:line="240" w:lineRule="auto"/>
        <w:jc w:val="both"/>
        <w:rPr>
          <w:rFonts w:cstheme="minorHAnsi"/>
          <w:sz w:val="21"/>
          <w:szCs w:val="21"/>
        </w:rPr>
      </w:pPr>
      <w:proofErr w:type="spellStart"/>
      <w:r w:rsidRPr="001C251C">
        <w:rPr>
          <w:rFonts w:cstheme="minorHAnsi"/>
          <w:sz w:val="21"/>
          <w:szCs w:val="21"/>
        </w:rPr>
        <w:t>Prospera’s</w:t>
      </w:r>
      <w:proofErr w:type="spellEnd"/>
      <w:r w:rsidRPr="001C251C">
        <w:rPr>
          <w:rFonts w:cstheme="minorHAnsi"/>
          <w:sz w:val="21"/>
          <w:szCs w:val="21"/>
        </w:rPr>
        <w:t xml:space="preserve"> Markets Engagement Area may offer an appropriate resource for delivering the Needs Assessment. The suggested implementation activities would need to be coordinated with </w:t>
      </w:r>
      <w:proofErr w:type="spellStart"/>
      <w:r w:rsidRPr="001C251C">
        <w:rPr>
          <w:rFonts w:cstheme="minorHAnsi"/>
          <w:sz w:val="21"/>
          <w:szCs w:val="21"/>
        </w:rPr>
        <w:t>Bappenas</w:t>
      </w:r>
      <w:proofErr w:type="spellEnd"/>
      <w:r w:rsidRPr="001C251C">
        <w:rPr>
          <w:rFonts w:cstheme="minorHAnsi"/>
          <w:sz w:val="21"/>
          <w:szCs w:val="21"/>
        </w:rPr>
        <w:t>, the Ministry of Trade</w:t>
      </w:r>
      <w:r w:rsidR="00642096">
        <w:rPr>
          <w:rFonts w:cstheme="minorHAnsi"/>
          <w:sz w:val="21"/>
          <w:szCs w:val="21"/>
        </w:rPr>
        <w:t>, the Coordinating Ministry for Economic Affairs,</w:t>
      </w:r>
      <w:r w:rsidR="00642096" w:rsidRPr="001C251C">
        <w:rPr>
          <w:rFonts w:cstheme="minorHAnsi"/>
          <w:sz w:val="21"/>
          <w:szCs w:val="21"/>
        </w:rPr>
        <w:t xml:space="preserve"> </w:t>
      </w:r>
      <w:r w:rsidRPr="001C251C">
        <w:rPr>
          <w:rFonts w:cstheme="minorHAnsi"/>
          <w:sz w:val="21"/>
          <w:szCs w:val="21"/>
        </w:rPr>
        <w:t xml:space="preserve">and the Coordinating Ministry for Maritime Affairs and Investment. </w:t>
      </w:r>
    </w:p>
    <w:p w14:paraId="4702246F" w14:textId="2C5944F8" w:rsidR="00CB1C18" w:rsidRPr="001C251C" w:rsidRDefault="00CB1C18" w:rsidP="00F5504F">
      <w:pPr>
        <w:pStyle w:val="ListParagraph"/>
        <w:numPr>
          <w:ilvl w:val="0"/>
          <w:numId w:val="86"/>
        </w:numPr>
        <w:suppressAutoHyphens w:val="0"/>
        <w:spacing w:before="0" w:after="0" w:line="240" w:lineRule="auto"/>
        <w:jc w:val="both"/>
        <w:rPr>
          <w:rFonts w:cstheme="minorHAnsi"/>
          <w:sz w:val="21"/>
          <w:szCs w:val="21"/>
        </w:rPr>
      </w:pPr>
      <w:r w:rsidRPr="001C251C">
        <w:rPr>
          <w:rFonts w:cstheme="minorHAnsi"/>
          <w:sz w:val="21"/>
          <w:szCs w:val="21"/>
        </w:rPr>
        <w:t xml:space="preserve">Should these be recommended, exchange of officials may be coordinated by the ECP Hub between relevant agencies, including: </w:t>
      </w:r>
      <w:proofErr w:type="spellStart"/>
      <w:r w:rsidRPr="001C251C">
        <w:rPr>
          <w:rFonts w:cstheme="minorHAnsi"/>
          <w:sz w:val="21"/>
          <w:szCs w:val="21"/>
        </w:rPr>
        <w:t>Bappenas</w:t>
      </w:r>
      <w:proofErr w:type="spellEnd"/>
      <w:r w:rsidRPr="001C251C">
        <w:rPr>
          <w:rFonts w:cstheme="minorHAnsi"/>
          <w:sz w:val="21"/>
          <w:szCs w:val="21"/>
        </w:rPr>
        <w:t>, the Ministry of Trade</w:t>
      </w:r>
      <w:r w:rsidR="00642096">
        <w:rPr>
          <w:rFonts w:cstheme="minorHAnsi"/>
          <w:sz w:val="21"/>
          <w:szCs w:val="21"/>
        </w:rPr>
        <w:t>, the Coordinating Ministry for Economic Affairs,</w:t>
      </w:r>
      <w:r w:rsidRPr="001C251C">
        <w:rPr>
          <w:rFonts w:cstheme="minorHAnsi"/>
          <w:sz w:val="21"/>
          <w:szCs w:val="21"/>
        </w:rPr>
        <w:t xml:space="preserve"> and the Coordinating Ministry for Maritime Affairs and Investment, </w:t>
      </w:r>
      <w:r w:rsidR="00642096">
        <w:rPr>
          <w:rFonts w:cstheme="minorHAnsi"/>
          <w:sz w:val="21"/>
          <w:szCs w:val="21"/>
        </w:rPr>
        <w:t xml:space="preserve">Ministry of Industry, </w:t>
      </w:r>
      <w:r w:rsidRPr="001C251C">
        <w:rPr>
          <w:rFonts w:cstheme="minorHAnsi"/>
          <w:sz w:val="21"/>
          <w:szCs w:val="21"/>
        </w:rPr>
        <w:t xml:space="preserve">Ministry of Agriculture </w:t>
      </w:r>
      <w:r w:rsidR="00642096">
        <w:rPr>
          <w:rFonts w:cstheme="minorHAnsi"/>
          <w:sz w:val="21"/>
          <w:szCs w:val="21"/>
        </w:rPr>
        <w:t xml:space="preserve">and </w:t>
      </w:r>
      <w:r w:rsidR="00642096" w:rsidRPr="001C251C">
        <w:rPr>
          <w:rFonts w:cstheme="minorHAnsi"/>
          <w:sz w:val="21"/>
          <w:szCs w:val="21"/>
        </w:rPr>
        <w:t>BKPM,</w:t>
      </w:r>
      <w:r w:rsidR="00FE39AE">
        <w:rPr>
          <w:rFonts w:cstheme="minorHAnsi"/>
          <w:sz w:val="21"/>
          <w:szCs w:val="21"/>
        </w:rPr>
        <w:t xml:space="preserve"> </w:t>
      </w:r>
      <w:r w:rsidRPr="001C251C">
        <w:rPr>
          <w:rFonts w:cstheme="minorHAnsi"/>
          <w:sz w:val="21"/>
          <w:szCs w:val="21"/>
        </w:rPr>
        <w:t>in Indonesia,</w:t>
      </w:r>
      <w:r w:rsidR="00642096">
        <w:rPr>
          <w:rFonts w:cstheme="minorHAnsi"/>
          <w:sz w:val="21"/>
          <w:szCs w:val="21"/>
        </w:rPr>
        <w:t xml:space="preserve"> </w:t>
      </w:r>
      <w:r w:rsidRPr="001C251C">
        <w:rPr>
          <w:rFonts w:cstheme="minorHAnsi"/>
          <w:sz w:val="21"/>
          <w:szCs w:val="21"/>
        </w:rPr>
        <w:t xml:space="preserve">and the Department of Foreign Affairs &amp; Trade, </w:t>
      </w:r>
      <w:proofErr w:type="spellStart"/>
      <w:r w:rsidRPr="001C251C">
        <w:rPr>
          <w:rFonts w:cstheme="minorHAnsi"/>
          <w:sz w:val="21"/>
          <w:szCs w:val="21"/>
        </w:rPr>
        <w:t>Austrade</w:t>
      </w:r>
      <w:proofErr w:type="spellEnd"/>
      <w:r w:rsidRPr="001C251C">
        <w:rPr>
          <w:rFonts w:cstheme="minorHAnsi"/>
          <w:sz w:val="21"/>
          <w:szCs w:val="21"/>
        </w:rPr>
        <w:t xml:space="preserve">, Agriculture and others in Australia. </w:t>
      </w:r>
    </w:p>
    <w:p w14:paraId="383C8DD7" w14:textId="77777777" w:rsidR="00CB1C18" w:rsidRPr="001C251C" w:rsidRDefault="00CB1C18" w:rsidP="00F5504F">
      <w:pPr>
        <w:pStyle w:val="ListParagraph"/>
        <w:numPr>
          <w:ilvl w:val="0"/>
          <w:numId w:val="86"/>
        </w:numPr>
        <w:suppressAutoHyphens w:val="0"/>
        <w:spacing w:before="0" w:after="0" w:line="240" w:lineRule="auto"/>
        <w:jc w:val="both"/>
        <w:rPr>
          <w:rFonts w:cstheme="minorHAnsi"/>
          <w:sz w:val="21"/>
          <w:szCs w:val="21"/>
        </w:rPr>
      </w:pPr>
      <w:r w:rsidRPr="001C251C">
        <w:rPr>
          <w:rFonts w:cstheme="minorHAnsi"/>
          <w:sz w:val="21"/>
          <w:szCs w:val="21"/>
        </w:rPr>
        <w:t>Should the exchanges involve a larger group of candidates, collaboration with Australia Awards is envisioned.</w:t>
      </w:r>
    </w:p>
    <w:p w14:paraId="061A50F1" w14:textId="77777777" w:rsidR="00CB1C18" w:rsidRPr="001C251C" w:rsidRDefault="00CB1C18" w:rsidP="00F5504F">
      <w:pPr>
        <w:pStyle w:val="ListParagraph"/>
        <w:numPr>
          <w:ilvl w:val="0"/>
          <w:numId w:val="86"/>
        </w:numPr>
        <w:suppressAutoHyphens w:val="0"/>
        <w:spacing w:before="0" w:after="0" w:line="240" w:lineRule="auto"/>
        <w:jc w:val="both"/>
        <w:rPr>
          <w:rFonts w:cstheme="minorHAnsi"/>
          <w:sz w:val="21"/>
          <w:szCs w:val="21"/>
        </w:rPr>
      </w:pPr>
      <w:r w:rsidRPr="001C251C">
        <w:rPr>
          <w:rFonts w:cstheme="minorHAnsi"/>
          <w:sz w:val="21"/>
          <w:szCs w:val="21"/>
        </w:rPr>
        <w:t xml:space="preserve">Should technical drafting and similar assistance be suitable, this may be suited to </w:t>
      </w:r>
      <w:proofErr w:type="spellStart"/>
      <w:r w:rsidRPr="001C251C">
        <w:rPr>
          <w:rFonts w:cstheme="minorHAnsi"/>
          <w:sz w:val="21"/>
          <w:szCs w:val="21"/>
        </w:rPr>
        <w:t>Prospera’s</w:t>
      </w:r>
      <w:proofErr w:type="spellEnd"/>
      <w:r w:rsidRPr="001C251C">
        <w:rPr>
          <w:rFonts w:cstheme="minorHAnsi"/>
          <w:sz w:val="21"/>
          <w:szCs w:val="21"/>
        </w:rPr>
        <w:t xml:space="preserve"> Markets Engagement Area and would need to be developed in partnership with them, as appropriate. Technical assistance from Australian Government agencies, in particular DFAT and Customs, may also be appropriate.  </w:t>
      </w:r>
    </w:p>
    <w:p w14:paraId="3A9FED3E" w14:textId="135E173D" w:rsidR="00CB1C18" w:rsidRPr="001C251C" w:rsidRDefault="00CB1C18" w:rsidP="00F5504F">
      <w:pPr>
        <w:pStyle w:val="ListParagraph"/>
        <w:numPr>
          <w:ilvl w:val="0"/>
          <w:numId w:val="86"/>
        </w:numPr>
        <w:suppressAutoHyphens w:val="0"/>
        <w:spacing w:before="0" w:after="0" w:line="240" w:lineRule="auto"/>
        <w:jc w:val="both"/>
        <w:rPr>
          <w:rFonts w:cstheme="minorHAnsi"/>
          <w:sz w:val="21"/>
          <w:szCs w:val="21"/>
        </w:rPr>
      </w:pPr>
      <w:r w:rsidRPr="001C251C">
        <w:rPr>
          <w:rFonts w:cstheme="minorHAnsi"/>
          <w:sz w:val="21"/>
          <w:szCs w:val="21"/>
        </w:rPr>
        <w:t>Standing up an Industry Engagement Advisory Group may involve bilateral chambers, such as the Australia-Indonesia Business Council, the Indonesia-Australia Business Council, KADIN, ACCI and others (</w:t>
      </w:r>
      <w:r w:rsidRPr="001C251C">
        <w:rPr>
          <w:rFonts w:cstheme="minorHAnsi"/>
          <w:bCs/>
          <w:sz w:val="21"/>
          <w:szCs w:val="21"/>
        </w:rPr>
        <w:t>such as the Indonesian Food &amp; Beverage Association</w:t>
      </w:r>
      <w:r w:rsidR="00D74DD2">
        <w:rPr>
          <w:rFonts w:cstheme="minorHAnsi"/>
          <w:bCs/>
          <w:sz w:val="21"/>
          <w:szCs w:val="21"/>
        </w:rPr>
        <w:t xml:space="preserve"> (</w:t>
      </w:r>
      <w:r w:rsidRPr="001C251C">
        <w:rPr>
          <w:rFonts w:cstheme="minorHAnsi"/>
          <w:bCs/>
          <w:sz w:val="21"/>
          <w:szCs w:val="21"/>
        </w:rPr>
        <w:t>GAPPMI</w:t>
      </w:r>
      <w:r w:rsidR="00D74DD2">
        <w:rPr>
          <w:rFonts w:cstheme="minorHAnsi"/>
          <w:bCs/>
          <w:sz w:val="21"/>
          <w:szCs w:val="21"/>
        </w:rPr>
        <w:t>)</w:t>
      </w:r>
      <w:r w:rsidRPr="001C251C">
        <w:rPr>
          <w:rFonts w:cstheme="minorHAnsi"/>
          <w:bCs/>
          <w:sz w:val="21"/>
          <w:szCs w:val="21"/>
        </w:rPr>
        <w:t xml:space="preserve">, </w:t>
      </w:r>
      <w:r w:rsidR="00D74DD2" w:rsidRPr="001C251C">
        <w:rPr>
          <w:rFonts w:cstheme="minorHAnsi"/>
          <w:bCs/>
          <w:sz w:val="21"/>
          <w:szCs w:val="21"/>
        </w:rPr>
        <w:t xml:space="preserve">GAPPMI, </w:t>
      </w:r>
      <w:r w:rsidR="00D74DD2">
        <w:rPr>
          <w:rFonts w:cstheme="minorHAnsi"/>
          <w:bCs/>
          <w:sz w:val="21"/>
          <w:szCs w:val="21"/>
        </w:rPr>
        <w:t>Association of Indonesian Motor Vehicle Industry (GAIKINDO), Car and Motorcycle Equipment Industry Association (GIAMM</w:t>
      </w:r>
      <w:r w:rsidR="00642096">
        <w:rPr>
          <w:rFonts w:cstheme="minorHAnsi"/>
          <w:bCs/>
          <w:sz w:val="21"/>
          <w:szCs w:val="21"/>
        </w:rPr>
        <w:t xml:space="preserve">), </w:t>
      </w:r>
      <w:r w:rsidRPr="001C251C">
        <w:rPr>
          <w:rFonts w:cstheme="minorHAnsi"/>
          <w:bCs/>
          <w:sz w:val="21"/>
          <w:szCs w:val="21"/>
        </w:rPr>
        <w:t>the Digital Entrepreneur Indonesia (ADEI), Small Medium Enterprise association (UMKM))</w:t>
      </w:r>
      <w:r w:rsidRPr="001C251C">
        <w:rPr>
          <w:rFonts w:cstheme="minorHAnsi"/>
          <w:sz w:val="21"/>
          <w:szCs w:val="21"/>
        </w:rPr>
        <w:t xml:space="preserve"> who can offer suitable experience and networks.</w:t>
      </w:r>
      <w:r w:rsidR="006C39E4">
        <w:rPr>
          <w:rFonts w:cstheme="minorHAnsi"/>
          <w:sz w:val="21"/>
          <w:szCs w:val="21"/>
        </w:rPr>
        <w:t xml:space="preserve"> </w:t>
      </w:r>
    </w:p>
    <w:p w14:paraId="245D2623" w14:textId="77777777" w:rsidR="00CB1C18" w:rsidRPr="001C251C" w:rsidRDefault="00CB1C18" w:rsidP="00F5504F">
      <w:pPr>
        <w:pStyle w:val="ListParagraph"/>
        <w:numPr>
          <w:ilvl w:val="0"/>
          <w:numId w:val="86"/>
        </w:numPr>
        <w:suppressAutoHyphens w:val="0"/>
        <w:spacing w:before="0" w:after="0" w:line="240" w:lineRule="auto"/>
        <w:jc w:val="both"/>
        <w:rPr>
          <w:rFonts w:cstheme="minorHAnsi"/>
          <w:sz w:val="21"/>
          <w:szCs w:val="21"/>
        </w:rPr>
      </w:pPr>
      <w:r w:rsidRPr="001C251C">
        <w:rPr>
          <w:rFonts w:cstheme="minorHAnsi"/>
          <w:sz w:val="21"/>
          <w:szCs w:val="21"/>
        </w:rPr>
        <w:t xml:space="preserve">Local hubs: provincial and district governments. In the early stage, the provinces chosen are those where </w:t>
      </w:r>
      <w:r w:rsidRPr="001C251C">
        <w:rPr>
          <w:rFonts w:cstheme="minorHAnsi"/>
          <w:b/>
          <w:bCs/>
          <w:sz w:val="21"/>
          <w:szCs w:val="21"/>
        </w:rPr>
        <w:t>Australian Consulate General</w:t>
      </w:r>
      <w:r w:rsidRPr="001C251C">
        <w:rPr>
          <w:rFonts w:cstheme="minorHAnsi"/>
          <w:sz w:val="21"/>
          <w:szCs w:val="21"/>
        </w:rPr>
        <w:t xml:space="preserve"> offices are located, namely South Sulawesi (i.e. city of Makassar), East Java (i.e. city of Surabaya), and Bali (i.e. city of Denpasar). This component might also integrate with Australian initiatives in Indonesian regions, such as the Partnership for Australia-Indonesia Research (PAIR) through the Australia-Indonesia Centre.</w:t>
      </w:r>
    </w:p>
    <w:p w14:paraId="3DAFA773" w14:textId="5B0F7471" w:rsidR="00CB1C18" w:rsidRPr="001C251C" w:rsidRDefault="00CB1C18" w:rsidP="00CB1C18">
      <w:pPr>
        <w:jc w:val="both"/>
        <w:rPr>
          <w:rFonts w:cstheme="minorHAnsi"/>
          <w:sz w:val="21"/>
          <w:szCs w:val="21"/>
        </w:rPr>
      </w:pPr>
      <w:r w:rsidRPr="001C251C">
        <w:rPr>
          <w:rFonts w:cstheme="minorHAnsi"/>
          <w:b/>
          <w:bCs/>
          <w:sz w:val="21"/>
          <w:szCs w:val="21"/>
        </w:rPr>
        <w:t>Activity assessment against investment criteria</w:t>
      </w:r>
    </w:p>
    <w:p w14:paraId="23A170D9" w14:textId="77777777" w:rsidR="00CB1C18" w:rsidRPr="001C251C" w:rsidRDefault="00CB1C18" w:rsidP="00D92C2A">
      <w:pPr>
        <w:pBdr>
          <w:top w:val="single" w:sz="4" w:space="1" w:color="auto"/>
          <w:left w:val="single" w:sz="4" w:space="4" w:color="auto"/>
          <w:bottom w:val="single" w:sz="4" w:space="1" w:color="auto"/>
          <w:right w:val="single" w:sz="4" w:space="0" w:color="auto"/>
        </w:pBdr>
        <w:jc w:val="both"/>
        <w:outlineLvl w:val="0"/>
        <w:rPr>
          <w:rFonts w:cstheme="minorHAnsi"/>
          <w:b/>
          <w:sz w:val="21"/>
          <w:szCs w:val="21"/>
        </w:rPr>
      </w:pPr>
      <w:r w:rsidRPr="001C251C">
        <w:rPr>
          <w:rFonts w:cstheme="minorHAnsi"/>
          <w:b/>
          <w:sz w:val="21"/>
          <w:szCs w:val="21"/>
        </w:rPr>
        <w:t>INVESTMENT CRITERIA:</w:t>
      </w:r>
    </w:p>
    <w:p w14:paraId="6B43E4FD" w14:textId="4FD07931" w:rsidR="00CB1C18" w:rsidRPr="001C251C" w:rsidRDefault="00D92C2A" w:rsidP="00D92C2A">
      <w:pPr>
        <w:pBdr>
          <w:top w:val="single" w:sz="4" w:space="1" w:color="auto"/>
          <w:left w:val="single" w:sz="4" w:space="4" w:color="auto"/>
          <w:bottom w:val="single" w:sz="4" w:space="1" w:color="auto"/>
          <w:right w:val="single" w:sz="4" w:space="0" w:color="auto"/>
        </w:pBdr>
        <w:jc w:val="both"/>
        <w:rPr>
          <w:rFonts w:cstheme="minorHAnsi"/>
          <w:sz w:val="21"/>
          <w:szCs w:val="21"/>
        </w:rPr>
      </w:pPr>
      <w:r w:rsidRPr="001C251C">
        <w:rPr>
          <w:rFonts w:cstheme="minorHAnsi"/>
          <w:b/>
          <w:sz w:val="21"/>
          <w:szCs w:val="21"/>
        </w:rPr>
        <w:t>(</w:t>
      </w:r>
      <w:proofErr w:type="spellStart"/>
      <w:r w:rsidRPr="001C251C">
        <w:rPr>
          <w:rFonts w:cstheme="minorHAnsi"/>
          <w:b/>
          <w:sz w:val="21"/>
          <w:szCs w:val="21"/>
        </w:rPr>
        <w:t>i</w:t>
      </w:r>
      <w:proofErr w:type="spellEnd"/>
      <w:r w:rsidRPr="001C251C">
        <w:rPr>
          <w:rFonts w:cstheme="minorHAnsi"/>
          <w:b/>
          <w:sz w:val="21"/>
          <w:szCs w:val="21"/>
        </w:rPr>
        <w:t xml:space="preserve">) </w:t>
      </w:r>
      <w:r w:rsidR="00CB1C18" w:rsidRPr="001C251C">
        <w:rPr>
          <w:rFonts w:cstheme="minorHAnsi"/>
          <w:b/>
          <w:sz w:val="21"/>
          <w:szCs w:val="21"/>
        </w:rPr>
        <w:t>Maximising the outcomes of IA-CEPA:</w:t>
      </w:r>
      <w:r w:rsidR="00CB1C18" w:rsidRPr="001C251C">
        <w:rPr>
          <w:rFonts w:cstheme="minorHAnsi"/>
          <w:sz w:val="21"/>
          <w:szCs w:val="21"/>
        </w:rPr>
        <w:t xml:space="preserve"> As this Implementation Activity is the core business of ECP, it would focus on the cooperation aspect of the treaty. Thus, despite the low existing trade and investment flows between the two </w:t>
      </w:r>
      <w:r w:rsidR="00CB1C18" w:rsidRPr="001C251C">
        <w:rPr>
          <w:rFonts w:cstheme="minorHAnsi"/>
          <w:sz w:val="21"/>
          <w:szCs w:val="21"/>
        </w:rPr>
        <w:lastRenderedPageBreak/>
        <w:t>countries, it is expected that the activities will not only increase the flows, but also deepen the cooperation between the two countries beyond trade and investment</w:t>
      </w:r>
    </w:p>
    <w:p w14:paraId="7C420F0F" w14:textId="22ACDE02" w:rsidR="00CB1C18" w:rsidRPr="001C251C" w:rsidRDefault="002217F0" w:rsidP="00D92C2A">
      <w:pPr>
        <w:pBdr>
          <w:top w:val="single" w:sz="4" w:space="1" w:color="auto"/>
          <w:left w:val="single" w:sz="4" w:space="4" w:color="auto"/>
          <w:bottom w:val="single" w:sz="4" w:space="1" w:color="auto"/>
          <w:right w:val="single" w:sz="4" w:space="0" w:color="auto"/>
        </w:pBdr>
        <w:jc w:val="both"/>
        <w:rPr>
          <w:rFonts w:cstheme="minorHAnsi"/>
          <w:sz w:val="21"/>
          <w:szCs w:val="21"/>
        </w:rPr>
      </w:pPr>
      <w:r>
        <w:rPr>
          <w:rFonts w:cstheme="minorHAnsi"/>
          <w:b/>
          <w:sz w:val="21"/>
          <w:szCs w:val="21"/>
        </w:rPr>
        <w:t xml:space="preserve">(ii) </w:t>
      </w:r>
      <w:r w:rsidR="00CB1C18" w:rsidRPr="001C251C">
        <w:rPr>
          <w:rFonts w:cstheme="minorHAnsi"/>
          <w:b/>
          <w:sz w:val="21"/>
          <w:szCs w:val="21"/>
        </w:rPr>
        <w:t xml:space="preserve">Aligned to bilateral or regional Interests: </w:t>
      </w:r>
      <w:r w:rsidR="00CB1C18" w:rsidRPr="001C251C">
        <w:rPr>
          <w:rFonts w:cstheme="minorHAnsi"/>
          <w:sz w:val="21"/>
          <w:szCs w:val="21"/>
        </w:rPr>
        <w:t xml:space="preserve">Both countries aim to increase trade and investment flow bilaterally – this will automatically increase trade and investment in the region. As each country is member of certain regional agreements (and co-members in AANZFTA and RCEP), it is in its interest to align the bilateral objectives with those of the regions’. </w:t>
      </w:r>
    </w:p>
    <w:p w14:paraId="377673CD" w14:textId="6F526DFC" w:rsidR="00CB1C18" w:rsidRPr="001C251C" w:rsidRDefault="002217F0" w:rsidP="00D92C2A">
      <w:pPr>
        <w:pBdr>
          <w:top w:val="single" w:sz="4" w:space="1" w:color="auto"/>
          <w:left w:val="single" w:sz="4" w:space="4" w:color="auto"/>
          <w:bottom w:val="single" w:sz="4" w:space="1" w:color="auto"/>
          <w:right w:val="single" w:sz="4" w:space="0" w:color="auto"/>
        </w:pBdr>
        <w:jc w:val="both"/>
        <w:rPr>
          <w:rFonts w:cstheme="minorHAnsi"/>
          <w:sz w:val="21"/>
          <w:szCs w:val="21"/>
        </w:rPr>
      </w:pPr>
      <w:r>
        <w:rPr>
          <w:rFonts w:cstheme="minorHAnsi"/>
          <w:b/>
          <w:sz w:val="21"/>
          <w:szCs w:val="21"/>
        </w:rPr>
        <w:t xml:space="preserve">(iii) </w:t>
      </w:r>
      <w:r w:rsidR="00CB1C18" w:rsidRPr="001C251C">
        <w:rPr>
          <w:rFonts w:cstheme="minorHAnsi"/>
          <w:b/>
          <w:sz w:val="21"/>
          <w:szCs w:val="21"/>
        </w:rPr>
        <w:t>Mutually beneficial opportunities</w:t>
      </w:r>
      <w:r w:rsidR="00CB1C18" w:rsidRPr="001C251C">
        <w:rPr>
          <w:rFonts w:cstheme="minorHAnsi"/>
          <w:b/>
          <w:bCs/>
          <w:sz w:val="21"/>
          <w:szCs w:val="21"/>
        </w:rPr>
        <w:t xml:space="preserve">: </w:t>
      </w:r>
      <w:r w:rsidR="00CB1C18" w:rsidRPr="001C251C">
        <w:rPr>
          <w:rFonts w:cstheme="minorHAnsi"/>
          <w:bCs/>
          <w:sz w:val="21"/>
          <w:szCs w:val="21"/>
        </w:rPr>
        <w:t>implementation of agreed commitments is clearly in the interests of both parties. The socialisation activities will focus on both complementarity of economies, and the ‘</w:t>
      </w:r>
      <w:r w:rsidR="00CB1C18" w:rsidRPr="001C251C">
        <w:rPr>
          <w:rFonts w:cstheme="minorHAnsi"/>
          <w:sz w:val="21"/>
          <w:szCs w:val="21"/>
        </w:rPr>
        <w:t>powerhouse’ model whereby Australian inputs, investment and expertise join force with Indonesian materials and labour to tap into opportunities in third markets.</w:t>
      </w:r>
    </w:p>
    <w:p w14:paraId="3A91E57D" w14:textId="7D1E792F" w:rsidR="00CB1C18" w:rsidRPr="001C251C" w:rsidRDefault="002217F0" w:rsidP="00D92C2A">
      <w:pPr>
        <w:pBdr>
          <w:top w:val="single" w:sz="4" w:space="1" w:color="auto"/>
          <w:left w:val="single" w:sz="4" w:space="4" w:color="auto"/>
          <w:bottom w:val="single" w:sz="4" w:space="1" w:color="auto"/>
          <w:right w:val="single" w:sz="4" w:space="0" w:color="auto"/>
        </w:pBdr>
        <w:jc w:val="both"/>
        <w:rPr>
          <w:rFonts w:cstheme="minorHAnsi"/>
          <w:bCs/>
          <w:sz w:val="21"/>
          <w:szCs w:val="21"/>
        </w:rPr>
      </w:pPr>
      <w:r>
        <w:rPr>
          <w:rFonts w:cstheme="minorHAnsi"/>
          <w:b/>
          <w:sz w:val="21"/>
          <w:szCs w:val="21"/>
        </w:rPr>
        <w:t xml:space="preserve">(iv) </w:t>
      </w:r>
      <w:r w:rsidR="00CB1C18" w:rsidRPr="001C251C">
        <w:rPr>
          <w:rFonts w:cstheme="minorHAnsi"/>
          <w:b/>
          <w:sz w:val="21"/>
          <w:szCs w:val="21"/>
        </w:rPr>
        <w:t xml:space="preserve">Politically feasible and practical: </w:t>
      </w:r>
      <w:r w:rsidR="00CB1C18" w:rsidRPr="001C251C">
        <w:rPr>
          <w:rFonts w:cstheme="minorHAnsi"/>
          <w:bCs/>
          <w:sz w:val="21"/>
          <w:szCs w:val="21"/>
        </w:rPr>
        <w:t xml:space="preserve">Dedicating some of the ECP funds to implementation of IA-CEPA has been discussed throughout negotiations and consultations for the ECP. The tools proposed are common bilateral regulatory cooperation mechanisms. Embedding staff within agencies can sometimes present administrative issues, which will have to </w:t>
      </w:r>
      <w:r>
        <w:rPr>
          <w:rFonts w:cstheme="minorHAnsi"/>
          <w:bCs/>
          <w:sz w:val="21"/>
          <w:szCs w:val="21"/>
        </w:rPr>
        <w:t xml:space="preserve">be </w:t>
      </w:r>
      <w:r w:rsidR="00CB1C18" w:rsidRPr="001C251C">
        <w:rPr>
          <w:rFonts w:cstheme="minorHAnsi"/>
          <w:bCs/>
          <w:sz w:val="21"/>
          <w:szCs w:val="21"/>
        </w:rPr>
        <w:t>considered.</w:t>
      </w:r>
    </w:p>
    <w:p w14:paraId="3370B53E" w14:textId="69BA0B06" w:rsidR="00CB1C18" w:rsidRPr="001C251C" w:rsidRDefault="002217F0" w:rsidP="00D92C2A">
      <w:pPr>
        <w:pBdr>
          <w:top w:val="single" w:sz="4" w:space="1" w:color="auto"/>
          <w:left w:val="single" w:sz="4" w:space="4" w:color="auto"/>
          <w:bottom w:val="single" w:sz="4" w:space="1" w:color="auto"/>
          <w:right w:val="single" w:sz="4" w:space="0" w:color="auto"/>
        </w:pBdr>
        <w:jc w:val="both"/>
        <w:rPr>
          <w:rFonts w:cstheme="minorHAnsi"/>
          <w:sz w:val="21"/>
          <w:szCs w:val="21"/>
        </w:rPr>
      </w:pPr>
      <w:r>
        <w:rPr>
          <w:rFonts w:cstheme="minorHAnsi"/>
          <w:b/>
          <w:sz w:val="21"/>
          <w:szCs w:val="21"/>
        </w:rPr>
        <w:t xml:space="preserve">(v) </w:t>
      </w:r>
      <w:r w:rsidR="00CB1C18" w:rsidRPr="001C251C">
        <w:rPr>
          <w:rFonts w:cstheme="minorHAnsi"/>
          <w:b/>
          <w:sz w:val="21"/>
          <w:szCs w:val="21"/>
        </w:rPr>
        <w:t xml:space="preserve">Reflect Australia and Indonesia’s comparative advantages: </w:t>
      </w:r>
      <w:r w:rsidR="00CB1C18" w:rsidRPr="001C251C">
        <w:rPr>
          <w:rFonts w:cstheme="minorHAnsi"/>
          <w:sz w:val="21"/>
          <w:szCs w:val="21"/>
        </w:rPr>
        <w:t>The socialisation activities of this activity will focus on the complementarity principle at the heart of the two economies.</w:t>
      </w:r>
    </w:p>
    <w:p w14:paraId="5D442D7C" w14:textId="51CC041D" w:rsidR="00CB1C18" w:rsidRPr="001C251C" w:rsidRDefault="002217F0" w:rsidP="00D92C2A">
      <w:pPr>
        <w:pBdr>
          <w:top w:val="single" w:sz="4" w:space="1" w:color="auto"/>
          <w:left w:val="single" w:sz="4" w:space="4" w:color="auto"/>
          <w:bottom w:val="single" w:sz="4" w:space="1" w:color="auto"/>
          <w:right w:val="single" w:sz="4" w:space="0" w:color="auto"/>
        </w:pBdr>
        <w:jc w:val="both"/>
        <w:rPr>
          <w:rFonts w:cstheme="minorHAnsi"/>
          <w:sz w:val="21"/>
          <w:szCs w:val="21"/>
        </w:rPr>
      </w:pPr>
      <w:r>
        <w:rPr>
          <w:rFonts w:cstheme="minorHAnsi"/>
          <w:b/>
          <w:sz w:val="21"/>
          <w:szCs w:val="21"/>
        </w:rPr>
        <w:t xml:space="preserve">(vi) </w:t>
      </w:r>
      <w:r w:rsidR="00CB1C18" w:rsidRPr="001C251C">
        <w:rPr>
          <w:rFonts w:cstheme="minorHAnsi"/>
          <w:b/>
          <w:sz w:val="21"/>
          <w:szCs w:val="21"/>
        </w:rPr>
        <w:t xml:space="preserve">Prioritises catalytic outcomes: </w:t>
      </w:r>
      <w:r w:rsidR="00CB1C18" w:rsidRPr="001C251C">
        <w:rPr>
          <w:rFonts w:cstheme="minorHAnsi"/>
          <w:sz w:val="21"/>
          <w:szCs w:val="21"/>
        </w:rPr>
        <w:t>The success of IA-CEPA will provide a good example for the other trade agreements under negotiation and will bring economic benefits to the region. Socialisation activities at an industry sector and regional level should be focused on raising awareness of opportunities beyond the traditional peak industry groups.</w:t>
      </w:r>
    </w:p>
    <w:p w14:paraId="4534E40A" w14:textId="0ED1F21C" w:rsidR="00CB1C18" w:rsidRPr="001C251C" w:rsidRDefault="002217F0" w:rsidP="00D92C2A">
      <w:pPr>
        <w:pBdr>
          <w:top w:val="single" w:sz="4" w:space="1" w:color="auto"/>
          <w:left w:val="single" w:sz="4" w:space="4" w:color="auto"/>
          <w:bottom w:val="single" w:sz="4" w:space="1" w:color="auto"/>
          <w:right w:val="single" w:sz="4" w:space="0" w:color="auto"/>
        </w:pBdr>
        <w:jc w:val="both"/>
        <w:rPr>
          <w:rFonts w:cstheme="minorHAnsi"/>
          <w:i/>
          <w:iCs/>
          <w:sz w:val="21"/>
          <w:szCs w:val="21"/>
        </w:rPr>
      </w:pPr>
      <w:r>
        <w:rPr>
          <w:rFonts w:cstheme="minorHAnsi"/>
          <w:b/>
          <w:bCs/>
          <w:sz w:val="21"/>
          <w:szCs w:val="21"/>
        </w:rPr>
        <w:t xml:space="preserve">(vii) </w:t>
      </w:r>
      <w:r w:rsidR="00CB1C18" w:rsidRPr="001C251C">
        <w:rPr>
          <w:rFonts w:cstheme="minorHAnsi"/>
          <w:b/>
          <w:bCs/>
          <w:sz w:val="21"/>
          <w:szCs w:val="21"/>
        </w:rPr>
        <w:t xml:space="preserve">Co-contribution: </w:t>
      </w:r>
      <w:r w:rsidR="00CB1C18" w:rsidRPr="001C251C">
        <w:rPr>
          <w:rFonts w:cstheme="minorHAnsi"/>
          <w:sz w:val="21"/>
          <w:szCs w:val="21"/>
        </w:rPr>
        <w:t>It is anticipated that the Indonesian Government may contribute funding towards the ECP.</w:t>
      </w:r>
    </w:p>
    <w:p w14:paraId="0E5AF8A9" w14:textId="77777777" w:rsidR="00CB1C18" w:rsidRPr="001C251C" w:rsidRDefault="00CB1C18" w:rsidP="00CB1C18">
      <w:pPr>
        <w:jc w:val="both"/>
        <w:rPr>
          <w:rFonts w:cstheme="minorHAnsi"/>
          <w:b/>
          <w:bCs/>
          <w:sz w:val="21"/>
          <w:szCs w:val="21"/>
        </w:rPr>
      </w:pPr>
      <w:r w:rsidRPr="001C251C">
        <w:rPr>
          <w:rFonts w:cstheme="minorHAnsi"/>
          <w:b/>
          <w:bCs/>
          <w:sz w:val="21"/>
          <w:szCs w:val="21"/>
        </w:rPr>
        <w:t>Context analysis</w:t>
      </w:r>
    </w:p>
    <w:p w14:paraId="1347841C" w14:textId="77777777" w:rsidR="00CB1C18" w:rsidRPr="001C251C" w:rsidRDefault="00CB1C18" w:rsidP="00CB1C18">
      <w:pPr>
        <w:rPr>
          <w:rFonts w:cstheme="minorHAnsi"/>
          <w:sz w:val="21"/>
          <w:szCs w:val="21"/>
        </w:rPr>
      </w:pPr>
      <w:r w:rsidRPr="001C251C">
        <w:rPr>
          <w:rFonts w:cstheme="minorHAnsi"/>
          <w:sz w:val="21"/>
          <w:szCs w:val="21"/>
        </w:rPr>
        <w:t xml:space="preserve">Indonesia with its 250 million population and aspiring middle class is a massive country and a key economic player in the Southeast Asian region. Australia, with a population of one-tenth, yet an economy of ten-times as big, is an important neighbour. At present both trade and investment volumes between the two countries seem inconsequential – less than 3% for the former and less than 2% for the latter. </w:t>
      </w:r>
    </w:p>
    <w:p w14:paraId="5EDB9BB9" w14:textId="77777777" w:rsidR="00CB1C18" w:rsidRPr="001C251C" w:rsidRDefault="00CB1C18" w:rsidP="00CB1C18">
      <w:pPr>
        <w:rPr>
          <w:rFonts w:cstheme="minorHAnsi"/>
          <w:sz w:val="21"/>
          <w:szCs w:val="21"/>
        </w:rPr>
      </w:pPr>
      <w:r w:rsidRPr="001C251C">
        <w:rPr>
          <w:rFonts w:cstheme="minorHAnsi"/>
          <w:sz w:val="21"/>
          <w:szCs w:val="21"/>
        </w:rPr>
        <w:t xml:space="preserve">But there are potential growth sectors such as health, education, and tourism. From a trade in goods perspective, one may see Indonesia and Australia as two countries competing in the world market, especially in resource-based products. Yet, more disaggregated data reveal potential complementarities between these two countries. In the era of global production networks, Indonesia and Australia can work together to tap into global opportunities. For example, Indonesia is a key player in instant noodle production – with a majority of wheat having originated in Australia for some years. </w:t>
      </w:r>
    </w:p>
    <w:p w14:paraId="432B6D7C" w14:textId="77777777" w:rsidR="00CB1C18" w:rsidRPr="001C251C" w:rsidRDefault="00CB1C18" w:rsidP="00CB1C18">
      <w:pPr>
        <w:rPr>
          <w:rFonts w:cstheme="minorHAnsi"/>
          <w:sz w:val="21"/>
          <w:szCs w:val="21"/>
        </w:rPr>
      </w:pPr>
      <w:r w:rsidRPr="001C251C">
        <w:rPr>
          <w:rFonts w:cstheme="minorHAnsi"/>
          <w:sz w:val="21"/>
          <w:szCs w:val="21"/>
        </w:rPr>
        <w:t>Potential complementarities extend to services sector. Australia has long been a major destination for young Indonesians looking for quality higher education, whereas Australian tourists have been contributing to Indonesia’s exports of services, predominantly through Bali. Such comparative advantages can grow further with better integrated production networks, for example, where Indonesian hospitality firms would benefit from Australian vocational training.</w:t>
      </w:r>
    </w:p>
    <w:p w14:paraId="3D77188C" w14:textId="77777777" w:rsidR="00CB1C18" w:rsidRPr="001C251C" w:rsidRDefault="00CB1C18" w:rsidP="00CB1C18">
      <w:pPr>
        <w:rPr>
          <w:rFonts w:cstheme="minorHAnsi"/>
          <w:b/>
          <w:bCs/>
          <w:sz w:val="21"/>
          <w:szCs w:val="21"/>
        </w:rPr>
      </w:pPr>
      <w:r w:rsidRPr="001C251C">
        <w:rPr>
          <w:rFonts w:cstheme="minorHAnsi"/>
          <w:sz w:val="21"/>
          <w:szCs w:val="21"/>
        </w:rPr>
        <w:t xml:space="preserve">The conclusion of the IA-CEPA provides a strong platform for re-energising trade and investment between the two countries. The ECP will support this ambition. </w:t>
      </w:r>
    </w:p>
    <w:p w14:paraId="0FE1E635" w14:textId="06EB259E" w:rsidR="00CB1C18" w:rsidRPr="001C251C" w:rsidRDefault="00CB1C18" w:rsidP="00CB1C18">
      <w:pPr>
        <w:jc w:val="both"/>
        <w:rPr>
          <w:rFonts w:cstheme="minorHAnsi"/>
          <w:b/>
          <w:bCs/>
          <w:sz w:val="21"/>
          <w:szCs w:val="21"/>
        </w:rPr>
      </w:pPr>
      <w:r w:rsidRPr="001C251C">
        <w:rPr>
          <w:rFonts w:cstheme="minorHAnsi"/>
          <w:b/>
          <w:bCs/>
          <w:sz w:val="21"/>
          <w:szCs w:val="21"/>
        </w:rPr>
        <w:t>Activity logic</w:t>
      </w:r>
    </w:p>
    <w:p w14:paraId="5BFAF84B" w14:textId="77777777" w:rsidR="00CB1C18" w:rsidRPr="001C251C" w:rsidRDefault="00CB1C18" w:rsidP="00CB1C18">
      <w:pPr>
        <w:jc w:val="both"/>
        <w:rPr>
          <w:rFonts w:cstheme="minorHAnsi"/>
          <w:b/>
          <w:sz w:val="21"/>
          <w:szCs w:val="21"/>
        </w:rPr>
      </w:pPr>
      <w:r w:rsidRPr="001C251C">
        <w:rPr>
          <w:rFonts w:cstheme="minorHAnsi"/>
          <w:b/>
          <w:sz w:val="21"/>
          <w:szCs w:val="21"/>
        </w:rPr>
        <w:t xml:space="preserve">Goal: </w:t>
      </w:r>
      <w:r w:rsidRPr="001C251C">
        <w:rPr>
          <w:rFonts w:cstheme="minorHAnsi"/>
          <w:sz w:val="21"/>
          <w:szCs w:val="21"/>
        </w:rPr>
        <w:t>To ensure the outcomes of the IA-CEPA are maximised, increasing trade and investment flows.</w:t>
      </w:r>
    </w:p>
    <w:p w14:paraId="461438D3" w14:textId="13D9CE05" w:rsidR="00CB1C18" w:rsidRPr="001C251C" w:rsidRDefault="00CB1C18" w:rsidP="00CB1C18">
      <w:pPr>
        <w:jc w:val="both"/>
        <w:rPr>
          <w:rFonts w:cstheme="minorHAnsi"/>
          <w:b/>
          <w:sz w:val="21"/>
          <w:szCs w:val="21"/>
        </w:rPr>
      </w:pPr>
      <w:r w:rsidRPr="001C251C">
        <w:rPr>
          <w:rFonts w:cstheme="minorHAnsi"/>
          <w:b/>
          <w:sz w:val="21"/>
          <w:szCs w:val="21"/>
        </w:rPr>
        <w:t xml:space="preserve">Contributes to:  </w:t>
      </w:r>
      <w:r w:rsidRPr="001C251C">
        <w:rPr>
          <w:rFonts w:cstheme="minorHAnsi"/>
          <w:sz w:val="21"/>
          <w:szCs w:val="21"/>
        </w:rPr>
        <w:t>ECP End of Program Outcome 2 – Better Integrated Markets</w:t>
      </w:r>
      <w:r w:rsidR="002217F0">
        <w:rPr>
          <w:rFonts w:cstheme="minorHAnsi"/>
          <w:sz w:val="21"/>
          <w:szCs w:val="21"/>
        </w:rPr>
        <w:t>.</w:t>
      </w:r>
    </w:p>
    <w:p w14:paraId="519C88EF" w14:textId="77777777" w:rsidR="00CB1C18" w:rsidRPr="001C251C" w:rsidRDefault="00CB1C18" w:rsidP="00CB1C18">
      <w:pPr>
        <w:jc w:val="both"/>
        <w:rPr>
          <w:rFonts w:cstheme="minorHAnsi"/>
          <w:b/>
          <w:sz w:val="21"/>
          <w:szCs w:val="21"/>
        </w:rPr>
      </w:pPr>
      <w:r w:rsidRPr="001C251C">
        <w:rPr>
          <w:rFonts w:cstheme="minorHAnsi"/>
          <w:b/>
          <w:sz w:val="21"/>
          <w:szCs w:val="21"/>
        </w:rPr>
        <w:t>Activity Objectives</w:t>
      </w:r>
    </w:p>
    <w:p w14:paraId="7D3E1163" w14:textId="77777777" w:rsidR="00CB1C18" w:rsidRPr="001C251C" w:rsidRDefault="00CB1C18" w:rsidP="00F5504F">
      <w:pPr>
        <w:pStyle w:val="ListParagraph"/>
        <w:numPr>
          <w:ilvl w:val="0"/>
          <w:numId w:val="87"/>
        </w:numPr>
        <w:suppressAutoHyphens w:val="0"/>
        <w:spacing w:before="0" w:after="160" w:line="259" w:lineRule="auto"/>
        <w:jc w:val="both"/>
        <w:rPr>
          <w:rFonts w:cstheme="minorHAnsi"/>
          <w:b/>
          <w:sz w:val="21"/>
          <w:szCs w:val="21"/>
        </w:rPr>
      </w:pPr>
      <w:r w:rsidRPr="001C251C">
        <w:rPr>
          <w:rFonts w:cstheme="minorHAnsi"/>
          <w:sz w:val="21"/>
          <w:szCs w:val="21"/>
        </w:rPr>
        <w:t>To maximise the implementation of IA-CEPA.</w:t>
      </w:r>
    </w:p>
    <w:p w14:paraId="512DF7A1" w14:textId="77777777" w:rsidR="00CB1C18" w:rsidRPr="001C251C" w:rsidRDefault="00CB1C18" w:rsidP="00F5504F">
      <w:pPr>
        <w:pStyle w:val="ListParagraph"/>
        <w:numPr>
          <w:ilvl w:val="0"/>
          <w:numId w:val="87"/>
        </w:numPr>
        <w:suppressAutoHyphens w:val="0"/>
        <w:spacing w:before="0" w:after="160" w:line="259" w:lineRule="auto"/>
        <w:jc w:val="both"/>
        <w:rPr>
          <w:rFonts w:cstheme="minorHAnsi"/>
          <w:b/>
          <w:sz w:val="21"/>
          <w:szCs w:val="21"/>
        </w:rPr>
      </w:pPr>
      <w:r w:rsidRPr="001C251C">
        <w:rPr>
          <w:rFonts w:cstheme="minorHAnsi"/>
          <w:sz w:val="21"/>
          <w:szCs w:val="21"/>
        </w:rPr>
        <w:t xml:space="preserve">To identify opportunities for Indonesia to tap into third markets </w:t>
      </w:r>
    </w:p>
    <w:p w14:paraId="6B81AE48" w14:textId="77777777" w:rsidR="00CB1C18" w:rsidRPr="001C251C" w:rsidRDefault="00CB1C18" w:rsidP="00F5504F">
      <w:pPr>
        <w:pStyle w:val="ListParagraph"/>
        <w:numPr>
          <w:ilvl w:val="0"/>
          <w:numId w:val="87"/>
        </w:numPr>
        <w:suppressAutoHyphens w:val="0"/>
        <w:spacing w:before="0" w:after="160" w:line="259" w:lineRule="auto"/>
        <w:jc w:val="both"/>
        <w:rPr>
          <w:rFonts w:cstheme="minorHAnsi"/>
          <w:b/>
          <w:sz w:val="21"/>
          <w:szCs w:val="21"/>
        </w:rPr>
      </w:pPr>
      <w:r w:rsidRPr="001C251C">
        <w:rPr>
          <w:rFonts w:cstheme="minorHAnsi"/>
          <w:sz w:val="21"/>
          <w:szCs w:val="21"/>
        </w:rPr>
        <w:lastRenderedPageBreak/>
        <w:t>To deepen the cooperation between Australia and Indonesia beyond trade and investment.</w:t>
      </w:r>
    </w:p>
    <w:p w14:paraId="6907F558" w14:textId="77777777" w:rsidR="00CB1C18" w:rsidRPr="001C251C" w:rsidRDefault="00CB1C18" w:rsidP="00F5504F">
      <w:pPr>
        <w:pStyle w:val="ListParagraph"/>
        <w:numPr>
          <w:ilvl w:val="0"/>
          <w:numId w:val="87"/>
        </w:numPr>
        <w:suppressAutoHyphens w:val="0"/>
        <w:spacing w:before="0" w:after="160" w:line="259" w:lineRule="auto"/>
        <w:jc w:val="both"/>
        <w:rPr>
          <w:rFonts w:cstheme="minorHAnsi"/>
          <w:b/>
          <w:sz w:val="21"/>
          <w:szCs w:val="21"/>
        </w:rPr>
      </w:pPr>
      <w:r w:rsidRPr="001C251C">
        <w:rPr>
          <w:rFonts w:cstheme="minorHAnsi"/>
          <w:sz w:val="21"/>
          <w:szCs w:val="21"/>
        </w:rPr>
        <w:t>To demonstrate the benefits of IA-CEPA as a good example for other trade agreements under negotiation in Australia and Indonesia</w:t>
      </w:r>
    </w:p>
    <w:p w14:paraId="715C0E1A" w14:textId="5E1F5C9B" w:rsidR="00CB1C18" w:rsidRPr="001C251C" w:rsidRDefault="00CB1C18" w:rsidP="00CB1C18">
      <w:pPr>
        <w:jc w:val="both"/>
        <w:rPr>
          <w:rFonts w:cstheme="minorHAnsi"/>
          <w:b/>
          <w:sz w:val="21"/>
          <w:szCs w:val="21"/>
        </w:rPr>
      </w:pPr>
      <w:r w:rsidRPr="001C251C">
        <w:rPr>
          <w:rFonts w:cstheme="minorHAnsi"/>
          <w:b/>
          <w:sz w:val="21"/>
          <w:szCs w:val="21"/>
        </w:rPr>
        <w:t>Intended outcomes</w:t>
      </w:r>
    </w:p>
    <w:p w14:paraId="7395F32E" w14:textId="13D9382D" w:rsidR="00CB1C18" w:rsidRPr="002217F0" w:rsidRDefault="00CB1C18" w:rsidP="002217F0">
      <w:pPr>
        <w:jc w:val="both"/>
        <w:rPr>
          <w:rFonts w:cstheme="minorHAnsi"/>
          <w:b/>
          <w:i/>
          <w:sz w:val="21"/>
          <w:szCs w:val="21"/>
        </w:rPr>
      </w:pPr>
      <w:r w:rsidRPr="002217F0">
        <w:rPr>
          <w:rFonts w:cstheme="minorHAnsi"/>
          <w:b/>
          <w:i/>
          <w:sz w:val="21"/>
          <w:szCs w:val="21"/>
        </w:rPr>
        <w:t xml:space="preserve">End of </w:t>
      </w:r>
      <w:r w:rsidR="00FC73B1">
        <w:rPr>
          <w:rFonts w:cstheme="minorHAnsi"/>
          <w:b/>
          <w:i/>
          <w:sz w:val="21"/>
          <w:szCs w:val="21"/>
        </w:rPr>
        <w:t xml:space="preserve">Activity </w:t>
      </w:r>
      <w:r w:rsidR="00FC73B1" w:rsidRPr="002217F0">
        <w:rPr>
          <w:rFonts w:cstheme="minorHAnsi"/>
          <w:b/>
          <w:i/>
          <w:sz w:val="21"/>
          <w:szCs w:val="21"/>
        </w:rPr>
        <w:t xml:space="preserve"> </w:t>
      </w:r>
      <w:r w:rsidRPr="002217F0">
        <w:rPr>
          <w:rFonts w:cstheme="minorHAnsi"/>
          <w:b/>
          <w:i/>
          <w:sz w:val="21"/>
          <w:szCs w:val="21"/>
        </w:rPr>
        <w:t>Outcomes</w:t>
      </w:r>
    </w:p>
    <w:p w14:paraId="5A9F0FBD" w14:textId="4870486E" w:rsidR="00CB1C18" w:rsidRPr="001C251C" w:rsidRDefault="00CB1C18" w:rsidP="00F5504F">
      <w:pPr>
        <w:pStyle w:val="ListParagraph"/>
        <w:numPr>
          <w:ilvl w:val="0"/>
          <w:numId w:val="87"/>
        </w:numPr>
        <w:suppressAutoHyphens w:val="0"/>
        <w:spacing w:before="0" w:after="160" w:line="259" w:lineRule="auto"/>
        <w:jc w:val="both"/>
        <w:rPr>
          <w:rFonts w:cstheme="minorHAnsi"/>
          <w:sz w:val="21"/>
          <w:szCs w:val="21"/>
        </w:rPr>
      </w:pPr>
      <w:r w:rsidRPr="001C251C">
        <w:rPr>
          <w:rFonts w:cstheme="minorHAnsi"/>
          <w:sz w:val="21"/>
          <w:szCs w:val="21"/>
        </w:rPr>
        <w:t>IA-CEPA is implemented efficiently and effectively</w:t>
      </w:r>
      <w:r w:rsidR="00F104E1">
        <w:rPr>
          <w:rFonts w:cstheme="minorHAnsi"/>
          <w:sz w:val="21"/>
          <w:szCs w:val="21"/>
        </w:rPr>
        <w:t>.</w:t>
      </w:r>
    </w:p>
    <w:p w14:paraId="232BB262" w14:textId="026E7B97" w:rsidR="00CB1C18" w:rsidRPr="001C251C" w:rsidRDefault="00CB1C18" w:rsidP="00F5504F">
      <w:pPr>
        <w:pStyle w:val="ListParagraph"/>
        <w:numPr>
          <w:ilvl w:val="0"/>
          <w:numId w:val="87"/>
        </w:numPr>
        <w:suppressAutoHyphens w:val="0"/>
        <w:spacing w:before="0" w:after="160" w:line="259" w:lineRule="auto"/>
        <w:jc w:val="both"/>
        <w:rPr>
          <w:rFonts w:cstheme="minorHAnsi"/>
          <w:sz w:val="21"/>
          <w:szCs w:val="21"/>
        </w:rPr>
      </w:pPr>
      <w:r w:rsidRPr="001C251C">
        <w:rPr>
          <w:rFonts w:cstheme="minorHAnsi"/>
          <w:sz w:val="21"/>
          <w:szCs w:val="21"/>
        </w:rPr>
        <w:t>Increased trade and investment flows</w:t>
      </w:r>
      <w:r w:rsidR="00F104E1">
        <w:rPr>
          <w:rFonts w:cstheme="minorHAnsi"/>
          <w:sz w:val="21"/>
          <w:szCs w:val="21"/>
        </w:rPr>
        <w:t>.</w:t>
      </w:r>
      <w:r w:rsidRPr="001C251C">
        <w:rPr>
          <w:rFonts w:cstheme="minorHAnsi"/>
          <w:sz w:val="21"/>
          <w:szCs w:val="21"/>
        </w:rPr>
        <w:t xml:space="preserve"> </w:t>
      </w:r>
    </w:p>
    <w:p w14:paraId="5E672295" w14:textId="622AD7ED" w:rsidR="00CB1C18" w:rsidRPr="001C251C" w:rsidRDefault="00CB1C18" w:rsidP="00F5504F">
      <w:pPr>
        <w:pStyle w:val="ListParagraph"/>
        <w:numPr>
          <w:ilvl w:val="0"/>
          <w:numId w:val="87"/>
        </w:numPr>
        <w:suppressAutoHyphens w:val="0"/>
        <w:spacing w:before="0" w:after="160" w:line="259" w:lineRule="auto"/>
        <w:jc w:val="both"/>
        <w:rPr>
          <w:rFonts w:cstheme="minorHAnsi"/>
          <w:sz w:val="21"/>
          <w:szCs w:val="21"/>
        </w:rPr>
      </w:pPr>
      <w:r w:rsidRPr="001C251C">
        <w:rPr>
          <w:rFonts w:cstheme="minorHAnsi"/>
          <w:sz w:val="21"/>
          <w:szCs w:val="21"/>
        </w:rPr>
        <w:t>Viable opportunities for Indonesia to tap i</w:t>
      </w:r>
      <w:r w:rsidR="00F104E1">
        <w:rPr>
          <w:rFonts w:cstheme="minorHAnsi"/>
          <w:sz w:val="21"/>
          <w:szCs w:val="21"/>
        </w:rPr>
        <w:t>nto third markets are supported.</w:t>
      </w:r>
    </w:p>
    <w:p w14:paraId="35A684D2" w14:textId="6D2AC760" w:rsidR="00CB1C18" w:rsidRPr="001C251C" w:rsidRDefault="00CB1C18" w:rsidP="00F5504F">
      <w:pPr>
        <w:pStyle w:val="ListParagraph"/>
        <w:numPr>
          <w:ilvl w:val="0"/>
          <w:numId w:val="87"/>
        </w:numPr>
        <w:suppressAutoHyphens w:val="0"/>
        <w:spacing w:before="0" w:after="160" w:line="259" w:lineRule="auto"/>
        <w:jc w:val="both"/>
        <w:rPr>
          <w:rFonts w:cstheme="minorHAnsi"/>
          <w:sz w:val="21"/>
          <w:szCs w:val="21"/>
        </w:rPr>
      </w:pPr>
      <w:r w:rsidRPr="001C251C">
        <w:rPr>
          <w:rFonts w:cstheme="minorHAnsi"/>
          <w:sz w:val="21"/>
          <w:szCs w:val="21"/>
        </w:rPr>
        <w:t>Australia and Indonesia has a deeper and trusted trade relationship across more sectors</w:t>
      </w:r>
      <w:r w:rsidR="00F104E1">
        <w:rPr>
          <w:rFonts w:cstheme="minorHAnsi"/>
          <w:sz w:val="21"/>
          <w:szCs w:val="21"/>
        </w:rPr>
        <w:t>.</w:t>
      </w:r>
    </w:p>
    <w:p w14:paraId="50424C32" w14:textId="77777777" w:rsidR="00CB1C18" w:rsidRPr="001C251C" w:rsidRDefault="00CB1C18" w:rsidP="00F5504F">
      <w:pPr>
        <w:pStyle w:val="ListParagraph"/>
        <w:numPr>
          <w:ilvl w:val="0"/>
          <w:numId w:val="87"/>
        </w:numPr>
        <w:suppressAutoHyphens w:val="0"/>
        <w:spacing w:before="0" w:after="160" w:line="259" w:lineRule="auto"/>
        <w:jc w:val="both"/>
        <w:rPr>
          <w:rFonts w:cstheme="minorHAnsi"/>
          <w:sz w:val="21"/>
          <w:szCs w:val="21"/>
        </w:rPr>
      </w:pPr>
      <w:r w:rsidRPr="001C251C">
        <w:rPr>
          <w:rFonts w:cstheme="minorHAnsi"/>
          <w:sz w:val="21"/>
          <w:szCs w:val="21"/>
        </w:rPr>
        <w:t>The benefits of IA-CEPA are demonstrated through a clear evidence-base; delivered to all sectors of the community; and acknowledged by the broader industry sectors, business and government.</w:t>
      </w:r>
    </w:p>
    <w:p w14:paraId="1A720730" w14:textId="77777777" w:rsidR="00CB1C18" w:rsidRPr="002217F0" w:rsidRDefault="00CB1C18" w:rsidP="002217F0">
      <w:pPr>
        <w:jc w:val="both"/>
        <w:rPr>
          <w:rFonts w:cstheme="minorHAnsi"/>
          <w:b/>
          <w:i/>
          <w:sz w:val="21"/>
          <w:szCs w:val="21"/>
        </w:rPr>
      </w:pPr>
      <w:r w:rsidRPr="002217F0">
        <w:rPr>
          <w:rFonts w:cstheme="minorHAnsi"/>
          <w:b/>
          <w:i/>
          <w:sz w:val="21"/>
          <w:szCs w:val="21"/>
        </w:rPr>
        <w:t>Intermediate outcomes</w:t>
      </w:r>
    </w:p>
    <w:p w14:paraId="238A7AEE" w14:textId="0E680BFF" w:rsidR="00CB1C18" w:rsidRPr="001C251C" w:rsidRDefault="00CB1C18" w:rsidP="00F5504F">
      <w:pPr>
        <w:pStyle w:val="ListParagraph"/>
        <w:numPr>
          <w:ilvl w:val="0"/>
          <w:numId w:val="87"/>
        </w:numPr>
        <w:suppressAutoHyphens w:val="0"/>
        <w:spacing w:before="0" w:after="160" w:line="259" w:lineRule="auto"/>
        <w:jc w:val="both"/>
        <w:rPr>
          <w:rFonts w:cstheme="minorHAnsi"/>
          <w:sz w:val="21"/>
          <w:szCs w:val="21"/>
        </w:rPr>
      </w:pPr>
      <w:r w:rsidRPr="001C251C">
        <w:rPr>
          <w:rFonts w:cstheme="minorHAnsi"/>
          <w:sz w:val="21"/>
          <w:szCs w:val="21"/>
        </w:rPr>
        <w:t>Viable ‘powerhouse’ opportunities are identified and feasibility assessments undertaken</w:t>
      </w:r>
      <w:r w:rsidR="00F104E1">
        <w:rPr>
          <w:rFonts w:cstheme="minorHAnsi"/>
          <w:sz w:val="21"/>
          <w:szCs w:val="21"/>
        </w:rPr>
        <w:t>.</w:t>
      </w:r>
      <w:r w:rsidRPr="001C251C">
        <w:rPr>
          <w:rFonts w:cstheme="minorHAnsi"/>
          <w:sz w:val="21"/>
          <w:szCs w:val="21"/>
        </w:rPr>
        <w:t xml:space="preserve"> </w:t>
      </w:r>
    </w:p>
    <w:p w14:paraId="129AC2AC" w14:textId="4EBD2D5B" w:rsidR="00CB1C18" w:rsidRPr="001C251C" w:rsidRDefault="00CB1C18" w:rsidP="00F5504F">
      <w:pPr>
        <w:pStyle w:val="ListParagraph"/>
        <w:numPr>
          <w:ilvl w:val="0"/>
          <w:numId w:val="87"/>
        </w:numPr>
        <w:suppressAutoHyphens w:val="0"/>
        <w:spacing w:before="0" w:after="160" w:line="259" w:lineRule="auto"/>
        <w:jc w:val="both"/>
        <w:rPr>
          <w:rFonts w:cstheme="minorHAnsi"/>
          <w:sz w:val="21"/>
          <w:szCs w:val="21"/>
        </w:rPr>
      </w:pPr>
      <w:r w:rsidRPr="001C251C">
        <w:rPr>
          <w:rFonts w:cstheme="minorHAnsi"/>
          <w:sz w:val="21"/>
          <w:szCs w:val="21"/>
        </w:rPr>
        <w:t>The regulatory and policy framework is established for the implementation of IA-CEPA</w:t>
      </w:r>
      <w:r w:rsidR="00F104E1">
        <w:rPr>
          <w:rFonts w:cstheme="minorHAnsi"/>
          <w:sz w:val="21"/>
          <w:szCs w:val="21"/>
        </w:rPr>
        <w:t>.</w:t>
      </w:r>
    </w:p>
    <w:p w14:paraId="562AFB87" w14:textId="0B0E8172" w:rsidR="00CB1C18" w:rsidRPr="001C251C" w:rsidRDefault="00CB1C18" w:rsidP="00F5504F">
      <w:pPr>
        <w:pStyle w:val="ListParagraph"/>
        <w:numPr>
          <w:ilvl w:val="0"/>
          <w:numId w:val="87"/>
        </w:numPr>
        <w:suppressAutoHyphens w:val="0"/>
        <w:spacing w:before="0" w:after="160" w:line="259" w:lineRule="auto"/>
        <w:jc w:val="both"/>
        <w:rPr>
          <w:rFonts w:cstheme="minorHAnsi"/>
          <w:sz w:val="21"/>
          <w:szCs w:val="21"/>
        </w:rPr>
      </w:pPr>
      <w:r w:rsidRPr="001C251C">
        <w:rPr>
          <w:rFonts w:cstheme="minorHAnsi"/>
          <w:sz w:val="21"/>
          <w:szCs w:val="21"/>
        </w:rPr>
        <w:t>Evidence begins to demonstrate IA-CEPA utilisation, and that IA-CEPA delivers significant economic and broader benefits</w:t>
      </w:r>
      <w:r w:rsidR="00F104E1">
        <w:rPr>
          <w:rFonts w:cstheme="minorHAnsi"/>
          <w:sz w:val="21"/>
          <w:szCs w:val="21"/>
        </w:rPr>
        <w:t>.</w:t>
      </w:r>
      <w:r w:rsidRPr="001C251C">
        <w:rPr>
          <w:rFonts w:cstheme="minorHAnsi"/>
          <w:sz w:val="21"/>
          <w:szCs w:val="21"/>
        </w:rPr>
        <w:t xml:space="preserve"> </w:t>
      </w:r>
    </w:p>
    <w:p w14:paraId="4A0048FA" w14:textId="23B94248" w:rsidR="00CB1C18" w:rsidRPr="001C251C" w:rsidRDefault="00CB1C18" w:rsidP="00F5504F">
      <w:pPr>
        <w:pStyle w:val="ListParagraph"/>
        <w:numPr>
          <w:ilvl w:val="0"/>
          <w:numId w:val="87"/>
        </w:numPr>
        <w:suppressAutoHyphens w:val="0"/>
        <w:spacing w:before="0" w:after="160" w:line="259" w:lineRule="auto"/>
        <w:jc w:val="both"/>
        <w:rPr>
          <w:rFonts w:cstheme="minorHAnsi"/>
          <w:sz w:val="21"/>
          <w:szCs w:val="21"/>
        </w:rPr>
      </w:pPr>
      <w:r w:rsidRPr="001C251C">
        <w:rPr>
          <w:rFonts w:cstheme="minorHAnsi"/>
          <w:sz w:val="21"/>
          <w:szCs w:val="21"/>
        </w:rPr>
        <w:t>New business partnerships emerge between Indonesia and Australia</w:t>
      </w:r>
      <w:r w:rsidR="00F104E1">
        <w:rPr>
          <w:rFonts w:cstheme="minorHAnsi"/>
          <w:sz w:val="21"/>
          <w:szCs w:val="21"/>
        </w:rPr>
        <w:t>.</w:t>
      </w:r>
    </w:p>
    <w:p w14:paraId="07FC7DFC" w14:textId="77777777" w:rsidR="00CB1C18" w:rsidRPr="002217F0" w:rsidRDefault="00CB1C18" w:rsidP="002217F0">
      <w:pPr>
        <w:jc w:val="both"/>
        <w:rPr>
          <w:rFonts w:cstheme="minorHAnsi"/>
          <w:b/>
          <w:i/>
          <w:sz w:val="21"/>
          <w:szCs w:val="21"/>
        </w:rPr>
      </w:pPr>
      <w:r w:rsidRPr="002217F0">
        <w:rPr>
          <w:rFonts w:cstheme="minorHAnsi"/>
          <w:b/>
          <w:i/>
          <w:sz w:val="21"/>
          <w:szCs w:val="21"/>
        </w:rPr>
        <w:t xml:space="preserve">Immediate outcomes </w:t>
      </w:r>
    </w:p>
    <w:p w14:paraId="7C79D3E2" w14:textId="3CA4D758" w:rsidR="00CB1C18" w:rsidRPr="001C251C" w:rsidRDefault="00CB1C18" w:rsidP="00F5504F">
      <w:pPr>
        <w:pStyle w:val="ListParagraph"/>
        <w:numPr>
          <w:ilvl w:val="0"/>
          <w:numId w:val="87"/>
        </w:numPr>
        <w:suppressAutoHyphens w:val="0"/>
        <w:spacing w:before="0" w:after="160" w:line="259" w:lineRule="auto"/>
        <w:jc w:val="both"/>
        <w:rPr>
          <w:rFonts w:cstheme="minorHAnsi"/>
          <w:sz w:val="21"/>
          <w:szCs w:val="21"/>
        </w:rPr>
      </w:pPr>
      <w:r w:rsidRPr="001C251C">
        <w:rPr>
          <w:rFonts w:cstheme="minorHAnsi"/>
          <w:sz w:val="21"/>
          <w:szCs w:val="21"/>
        </w:rPr>
        <w:t>Raised awareness of opportunities under IA-CEPA</w:t>
      </w:r>
      <w:r w:rsidR="00F104E1">
        <w:rPr>
          <w:rFonts w:cstheme="minorHAnsi"/>
          <w:sz w:val="21"/>
          <w:szCs w:val="21"/>
        </w:rPr>
        <w:t>.</w:t>
      </w:r>
    </w:p>
    <w:p w14:paraId="68C26CCD" w14:textId="68E7EEAB" w:rsidR="00CB1C18" w:rsidRPr="001C251C" w:rsidRDefault="00CB1C18" w:rsidP="00F5504F">
      <w:pPr>
        <w:pStyle w:val="ListParagraph"/>
        <w:numPr>
          <w:ilvl w:val="0"/>
          <w:numId w:val="87"/>
        </w:numPr>
        <w:suppressAutoHyphens w:val="0"/>
        <w:spacing w:before="0" w:after="160" w:line="259" w:lineRule="auto"/>
        <w:jc w:val="both"/>
        <w:rPr>
          <w:rFonts w:cstheme="minorHAnsi"/>
          <w:sz w:val="21"/>
          <w:szCs w:val="21"/>
        </w:rPr>
      </w:pPr>
      <w:r w:rsidRPr="001C251C">
        <w:rPr>
          <w:rFonts w:cstheme="minorHAnsi"/>
          <w:sz w:val="21"/>
          <w:szCs w:val="21"/>
        </w:rPr>
        <w:t>Raised interest of local and provincial economies, governments and markets in IA-CEPA</w:t>
      </w:r>
      <w:r w:rsidR="00F104E1">
        <w:rPr>
          <w:rFonts w:cstheme="minorHAnsi"/>
          <w:sz w:val="21"/>
          <w:szCs w:val="21"/>
        </w:rPr>
        <w:t>.</w:t>
      </w:r>
    </w:p>
    <w:p w14:paraId="05D4DD4D" w14:textId="627C805C" w:rsidR="00CB1C18" w:rsidRPr="001C251C" w:rsidRDefault="00CB1C18" w:rsidP="00F5504F">
      <w:pPr>
        <w:pStyle w:val="ListParagraph"/>
        <w:numPr>
          <w:ilvl w:val="0"/>
          <w:numId w:val="87"/>
        </w:numPr>
        <w:suppressAutoHyphens w:val="0"/>
        <w:spacing w:before="0" w:after="160" w:line="259" w:lineRule="auto"/>
        <w:jc w:val="both"/>
        <w:rPr>
          <w:rFonts w:cstheme="minorHAnsi"/>
          <w:sz w:val="21"/>
          <w:szCs w:val="21"/>
        </w:rPr>
      </w:pPr>
      <w:r w:rsidRPr="001C251C">
        <w:rPr>
          <w:rFonts w:cstheme="minorHAnsi"/>
          <w:sz w:val="21"/>
          <w:szCs w:val="21"/>
        </w:rPr>
        <w:t>Industry groups feel ownership of the bilateral trade and investment relationship</w:t>
      </w:r>
      <w:r w:rsidR="00F104E1">
        <w:rPr>
          <w:rFonts w:cstheme="minorHAnsi"/>
          <w:sz w:val="21"/>
          <w:szCs w:val="21"/>
        </w:rPr>
        <w:t>.</w:t>
      </w:r>
    </w:p>
    <w:p w14:paraId="523A8ADE" w14:textId="597E865B" w:rsidR="00CB1C18" w:rsidRPr="001C251C" w:rsidRDefault="00CB1C18" w:rsidP="00F5504F">
      <w:pPr>
        <w:pStyle w:val="ListParagraph"/>
        <w:numPr>
          <w:ilvl w:val="0"/>
          <w:numId w:val="87"/>
        </w:numPr>
        <w:suppressAutoHyphens w:val="0"/>
        <w:spacing w:before="0" w:after="160" w:line="259" w:lineRule="auto"/>
        <w:jc w:val="both"/>
        <w:rPr>
          <w:rFonts w:cstheme="minorHAnsi"/>
          <w:sz w:val="21"/>
          <w:szCs w:val="21"/>
        </w:rPr>
      </w:pPr>
      <w:r w:rsidRPr="001C251C">
        <w:rPr>
          <w:rFonts w:cstheme="minorHAnsi"/>
          <w:sz w:val="21"/>
          <w:szCs w:val="21"/>
        </w:rPr>
        <w:t>Greater understanding of how governments and business can take advantage of IA-CEPA</w:t>
      </w:r>
      <w:r w:rsidR="00F104E1">
        <w:rPr>
          <w:rFonts w:cstheme="minorHAnsi"/>
          <w:sz w:val="21"/>
          <w:szCs w:val="21"/>
        </w:rPr>
        <w:t>.</w:t>
      </w:r>
    </w:p>
    <w:p w14:paraId="2AEE53D2" w14:textId="77469DC4" w:rsidR="00CB1C18" w:rsidRPr="001C251C" w:rsidRDefault="00CB1C18" w:rsidP="00F5504F">
      <w:pPr>
        <w:pStyle w:val="ListParagraph"/>
        <w:numPr>
          <w:ilvl w:val="0"/>
          <w:numId w:val="87"/>
        </w:numPr>
        <w:suppressAutoHyphens w:val="0"/>
        <w:spacing w:before="0" w:after="160" w:line="259" w:lineRule="auto"/>
        <w:jc w:val="both"/>
        <w:rPr>
          <w:rFonts w:cstheme="minorHAnsi"/>
          <w:sz w:val="21"/>
          <w:szCs w:val="21"/>
        </w:rPr>
      </w:pPr>
      <w:r w:rsidRPr="001C251C">
        <w:rPr>
          <w:rFonts w:cstheme="minorHAnsi"/>
          <w:sz w:val="21"/>
          <w:szCs w:val="21"/>
        </w:rPr>
        <w:t>Indonesian government is using ECP for advice and assistance implementing IA-CEPA</w:t>
      </w:r>
      <w:r w:rsidR="00F104E1">
        <w:rPr>
          <w:rFonts w:cstheme="minorHAnsi"/>
          <w:sz w:val="21"/>
          <w:szCs w:val="21"/>
        </w:rPr>
        <w:t>.</w:t>
      </w:r>
    </w:p>
    <w:p w14:paraId="14126BB8" w14:textId="77777777" w:rsidR="00CB1C18" w:rsidRPr="001C251C" w:rsidRDefault="00CB1C18" w:rsidP="00CB1C18">
      <w:pPr>
        <w:jc w:val="both"/>
        <w:rPr>
          <w:rFonts w:cstheme="minorHAnsi"/>
          <w:b/>
          <w:sz w:val="21"/>
          <w:szCs w:val="21"/>
        </w:rPr>
      </w:pPr>
      <w:r w:rsidRPr="001C251C">
        <w:rPr>
          <w:rFonts w:cstheme="minorHAnsi"/>
          <w:b/>
          <w:sz w:val="21"/>
          <w:szCs w:val="21"/>
        </w:rPr>
        <w:t>Activities and Outputs</w:t>
      </w:r>
    </w:p>
    <w:p w14:paraId="1193CFFC" w14:textId="762A9BBA" w:rsidR="0081472F" w:rsidRDefault="0081472F" w:rsidP="00F5504F">
      <w:pPr>
        <w:pStyle w:val="ListParagraph"/>
        <w:numPr>
          <w:ilvl w:val="0"/>
          <w:numId w:val="94"/>
        </w:numPr>
        <w:suppressAutoHyphens w:val="0"/>
        <w:spacing w:before="0" w:after="160" w:line="259" w:lineRule="auto"/>
        <w:jc w:val="both"/>
        <w:rPr>
          <w:rFonts w:cstheme="minorHAnsi"/>
          <w:sz w:val="21"/>
          <w:szCs w:val="21"/>
        </w:rPr>
      </w:pPr>
      <w:r>
        <w:rPr>
          <w:rFonts w:cstheme="minorHAnsi"/>
          <w:sz w:val="21"/>
          <w:szCs w:val="21"/>
        </w:rPr>
        <w:t xml:space="preserve">Develop the IA-CEPA </w:t>
      </w:r>
      <w:r w:rsidR="00321AD5">
        <w:rPr>
          <w:rFonts w:cstheme="minorHAnsi"/>
          <w:sz w:val="21"/>
          <w:szCs w:val="21"/>
        </w:rPr>
        <w:t>I</w:t>
      </w:r>
      <w:r>
        <w:rPr>
          <w:rFonts w:cstheme="minorHAnsi"/>
          <w:sz w:val="21"/>
          <w:szCs w:val="21"/>
        </w:rPr>
        <w:t xml:space="preserve">mplementation </w:t>
      </w:r>
      <w:proofErr w:type="spellStart"/>
      <w:r w:rsidR="00321AD5">
        <w:rPr>
          <w:rFonts w:cstheme="minorHAnsi"/>
          <w:sz w:val="21"/>
          <w:szCs w:val="21"/>
        </w:rPr>
        <w:t>W</w:t>
      </w:r>
      <w:r>
        <w:rPr>
          <w:rFonts w:cstheme="minorHAnsi"/>
          <w:sz w:val="21"/>
          <w:szCs w:val="21"/>
        </w:rPr>
        <w:t>orkplan</w:t>
      </w:r>
      <w:proofErr w:type="spellEnd"/>
      <w:r>
        <w:rPr>
          <w:rFonts w:cstheme="minorHAnsi"/>
          <w:sz w:val="21"/>
          <w:szCs w:val="21"/>
        </w:rPr>
        <w:t xml:space="preserve"> during the mobilisation phase of the program</w:t>
      </w:r>
      <w:r w:rsidR="00321AD5">
        <w:rPr>
          <w:rFonts w:cstheme="minorHAnsi"/>
          <w:sz w:val="21"/>
          <w:szCs w:val="21"/>
        </w:rPr>
        <w:t>, including milestones under this Activity for the coming 12 months</w:t>
      </w:r>
      <w:r>
        <w:rPr>
          <w:rFonts w:cstheme="minorHAnsi"/>
          <w:sz w:val="21"/>
          <w:szCs w:val="21"/>
        </w:rPr>
        <w:t>. Th</w:t>
      </w:r>
      <w:r w:rsidR="00321AD5">
        <w:rPr>
          <w:rFonts w:cstheme="minorHAnsi"/>
          <w:sz w:val="21"/>
          <w:szCs w:val="21"/>
        </w:rPr>
        <w:t>e</w:t>
      </w:r>
      <w:r>
        <w:rPr>
          <w:rFonts w:cstheme="minorHAnsi"/>
          <w:sz w:val="21"/>
          <w:szCs w:val="21"/>
        </w:rPr>
        <w:t xml:space="preserve"> </w:t>
      </w:r>
      <w:proofErr w:type="spellStart"/>
      <w:r w:rsidR="00321AD5">
        <w:rPr>
          <w:rFonts w:cstheme="minorHAnsi"/>
          <w:sz w:val="21"/>
          <w:szCs w:val="21"/>
        </w:rPr>
        <w:t>W</w:t>
      </w:r>
      <w:r>
        <w:rPr>
          <w:rFonts w:cstheme="minorHAnsi"/>
          <w:sz w:val="21"/>
          <w:szCs w:val="21"/>
        </w:rPr>
        <w:t>orkplan</w:t>
      </w:r>
      <w:proofErr w:type="spellEnd"/>
      <w:r>
        <w:rPr>
          <w:rFonts w:cstheme="minorHAnsi"/>
          <w:sz w:val="21"/>
          <w:szCs w:val="21"/>
        </w:rPr>
        <w:t xml:space="preserve"> will be a working document updated following each monthly management meeting during the first 12 months.</w:t>
      </w:r>
    </w:p>
    <w:p w14:paraId="21BB2FD0" w14:textId="1D243862" w:rsidR="00CB1C18" w:rsidRPr="001C251C" w:rsidRDefault="00CB1C18" w:rsidP="00F5504F">
      <w:pPr>
        <w:pStyle w:val="ListParagraph"/>
        <w:numPr>
          <w:ilvl w:val="0"/>
          <w:numId w:val="94"/>
        </w:numPr>
        <w:suppressAutoHyphens w:val="0"/>
        <w:spacing w:before="0" w:after="160" w:line="259" w:lineRule="auto"/>
        <w:jc w:val="both"/>
        <w:rPr>
          <w:rFonts w:cstheme="minorHAnsi"/>
          <w:sz w:val="21"/>
          <w:szCs w:val="21"/>
        </w:rPr>
      </w:pPr>
      <w:r w:rsidRPr="001C251C">
        <w:rPr>
          <w:rFonts w:cstheme="minorHAnsi"/>
          <w:sz w:val="21"/>
          <w:szCs w:val="21"/>
        </w:rPr>
        <w:t xml:space="preserve">Undertake a Needs Assessment on legislative and regulatory implementation of core and broader IA-CEPA commitments, in the context of multilateral, regional and bilateral trade commitments, and applying a gender and social inclusion lens, resulting in recommended modalities for IA-CEPA implementation support. </w:t>
      </w:r>
    </w:p>
    <w:p w14:paraId="2525FA5B" w14:textId="77777777" w:rsidR="00CB1C18" w:rsidRPr="001C251C" w:rsidRDefault="00CB1C18" w:rsidP="00F5504F">
      <w:pPr>
        <w:pStyle w:val="ListParagraph"/>
        <w:numPr>
          <w:ilvl w:val="0"/>
          <w:numId w:val="94"/>
        </w:numPr>
        <w:suppressAutoHyphens w:val="0"/>
        <w:spacing w:before="0" w:after="160" w:line="259" w:lineRule="auto"/>
        <w:jc w:val="both"/>
        <w:rPr>
          <w:rFonts w:cstheme="minorHAnsi"/>
          <w:sz w:val="21"/>
          <w:szCs w:val="21"/>
        </w:rPr>
      </w:pPr>
      <w:r w:rsidRPr="001C251C">
        <w:rPr>
          <w:rFonts w:cstheme="minorHAnsi"/>
          <w:sz w:val="21"/>
          <w:szCs w:val="21"/>
        </w:rPr>
        <w:t>Pursuant to findings in the Needs Assessment, establish advisory services on regulatory design and drafting, including at sub-national level.</w:t>
      </w:r>
    </w:p>
    <w:p w14:paraId="3D024CF3" w14:textId="77777777" w:rsidR="00CB1C18" w:rsidRPr="001C251C" w:rsidRDefault="00CB1C18" w:rsidP="00F5504F">
      <w:pPr>
        <w:pStyle w:val="ListParagraph"/>
        <w:numPr>
          <w:ilvl w:val="0"/>
          <w:numId w:val="94"/>
        </w:numPr>
        <w:suppressAutoHyphens w:val="0"/>
        <w:spacing w:before="0" w:after="160" w:line="259" w:lineRule="auto"/>
        <w:jc w:val="both"/>
        <w:rPr>
          <w:rFonts w:cstheme="minorHAnsi"/>
          <w:sz w:val="21"/>
          <w:szCs w:val="21"/>
        </w:rPr>
      </w:pPr>
      <w:r w:rsidRPr="001C251C">
        <w:rPr>
          <w:rFonts w:cstheme="minorHAnsi"/>
          <w:sz w:val="21"/>
          <w:szCs w:val="21"/>
        </w:rPr>
        <w:t>Pursuant to findings in the Needs Assessment, establish technical advocacy services to provide ongoing engagement with the Indonesian government to provide information, background and analysis on various aspects of IA-CEPA – including fact sheets, workshops and targeted research.</w:t>
      </w:r>
    </w:p>
    <w:p w14:paraId="1C4EE297" w14:textId="77777777" w:rsidR="00CB1C18" w:rsidRPr="001C251C" w:rsidRDefault="00CB1C18" w:rsidP="00F5504F">
      <w:pPr>
        <w:pStyle w:val="ListParagraph"/>
        <w:numPr>
          <w:ilvl w:val="0"/>
          <w:numId w:val="94"/>
        </w:numPr>
        <w:suppressAutoHyphens w:val="0"/>
        <w:spacing w:before="0" w:after="160" w:line="259" w:lineRule="auto"/>
        <w:jc w:val="both"/>
        <w:rPr>
          <w:rFonts w:cstheme="minorHAnsi"/>
          <w:sz w:val="21"/>
          <w:szCs w:val="21"/>
        </w:rPr>
      </w:pPr>
      <w:r w:rsidRPr="001C251C">
        <w:rPr>
          <w:rFonts w:cstheme="minorHAnsi"/>
          <w:sz w:val="21"/>
          <w:szCs w:val="21"/>
        </w:rPr>
        <w:t xml:space="preserve">Establish monitoring and evaluation tools and processes to measure IA-CEPA utilisation, trade creation impacts, economic and broader impacts. </w:t>
      </w:r>
    </w:p>
    <w:p w14:paraId="19578C4E" w14:textId="77777777" w:rsidR="00CB1C18" w:rsidRPr="001C251C" w:rsidRDefault="00CB1C18" w:rsidP="00F5504F">
      <w:pPr>
        <w:pStyle w:val="ListParagraph"/>
        <w:numPr>
          <w:ilvl w:val="0"/>
          <w:numId w:val="94"/>
        </w:numPr>
        <w:suppressAutoHyphens w:val="0"/>
        <w:spacing w:before="0" w:after="160" w:line="259" w:lineRule="auto"/>
        <w:jc w:val="both"/>
        <w:rPr>
          <w:rFonts w:cstheme="minorHAnsi"/>
          <w:sz w:val="21"/>
          <w:szCs w:val="21"/>
        </w:rPr>
      </w:pPr>
      <w:r w:rsidRPr="001C251C">
        <w:rPr>
          <w:rFonts w:cstheme="minorHAnsi"/>
          <w:sz w:val="21"/>
          <w:szCs w:val="21"/>
        </w:rPr>
        <w:t xml:space="preserve">Undertake high-level research into sectoral complementarities and opportunities for ‘powerhouse’ collaboration, commencing with a baseline study on prospects for strengthening linkages between Indonesian fast-growth digital service firms and Australian capital markets. </w:t>
      </w:r>
    </w:p>
    <w:p w14:paraId="4EAE50D2" w14:textId="77777777" w:rsidR="00CB1C18" w:rsidRPr="001C251C" w:rsidRDefault="00CB1C18" w:rsidP="00F5504F">
      <w:pPr>
        <w:pStyle w:val="ListParagraph"/>
        <w:numPr>
          <w:ilvl w:val="0"/>
          <w:numId w:val="94"/>
        </w:numPr>
        <w:suppressAutoHyphens w:val="0"/>
        <w:spacing w:before="0" w:after="160" w:line="259" w:lineRule="auto"/>
        <w:jc w:val="both"/>
        <w:rPr>
          <w:rFonts w:cstheme="minorHAnsi"/>
          <w:sz w:val="21"/>
          <w:szCs w:val="21"/>
        </w:rPr>
      </w:pPr>
      <w:r w:rsidRPr="001C251C">
        <w:rPr>
          <w:rFonts w:cstheme="minorHAnsi"/>
          <w:sz w:val="21"/>
          <w:szCs w:val="21"/>
        </w:rPr>
        <w:t xml:space="preserve">Establish a platform for business dialogue and industry engagement in Australia and Indonesia to broaden industry awareness, involving female and young entrepreneurs. </w:t>
      </w:r>
    </w:p>
    <w:p w14:paraId="105F62E1" w14:textId="77777777" w:rsidR="00CB1C18" w:rsidRPr="001C251C" w:rsidRDefault="00CB1C18" w:rsidP="00F5504F">
      <w:pPr>
        <w:pStyle w:val="ListParagraph"/>
        <w:numPr>
          <w:ilvl w:val="0"/>
          <w:numId w:val="94"/>
        </w:numPr>
        <w:suppressAutoHyphens w:val="0"/>
        <w:spacing w:before="0" w:after="160" w:line="259" w:lineRule="auto"/>
        <w:jc w:val="both"/>
        <w:rPr>
          <w:rFonts w:cstheme="minorHAnsi"/>
          <w:sz w:val="21"/>
          <w:szCs w:val="21"/>
        </w:rPr>
      </w:pPr>
      <w:r w:rsidRPr="001C251C">
        <w:rPr>
          <w:rFonts w:cstheme="minorHAnsi"/>
          <w:sz w:val="21"/>
          <w:szCs w:val="21"/>
        </w:rPr>
        <w:t>Pursuant to findings in the Needs Assessment, establish an exchange program with officials involved in trade regulatory implementation</w:t>
      </w:r>
    </w:p>
    <w:p w14:paraId="36611C5E" w14:textId="77777777" w:rsidR="00CB1C18" w:rsidRPr="001C251C" w:rsidRDefault="00CB1C18" w:rsidP="00F5504F">
      <w:pPr>
        <w:pStyle w:val="ListParagraph"/>
        <w:numPr>
          <w:ilvl w:val="0"/>
          <w:numId w:val="94"/>
        </w:numPr>
        <w:suppressAutoHyphens w:val="0"/>
        <w:spacing w:before="0" w:after="160" w:line="259" w:lineRule="auto"/>
        <w:jc w:val="both"/>
        <w:rPr>
          <w:rFonts w:cstheme="minorHAnsi"/>
          <w:sz w:val="21"/>
          <w:szCs w:val="21"/>
        </w:rPr>
      </w:pPr>
      <w:r w:rsidRPr="001C251C">
        <w:rPr>
          <w:rFonts w:cstheme="minorHAnsi"/>
          <w:sz w:val="21"/>
          <w:szCs w:val="21"/>
        </w:rPr>
        <w:lastRenderedPageBreak/>
        <w:t>Pursuant to findings in the Needs Assessment, facilitate the short-term placement of officials in trade-related Ministries.</w:t>
      </w:r>
    </w:p>
    <w:p w14:paraId="346994DA" w14:textId="372A36B3" w:rsidR="00E52640" w:rsidRPr="000843AB" w:rsidRDefault="00CB1C18" w:rsidP="00F5504F">
      <w:pPr>
        <w:pStyle w:val="ListParagraph"/>
        <w:numPr>
          <w:ilvl w:val="0"/>
          <w:numId w:val="94"/>
        </w:numPr>
        <w:suppressAutoHyphens w:val="0"/>
        <w:spacing w:before="0" w:after="160" w:line="259" w:lineRule="auto"/>
        <w:jc w:val="both"/>
        <w:rPr>
          <w:rFonts w:cstheme="minorHAnsi"/>
          <w:sz w:val="21"/>
          <w:szCs w:val="21"/>
        </w:rPr>
      </w:pPr>
      <w:r w:rsidRPr="001C251C">
        <w:rPr>
          <w:rFonts w:cstheme="minorHAnsi"/>
          <w:sz w:val="21"/>
          <w:szCs w:val="21"/>
        </w:rPr>
        <w:t>Establish a communications strategy to raise awareness of IA-CEPA including (1) undertaking case studies to raise the profile of bilateral economic ties; and (2) conducting information sessions with provincial/local chambers of commerce.</w:t>
      </w:r>
    </w:p>
    <w:p w14:paraId="69282A6B" w14:textId="38B80C13" w:rsidR="00CB1C18" w:rsidRPr="001C251C" w:rsidRDefault="00CB1C18" w:rsidP="000843AB">
      <w:pPr>
        <w:jc w:val="both"/>
        <w:rPr>
          <w:rFonts w:cstheme="minorHAnsi"/>
          <w:b/>
          <w:bCs/>
          <w:sz w:val="21"/>
          <w:szCs w:val="21"/>
        </w:rPr>
      </w:pPr>
      <w:r w:rsidRPr="001C251C">
        <w:rPr>
          <w:rFonts w:cstheme="minorHAnsi"/>
          <w:b/>
          <w:bCs/>
          <w:sz w:val="21"/>
          <w:szCs w:val="21"/>
        </w:rPr>
        <w:t>What changes are sought or intended in systems, practice, institutions, or policies?</w:t>
      </w:r>
    </w:p>
    <w:p w14:paraId="44F02D07" w14:textId="77777777" w:rsidR="00CB1C18" w:rsidRPr="001C251C" w:rsidRDefault="00CB1C18" w:rsidP="00CB1C18">
      <w:pPr>
        <w:spacing w:after="120"/>
        <w:jc w:val="both"/>
        <w:rPr>
          <w:rFonts w:cstheme="minorHAnsi"/>
          <w:sz w:val="21"/>
          <w:szCs w:val="21"/>
        </w:rPr>
      </w:pPr>
      <w:r w:rsidRPr="001C251C">
        <w:rPr>
          <w:rFonts w:cstheme="minorHAnsi"/>
          <w:sz w:val="21"/>
          <w:szCs w:val="21"/>
        </w:rPr>
        <w:t>This activity constitutes the core business of ECP. As such, it aims to ensure that the economic cooperation component of the IA-CEPA treaty is delivered in a way that maximises the benefits of the treaty for both countries. Following completion of a Needs Assessment, exchanges and embedding of officials between trade-related agencies could expose participants to different regulatory practices in implementing trade agreements. Socialisation activities focused at both industry sectors and sub-central regions should bring the message of Australia-Indonesia trade and investment opportunities beyond the usual centralised stakeholders. Monitoring and evaluation will provide the evidence to demonstrate the utilisation, economic and social benefits that IA-CEPA delivers.</w:t>
      </w:r>
    </w:p>
    <w:p w14:paraId="4CFC3D6F" w14:textId="6DF3AED3" w:rsidR="00CB1C18" w:rsidRPr="001C251C" w:rsidRDefault="00CB1C18" w:rsidP="00CB1C18">
      <w:pPr>
        <w:spacing w:after="120"/>
        <w:jc w:val="both"/>
        <w:rPr>
          <w:rFonts w:cstheme="minorHAnsi"/>
          <w:b/>
          <w:bCs/>
          <w:sz w:val="21"/>
          <w:szCs w:val="21"/>
        </w:rPr>
      </w:pPr>
      <w:r w:rsidRPr="001C251C">
        <w:rPr>
          <w:rFonts w:cstheme="minorHAnsi"/>
          <w:b/>
          <w:bCs/>
          <w:sz w:val="21"/>
          <w:szCs w:val="21"/>
        </w:rPr>
        <w:t xml:space="preserve">How </w:t>
      </w:r>
      <w:r w:rsidR="00105EF8">
        <w:rPr>
          <w:rFonts w:cstheme="minorHAnsi"/>
          <w:b/>
          <w:bCs/>
          <w:sz w:val="21"/>
          <w:szCs w:val="21"/>
        </w:rPr>
        <w:t xml:space="preserve">the Activity </w:t>
      </w:r>
      <w:r w:rsidR="00282CED">
        <w:rPr>
          <w:rFonts w:cstheme="minorHAnsi"/>
          <w:b/>
          <w:bCs/>
          <w:sz w:val="21"/>
          <w:szCs w:val="21"/>
        </w:rPr>
        <w:t xml:space="preserve">will </w:t>
      </w:r>
      <w:r w:rsidR="00105EF8">
        <w:rPr>
          <w:rFonts w:cstheme="minorHAnsi"/>
          <w:b/>
          <w:bCs/>
          <w:sz w:val="21"/>
          <w:szCs w:val="21"/>
        </w:rPr>
        <w:t>be implemented</w:t>
      </w:r>
    </w:p>
    <w:p w14:paraId="03CDA7A4" w14:textId="1F33BCE4" w:rsidR="00CB1C18" w:rsidRPr="001C251C" w:rsidRDefault="00CB1C18" w:rsidP="00CB1C18">
      <w:pPr>
        <w:spacing w:after="120"/>
        <w:jc w:val="both"/>
        <w:rPr>
          <w:rFonts w:cstheme="minorHAnsi"/>
          <w:sz w:val="21"/>
          <w:szCs w:val="21"/>
        </w:rPr>
      </w:pPr>
      <w:r w:rsidRPr="001C251C">
        <w:rPr>
          <w:rFonts w:cstheme="minorHAnsi"/>
          <w:sz w:val="21"/>
          <w:szCs w:val="21"/>
        </w:rPr>
        <w:t xml:space="preserve">The Activity will be achieved through </w:t>
      </w:r>
      <w:r w:rsidR="008638EE">
        <w:rPr>
          <w:rFonts w:cstheme="minorHAnsi"/>
          <w:sz w:val="21"/>
          <w:szCs w:val="21"/>
        </w:rPr>
        <w:t>four</w:t>
      </w:r>
      <w:r w:rsidR="008638EE" w:rsidRPr="001C251C">
        <w:rPr>
          <w:rFonts w:cstheme="minorHAnsi"/>
          <w:sz w:val="21"/>
          <w:szCs w:val="21"/>
        </w:rPr>
        <w:t xml:space="preserve"> </w:t>
      </w:r>
      <w:r w:rsidRPr="001C251C">
        <w:rPr>
          <w:rFonts w:cstheme="minorHAnsi"/>
          <w:sz w:val="21"/>
          <w:szCs w:val="21"/>
        </w:rPr>
        <w:t xml:space="preserve">streams of works, namely </w:t>
      </w:r>
      <w:r w:rsidR="008638EE" w:rsidRPr="001C251C">
        <w:rPr>
          <w:rFonts w:cstheme="minorHAnsi"/>
          <w:sz w:val="21"/>
          <w:szCs w:val="21"/>
        </w:rPr>
        <w:t>(</w:t>
      </w:r>
      <w:proofErr w:type="spellStart"/>
      <w:r w:rsidR="008638EE" w:rsidRPr="001C251C">
        <w:rPr>
          <w:rFonts w:cstheme="minorHAnsi"/>
          <w:sz w:val="21"/>
          <w:szCs w:val="21"/>
        </w:rPr>
        <w:t>i</w:t>
      </w:r>
      <w:proofErr w:type="spellEnd"/>
      <w:r w:rsidR="008638EE" w:rsidRPr="001C251C">
        <w:rPr>
          <w:rFonts w:cstheme="minorHAnsi"/>
          <w:sz w:val="21"/>
          <w:szCs w:val="21"/>
        </w:rPr>
        <w:t>) implementation, (ii) socialisation (iii) opportunity assessments and (iv) monitoring, evaluation and learning.</w:t>
      </w:r>
      <w:r w:rsidR="008638EE">
        <w:rPr>
          <w:rFonts w:cstheme="minorHAnsi"/>
          <w:sz w:val="21"/>
          <w:szCs w:val="21"/>
        </w:rPr>
        <w:t xml:space="preserve"> </w:t>
      </w:r>
      <w:r w:rsidRPr="001C251C">
        <w:rPr>
          <w:rFonts w:cstheme="minorHAnsi"/>
          <w:sz w:val="21"/>
          <w:szCs w:val="21"/>
        </w:rPr>
        <w:t xml:space="preserve"> These involve deep and ongoing exchange between Government officials, industry groups and local (</w:t>
      </w:r>
      <w:r w:rsidR="00D92C2A" w:rsidRPr="001C251C">
        <w:rPr>
          <w:rFonts w:cstheme="minorHAnsi"/>
          <w:sz w:val="21"/>
          <w:szCs w:val="21"/>
        </w:rPr>
        <w:t>i.e.</w:t>
      </w:r>
      <w:r w:rsidRPr="001C251C">
        <w:rPr>
          <w:rFonts w:cstheme="minorHAnsi"/>
          <w:sz w:val="21"/>
          <w:szCs w:val="21"/>
        </w:rPr>
        <w:t xml:space="preserve"> subnational) stakeholders. </w:t>
      </w:r>
    </w:p>
    <w:p w14:paraId="03A4E9AA" w14:textId="77777777" w:rsidR="00CB1C18" w:rsidRPr="001C251C" w:rsidRDefault="00CB1C18" w:rsidP="00CB1C18">
      <w:pPr>
        <w:spacing w:after="120"/>
        <w:jc w:val="both"/>
        <w:rPr>
          <w:rFonts w:cstheme="minorHAnsi"/>
          <w:b/>
          <w:bCs/>
          <w:i/>
          <w:sz w:val="21"/>
          <w:szCs w:val="21"/>
        </w:rPr>
      </w:pPr>
      <w:r w:rsidRPr="001C251C">
        <w:rPr>
          <w:rFonts w:cstheme="minorHAnsi"/>
          <w:b/>
          <w:bCs/>
          <w:i/>
          <w:sz w:val="21"/>
          <w:szCs w:val="21"/>
        </w:rPr>
        <w:t>1. IA-CEPA Implementation: Needs Assessment: IA-CEPA core and broader commitments</w:t>
      </w:r>
    </w:p>
    <w:p w14:paraId="68A4E33D" w14:textId="77777777" w:rsidR="00CB1C18" w:rsidRPr="001C251C" w:rsidRDefault="00CB1C18" w:rsidP="00CB1C18">
      <w:pPr>
        <w:spacing w:after="120"/>
        <w:jc w:val="both"/>
        <w:rPr>
          <w:rFonts w:cstheme="minorHAnsi"/>
          <w:sz w:val="21"/>
          <w:szCs w:val="21"/>
        </w:rPr>
      </w:pPr>
      <w:r w:rsidRPr="001C251C">
        <w:rPr>
          <w:rFonts w:cstheme="minorHAnsi"/>
          <w:sz w:val="21"/>
          <w:szCs w:val="21"/>
        </w:rPr>
        <w:t>The ECP will support a Needs Assessment to assist in IA-CEPA implementation, with a focus on legislative and regulatory requirements for implementation of the core commitments across goods, services and investment and implementing broader commitments of the agreement on a chapter-by-chapter basis. The Needs Assessment will set out, on a prioritised basis, the legislative, regulatory and policy work that is needed for full implementation of the agreement, and the modalities recommended to achieve this.  The Needs Assessment will apply a gender equality and social inclusion lens to ensure IA-CEPA benefits all sectors of the community.</w:t>
      </w:r>
    </w:p>
    <w:p w14:paraId="18AE9C1D" w14:textId="77777777" w:rsidR="00CB1C18" w:rsidRPr="001C251C" w:rsidRDefault="00CB1C18" w:rsidP="00CB1C18">
      <w:pPr>
        <w:spacing w:after="120"/>
        <w:jc w:val="both"/>
        <w:rPr>
          <w:rFonts w:cstheme="minorHAnsi"/>
          <w:sz w:val="21"/>
          <w:szCs w:val="21"/>
        </w:rPr>
      </w:pPr>
      <w:r w:rsidRPr="001C251C">
        <w:rPr>
          <w:rFonts w:cstheme="minorHAnsi"/>
          <w:sz w:val="21"/>
          <w:szCs w:val="21"/>
        </w:rPr>
        <w:t>An issue for consideration in the study is the implementation of IA-CEPA in the context of existing trade commitments, and domestic (unilateral) regulatory reform. As IA-CEPA is not the only game in town, it is important for a technical assessment to be undertaken to examine how both countries can take advantage of the treaty while ensuring consistency with WTO, bilateral and regional trade commitments. The study should also address the fact that the utilisation rates of trade agreements across the world are generally low</w:t>
      </w:r>
      <w:r w:rsidRPr="001C251C">
        <w:rPr>
          <w:rStyle w:val="FootnoteReference"/>
          <w:rFonts w:cstheme="minorHAnsi"/>
          <w:sz w:val="21"/>
          <w:szCs w:val="21"/>
        </w:rPr>
        <w:footnoteReference w:id="38"/>
      </w:r>
      <w:r w:rsidRPr="001C251C">
        <w:rPr>
          <w:rFonts w:cstheme="minorHAnsi"/>
          <w:sz w:val="21"/>
          <w:szCs w:val="21"/>
        </w:rPr>
        <w:t>, and so can offer ways for IA-CEPA to be more effective.</w:t>
      </w:r>
    </w:p>
    <w:p w14:paraId="7DA7CF29" w14:textId="77777777" w:rsidR="00CB1C18" w:rsidRPr="001C251C" w:rsidRDefault="00CB1C18" w:rsidP="00CB1C18">
      <w:pPr>
        <w:spacing w:after="120"/>
        <w:jc w:val="both"/>
        <w:rPr>
          <w:rFonts w:cstheme="minorHAnsi"/>
          <w:sz w:val="21"/>
          <w:szCs w:val="21"/>
        </w:rPr>
      </w:pPr>
      <w:r w:rsidRPr="001C251C">
        <w:rPr>
          <w:rFonts w:cstheme="minorHAnsi"/>
          <w:sz w:val="21"/>
          <w:szCs w:val="21"/>
        </w:rPr>
        <w:t>The ECP will draw from a range of practical measures to progress the IA-CEPA implementation work plan.  These will respond to the findings of the Needs Assessment, and may relate specifically to matters of IA-CEPA technical implementation, may examine the practice of implementing trade agreements across trade and line agencies, and may focus on practices of socialisation and advocacy for trade reform and FTA utilisation. Activities may include: (</w:t>
      </w:r>
      <w:proofErr w:type="spellStart"/>
      <w:r w:rsidRPr="001C251C">
        <w:rPr>
          <w:rFonts w:cstheme="minorHAnsi"/>
          <w:sz w:val="21"/>
          <w:szCs w:val="21"/>
        </w:rPr>
        <w:t>i</w:t>
      </w:r>
      <w:proofErr w:type="spellEnd"/>
      <w:r w:rsidRPr="001C251C">
        <w:rPr>
          <w:rFonts w:cstheme="minorHAnsi"/>
          <w:sz w:val="21"/>
          <w:szCs w:val="21"/>
        </w:rPr>
        <w:t>) exchange of officials involved in trade regulatory implementation, (ii) short-term embedding officials in trade-related Ministries (including Indonesian officials in Australian agencies) for similar, and (iii) direct regulatory design and drafting advice. A substantial portion of these practical measures will focus on assisting the sub-national level of Government in Indonesia. This ‘localisation’ of IA-CEPA will be critical to maximising outcomes and utilisation across Indonesia.</w:t>
      </w:r>
    </w:p>
    <w:p w14:paraId="29C354CD" w14:textId="77777777" w:rsidR="00CB1C18" w:rsidRPr="001C251C" w:rsidRDefault="00CB1C18" w:rsidP="00CB1C18">
      <w:pPr>
        <w:spacing w:after="120"/>
        <w:jc w:val="both"/>
        <w:rPr>
          <w:rFonts w:cstheme="minorHAnsi"/>
          <w:b/>
          <w:bCs/>
          <w:i/>
          <w:sz w:val="21"/>
          <w:szCs w:val="21"/>
        </w:rPr>
      </w:pPr>
      <w:r w:rsidRPr="001C251C">
        <w:rPr>
          <w:rFonts w:cstheme="minorHAnsi"/>
          <w:b/>
          <w:bCs/>
          <w:i/>
          <w:sz w:val="21"/>
          <w:szCs w:val="21"/>
        </w:rPr>
        <w:t xml:space="preserve">2. IA-CEPA Socialisation </w:t>
      </w:r>
    </w:p>
    <w:p w14:paraId="45990E85" w14:textId="77777777" w:rsidR="00CB1C18" w:rsidRPr="001C251C" w:rsidRDefault="00CB1C18" w:rsidP="00CB1C18">
      <w:pPr>
        <w:spacing w:after="120"/>
        <w:jc w:val="both"/>
        <w:rPr>
          <w:rFonts w:cstheme="minorHAnsi"/>
          <w:bCs/>
          <w:i/>
          <w:sz w:val="21"/>
          <w:szCs w:val="21"/>
        </w:rPr>
      </w:pPr>
      <w:r w:rsidRPr="001C251C">
        <w:rPr>
          <w:rFonts w:cstheme="minorHAnsi"/>
          <w:bCs/>
          <w:i/>
          <w:sz w:val="21"/>
          <w:szCs w:val="21"/>
        </w:rPr>
        <w:t>Technical Advocacy</w:t>
      </w:r>
    </w:p>
    <w:p w14:paraId="1BCEDA30" w14:textId="395AE426" w:rsidR="00CB1C18" w:rsidRPr="001C251C" w:rsidRDefault="00CB1C18" w:rsidP="00CB1C18">
      <w:pPr>
        <w:spacing w:after="120"/>
        <w:jc w:val="both"/>
        <w:rPr>
          <w:rFonts w:cstheme="minorHAnsi"/>
          <w:sz w:val="21"/>
          <w:szCs w:val="21"/>
        </w:rPr>
      </w:pPr>
      <w:r w:rsidRPr="001C251C">
        <w:rPr>
          <w:rFonts w:cstheme="minorHAnsi"/>
          <w:sz w:val="21"/>
          <w:szCs w:val="21"/>
        </w:rPr>
        <w:t xml:space="preserve">The experience of FTA implementation is that </w:t>
      </w:r>
      <w:r w:rsidR="00E42918">
        <w:rPr>
          <w:rFonts w:cstheme="minorHAnsi"/>
          <w:sz w:val="21"/>
          <w:szCs w:val="21"/>
        </w:rPr>
        <w:t xml:space="preserve">consistent advocacy is required. </w:t>
      </w:r>
      <w:r w:rsidRPr="001C251C">
        <w:rPr>
          <w:rFonts w:cstheme="minorHAnsi"/>
          <w:sz w:val="21"/>
          <w:szCs w:val="21"/>
        </w:rPr>
        <w:t xml:space="preserve">The ECP will support an ongoing engagement with the Indonesian Government to provide information, background and analysis on various aspects </w:t>
      </w:r>
      <w:r w:rsidRPr="001C251C">
        <w:rPr>
          <w:rFonts w:cstheme="minorHAnsi"/>
          <w:sz w:val="21"/>
          <w:szCs w:val="21"/>
        </w:rPr>
        <w:lastRenderedPageBreak/>
        <w:t xml:space="preserve">of the IA-CEPA. This will take the form of fact sheets, Government workshops and research to support particular aspects of IA-CEPA implementation as the needs arise. </w:t>
      </w:r>
    </w:p>
    <w:p w14:paraId="69951D0E" w14:textId="77777777" w:rsidR="00CB1C18" w:rsidRPr="001C251C" w:rsidRDefault="00CB1C18" w:rsidP="00CB1C18">
      <w:pPr>
        <w:spacing w:after="120"/>
        <w:jc w:val="both"/>
        <w:rPr>
          <w:rFonts w:cstheme="minorHAnsi"/>
          <w:sz w:val="21"/>
          <w:szCs w:val="21"/>
        </w:rPr>
      </w:pPr>
      <w:r w:rsidRPr="001C251C">
        <w:rPr>
          <w:rFonts w:cstheme="minorHAnsi"/>
          <w:sz w:val="21"/>
          <w:szCs w:val="21"/>
        </w:rPr>
        <w:t xml:space="preserve">Much of this work will focus on highlighting the complementarities of the Indonesian and Australian economies, and the opportunities for joint success in third markets. It is only when trade data is disaggregated that the potential complementarities between the two countries are revealed. Potential complementarities extend to services sector. Australia has long been a top destination for young Indonesians looking for quality higher education, whereas Australian tourists have been contributing to Indonesia’s exports of services. Such comparative advantages may grow further with the production networks, where the Indonesian hospitality sector would benefit from Australian vocational trainings. This type of sectoral analysis will assist in the advocacy required to maintain a high level of support among Government, industry groups and consumers. </w:t>
      </w:r>
    </w:p>
    <w:p w14:paraId="18889614" w14:textId="77777777" w:rsidR="00CB1C18" w:rsidRPr="001C251C" w:rsidRDefault="00CB1C18" w:rsidP="00CB1C18">
      <w:pPr>
        <w:spacing w:after="120"/>
        <w:jc w:val="both"/>
        <w:rPr>
          <w:rFonts w:cstheme="minorHAnsi"/>
          <w:i/>
          <w:sz w:val="21"/>
          <w:szCs w:val="21"/>
        </w:rPr>
      </w:pPr>
      <w:r w:rsidRPr="001C251C">
        <w:rPr>
          <w:rFonts w:cstheme="minorHAnsi"/>
          <w:i/>
          <w:sz w:val="21"/>
          <w:szCs w:val="21"/>
        </w:rPr>
        <w:t xml:space="preserve">Business Dialogue </w:t>
      </w:r>
    </w:p>
    <w:p w14:paraId="4AF237A2" w14:textId="77777777" w:rsidR="00CB1C18" w:rsidRPr="001C251C" w:rsidRDefault="00CB1C18" w:rsidP="00CB1C18">
      <w:pPr>
        <w:spacing w:after="120"/>
        <w:jc w:val="both"/>
        <w:rPr>
          <w:rFonts w:cstheme="minorHAnsi"/>
          <w:sz w:val="21"/>
          <w:szCs w:val="21"/>
        </w:rPr>
      </w:pPr>
      <w:r w:rsidRPr="001C251C">
        <w:rPr>
          <w:rFonts w:cstheme="minorHAnsi"/>
          <w:sz w:val="21"/>
          <w:szCs w:val="21"/>
        </w:rPr>
        <w:t xml:space="preserve">A program to engage directly with business and industry groups will raise awareness of opportunities under IA-CEPA, drive interest in other ECP sectoral activities, and provide a channel of communication with industry groups to ensure ongoing support. The business dialogue will place a strong emphasis on increasing opportunities for women as a result of IA-CEPA implementation. </w:t>
      </w:r>
    </w:p>
    <w:p w14:paraId="494D2ECC" w14:textId="77777777" w:rsidR="00CB1C18" w:rsidRPr="001C251C" w:rsidRDefault="00CB1C18" w:rsidP="00CB1C18">
      <w:pPr>
        <w:spacing w:after="120"/>
        <w:jc w:val="both"/>
        <w:rPr>
          <w:rFonts w:cstheme="minorHAnsi"/>
          <w:sz w:val="21"/>
          <w:szCs w:val="21"/>
        </w:rPr>
      </w:pPr>
      <w:r w:rsidRPr="001C251C">
        <w:rPr>
          <w:rFonts w:cstheme="minorHAnsi"/>
          <w:sz w:val="21"/>
          <w:szCs w:val="21"/>
        </w:rPr>
        <w:t>Seeking to have industry groups feel ‘ownership’ of the bilateral trade and investment relationship will be an important factor in countering any negative sentiment towards IA-CEPA. To achieve this, the ECP will engage with a variety of industry associations and platforms, with the offer of seminars and workshops focused on IA-CEPA outcomes and opportunities. This will ideally go beyond the ‘traditional’ stakeholders in the bilateral trade and economic relationship, including female and young entrepreneur groups, to broaden industry awareness. This type of dedicated Indonesian industry engagement funding for a trade agreement is a novel approach to proactive advocacy. The ECP may also use this to drive interest and engagement with the other sectoral partnerships and initiatives undertaken by the ECP.</w:t>
      </w:r>
    </w:p>
    <w:p w14:paraId="310925FF" w14:textId="77777777" w:rsidR="00CB1C18" w:rsidRPr="001C251C" w:rsidRDefault="00CB1C18" w:rsidP="00CB1C18">
      <w:pPr>
        <w:spacing w:after="120"/>
        <w:jc w:val="both"/>
        <w:rPr>
          <w:rFonts w:cstheme="minorHAnsi"/>
          <w:bCs/>
          <w:i/>
          <w:sz w:val="21"/>
          <w:szCs w:val="21"/>
        </w:rPr>
      </w:pPr>
      <w:r w:rsidRPr="001C251C">
        <w:rPr>
          <w:rFonts w:cstheme="minorHAnsi"/>
          <w:bCs/>
          <w:i/>
          <w:sz w:val="21"/>
          <w:szCs w:val="21"/>
        </w:rPr>
        <w:t>IA-CEPA Localisation</w:t>
      </w:r>
    </w:p>
    <w:p w14:paraId="470371F7" w14:textId="77777777" w:rsidR="00CB1C18" w:rsidRPr="001C251C" w:rsidRDefault="00CB1C18" w:rsidP="00CB1C18">
      <w:pPr>
        <w:spacing w:after="120"/>
        <w:jc w:val="both"/>
        <w:rPr>
          <w:rFonts w:cstheme="minorHAnsi"/>
          <w:sz w:val="21"/>
          <w:szCs w:val="21"/>
        </w:rPr>
      </w:pPr>
      <w:r w:rsidRPr="001C251C">
        <w:rPr>
          <w:rFonts w:cstheme="minorHAnsi"/>
          <w:sz w:val="21"/>
          <w:szCs w:val="21"/>
        </w:rPr>
        <w:t>Indonesia undertook its ‘big bang’ decentralisation initiatives in the early 2000s. Since then, the number of administrative regions has multiplied with local governments now wielding significant power, including in trade and investment. It is important therefore to engage the sub-national stakeholders on issues related to IA-CEPA implementation.</w:t>
      </w:r>
    </w:p>
    <w:p w14:paraId="6A37F1C3" w14:textId="77777777" w:rsidR="00CB1C18" w:rsidRPr="001C251C" w:rsidRDefault="00CB1C18" w:rsidP="00CB1C18">
      <w:pPr>
        <w:spacing w:after="120"/>
        <w:jc w:val="both"/>
        <w:rPr>
          <w:rFonts w:cstheme="minorHAnsi"/>
          <w:sz w:val="21"/>
          <w:szCs w:val="21"/>
        </w:rPr>
      </w:pPr>
      <w:r w:rsidRPr="001C251C">
        <w:rPr>
          <w:rFonts w:cstheme="minorHAnsi"/>
          <w:sz w:val="21"/>
          <w:szCs w:val="21"/>
        </w:rPr>
        <w:t xml:space="preserve">The ECP will support research and activities, beginning with the regions in which Australian Consul-Generals are located, to raise the interest of local and provincial economies and market actors. Similarly to the industry-specific dialogue, the localisation initiative would present the IA-CEPA and the opportunities in the bilateral trade/investment relationship in terms that resonate with the local economy. The activity will commence with high level research into sectoral complementarities, opportunities for ‘powerhouse’ collaboration, and raising profile of existing bilateral economic ties. Localised activities will include information sessions with provincial/local chambers of commerce and interest groups, fact sheets and potentially development of local industry profiles. Utilisation of existing networks, such as the Australia-Indonesia Centre’s PAIR program, should be considered. </w:t>
      </w:r>
    </w:p>
    <w:p w14:paraId="7F42A84B" w14:textId="77777777" w:rsidR="00CB1C18" w:rsidRPr="001C251C" w:rsidRDefault="00CB1C18" w:rsidP="00CB1C18">
      <w:pPr>
        <w:spacing w:after="120"/>
        <w:jc w:val="both"/>
        <w:rPr>
          <w:rFonts w:cstheme="minorHAnsi"/>
          <w:b/>
          <w:i/>
          <w:sz w:val="21"/>
          <w:szCs w:val="21"/>
        </w:rPr>
      </w:pPr>
      <w:r w:rsidRPr="001C251C">
        <w:rPr>
          <w:rFonts w:cstheme="minorHAnsi"/>
          <w:b/>
          <w:i/>
          <w:sz w:val="21"/>
          <w:szCs w:val="21"/>
        </w:rPr>
        <w:t>3. Bilateral Economic Opportunity Assessments</w:t>
      </w:r>
    </w:p>
    <w:p w14:paraId="3B3F3903" w14:textId="77777777" w:rsidR="00CB1C18" w:rsidRPr="001C251C" w:rsidRDefault="00CB1C18" w:rsidP="00CB1C18">
      <w:pPr>
        <w:spacing w:after="120"/>
        <w:jc w:val="both"/>
        <w:rPr>
          <w:rFonts w:cstheme="minorHAnsi"/>
          <w:sz w:val="21"/>
          <w:szCs w:val="21"/>
        </w:rPr>
      </w:pPr>
      <w:r w:rsidRPr="001C251C">
        <w:rPr>
          <w:rFonts w:cstheme="minorHAnsi"/>
          <w:b/>
          <w:sz w:val="21"/>
          <w:szCs w:val="21"/>
        </w:rPr>
        <w:t>Opportunity Assessments</w:t>
      </w:r>
      <w:r w:rsidRPr="001C251C">
        <w:rPr>
          <w:rFonts w:cstheme="minorHAnsi"/>
          <w:sz w:val="21"/>
          <w:szCs w:val="21"/>
        </w:rPr>
        <w:t xml:space="preserve"> will examine which economic sectors in the global economy present the greatest mutually beneficial prospects in the coming 5 to 20 years. This reflects ambitions for the ECP as directed in DFAT’s Investment Concept, “</w:t>
      </w:r>
      <w:r w:rsidRPr="001C251C">
        <w:rPr>
          <w:rFonts w:eastAsia="Times New Roman" w:cstheme="minorHAnsi"/>
          <w:i/>
          <w:sz w:val="21"/>
          <w:szCs w:val="21"/>
          <w:lang w:eastAsia="en-AU"/>
        </w:rPr>
        <w:t>ECP will support expanding traditional trade as well as deepening industry linkages to develop a second wave of commercial opportunities, including in cutting-edge areas such as the digital economy and research through stronger industry and institutional linkages.</w:t>
      </w:r>
      <w:r w:rsidRPr="001C251C">
        <w:rPr>
          <w:rFonts w:eastAsia="Times New Roman" w:cstheme="minorHAnsi"/>
          <w:sz w:val="21"/>
          <w:szCs w:val="21"/>
          <w:lang w:eastAsia="en-AU"/>
        </w:rPr>
        <w:t>”</w:t>
      </w:r>
    </w:p>
    <w:p w14:paraId="037AF3FF" w14:textId="77777777" w:rsidR="00CB1C18" w:rsidRPr="001C251C" w:rsidRDefault="00CB1C18" w:rsidP="00CB1C18">
      <w:pPr>
        <w:spacing w:after="120"/>
        <w:jc w:val="both"/>
        <w:rPr>
          <w:rFonts w:cstheme="minorHAnsi"/>
          <w:sz w:val="21"/>
          <w:szCs w:val="21"/>
        </w:rPr>
      </w:pPr>
      <w:r w:rsidRPr="001C251C">
        <w:rPr>
          <w:rFonts w:cstheme="minorHAnsi"/>
          <w:sz w:val="21"/>
          <w:szCs w:val="21"/>
        </w:rPr>
        <w:t xml:space="preserve">These assessments will propose strategies for deeper engagement, developing a base of data, insights and analysis for consideration in the lead up to the IA-CEPA review, which is due five years after entry into force. </w:t>
      </w:r>
    </w:p>
    <w:p w14:paraId="1EEF3131" w14:textId="77777777" w:rsidR="00CB1C18" w:rsidRPr="001C251C" w:rsidRDefault="00CB1C18" w:rsidP="00CB1C18">
      <w:pPr>
        <w:spacing w:after="120"/>
        <w:jc w:val="both"/>
        <w:rPr>
          <w:rFonts w:cstheme="minorHAnsi"/>
          <w:sz w:val="21"/>
          <w:szCs w:val="21"/>
        </w:rPr>
      </w:pPr>
      <w:r w:rsidRPr="001C251C">
        <w:rPr>
          <w:rFonts w:cstheme="minorHAnsi"/>
          <w:sz w:val="21"/>
          <w:szCs w:val="21"/>
        </w:rPr>
        <w:t xml:space="preserve">The assessments would respond to sectoral priorities of Indonesia and Australia that demonstrate mutual benefit, for example by building on inputs (goods and services) from both countries. Priority should also be given to sectors that demonstrate potential export opportunities to third markets. In addition to examining new sectors of the global </w:t>
      </w:r>
      <w:r w:rsidRPr="001C251C">
        <w:rPr>
          <w:rFonts w:cstheme="minorHAnsi"/>
          <w:sz w:val="21"/>
          <w:szCs w:val="21"/>
        </w:rPr>
        <w:lastRenderedPageBreak/>
        <w:t>economy, such as digital commerce and creative industries, the ECP may also build on research from the Australia Indonesia Centre</w:t>
      </w:r>
      <w:r w:rsidRPr="001C251C">
        <w:rPr>
          <w:rStyle w:val="FootnoteReference"/>
          <w:rFonts w:cstheme="minorHAnsi"/>
          <w:sz w:val="21"/>
          <w:szCs w:val="21"/>
        </w:rPr>
        <w:footnoteReference w:id="39"/>
      </w:r>
      <w:r w:rsidRPr="001C251C">
        <w:rPr>
          <w:rFonts w:cstheme="minorHAnsi"/>
          <w:sz w:val="21"/>
          <w:szCs w:val="21"/>
        </w:rPr>
        <w:t xml:space="preserve"> on four prospective sectors: food processing, textiles &amp; fashion, logistics and animal products.</w:t>
      </w:r>
    </w:p>
    <w:p w14:paraId="593ED714" w14:textId="77777777" w:rsidR="00CB1C18" w:rsidRPr="001C251C" w:rsidRDefault="00CB1C18" w:rsidP="00CB1C18">
      <w:pPr>
        <w:spacing w:after="120"/>
        <w:jc w:val="both"/>
        <w:rPr>
          <w:rFonts w:cstheme="minorHAnsi"/>
          <w:sz w:val="21"/>
          <w:szCs w:val="21"/>
        </w:rPr>
      </w:pPr>
      <w:r w:rsidRPr="001C251C">
        <w:rPr>
          <w:rFonts w:cstheme="minorHAnsi"/>
          <w:sz w:val="21"/>
          <w:szCs w:val="21"/>
        </w:rPr>
        <w:t xml:space="preserve">For year one, the proposed focus is on opportunities to strengthen digital services and capital market linkages. With relatively shallow capital markets in Indonesia, many Indonesian firms are looking to offshore private equity, venture capital and routes to publicly traded capital raisings. On the Australian side, private capital has not yet fully appreciated the opportunity and quantified the risks in partnering with Indonesian firms. There is also a gap between Indonesian and Australian corporate governance and reporting standards. Strengthening linkages between Indonesian fast-growth digital services firms and Australian private and publicly-trade capital markets, will make a substantial contribution to economic cooperation between the two countries. </w:t>
      </w:r>
    </w:p>
    <w:p w14:paraId="5ACDEF88" w14:textId="77777777" w:rsidR="00CB1C18" w:rsidRPr="001C251C" w:rsidRDefault="00CB1C18" w:rsidP="00CB1C18">
      <w:pPr>
        <w:spacing w:after="120"/>
        <w:jc w:val="both"/>
        <w:rPr>
          <w:rFonts w:cstheme="minorHAnsi"/>
          <w:sz w:val="21"/>
          <w:szCs w:val="21"/>
        </w:rPr>
      </w:pPr>
      <w:r w:rsidRPr="001C251C">
        <w:rPr>
          <w:rFonts w:cstheme="minorHAnsi"/>
          <w:sz w:val="21"/>
          <w:szCs w:val="21"/>
        </w:rPr>
        <w:t>This assessment would commence with a baseline study into regulatory, technical/governance and other barriers to deepen Indonesia’s access to capital, particularly Australia’s large capital market. Comparative factors for the study would include: (</w:t>
      </w:r>
      <w:proofErr w:type="spellStart"/>
      <w:r w:rsidRPr="001C251C">
        <w:rPr>
          <w:rFonts w:cstheme="minorHAnsi"/>
          <w:sz w:val="21"/>
          <w:szCs w:val="21"/>
        </w:rPr>
        <w:t>i</w:t>
      </w:r>
      <w:proofErr w:type="spellEnd"/>
      <w:r w:rsidRPr="001C251C">
        <w:rPr>
          <w:rFonts w:cstheme="minorHAnsi"/>
          <w:sz w:val="21"/>
          <w:szCs w:val="21"/>
        </w:rPr>
        <w:t xml:space="preserve">) overview of Indonesian fast-growth technology </w:t>
      </w:r>
      <w:proofErr w:type="spellStart"/>
      <w:r w:rsidRPr="001C251C">
        <w:rPr>
          <w:rFonts w:cstheme="minorHAnsi"/>
          <w:sz w:val="21"/>
          <w:szCs w:val="21"/>
        </w:rPr>
        <w:t>startups</w:t>
      </w:r>
      <w:proofErr w:type="spellEnd"/>
      <w:r w:rsidRPr="001C251C">
        <w:rPr>
          <w:rFonts w:cstheme="minorHAnsi"/>
          <w:sz w:val="21"/>
          <w:szCs w:val="21"/>
        </w:rPr>
        <w:t xml:space="preserve"> and usual sources of capital, (ii) legal/regulatory landscape for foreign funding, (iii) corporate governance and reporting standards differences between markets, and (iv) technical approaches to valuation in Indonesia and Australia. The research would consider the standards and reporting requirements required for Indonesian firms to comply with Australian listing requirements, and recommend paths to boost Indonesia’s compliance. The report would also seek insights from industry on approaches to overcome challenges identified, and will inform the components of the forward work-plan in other work streams. It may also consider the prospects for a future mechanism under the ECP to foster exchange and learning opportunities between Indonesian fast-growth firms and Australian private capital to build corporate governance standards in Indonesia and partnership for private sector development.</w:t>
      </w:r>
    </w:p>
    <w:p w14:paraId="0F1EE9BF" w14:textId="77777777" w:rsidR="00CB1C18" w:rsidRPr="001C251C" w:rsidRDefault="00CB1C18" w:rsidP="00CB1C18">
      <w:pPr>
        <w:spacing w:after="120"/>
        <w:jc w:val="both"/>
        <w:rPr>
          <w:rFonts w:cstheme="minorHAnsi"/>
          <w:b/>
          <w:i/>
          <w:sz w:val="21"/>
          <w:szCs w:val="21"/>
        </w:rPr>
      </w:pPr>
      <w:r w:rsidRPr="001C251C">
        <w:rPr>
          <w:rFonts w:cstheme="minorHAnsi"/>
          <w:b/>
          <w:i/>
          <w:sz w:val="21"/>
          <w:szCs w:val="21"/>
        </w:rPr>
        <w:t xml:space="preserve">4. IA-CEPA Monitoring and Evaluation </w:t>
      </w:r>
    </w:p>
    <w:p w14:paraId="2FF9FBC3" w14:textId="72B7FD52" w:rsidR="00CB1C18" w:rsidRPr="001C251C" w:rsidRDefault="00CB1C18" w:rsidP="00CB1C18">
      <w:pPr>
        <w:spacing w:after="120"/>
        <w:jc w:val="both"/>
        <w:rPr>
          <w:rFonts w:cstheme="minorHAnsi"/>
          <w:sz w:val="21"/>
          <w:szCs w:val="21"/>
        </w:rPr>
      </w:pPr>
      <w:r w:rsidRPr="001C251C">
        <w:rPr>
          <w:rFonts w:cstheme="minorHAnsi"/>
          <w:sz w:val="21"/>
          <w:szCs w:val="21"/>
        </w:rPr>
        <w:t xml:space="preserve">The monitoring and evaluation </w:t>
      </w:r>
      <w:proofErr w:type="spellStart"/>
      <w:r w:rsidRPr="001C251C">
        <w:rPr>
          <w:rFonts w:cstheme="minorHAnsi"/>
          <w:sz w:val="21"/>
          <w:szCs w:val="21"/>
        </w:rPr>
        <w:t>workstream</w:t>
      </w:r>
      <w:proofErr w:type="spellEnd"/>
      <w:r w:rsidRPr="001C251C">
        <w:rPr>
          <w:rFonts w:cstheme="minorHAnsi"/>
          <w:sz w:val="21"/>
          <w:szCs w:val="21"/>
        </w:rPr>
        <w:t xml:space="preserve"> will focus on measuring IA-CEPA utilisation, and monitoring and evaluating implementation of the IA-CEPA, with a particular focus on economic (for example, trade creation) and wider impacts (in particular, with regards to GESI outcomes). The ECP will commence this </w:t>
      </w:r>
      <w:proofErr w:type="spellStart"/>
      <w:r w:rsidRPr="001C251C">
        <w:rPr>
          <w:rFonts w:cstheme="minorHAnsi"/>
          <w:sz w:val="21"/>
          <w:szCs w:val="21"/>
        </w:rPr>
        <w:t>workstream</w:t>
      </w:r>
      <w:proofErr w:type="spellEnd"/>
      <w:r w:rsidRPr="001C251C">
        <w:rPr>
          <w:rFonts w:cstheme="minorHAnsi"/>
          <w:sz w:val="21"/>
          <w:szCs w:val="21"/>
        </w:rPr>
        <w:t xml:space="preserve"> with the establishment a framework for ongoing monitoring and evaluation, including quantitative and qualitative elements, and a methodology for periodic evaluation</w:t>
      </w:r>
      <w:r w:rsidR="008638EE">
        <w:rPr>
          <w:rFonts w:cstheme="minorHAnsi"/>
          <w:sz w:val="21"/>
          <w:szCs w:val="21"/>
        </w:rPr>
        <w:t>s and detailed case studies</w:t>
      </w:r>
      <w:r w:rsidRPr="001C251C">
        <w:rPr>
          <w:rFonts w:cstheme="minorHAnsi"/>
          <w:sz w:val="21"/>
          <w:szCs w:val="21"/>
        </w:rPr>
        <w:t xml:space="preserve">. The findings will support other activities, in particular the socialisation </w:t>
      </w:r>
      <w:proofErr w:type="spellStart"/>
      <w:r w:rsidRPr="001C251C">
        <w:rPr>
          <w:rFonts w:cstheme="minorHAnsi"/>
          <w:sz w:val="21"/>
          <w:szCs w:val="21"/>
        </w:rPr>
        <w:t>workstream</w:t>
      </w:r>
      <w:proofErr w:type="spellEnd"/>
      <w:r w:rsidRPr="001C251C">
        <w:rPr>
          <w:rFonts w:cstheme="minorHAnsi"/>
          <w:sz w:val="21"/>
          <w:szCs w:val="21"/>
        </w:rPr>
        <w:t xml:space="preserve">, as well as other activities implemented by the ECP. </w:t>
      </w:r>
    </w:p>
    <w:p w14:paraId="3246D4B6" w14:textId="77777777" w:rsidR="00CB1C18" w:rsidRPr="001C251C" w:rsidRDefault="00CB1C18" w:rsidP="00CB1C18">
      <w:pPr>
        <w:spacing w:after="120"/>
        <w:jc w:val="both"/>
        <w:rPr>
          <w:rFonts w:cstheme="minorHAnsi"/>
          <w:b/>
          <w:bCs/>
          <w:sz w:val="21"/>
          <w:szCs w:val="21"/>
        </w:rPr>
      </w:pPr>
      <w:r w:rsidRPr="001C251C">
        <w:rPr>
          <w:rFonts w:cstheme="minorHAnsi"/>
          <w:b/>
          <w:bCs/>
          <w:sz w:val="21"/>
          <w:szCs w:val="21"/>
        </w:rPr>
        <w:t>Gender equality and social inclusion</w:t>
      </w:r>
    </w:p>
    <w:p w14:paraId="625B0575" w14:textId="77777777" w:rsidR="00CB1C18" w:rsidRPr="001C251C" w:rsidRDefault="00CB1C18" w:rsidP="00CB1C18">
      <w:pPr>
        <w:spacing w:after="120"/>
        <w:jc w:val="both"/>
        <w:rPr>
          <w:rFonts w:cstheme="minorHAnsi"/>
          <w:sz w:val="21"/>
          <w:szCs w:val="21"/>
        </w:rPr>
      </w:pPr>
      <w:r w:rsidRPr="001C251C">
        <w:rPr>
          <w:rFonts w:cstheme="minorHAnsi"/>
          <w:sz w:val="21"/>
          <w:szCs w:val="21"/>
        </w:rPr>
        <w:t xml:space="preserve">The activity will support greater inclusion through the studies’ assessment on inclusive growth, poverty, inequality, and social mobility. Opportunities to promote women and trade, through greater market access and investment will be incorporated into each of the abovementioned activities. For instance, advocacy activities will include GESI perspectives and the business dialogue will promote SME’s with predominantly female employment. </w:t>
      </w:r>
    </w:p>
    <w:p w14:paraId="23C84FBD" w14:textId="1BAE29DF" w:rsidR="00CB1C18" w:rsidRPr="00554767" w:rsidRDefault="00CB1C18" w:rsidP="00554767">
      <w:pPr>
        <w:spacing w:after="120"/>
        <w:jc w:val="both"/>
        <w:rPr>
          <w:rFonts w:cstheme="minorHAnsi"/>
          <w:sz w:val="21"/>
          <w:szCs w:val="21"/>
        </w:rPr>
      </w:pPr>
      <w:r w:rsidRPr="001C251C">
        <w:rPr>
          <w:rFonts w:cstheme="minorHAnsi"/>
          <w:sz w:val="21"/>
          <w:szCs w:val="21"/>
        </w:rPr>
        <w:t xml:space="preserve">The ECP leadership team includes a Gender and Social Inclusion </w:t>
      </w:r>
      <w:r w:rsidR="00E5695E">
        <w:rPr>
          <w:rFonts w:cstheme="minorHAnsi"/>
          <w:sz w:val="21"/>
          <w:szCs w:val="21"/>
        </w:rPr>
        <w:t>function</w:t>
      </w:r>
      <w:r w:rsidRPr="001C251C">
        <w:rPr>
          <w:rFonts w:cstheme="minorHAnsi"/>
          <w:sz w:val="21"/>
          <w:szCs w:val="21"/>
        </w:rPr>
        <w:t xml:space="preserve"> </w:t>
      </w:r>
      <w:r w:rsidR="00E5695E">
        <w:rPr>
          <w:rFonts w:cstheme="minorHAnsi"/>
          <w:sz w:val="21"/>
          <w:szCs w:val="21"/>
        </w:rPr>
        <w:t xml:space="preserve">that </w:t>
      </w:r>
      <w:r w:rsidRPr="001C251C">
        <w:rPr>
          <w:rFonts w:cstheme="minorHAnsi"/>
          <w:sz w:val="21"/>
          <w:szCs w:val="21"/>
        </w:rPr>
        <w:t>will bring both a trade and investment expertise and focus on supporting greater inclusion across the entire program and activities. An early deliverable for this role will be applying the UN Trade and Gender toolkit to IA-CEPA and the ECP’s program of activities. The Trade and Gender toolkit will identify opportunities to support female led trade and investment in the IA-CEPA priority sectors, and for the first time bring a deep analysis of the potential to support gender equality and inclusion through closer economic partnership.</w:t>
      </w:r>
    </w:p>
    <w:p w14:paraId="7EB552E4" w14:textId="70A03C4C" w:rsidR="00B762CB" w:rsidRDefault="00B762CB">
      <w:pPr>
        <w:suppressAutoHyphens w:val="0"/>
        <w:spacing w:before="0" w:after="120" w:line="440" w:lineRule="atLeast"/>
        <w:rPr>
          <w:rFonts w:eastAsiaTheme="majorEastAsia" w:cstheme="majorBidi"/>
          <w:bCs/>
          <w:iCs/>
          <w:caps/>
          <w:spacing w:val="-10"/>
          <w:kern w:val="28"/>
          <w:sz w:val="38"/>
          <w:szCs w:val="24"/>
        </w:rPr>
      </w:pPr>
      <w:r>
        <w:br w:type="page"/>
      </w:r>
    </w:p>
    <w:p w14:paraId="5705CF16" w14:textId="5C56883C" w:rsidR="00CB1C18" w:rsidRPr="007C4ABD" w:rsidRDefault="00CB1C18" w:rsidP="006367D1">
      <w:pPr>
        <w:pStyle w:val="Subtitle"/>
        <w:rPr>
          <w:b/>
        </w:rPr>
      </w:pPr>
      <w:r w:rsidRPr="007C4ABD">
        <w:rPr>
          <w:b/>
        </w:rPr>
        <w:lastRenderedPageBreak/>
        <w:t>ACTIVITY 2</w:t>
      </w:r>
      <w:r w:rsidR="006229DA" w:rsidRPr="007C4ABD">
        <w:rPr>
          <w:b/>
        </w:rPr>
        <w:t>:</w:t>
      </w:r>
      <w:r w:rsidRPr="007C4ABD">
        <w:rPr>
          <w:b/>
        </w:rPr>
        <w:t xml:space="preserve"> AGRIFOOD INNOVATION PARTNERSHIPS</w:t>
      </w:r>
    </w:p>
    <w:p w14:paraId="14E66B91"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theme="minorHAnsi"/>
          <w:b/>
          <w:bCs/>
          <w:sz w:val="21"/>
          <w:szCs w:val="21"/>
        </w:rPr>
      </w:pPr>
      <w:r w:rsidRPr="00E52640">
        <w:rPr>
          <w:rFonts w:cstheme="minorHAnsi"/>
          <w:b/>
          <w:bCs/>
          <w:sz w:val="21"/>
          <w:szCs w:val="21"/>
        </w:rPr>
        <w:t>Activity in brief</w:t>
      </w:r>
    </w:p>
    <w:p w14:paraId="66B954B8" w14:textId="03891806"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iCs/>
          <w:sz w:val="21"/>
          <w:szCs w:val="21"/>
        </w:rPr>
      </w:pPr>
      <w:r w:rsidRPr="00E52640">
        <w:rPr>
          <w:rFonts w:cstheme="minorHAnsi"/>
          <w:iCs/>
          <w:sz w:val="21"/>
          <w:szCs w:val="21"/>
        </w:rPr>
        <w:t xml:space="preserve">The ECP will support closer economic cooperation through </w:t>
      </w:r>
      <w:proofErr w:type="spellStart"/>
      <w:r w:rsidRPr="00E52640">
        <w:rPr>
          <w:rFonts w:cstheme="minorHAnsi"/>
          <w:iCs/>
          <w:sz w:val="21"/>
          <w:szCs w:val="21"/>
        </w:rPr>
        <w:t>agrifood</w:t>
      </w:r>
      <w:proofErr w:type="spellEnd"/>
      <w:r w:rsidRPr="00E52640">
        <w:rPr>
          <w:rFonts w:cstheme="minorHAnsi"/>
          <w:iCs/>
          <w:sz w:val="21"/>
          <w:szCs w:val="21"/>
        </w:rPr>
        <w:t xml:space="preserve"> innovation partnerships in priority sectors, beginning with a new partnership in the grains sector and later in other </w:t>
      </w:r>
      <w:r w:rsidR="00E25A18">
        <w:rPr>
          <w:rFonts w:cstheme="minorHAnsi"/>
          <w:iCs/>
          <w:sz w:val="21"/>
          <w:szCs w:val="21"/>
        </w:rPr>
        <w:t xml:space="preserve">agricultural </w:t>
      </w:r>
      <w:r w:rsidRPr="00E52640">
        <w:rPr>
          <w:rFonts w:cstheme="minorHAnsi"/>
          <w:iCs/>
          <w:sz w:val="21"/>
          <w:szCs w:val="21"/>
        </w:rPr>
        <w:t>sectors</w:t>
      </w:r>
      <w:r w:rsidR="00E25A18">
        <w:rPr>
          <w:rFonts w:cstheme="minorHAnsi"/>
          <w:iCs/>
          <w:sz w:val="21"/>
          <w:szCs w:val="21"/>
        </w:rPr>
        <w:t>.</w:t>
      </w:r>
      <w:r w:rsidRPr="00E52640">
        <w:rPr>
          <w:rFonts w:cstheme="minorHAnsi"/>
          <w:iCs/>
          <w:sz w:val="21"/>
          <w:szCs w:val="21"/>
        </w:rPr>
        <w:t xml:space="preserve"> </w:t>
      </w:r>
      <w:proofErr w:type="spellStart"/>
      <w:r w:rsidRPr="00E52640">
        <w:rPr>
          <w:rFonts w:cstheme="minorHAnsi"/>
          <w:iCs/>
          <w:sz w:val="21"/>
          <w:szCs w:val="21"/>
        </w:rPr>
        <w:t>Agrifood</w:t>
      </w:r>
      <w:proofErr w:type="spellEnd"/>
      <w:r w:rsidRPr="00E52640">
        <w:rPr>
          <w:rFonts w:cstheme="minorHAnsi"/>
          <w:iCs/>
          <w:sz w:val="21"/>
          <w:szCs w:val="21"/>
        </w:rPr>
        <w:t xml:space="preserve"> innovation partnerships will collectively provide an avenue for Australian and Indonesian agricultural and food industry firms, value chains and business institutions to deepen relationships, facilitate innovation and integration of markets, and support investment and trade. There will also be an emphasis on supporting women leaders in food innovation and strengthening opportunities for women to play a significant role in supporting and building the industry.</w:t>
      </w:r>
    </w:p>
    <w:p w14:paraId="6EF3F5C6"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iCs/>
          <w:sz w:val="21"/>
          <w:szCs w:val="21"/>
        </w:rPr>
      </w:pPr>
      <w:r w:rsidRPr="00E52640">
        <w:rPr>
          <w:rFonts w:cstheme="minorHAnsi"/>
          <w:iCs/>
          <w:sz w:val="21"/>
          <w:szCs w:val="21"/>
        </w:rPr>
        <w:t>Agriculture is important to the Australian and Indonesian economies, with a long-established bilateral trade in agricultural products. The significance of agriculture is reflected in the IA-CEPA commitments, which cover sectors such as live cattle and beef, fruit, vegetables, milk and milk products and grains for use in flour milling and animal feed.</w:t>
      </w:r>
    </w:p>
    <w:p w14:paraId="2028B274"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iCs/>
          <w:sz w:val="21"/>
          <w:szCs w:val="21"/>
        </w:rPr>
      </w:pPr>
      <w:r w:rsidRPr="00E52640">
        <w:rPr>
          <w:rFonts w:cstheme="minorHAnsi"/>
          <w:iCs/>
          <w:sz w:val="21"/>
          <w:szCs w:val="21"/>
        </w:rPr>
        <w:t>There is significant potential to expand two-way trade and for value-added processing of agricultural products in Indonesia for export to third country markets. Success will involve working to reduce specific non-tariff measures that restrict trade in agricultural products, while also responding to new requirements. For example, Indonesia’s Halal Product Law came into effect in 2019 and many consumer products and related services that enter and are traded in the country must now be Halal-certified. Indonesia is potentially well-placed to export Halal food products with Australian ingredients to markets such as the Middle East.</w:t>
      </w:r>
    </w:p>
    <w:p w14:paraId="5452D9FD"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iCs/>
          <w:sz w:val="21"/>
          <w:szCs w:val="21"/>
          <w:lang w:val="en-AU"/>
        </w:rPr>
      </w:pPr>
      <w:r w:rsidRPr="00E52640">
        <w:rPr>
          <w:rFonts w:cstheme="minorHAnsi"/>
          <w:iCs/>
          <w:sz w:val="21"/>
          <w:szCs w:val="21"/>
        </w:rPr>
        <w:t xml:space="preserve">The first </w:t>
      </w:r>
      <w:proofErr w:type="spellStart"/>
      <w:r w:rsidRPr="00E52640">
        <w:rPr>
          <w:rFonts w:cstheme="minorHAnsi"/>
          <w:iCs/>
          <w:sz w:val="21"/>
          <w:szCs w:val="21"/>
        </w:rPr>
        <w:t>agrifood</w:t>
      </w:r>
      <w:proofErr w:type="spellEnd"/>
      <w:r w:rsidRPr="00E52640">
        <w:rPr>
          <w:rFonts w:cstheme="minorHAnsi"/>
          <w:iCs/>
          <w:sz w:val="21"/>
          <w:szCs w:val="21"/>
        </w:rPr>
        <w:t xml:space="preserve"> innovation partnership sub-component supported by the ECP will be a </w:t>
      </w:r>
      <w:r w:rsidRPr="00E52640">
        <w:rPr>
          <w:rFonts w:cstheme="minorHAnsi"/>
          <w:b/>
          <w:iCs/>
          <w:sz w:val="21"/>
          <w:szCs w:val="21"/>
        </w:rPr>
        <w:t>Grains Partnership</w:t>
      </w:r>
      <w:r w:rsidRPr="00E52640">
        <w:rPr>
          <w:rFonts w:cstheme="minorHAnsi"/>
          <w:iCs/>
          <w:sz w:val="21"/>
          <w:szCs w:val="21"/>
        </w:rPr>
        <w:t xml:space="preserve">. Indonesia has been the single largest customer for Australian wheat for many years, with the trade proving beneficial to both countries.  However, </w:t>
      </w:r>
      <w:r w:rsidRPr="00E52640">
        <w:rPr>
          <w:rFonts w:cstheme="minorHAnsi"/>
          <w:iCs/>
          <w:sz w:val="21"/>
          <w:szCs w:val="21"/>
          <w:lang w:val="en-AU"/>
        </w:rPr>
        <w:t xml:space="preserve">Australian grain exports and Indonesia’s use of grain are changing and both industries are striving to adapt and position for sustained mutual success in the future. </w:t>
      </w:r>
    </w:p>
    <w:p w14:paraId="0981B48D"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iCs/>
          <w:sz w:val="21"/>
          <w:szCs w:val="21"/>
          <w:lang w:val="en-AU"/>
        </w:rPr>
      </w:pPr>
      <w:r w:rsidRPr="00E52640">
        <w:rPr>
          <w:rFonts w:cstheme="minorHAnsi"/>
          <w:iCs/>
          <w:sz w:val="21"/>
          <w:szCs w:val="21"/>
        </w:rPr>
        <w:t xml:space="preserve">Indonesian </w:t>
      </w:r>
      <w:r w:rsidRPr="00E52640">
        <w:rPr>
          <w:rFonts w:cstheme="minorHAnsi"/>
          <w:iCs/>
          <w:sz w:val="21"/>
          <w:szCs w:val="21"/>
          <w:lang w:val="en-AU"/>
        </w:rPr>
        <w:t xml:space="preserve">flour mills are ideally positioned to substantially build-on their export of wheat flour-based products to the world, with good growth prospects based on the changing dynamics of the domestic economy and for exports aided by Indonesia's proximity to Vietnam, China, Saudi Arabia, South Korea, Thailand, Philippines and Japan. </w:t>
      </w:r>
      <w:r w:rsidRPr="00E52640">
        <w:rPr>
          <w:rFonts w:cstheme="minorHAnsi"/>
          <w:iCs/>
          <w:sz w:val="21"/>
          <w:szCs w:val="21"/>
        </w:rPr>
        <w:t>A new pattern of demand is emerging with Indonesian consumers, with rising consumption of fresh noodles and baked products such as bread for the domestic market.</w:t>
      </w:r>
    </w:p>
    <w:p w14:paraId="4FF83F71"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sz w:val="21"/>
          <w:szCs w:val="21"/>
        </w:rPr>
      </w:pPr>
      <w:r w:rsidRPr="00E52640">
        <w:rPr>
          <w:rFonts w:cstheme="minorHAnsi"/>
          <w:sz w:val="21"/>
          <w:szCs w:val="21"/>
        </w:rPr>
        <w:t xml:space="preserve">Indonesia’s demand for feed grain is also experiencing sustained growth with the priorities being to increase productivity across value chains that utilize feed grains, to reduce the costs of production and to increase the availability of affordable protein such as chicken meat for Indonesian consumers. </w:t>
      </w:r>
    </w:p>
    <w:p w14:paraId="01A6B110" w14:textId="2AAB4DD5"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iCs/>
          <w:sz w:val="21"/>
          <w:szCs w:val="21"/>
        </w:rPr>
      </w:pPr>
      <w:r w:rsidRPr="00E52640">
        <w:rPr>
          <w:rFonts w:cstheme="minorHAnsi"/>
          <w:iCs/>
          <w:sz w:val="21"/>
          <w:szCs w:val="21"/>
        </w:rPr>
        <w:t xml:space="preserve">Implementation of IA-CEPA commitments will provide improved access for feed grain imports from Australia. This feed grain is vitally important to complement Indonesia’s domestic grain production for the expanding local poultry, aquaculture and cattle industries. Imports by feed mills and directly to regions where expansion of cattle and poultry industries are planned </w:t>
      </w:r>
      <w:r w:rsidR="00E25A18">
        <w:rPr>
          <w:rFonts w:cstheme="minorHAnsi"/>
          <w:iCs/>
          <w:sz w:val="21"/>
          <w:szCs w:val="21"/>
        </w:rPr>
        <w:t xml:space="preserve">and </w:t>
      </w:r>
      <w:r w:rsidRPr="00E52640">
        <w:rPr>
          <w:rFonts w:cstheme="minorHAnsi"/>
          <w:iCs/>
          <w:sz w:val="21"/>
          <w:szCs w:val="21"/>
        </w:rPr>
        <w:t xml:space="preserve">could provide efficiencies and support regional growth plans. </w:t>
      </w:r>
    </w:p>
    <w:p w14:paraId="72E37293" w14:textId="15AAAA25"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iCs/>
          <w:sz w:val="21"/>
          <w:szCs w:val="21"/>
        </w:rPr>
      </w:pPr>
      <w:r w:rsidRPr="00E52640">
        <w:rPr>
          <w:rFonts w:cstheme="minorHAnsi"/>
          <w:iCs/>
          <w:sz w:val="21"/>
          <w:szCs w:val="21"/>
          <w:lang w:val="en-AU"/>
        </w:rPr>
        <w:t>The grains partnership through the ECP will accelerate the transition and prosperity of both industries over the next five years.</w:t>
      </w:r>
      <w:r w:rsidRPr="00E52640">
        <w:rPr>
          <w:rFonts w:cstheme="minorHAnsi"/>
          <w:iCs/>
          <w:sz w:val="21"/>
          <w:szCs w:val="21"/>
        </w:rPr>
        <w:t xml:space="preserve"> The </w:t>
      </w:r>
      <w:r w:rsidR="00E25A18">
        <w:rPr>
          <w:rFonts w:cstheme="minorHAnsi"/>
          <w:iCs/>
          <w:sz w:val="21"/>
          <w:szCs w:val="21"/>
        </w:rPr>
        <w:t xml:space="preserve">grains </w:t>
      </w:r>
      <w:r w:rsidRPr="00E52640">
        <w:rPr>
          <w:rFonts w:cstheme="minorHAnsi"/>
          <w:iCs/>
          <w:sz w:val="21"/>
          <w:szCs w:val="21"/>
        </w:rPr>
        <w:t>partnership is a strategic initiative to create deeper relationships across grains value chains for the mutual benefit of Australia and Indonesia by:</w:t>
      </w:r>
    </w:p>
    <w:p w14:paraId="1AAF6159" w14:textId="77777777" w:rsidR="00CB1C18" w:rsidRPr="00E52640" w:rsidRDefault="00CB1C18" w:rsidP="00F5504F">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120" w:line="240" w:lineRule="auto"/>
        <w:ind w:left="567"/>
        <w:jc w:val="both"/>
        <w:rPr>
          <w:rFonts w:cstheme="minorHAnsi"/>
          <w:iCs/>
          <w:sz w:val="21"/>
          <w:szCs w:val="21"/>
        </w:rPr>
      </w:pPr>
      <w:r w:rsidRPr="00E52640">
        <w:rPr>
          <w:rFonts w:cstheme="minorHAnsi"/>
          <w:iCs/>
          <w:sz w:val="21"/>
          <w:szCs w:val="21"/>
        </w:rPr>
        <w:t xml:space="preserve">Strengthening grains value chain </w:t>
      </w:r>
      <w:r w:rsidRPr="00E52640">
        <w:rPr>
          <w:rFonts w:cstheme="minorHAnsi"/>
          <w:bCs/>
          <w:iCs/>
          <w:sz w:val="21"/>
          <w:szCs w:val="21"/>
        </w:rPr>
        <w:t>leadership</w:t>
      </w:r>
      <w:r w:rsidRPr="00E52640">
        <w:rPr>
          <w:rFonts w:cstheme="minorHAnsi"/>
          <w:iCs/>
          <w:sz w:val="21"/>
          <w:szCs w:val="21"/>
        </w:rPr>
        <w:t xml:space="preserve"> by engaging Indonesian industry women and men leaders and managers to build capability in modern operating environments;</w:t>
      </w:r>
      <w:bookmarkStart w:id="4" w:name="_Hlk27754949"/>
    </w:p>
    <w:p w14:paraId="55366095" w14:textId="77777777" w:rsidR="00CB1C18" w:rsidRPr="00E52640" w:rsidRDefault="00CB1C18" w:rsidP="00F5504F">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120" w:line="240" w:lineRule="auto"/>
        <w:ind w:left="567"/>
        <w:jc w:val="both"/>
        <w:rPr>
          <w:rFonts w:cstheme="minorHAnsi"/>
          <w:iCs/>
          <w:sz w:val="21"/>
          <w:szCs w:val="21"/>
        </w:rPr>
      </w:pPr>
      <w:r w:rsidRPr="00E52640">
        <w:rPr>
          <w:rFonts w:cstheme="minorHAnsi"/>
          <w:iCs/>
          <w:sz w:val="21"/>
          <w:szCs w:val="21"/>
        </w:rPr>
        <w:t>Building technical capability for milling wheat</w:t>
      </w:r>
      <w:bookmarkEnd w:id="4"/>
      <w:r w:rsidRPr="00E52640">
        <w:rPr>
          <w:rFonts w:cstheme="minorHAnsi"/>
          <w:iCs/>
          <w:sz w:val="21"/>
          <w:szCs w:val="21"/>
        </w:rPr>
        <w:t xml:space="preserve">, feed grains and livestock nutrition sectors, including train the trainer activities involving women and men in </w:t>
      </w:r>
      <w:r w:rsidRPr="00E52640">
        <w:rPr>
          <w:rFonts w:cstheme="minorHAnsi"/>
          <w:b/>
          <w:iCs/>
          <w:sz w:val="21"/>
          <w:szCs w:val="21"/>
        </w:rPr>
        <w:t>Indonesian MSMEs from the wheat flour sector</w:t>
      </w:r>
      <w:r w:rsidRPr="00E52640">
        <w:rPr>
          <w:rFonts w:cstheme="minorHAnsi"/>
          <w:iCs/>
          <w:sz w:val="21"/>
          <w:szCs w:val="21"/>
        </w:rPr>
        <w:t xml:space="preserve"> (baking, fresh noodles) and staff working in the feed milling sector; and </w:t>
      </w:r>
    </w:p>
    <w:p w14:paraId="22241863" w14:textId="124C6076" w:rsidR="00CB1C18" w:rsidRPr="00E52640" w:rsidRDefault="00CB1C18" w:rsidP="00F5504F">
      <w:pPr>
        <w:widowControl w:val="0"/>
        <w:numPr>
          <w:ilvl w:val="0"/>
          <w:numId w:val="8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after="120" w:line="240" w:lineRule="auto"/>
        <w:ind w:left="567"/>
        <w:jc w:val="both"/>
        <w:rPr>
          <w:rFonts w:cstheme="minorHAnsi"/>
          <w:iCs/>
          <w:sz w:val="21"/>
          <w:szCs w:val="21"/>
        </w:rPr>
      </w:pPr>
      <w:r w:rsidRPr="00E52640">
        <w:rPr>
          <w:rFonts w:cstheme="minorHAnsi"/>
          <w:iCs/>
          <w:sz w:val="21"/>
          <w:szCs w:val="21"/>
        </w:rPr>
        <w:t>Collection and sharing of value chain information and harmonisation of standards</w:t>
      </w:r>
      <w:r w:rsidR="000E444B">
        <w:rPr>
          <w:rFonts w:cstheme="minorHAnsi"/>
          <w:iCs/>
          <w:sz w:val="21"/>
          <w:szCs w:val="21"/>
        </w:rPr>
        <w:t xml:space="preserve"> </w:t>
      </w:r>
      <w:r w:rsidR="000E444B">
        <w:rPr>
          <w:rFonts w:cstheme="majorHAnsi"/>
          <w:sz w:val="20"/>
          <w:szCs w:val="21"/>
        </w:rPr>
        <w:t>and conformance</w:t>
      </w:r>
      <w:r w:rsidRPr="00E52640">
        <w:rPr>
          <w:rFonts w:cstheme="minorHAnsi"/>
          <w:iCs/>
          <w:sz w:val="21"/>
          <w:szCs w:val="21"/>
        </w:rPr>
        <w:t>.</w:t>
      </w:r>
    </w:p>
    <w:p w14:paraId="5DC842CA"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iCs/>
          <w:sz w:val="21"/>
          <w:szCs w:val="21"/>
        </w:rPr>
      </w:pPr>
      <w:r w:rsidRPr="00E52640">
        <w:rPr>
          <w:rFonts w:cstheme="minorHAnsi"/>
          <w:iCs/>
          <w:sz w:val="21"/>
          <w:szCs w:val="21"/>
        </w:rPr>
        <w:t xml:space="preserve">Beginning with grains in the first year, </w:t>
      </w:r>
      <w:proofErr w:type="spellStart"/>
      <w:r w:rsidRPr="00E52640">
        <w:rPr>
          <w:rFonts w:cstheme="minorHAnsi"/>
          <w:iCs/>
          <w:sz w:val="21"/>
          <w:szCs w:val="21"/>
        </w:rPr>
        <w:t>agrifood</w:t>
      </w:r>
      <w:proofErr w:type="spellEnd"/>
      <w:r w:rsidRPr="00E52640">
        <w:rPr>
          <w:rFonts w:cstheme="minorHAnsi"/>
          <w:iCs/>
          <w:sz w:val="21"/>
          <w:szCs w:val="21"/>
        </w:rPr>
        <w:t xml:space="preserve"> innovation partnerships will bring a whole of agriculture approach that is inclusive of both governments and potentially all the agricultural industries listed in the IA-CEPA. It will </w:t>
      </w:r>
      <w:r w:rsidRPr="00E52640">
        <w:rPr>
          <w:rFonts w:cstheme="minorHAnsi"/>
          <w:iCs/>
          <w:sz w:val="21"/>
          <w:szCs w:val="21"/>
        </w:rPr>
        <w:lastRenderedPageBreak/>
        <w:t>provide one clear point for collaboration at scale, and enable more resilient industries, with increased trade and investment based on deeper relationships, knowledge and technical skills across value chains.</w:t>
      </w:r>
    </w:p>
    <w:p w14:paraId="66B71B65"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b/>
          <w:bCs/>
          <w:sz w:val="21"/>
          <w:szCs w:val="21"/>
        </w:rPr>
      </w:pPr>
      <w:r w:rsidRPr="00E52640">
        <w:rPr>
          <w:rFonts w:cstheme="minorHAnsi"/>
          <w:b/>
          <w:bCs/>
          <w:sz w:val="21"/>
          <w:szCs w:val="21"/>
        </w:rPr>
        <w:t>Period of funding and total funds requested</w:t>
      </w:r>
    </w:p>
    <w:p w14:paraId="0A0BD1E0" w14:textId="296CAA91" w:rsidR="009F70BD" w:rsidRPr="001C251C" w:rsidRDefault="00CB1C18" w:rsidP="009F70BD">
      <w:pPr>
        <w:jc w:val="both"/>
        <w:rPr>
          <w:rFonts w:cstheme="minorHAnsi"/>
          <w:sz w:val="21"/>
          <w:szCs w:val="21"/>
        </w:rPr>
      </w:pPr>
      <w:r w:rsidRPr="00E52640">
        <w:rPr>
          <w:rFonts w:cstheme="minorHAnsi"/>
          <w:iCs/>
          <w:sz w:val="21"/>
          <w:szCs w:val="21"/>
        </w:rPr>
        <w:t xml:space="preserve">The proposed budget for this activity is $7.5 million over 5 years. Indicative costs are provided in the table below. Additional co-funding or in-kind contributions will be sought from the Government of Indonesia and Australian grains value chain businesses. </w:t>
      </w:r>
    </w:p>
    <w:tbl>
      <w:tblPr>
        <w:tblStyle w:val="MediumGrid3-Accent3"/>
        <w:tblW w:w="0" w:type="auto"/>
        <w:tblLook w:val="04A0" w:firstRow="1" w:lastRow="0" w:firstColumn="1" w:lastColumn="0" w:noHBand="0" w:noVBand="1"/>
      </w:tblPr>
      <w:tblGrid>
        <w:gridCol w:w="1419"/>
        <w:gridCol w:w="1419"/>
        <w:gridCol w:w="1419"/>
        <w:gridCol w:w="1419"/>
        <w:gridCol w:w="1420"/>
        <w:gridCol w:w="1420"/>
      </w:tblGrid>
      <w:tr w:rsidR="00CB1C18" w:rsidRPr="00E52640" w14:paraId="764339B4" w14:textId="77777777" w:rsidTr="00994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15B76E76" w14:textId="76147AE0" w:rsidR="00CB1C18" w:rsidRPr="00E52640" w:rsidRDefault="000843AB" w:rsidP="00994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sz w:val="21"/>
                <w:szCs w:val="21"/>
              </w:rPr>
            </w:pPr>
            <w:r>
              <w:rPr>
                <w:rFonts w:cstheme="minorHAnsi"/>
                <w:sz w:val="21"/>
                <w:szCs w:val="21"/>
              </w:rPr>
              <w:t>Financial Year</w:t>
            </w:r>
          </w:p>
        </w:tc>
        <w:tc>
          <w:tcPr>
            <w:tcW w:w="1419" w:type="dxa"/>
          </w:tcPr>
          <w:p w14:paraId="39155798" w14:textId="77777777" w:rsidR="00CB1C18" w:rsidRPr="00E52640" w:rsidRDefault="00CB1C18" w:rsidP="00994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E52640">
              <w:rPr>
                <w:rFonts w:cstheme="minorHAnsi"/>
                <w:sz w:val="21"/>
                <w:szCs w:val="21"/>
              </w:rPr>
              <w:t>2020-21</w:t>
            </w:r>
          </w:p>
        </w:tc>
        <w:tc>
          <w:tcPr>
            <w:tcW w:w="1419" w:type="dxa"/>
          </w:tcPr>
          <w:p w14:paraId="02CE3AF0" w14:textId="77777777" w:rsidR="00CB1C18" w:rsidRPr="00E52640" w:rsidRDefault="00CB1C18" w:rsidP="00994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E52640">
              <w:rPr>
                <w:rFonts w:cstheme="minorHAnsi"/>
                <w:sz w:val="21"/>
                <w:szCs w:val="21"/>
              </w:rPr>
              <w:t>2021-22</w:t>
            </w:r>
          </w:p>
        </w:tc>
        <w:tc>
          <w:tcPr>
            <w:tcW w:w="1419" w:type="dxa"/>
          </w:tcPr>
          <w:p w14:paraId="3CB7BF10" w14:textId="77777777" w:rsidR="00CB1C18" w:rsidRPr="00E52640" w:rsidRDefault="00CB1C18" w:rsidP="00994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E52640">
              <w:rPr>
                <w:rFonts w:cstheme="minorHAnsi"/>
                <w:sz w:val="21"/>
                <w:szCs w:val="21"/>
              </w:rPr>
              <w:t>2022-23</w:t>
            </w:r>
          </w:p>
        </w:tc>
        <w:tc>
          <w:tcPr>
            <w:tcW w:w="1420" w:type="dxa"/>
          </w:tcPr>
          <w:p w14:paraId="7029934A" w14:textId="77777777" w:rsidR="00CB1C18" w:rsidRPr="00E52640" w:rsidRDefault="00CB1C18" w:rsidP="00994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E52640">
              <w:rPr>
                <w:rFonts w:cstheme="minorHAnsi"/>
                <w:sz w:val="21"/>
                <w:szCs w:val="21"/>
              </w:rPr>
              <w:t>2023-24</w:t>
            </w:r>
          </w:p>
        </w:tc>
        <w:tc>
          <w:tcPr>
            <w:tcW w:w="1420" w:type="dxa"/>
          </w:tcPr>
          <w:p w14:paraId="060483DC" w14:textId="77777777" w:rsidR="00CB1C18" w:rsidRPr="00E52640" w:rsidRDefault="00CB1C18" w:rsidP="00994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cnfStyle w:val="100000000000" w:firstRow="1" w:lastRow="0" w:firstColumn="0" w:lastColumn="0" w:oddVBand="0" w:evenVBand="0" w:oddHBand="0" w:evenHBand="0" w:firstRowFirstColumn="0" w:firstRowLastColumn="0" w:lastRowFirstColumn="0" w:lastRowLastColumn="0"/>
              <w:rPr>
                <w:rFonts w:cstheme="minorHAnsi"/>
                <w:sz w:val="21"/>
                <w:szCs w:val="21"/>
              </w:rPr>
            </w:pPr>
            <w:r w:rsidRPr="00E52640">
              <w:rPr>
                <w:rFonts w:cstheme="minorHAnsi"/>
                <w:sz w:val="21"/>
                <w:szCs w:val="21"/>
              </w:rPr>
              <w:t>2024-25</w:t>
            </w:r>
          </w:p>
        </w:tc>
      </w:tr>
      <w:tr w:rsidR="00CB1C18" w:rsidRPr="00E52640" w14:paraId="65A44494" w14:textId="77777777" w:rsidTr="00994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0C09A3BB" w14:textId="77777777" w:rsidR="00CB1C18" w:rsidRPr="00E52640" w:rsidRDefault="00CB1C18" w:rsidP="00994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sz w:val="21"/>
                <w:szCs w:val="21"/>
              </w:rPr>
            </w:pPr>
            <w:r w:rsidRPr="00E52640">
              <w:rPr>
                <w:rFonts w:cstheme="minorHAnsi"/>
                <w:sz w:val="21"/>
                <w:szCs w:val="21"/>
              </w:rPr>
              <w:t>$m</w:t>
            </w:r>
          </w:p>
        </w:tc>
        <w:tc>
          <w:tcPr>
            <w:tcW w:w="1419" w:type="dxa"/>
          </w:tcPr>
          <w:p w14:paraId="68DB01CA" w14:textId="4F4DF7A0" w:rsidR="00CB1C18" w:rsidRPr="00E52640" w:rsidRDefault="00CB1C18" w:rsidP="00994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52640">
              <w:rPr>
                <w:rFonts w:cstheme="minorHAnsi"/>
                <w:sz w:val="21"/>
                <w:szCs w:val="21"/>
              </w:rPr>
              <w:t>0.</w:t>
            </w:r>
            <w:r w:rsidR="00642B87">
              <w:rPr>
                <w:rFonts w:cstheme="minorHAnsi"/>
                <w:sz w:val="21"/>
                <w:szCs w:val="21"/>
              </w:rPr>
              <w:t>9</w:t>
            </w:r>
          </w:p>
        </w:tc>
        <w:tc>
          <w:tcPr>
            <w:tcW w:w="1419" w:type="dxa"/>
          </w:tcPr>
          <w:p w14:paraId="34E09FD0" w14:textId="7D219913" w:rsidR="00CB1C18" w:rsidRPr="00E52640" w:rsidRDefault="00CB1C18" w:rsidP="00994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52640">
              <w:rPr>
                <w:rFonts w:cstheme="minorHAnsi"/>
                <w:sz w:val="21"/>
                <w:szCs w:val="21"/>
              </w:rPr>
              <w:t>1.</w:t>
            </w:r>
            <w:r w:rsidR="00642B87">
              <w:rPr>
                <w:rFonts w:cstheme="minorHAnsi"/>
                <w:sz w:val="21"/>
                <w:szCs w:val="21"/>
              </w:rPr>
              <w:t>4</w:t>
            </w:r>
          </w:p>
        </w:tc>
        <w:tc>
          <w:tcPr>
            <w:tcW w:w="1419" w:type="dxa"/>
          </w:tcPr>
          <w:p w14:paraId="285FCAF3" w14:textId="77777777" w:rsidR="00CB1C18" w:rsidRPr="00E52640" w:rsidRDefault="00CB1C18" w:rsidP="00994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52640">
              <w:rPr>
                <w:rFonts w:cstheme="minorHAnsi"/>
                <w:sz w:val="21"/>
                <w:szCs w:val="21"/>
              </w:rPr>
              <w:t>1.6</w:t>
            </w:r>
          </w:p>
        </w:tc>
        <w:tc>
          <w:tcPr>
            <w:tcW w:w="1420" w:type="dxa"/>
          </w:tcPr>
          <w:p w14:paraId="7DF9A4B0" w14:textId="77777777" w:rsidR="00CB1C18" w:rsidRPr="00E52640" w:rsidRDefault="00CB1C18" w:rsidP="00994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52640">
              <w:rPr>
                <w:rFonts w:cstheme="minorHAnsi"/>
                <w:sz w:val="21"/>
                <w:szCs w:val="21"/>
              </w:rPr>
              <w:t>2.1</w:t>
            </w:r>
          </w:p>
        </w:tc>
        <w:tc>
          <w:tcPr>
            <w:tcW w:w="1420" w:type="dxa"/>
          </w:tcPr>
          <w:p w14:paraId="6D300106" w14:textId="0CFA79F2" w:rsidR="00CB1C18" w:rsidRPr="00E52640" w:rsidRDefault="00CB1C18" w:rsidP="00994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r w:rsidRPr="00E52640">
              <w:rPr>
                <w:rFonts w:cstheme="minorHAnsi"/>
                <w:sz w:val="21"/>
                <w:szCs w:val="21"/>
              </w:rPr>
              <w:t>1.</w:t>
            </w:r>
            <w:r w:rsidR="00642B87">
              <w:rPr>
                <w:rFonts w:cstheme="minorHAnsi"/>
                <w:sz w:val="21"/>
                <w:szCs w:val="21"/>
              </w:rPr>
              <w:t>6</w:t>
            </w:r>
          </w:p>
        </w:tc>
      </w:tr>
    </w:tbl>
    <w:p w14:paraId="69E7D647" w14:textId="572131E8" w:rsidR="00CB1C18" w:rsidRPr="00E52640" w:rsidRDefault="00CB1C18" w:rsidP="00CB1C18">
      <w:pPr>
        <w:spacing w:before="360" w:after="120"/>
        <w:jc w:val="both"/>
        <w:rPr>
          <w:rFonts w:cstheme="minorHAnsi"/>
          <w:b/>
          <w:bCs/>
          <w:sz w:val="21"/>
          <w:szCs w:val="21"/>
        </w:rPr>
      </w:pPr>
      <w:r w:rsidRPr="00E52640">
        <w:rPr>
          <w:rFonts w:cstheme="minorHAnsi"/>
          <w:b/>
          <w:bCs/>
          <w:sz w:val="21"/>
          <w:szCs w:val="21"/>
        </w:rPr>
        <w:t>Partner agency(s) or institution(s), branch and work group</w:t>
      </w:r>
    </w:p>
    <w:p w14:paraId="7E144CF0"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iCs/>
          <w:sz w:val="21"/>
          <w:szCs w:val="21"/>
        </w:rPr>
      </w:pPr>
      <w:r w:rsidRPr="00E52640">
        <w:rPr>
          <w:rFonts w:cstheme="minorHAnsi"/>
          <w:iCs/>
          <w:sz w:val="21"/>
          <w:szCs w:val="21"/>
        </w:rPr>
        <w:t xml:space="preserve">The activity will involve working with the following partners, institutions and groups: </w:t>
      </w:r>
    </w:p>
    <w:p w14:paraId="3BF038F9" w14:textId="3FBA49A3" w:rsidR="00110112" w:rsidRDefault="00110112" w:rsidP="00F5504F">
      <w:pPr>
        <w:pStyle w:val="ListParagraph"/>
        <w:widowControl w:val="0"/>
        <w:numPr>
          <w:ilvl w:val="0"/>
          <w:numId w:val="9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line="240" w:lineRule="auto"/>
        <w:jc w:val="both"/>
        <w:rPr>
          <w:rFonts w:cstheme="minorHAnsi"/>
          <w:sz w:val="21"/>
          <w:szCs w:val="21"/>
        </w:rPr>
      </w:pPr>
      <w:r w:rsidRPr="00110112">
        <w:rPr>
          <w:rFonts w:cstheme="minorHAnsi"/>
          <w:b/>
          <w:sz w:val="21"/>
          <w:szCs w:val="21"/>
        </w:rPr>
        <w:t>The Australian Department of Agriculture,</w:t>
      </w:r>
      <w:r>
        <w:rPr>
          <w:rFonts w:cstheme="minorHAnsi"/>
          <w:b/>
          <w:sz w:val="21"/>
          <w:szCs w:val="21"/>
        </w:rPr>
        <w:t xml:space="preserve"> </w:t>
      </w:r>
      <w:r w:rsidRPr="00B762CB">
        <w:rPr>
          <w:rFonts w:cstheme="minorHAnsi"/>
          <w:sz w:val="21"/>
          <w:szCs w:val="21"/>
        </w:rPr>
        <w:t>being responsible for Australia’s policy and engagement on agricultural issues and having extensive existing programs and partnerships in Indonesia.</w:t>
      </w:r>
    </w:p>
    <w:p w14:paraId="6D2585E3" w14:textId="3D6B40A6" w:rsidR="00CB1C18" w:rsidRPr="00E52640" w:rsidRDefault="00CB1C18" w:rsidP="00F5504F">
      <w:pPr>
        <w:pStyle w:val="ListParagraph"/>
        <w:widowControl w:val="0"/>
        <w:numPr>
          <w:ilvl w:val="0"/>
          <w:numId w:val="9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line="240" w:lineRule="auto"/>
        <w:jc w:val="both"/>
        <w:rPr>
          <w:rFonts w:cstheme="minorHAnsi"/>
          <w:sz w:val="21"/>
          <w:szCs w:val="21"/>
        </w:rPr>
      </w:pPr>
      <w:r w:rsidRPr="00E52640">
        <w:rPr>
          <w:rFonts w:cstheme="minorHAnsi"/>
          <w:b/>
          <w:bCs/>
          <w:sz w:val="21"/>
          <w:szCs w:val="21"/>
        </w:rPr>
        <w:t>The Australian Export Grains Innovation Centre</w:t>
      </w:r>
      <w:r w:rsidRPr="00E52640">
        <w:rPr>
          <w:rFonts w:cstheme="minorHAnsi"/>
          <w:sz w:val="21"/>
          <w:szCs w:val="21"/>
        </w:rPr>
        <w:t xml:space="preserve"> </w:t>
      </w:r>
      <w:r w:rsidRPr="00E52640">
        <w:rPr>
          <w:rFonts w:cstheme="minorHAnsi"/>
          <w:b/>
          <w:bCs/>
          <w:sz w:val="21"/>
          <w:szCs w:val="21"/>
        </w:rPr>
        <w:t>(AEGIC)</w:t>
      </w:r>
      <w:r w:rsidRPr="00E52640">
        <w:rPr>
          <w:rFonts w:cstheme="minorHAnsi"/>
          <w:sz w:val="21"/>
          <w:szCs w:val="21"/>
        </w:rPr>
        <w:t xml:space="preserve"> </w:t>
      </w:r>
      <w:r w:rsidR="00C805FD">
        <w:rPr>
          <w:rFonts w:cstheme="minorHAnsi"/>
          <w:sz w:val="21"/>
          <w:szCs w:val="21"/>
        </w:rPr>
        <w:t>could</w:t>
      </w:r>
      <w:r w:rsidR="00C805FD" w:rsidRPr="00E52640">
        <w:rPr>
          <w:rFonts w:cstheme="minorHAnsi"/>
          <w:sz w:val="21"/>
          <w:szCs w:val="21"/>
        </w:rPr>
        <w:t xml:space="preserve"> </w:t>
      </w:r>
      <w:r w:rsidRPr="00E52640">
        <w:rPr>
          <w:rFonts w:cstheme="minorHAnsi"/>
          <w:sz w:val="21"/>
          <w:szCs w:val="21"/>
        </w:rPr>
        <w:t xml:space="preserve">provide the interface with the Australian grains industry and lead the technical capacity building activities. </w:t>
      </w:r>
    </w:p>
    <w:p w14:paraId="1182CC08" w14:textId="569BE90F" w:rsidR="00CB1C18" w:rsidRDefault="00CB1C18" w:rsidP="00F5504F">
      <w:pPr>
        <w:pStyle w:val="ListParagraph"/>
        <w:widowControl w:val="0"/>
        <w:numPr>
          <w:ilvl w:val="0"/>
          <w:numId w:val="9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line="240" w:lineRule="auto"/>
        <w:jc w:val="both"/>
        <w:rPr>
          <w:rFonts w:cstheme="minorHAnsi"/>
          <w:b/>
          <w:bCs/>
          <w:sz w:val="21"/>
          <w:szCs w:val="21"/>
        </w:rPr>
      </w:pPr>
      <w:r w:rsidRPr="00E52640">
        <w:rPr>
          <w:rFonts w:cstheme="minorHAnsi"/>
          <w:sz w:val="21"/>
          <w:szCs w:val="21"/>
        </w:rPr>
        <w:t xml:space="preserve">AEGIC </w:t>
      </w:r>
      <w:r w:rsidR="00C805FD">
        <w:rPr>
          <w:rFonts w:cstheme="minorHAnsi"/>
          <w:sz w:val="21"/>
          <w:szCs w:val="21"/>
        </w:rPr>
        <w:t xml:space="preserve">could </w:t>
      </w:r>
      <w:r w:rsidRPr="00E52640">
        <w:rPr>
          <w:rFonts w:cstheme="minorHAnsi"/>
          <w:sz w:val="21"/>
          <w:szCs w:val="21"/>
        </w:rPr>
        <w:t>coordinate with industry groups that offer linkages with value chain businesses in the two countries, such as</w:t>
      </w:r>
      <w:r w:rsidRPr="00E52640">
        <w:rPr>
          <w:rFonts w:cstheme="minorHAnsi"/>
          <w:b/>
          <w:bCs/>
          <w:sz w:val="21"/>
          <w:szCs w:val="21"/>
        </w:rPr>
        <w:t xml:space="preserve">: </w:t>
      </w:r>
      <w:proofErr w:type="spellStart"/>
      <w:r w:rsidRPr="00E52640">
        <w:rPr>
          <w:rFonts w:cstheme="minorHAnsi"/>
          <w:b/>
          <w:bCs/>
          <w:sz w:val="21"/>
          <w:szCs w:val="21"/>
        </w:rPr>
        <w:t>Stockfeed</w:t>
      </w:r>
      <w:proofErr w:type="spellEnd"/>
      <w:r w:rsidRPr="00E52640">
        <w:rPr>
          <w:rFonts w:cstheme="minorHAnsi"/>
          <w:b/>
          <w:bCs/>
          <w:sz w:val="21"/>
          <w:szCs w:val="21"/>
        </w:rPr>
        <w:t xml:space="preserve"> Manufacturers Council of Australia; Indonesian Feed Mills Association (GPMT); Indonesian Flour Milling Association (APTINDO); </w:t>
      </w:r>
      <w:proofErr w:type="spellStart"/>
      <w:r w:rsidRPr="00E52640">
        <w:rPr>
          <w:rFonts w:cstheme="minorHAnsi"/>
          <w:b/>
          <w:bCs/>
          <w:sz w:val="21"/>
          <w:szCs w:val="21"/>
        </w:rPr>
        <w:t>GrainGrowers</w:t>
      </w:r>
      <w:proofErr w:type="spellEnd"/>
      <w:r w:rsidRPr="00E52640">
        <w:rPr>
          <w:rFonts w:cstheme="minorHAnsi"/>
          <w:b/>
          <w:bCs/>
          <w:sz w:val="21"/>
          <w:szCs w:val="21"/>
        </w:rPr>
        <w:t xml:space="preserve"> Ltd, Grain Producers Australia, Grain Trade Australia and the Grains Research and Development Corporation.  </w:t>
      </w:r>
      <w:r w:rsidRPr="00E52640">
        <w:rPr>
          <w:rFonts w:cstheme="minorHAnsi"/>
          <w:sz w:val="21"/>
          <w:szCs w:val="21"/>
        </w:rPr>
        <w:t>There is also scope for linkages with the</w:t>
      </w:r>
      <w:r w:rsidRPr="00E52640">
        <w:rPr>
          <w:rFonts w:cstheme="minorHAnsi"/>
          <w:b/>
          <w:bCs/>
          <w:sz w:val="21"/>
          <w:szCs w:val="21"/>
        </w:rPr>
        <w:t xml:space="preserve"> Australian Food and Grocery Council, the Indonesian Food &amp; Beverage Association (GAPMMI) and the Indonesia Food and Innovation Centre (IFIC).</w:t>
      </w:r>
    </w:p>
    <w:p w14:paraId="5B173A71" w14:textId="21DDF5DB" w:rsidR="00B762CB" w:rsidRPr="00B762CB" w:rsidRDefault="00B762CB" w:rsidP="00F5504F">
      <w:pPr>
        <w:pStyle w:val="ListParagraph"/>
        <w:widowControl w:val="0"/>
        <w:numPr>
          <w:ilvl w:val="0"/>
          <w:numId w:val="9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line="240" w:lineRule="auto"/>
        <w:jc w:val="both"/>
        <w:rPr>
          <w:rFonts w:cstheme="minorHAnsi"/>
          <w:sz w:val="21"/>
          <w:szCs w:val="21"/>
        </w:rPr>
      </w:pPr>
      <w:r w:rsidRPr="00B762CB">
        <w:rPr>
          <w:rFonts w:cstheme="minorHAnsi"/>
          <w:b/>
          <w:sz w:val="21"/>
          <w:szCs w:val="21"/>
        </w:rPr>
        <w:t xml:space="preserve">The Ministry of </w:t>
      </w:r>
      <w:r w:rsidR="00D74DD2">
        <w:rPr>
          <w:rFonts w:cstheme="minorHAnsi"/>
          <w:b/>
          <w:sz w:val="21"/>
          <w:szCs w:val="21"/>
        </w:rPr>
        <w:t xml:space="preserve">Industry </w:t>
      </w:r>
      <w:r>
        <w:rPr>
          <w:rFonts w:cstheme="minorHAnsi"/>
          <w:b/>
          <w:sz w:val="21"/>
          <w:szCs w:val="21"/>
        </w:rPr>
        <w:t xml:space="preserve">will continue to support </w:t>
      </w:r>
      <w:r>
        <w:rPr>
          <w:rFonts w:cstheme="minorHAnsi"/>
          <w:sz w:val="21"/>
          <w:szCs w:val="21"/>
        </w:rPr>
        <w:t xml:space="preserve">IFIC through collaboration with GAPMMI, the relevant Centre for Business Innovation (BIC), relevant Australian agencies such as the </w:t>
      </w:r>
      <w:r w:rsidR="006F098B">
        <w:rPr>
          <w:rFonts w:cstheme="minorHAnsi"/>
          <w:sz w:val="21"/>
          <w:szCs w:val="21"/>
        </w:rPr>
        <w:t>Commonwealth</w:t>
      </w:r>
      <w:r>
        <w:rPr>
          <w:rFonts w:cstheme="minorHAnsi"/>
          <w:sz w:val="21"/>
          <w:szCs w:val="21"/>
        </w:rPr>
        <w:t xml:space="preserve"> Scientific and Industrial Research Organisation (CSIRO).</w:t>
      </w:r>
    </w:p>
    <w:p w14:paraId="07577036" w14:textId="0B86FCD3" w:rsidR="00CB1C18" w:rsidRPr="00105EF8" w:rsidRDefault="00CB1C18" w:rsidP="00F5504F">
      <w:pPr>
        <w:pStyle w:val="ListParagraph"/>
        <w:widowControl w:val="0"/>
        <w:numPr>
          <w:ilvl w:val="0"/>
          <w:numId w:val="9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line="240" w:lineRule="auto"/>
        <w:jc w:val="both"/>
        <w:rPr>
          <w:rFonts w:cstheme="minorHAnsi"/>
          <w:sz w:val="21"/>
          <w:szCs w:val="21"/>
        </w:rPr>
      </w:pPr>
      <w:r w:rsidRPr="00E52640">
        <w:rPr>
          <w:rFonts w:cstheme="minorHAnsi"/>
          <w:b/>
          <w:bCs/>
          <w:sz w:val="21"/>
          <w:szCs w:val="21"/>
        </w:rPr>
        <w:t>Specific companies</w:t>
      </w:r>
      <w:r w:rsidRPr="00E52640">
        <w:rPr>
          <w:rFonts w:cstheme="minorHAnsi"/>
          <w:sz w:val="21"/>
          <w:szCs w:val="21"/>
        </w:rPr>
        <w:t xml:space="preserve"> will be engaged to support this activity. In Indonesia, the participation of flour mills will provide an important avenue for development and delivery of training with small to medium enterprise customers. Similarly, the participation of feed mills will enable design and delivery of technical training.</w:t>
      </w:r>
    </w:p>
    <w:p w14:paraId="796FD6DA" w14:textId="77777777" w:rsidR="00D74DD2" w:rsidRPr="00105EF8" w:rsidRDefault="00D74DD2" w:rsidP="00D74DD2">
      <w:pPr>
        <w:pStyle w:val="ListParagraph"/>
        <w:widowControl w:val="0"/>
        <w:numPr>
          <w:ilvl w:val="0"/>
          <w:numId w:val="91"/>
        </w:numPr>
        <w:tabs>
          <w:tab w:val="left" w:pos="560"/>
          <w:tab w:val="left" w:pos="993"/>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line="240" w:lineRule="auto"/>
        <w:jc w:val="both"/>
        <w:rPr>
          <w:rFonts w:cstheme="minorHAnsi"/>
          <w:sz w:val="21"/>
          <w:szCs w:val="21"/>
        </w:rPr>
      </w:pPr>
      <w:r w:rsidRPr="00E52640">
        <w:rPr>
          <w:rFonts w:cstheme="minorHAnsi"/>
          <w:b/>
          <w:bCs/>
          <w:sz w:val="21"/>
          <w:szCs w:val="21"/>
        </w:rPr>
        <w:t xml:space="preserve">The Australian Bureau of Agriculture, Economics and Research (ABARES) </w:t>
      </w:r>
      <w:r w:rsidRPr="00E52640">
        <w:rPr>
          <w:rFonts w:cstheme="minorHAnsi"/>
          <w:sz w:val="21"/>
          <w:szCs w:val="21"/>
        </w:rPr>
        <w:t>will work with</w:t>
      </w:r>
      <w:r w:rsidRPr="00E52640">
        <w:rPr>
          <w:rFonts w:cstheme="minorHAnsi"/>
          <w:b/>
          <w:bCs/>
          <w:sz w:val="21"/>
          <w:szCs w:val="21"/>
        </w:rPr>
        <w:t xml:space="preserve"> </w:t>
      </w:r>
      <w:r w:rsidRPr="00E52640">
        <w:rPr>
          <w:rFonts w:cstheme="minorHAnsi"/>
          <w:sz w:val="21"/>
          <w:szCs w:val="21"/>
        </w:rPr>
        <w:t>the</w:t>
      </w:r>
      <w:r w:rsidRPr="00E52640">
        <w:rPr>
          <w:rFonts w:cstheme="minorHAnsi"/>
          <w:b/>
          <w:bCs/>
          <w:sz w:val="21"/>
          <w:szCs w:val="21"/>
        </w:rPr>
        <w:t xml:space="preserve"> Indonesian Ministry of Agriculture</w:t>
      </w:r>
      <w:r w:rsidRPr="00E52640">
        <w:rPr>
          <w:rFonts w:cstheme="minorHAnsi"/>
          <w:sz w:val="21"/>
          <w:szCs w:val="21"/>
        </w:rPr>
        <w:t xml:space="preserve"> to share </w:t>
      </w:r>
      <w:r>
        <w:rPr>
          <w:rFonts w:cstheme="minorHAnsi"/>
          <w:sz w:val="21"/>
          <w:szCs w:val="21"/>
        </w:rPr>
        <w:t xml:space="preserve">methods and approaches for </w:t>
      </w:r>
      <w:r w:rsidRPr="00E52640">
        <w:rPr>
          <w:rFonts w:cstheme="minorHAnsi"/>
          <w:sz w:val="21"/>
          <w:szCs w:val="21"/>
        </w:rPr>
        <w:t xml:space="preserve">forecasting the domestic and Australian supply of grains for Indonesian mills. This work will support government to government cooperation in areas where independence from industry and markets is essential – e.g. variability in forecasts of production increases risk for businesses that require reliable supply. </w:t>
      </w:r>
    </w:p>
    <w:p w14:paraId="3B912994" w14:textId="1539290C" w:rsidR="00CB1C18" w:rsidRPr="00105EF8" w:rsidRDefault="00CB1C18" w:rsidP="00F5504F">
      <w:pPr>
        <w:pStyle w:val="ListParagraph"/>
        <w:widowControl w:val="0"/>
        <w:numPr>
          <w:ilvl w:val="0"/>
          <w:numId w:val="9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line="240" w:lineRule="auto"/>
        <w:jc w:val="both"/>
        <w:rPr>
          <w:rFonts w:cstheme="minorHAnsi"/>
          <w:sz w:val="21"/>
          <w:szCs w:val="21"/>
        </w:rPr>
      </w:pPr>
      <w:r w:rsidRPr="00E52640">
        <w:rPr>
          <w:rFonts w:cstheme="minorHAnsi"/>
          <w:b/>
          <w:bCs/>
          <w:sz w:val="21"/>
          <w:szCs w:val="21"/>
        </w:rPr>
        <w:t>Standards Australia and BSN</w:t>
      </w:r>
      <w:r w:rsidRPr="00E52640">
        <w:rPr>
          <w:rFonts w:cstheme="minorHAnsi"/>
          <w:sz w:val="21"/>
          <w:szCs w:val="21"/>
        </w:rPr>
        <w:t xml:space="preserve"> will continue their partnership to improve alignment of standards</w:t>
      </w:r>
      <w:r w:rsidR="000E444B">
        <w:rPr>
          <w:rFonts w:cstheme="minorHAnsi"/>
          <w:sz w:val="21"/>
          <w:szCs w:val="21"/>
        </w:rPr>
        <w:t xml:space="preserve"> </w:t>
      </w:r>
      <w:r w:rsidR="000E444B">
        <w:rPr>
          <w:rFonts w:cstheme="majorHAnsi"/>
          <w:sz w:val="20"/>
          <w:szCs w:val="21"/>
        </w:rPr>
        <w:t>and conformance</w:t>
      </w:r>
      <w:r w:rsidRPr="00E52640">
        <w:rPr>
          <w:rFonts w:cstheme="minorHAnsi"/>
          <w:sz w:val="21"/>
          <w:szCs w:val="21"/>
        </w:rPr>
        <w:t xml:space="preserve"> and develop the standards </w:t>
      </w:r>
      <w:r w:rsidR="00B04ED1">
        <w:rPr>
          <w:rFonts w:cstheme="minorHAnsi"/>
          <w:sz w:val="21"/>
          <w:szCs w:val="21"/>
        </w:rPr>
        <w:t xml:space="preserve">and conformance </w:t>
      </w:r>
      <w:r w:rsidRPr="00E52640">
        <w:rPr>
          <w:rFonts w:cstheme="minorHAnsi"/>
          <w:sz w:val="21"/>
          <w:szCs w:val="21"/>
        </w:rPr>
        <w:t xml:space="preserve">ecosystem. </w:t>
      </w:r>
    </w:p>
    <w:p w14:paraId="4AF4D740" w14:textId="77777777" w:rsidR="00CB1C18" w:rsidRPr="00E52640" w:rsidRDefault="00CB1C18" w:rsidP="00F5504F">
      <w:pPr>
        <w:pStyle w:val="ListParagraph"/>
        <w:widowControl w:val="0"/>
        <w:numPr>
          <w:ilvl w:val="0"/>
          <w:numId w:val="9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60" w:line="240" w:lineRule="auto"/>
        <w:jc w:val="both"/>
        <w:rPr>
          <w:rFonts w:cstheme="minorHAnsi"/>
          <w:sz w:val="21"/>
          <w:szCs w:val="21"/>
        </w:rPr>
      </w:pPr>
      <w:proofErr w:type="spellStart"/>
      <w:r w:rsidRPr="00E52640">
        <w:rPr>
          <w:rFonts w:cstheme="minorHAnsi"/>
          <w:b/>
          <w:bCs/>
          <w:sz w:val="21"/>
          <w:szCs w:val="21"/>
        </w:rPr>
        <w:t>Prospera’s</w:t>
      </w:r>
      <w:proofErr w:type="spellEnd"/>
      <w:r w:rsidRPr="00E52640">
        <w:rPr>
          <w:rFonts w:cstheme="minorHAnsi"/>
          <w:b/>
          <w:bCs/>
          <w:sz w:val="21"/>
          <w:szCs w:val="21"/>
        </w:rPr>
        <w:t xml:space="preserve"> Markets Engagement Area</w:t>
      </w:r>
      <w:r w:rsidRPr="00E52640">
        <w:rPr>
          <w:rFonts w:cstheme="minorHAnsi"/>
          <w:sz w:val="21"/>
          <w:szCs w:val="21"/>
        </w:rPr>
        <w:t>, which has previously provided policy advice on corn in Indonesia.</w:t>
      </w:r>
    </w:p>
    <w:p w14:paraId="638A3771" w14:textId="77777777" w:rsidR="00642B87" w:rsidRDefault="00642B87">
      <w:pPr>
        <w:suppressAutoHyphens w:val="0"/>
        <w:spacing w:before="0" w:after="120" w:line="440" w:lineRule="atLeast"/>
        <w:rPr>
          <w:rFonts w:cstheme="minorHAnsi"/>
          <w:b/>
          <w:bCs/>
          <w:sz w:val="21"/>
          <w:szCs w:val="21"/>
        </w:rPr>
      </w:pPr>
      <w:r>
        <w:rPr>
          <w:rFonts w:cstheme="minorHAnsi"/>
          <w:b/>
          <w:bCs/>
          <w:sz w:val="21"/>
          <w:szCs w:val="21"/>
        </w:rPr>
        <w:br w:type="page"/>
      </w:r>
    </w:p>
    <w:p w14:paraId="212D8587"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b/>
          <w:bCs/>
          <w:sz w:val="21"/>
          <w:szCs w:val="21"/>
        </w:rPr>
      </w:pPr>
      <w:r w:rsidRPr="00E52640">
        <w:rPr>
          <w:rFonts w:cstheme="minorHAnsi"/>
          <w:b/>
          <w:bCs/>
          <w:sz w:val="21"/>
          <w:szCs w:val="21"/>
        </w:rPr>
        <w:lastRenderedPageBreak/>
        <w:t>Activity assessment against investment criteria</w:t>
      </w:r>
    </w:p>
    <w:p w14:paraId="6A6840DD" w14:textId="45A91F9B" w:rsidR="00CB1C18" w:rsidRPr="00E52640" w:rsidRDefault="00CB1C18" w:rsidP="00CB1C18">
      <w:pPr>
        <w:pBdr>
          <w:top w:val="single" w:sz="4" w:space="1" w:color="auto"/>
          <w:left w:val="single" w:sz="4" w:space="4" w:color="auto"/>
          <w:bottom w:val="single" w:sz="4" w:space="1" w:color="auto"/>
          <w:right w:val="single" w:sz="4" w:space="4" w:color="auto"/>
        </w:pBdr>
        <w:spacing w:after="120"/>
        <w:jc w:val="both"/>
        <w:rPr>
          <w:rFonts w:cstheme="minorHAnsi"/>
          <w:b/>
          <w:sz w:val="21"/>
          <w:szCs w:val="21"/>
        </w:rPr>
      </w:pPr>
      <w:r w:rsidRPr="00E52640">
        <w:rPr>
          <w:rFonts w:cstheme="minorHAnsi"/>
          <w:b/>
          <w:sz w:val="21"/>
          <w:szCs w:val="21"/>
        </w:rPr>
        <w:t xml:space="preserve">INVESTMENT CRITERIA: </w:t>
      </w:r>
    </w:p>
    <w:p w14:paraId="3C8D60A9" w14:textId="79E97726" w:rsidR="00CB1C18" w:rsidRPr="00E52640" w:rsidRDefault="00105EF8" w:rsidP="00105EF8">
      <w:pPr>
        <w:pBdr>
          <w:top w:val="single" w:sz="4" w:space="1" w:color="auto"/>
          <w:left w:val="single" w:sz="4" w:space="4" w:color="auto"/>
          <w:bottom w:val="single" w:sz="4" w:space="1" w:color="auto"/>
          <w:right w:val="single" w:sz="4" w:space="4" w:color="auto"/>
        </w:pBdr>
        <w:spacing w:after="120"/>
        <w:jc w:val="both"/>
        <w:rPr>
          <w:rFonts w:cstheme="minorHAnsi"/>
          <w:sz w:val="21"/>
          <w:szCs w:val="21"/>
        </w:rPr>
      </w:pPr>
      <w:r>
        <w:rPr>
          <w:rFonts w:cstheme="minorHAnsi"/>
          <w:b/>
          <w:sz w:val="21"/>
          <w:szCs w:val="21"/>
        </w:rPr>
        <w:t>(</w:t>
      </w:r>
      <w:proofErr w:type="spellStart"/>
      <w:r>
        <w:rPr>
          <w:rFonts w:cstheme="minorHAnsi"/>
          <w:b/>
          <w:sz w:val="21"/>
          <w:szCs w:val="21"/>
        </w:rPr>
        <w:t>i</w:t>
      </w:r>
      <w:proofErr w:type="spellEnd"/>
      <w:r>
        <w:rPr>
          <w:rFonts w:cstheme="minorHAnsi"/>
          <w:b/>
          <w:sz w:val="21"/>
          <w:szCs w:val="21"/>
        </w:rPr>
        <w:t xml:space="preserve">) </w:t>
      </w:r>
      <w:r w:rsidR="00CB1C18" w:rsidRPr="00E52640">
        <w:rPr>
          <w:rFonts w:cstheme="minorHAnsi"/>
          <w:b/>
          <w:sz w:val="21"/>
          <w:szCs w:val="21"/>
        </w:rPr>
        <w:t xml:space="preserve">Maximising the outcomes of IA-CEPA: </w:t>
      </w:r>
      <w:r w:rsidR="00CB1C18" w:rsidRPr="00E52640">
        <w:rPr>
          <w:rFonts w:cstheme="minorHAnsi"/>
          <w:sz w:val="21"/>
          <w:szCs w:val="21"/>
        </w:rPr>
        <w:t>These activities</w:t>
      </w:r>
      <w:r w:rsidR="00CB1C18" w:rsidRPr="00E52640">
        <w:rPr>
          <w:rFonts w:cstheme="minorHAnsi"/>
          <w:b/>
          <w:sz w:val="21"/>
          <w:szCs w:val="21"/>
        </w:rPr>
        <w:t xml:space="preserve"> align with IA-CEPA outcomes </w:t>
      </w:r>
      <w:r>
        <w:rPr>
          <w:rFonts w:cstheme="minorHAnsi"/>
          <w:sz w:val="21"/>
          <w:szCs w:val="21"/>
        </w:rPr>
        <w:t xml:space="preserve">in goods and </w:t>
      </w:r>
      <w:r w:rsidR="00CB1C18" w:rsidRPr="00E52640">
        <w:rPr>
          <w:rFonts w:cstheme="minorHAnsi"/>
          <w:sz w:val="21"/>
          <w:szCs w:val="21"/>
        </w:rPr>
        <w:t>investment. Through closer partnerships between industries, building technical skills, and better alignment of standards</w:t>
      </w:r>
      <w:r w:rsidR="000E444B">
        <w:rPr>
          <w:rFonts w:cstheme="minorHAnsi"/>
          <w:sz w:val="21"/>
          <w:szCs w:val="21"/>
        </w:rPr>
        <w:t xml:space="preserve"> </w:t>
      </w:r>
      <w:r w:rsidR="000E444B">
        <w:rPr>
          <w:rFonts w:cstheme="majorHAnsi"/>
          <w:sz w:val="20"/>
          <w:szCs w:val="21"/>
        </w:rPr>
        <w:t>and conformance</w:t>
      </w:r>
      <w:r w:rsidR="00CB1C18" w:rsidRPr="00E52640">
        <w:rPr>
          <w:rFonts w:cstheme="minorHAnsi"/>
          <w:sz w:val="21"/>
          <w:szCs w:val="21"/>
        </w:rPr>
        <w:t xml:space="preserve">, this work supports enhanced trade and investment between Australia and Indonesia. </w:t>
      </w:r>
    </w:p>
    <w:p w14:paraId="16C20F56" w14:textId="60E742E7" w:rsidR="00CB1C18" w:rsidRPr="00E52640" w:rsidRDefault="00105EF8" w:rsidP="00105EF8">
      <w:pPr>
        <w:pBdr>
          <w:top w:val="single" w:sz="4" w:space="1" w:color="auto"/>
          <w:left w:val="single" w:sz="4" w:space="4" w:color="auto"/>
          <w:bottom w:val="single" w:sz="4" w:space="1" w:color="auto"/>
          <w:right w:val="single" w:sz="4" w:space="4" w:color="auto"/>
        </w:pBdr>
        <w:spacing w:after="120"/>
        <w:jc w:val="both"/>
        <w:rPr>
          <w:rFonts w:cstheme="minorHAnsi"/>
          <w:sz w:val="21"/>
          <w:szCs w:val="21"/>
        </w:rPr>
      </w:pPr>
      <w:r>
        <w:rPr>
          <w:rFonts w:cstheme="minorHAnsi"/>
          <w:b/>
          <w:sz w:val="21"/>
          <w:szCs w:val="21"/>
        </w:rPr>
        <w:t xml:space="preserve">(ii) </w:t>
      </w:r>
      <w:r w:rsidR="00CB1C18" w:rsidRPr="00E52640">
        <w:rPr>
          <w:rFonts w:cstheme="minorHAnsi"/>
          <w:b/>
          <w:sz w:val="21"/>
          <w:szCs w:val="21"/>
        </w:rPr>
        <w:t xml:space="preserve">Aligned to bilateral or regional interests: </w:t>
      </w:r>
      <w:r w:rsidR="00CB1C18" w:rsidRPr="00E52640">
        <w:rPr>
          <w:rFonts w:cstheme="minorHAnsi"/>
          <w:sz w:val="21"/>
          <w:szCs w:val="21"/>
        </w:rPr>
        <w:t>Agriculture including grains and food processing are priorities in IA-CEPA, and have the potential to support bilateral and regional development through trade, investment and third-party markets. For example, the ingredients from Australia can be processed in Indonesia and the products exported to third markets, creating a ‘powerhouse’ model.</w:t>
      </w:r>
    </w:p>
    <w:p w14:paraId="733CC175" w14:textId="77777777" w:rsidR="00D74DD2" w:rsidRDefault="00105EF8" w:rsidP="00105EF8">
      <w:pPr>
        <w:pBdr>
          <w:top w:val="single" w:sz="4" w:space="1" w:color="auto"/>
          <w:left w:val="single" w:sz="4" w:space="4" w:color="auto"/>
          <w:bottom w:val="single" w:sz="4" w:space="1" w:color="auto"/>
          <w:right w:val="single" w:sz="4" w:space="4" w:color="auto"/>
        </w:pBdr>
        <w:spacing w:after="120"/>
        <w:jc w:val="both"/>
        <w:rPr>
          <w:rFonts w:cstheme="minorHAnsi"/>
          <w:sz w:val="21"/>
          <w:szCs w:val="21"/>
        </w:rPr>
      </w:pPr>
      <w:r>
        <w:rPr>
          <w:rFonts w:cstheme="minorHAnsi"/>
          <w:b/>
          <w:sz w:val="21"/>
          <w:szCs w:val="21"/>
        </w:rPr>
        <w:t xml:space="preserve">(iii) </w:t>
      </w:r>
      <w:r w:rsidR="00CB1C18" w:rsidRPr="00E52640">
        <w:rPr>
          <w:rFonts w:cstheme="minorHAnsi"/>
          <w:b/>
          <w:sz w:val="21"/>
          <w:szCs w:val="21"/>
        </w:rPr>
        <w:t>Mutually beneficial opportunities</w:t>
      </w:r>
      <w:r w:rsidR="00D74DD2" w:rsidRPr="00E52640">
        <w:rPr>
          <w:rFonts w:cstheme="minorHAnsi"/>
          <w:sz w:val="21"/>
          <w:szCs w:val="21"/>
        </w:rPr>
        <w:t xml:space="preserve">: Indonesia is seeking to support its value-adding and food exports, strengthen long-term food security </w:t>
      </w:r>
      <w:r w:rsidR="00D74DD2">
        <w:rPr>
          <w:rFonts w:cstheme="minorHAnsi"/>
          <w:sz w:val="21"/>
          <w:szCs w:val="21"/>
        </w:rPr>
        <w:t xml:space="preserve">to fulfil the increasing domestic demand </w:t>
      </w:r>
      <w:r w:rsidR="00D74DD2" w:rsidRPr="00E52640">
        <w:rPr>
          <w:rFonts w:cstheme="minorHAnsi"/>
          <w:sz w:val="21"/>
          <w:szCs w:val="21"/>
        </w:rPr>
        <w:t xml:space="preserve">and build human capacity and technical training within its </w:t>
      </w:r>
      <w:proofErr w:type="spellStart"/>
      <w:r w:rsidR="00D74DD2" w:rsidRPr="00E52640">
        <w:rPr>
          <w:rFonts w:cstheme="minorHAnsi"/>
          <w:sz w:val="21"/>
          <w:szCs w:val="21"/>
        </w:rPr>
        <w:t>agrifood</w:t>
      </w:r>
      <w:proofErr w:type="spellEnd"/>
      <w:r w:rsidR="00D74DD2" w:rsidRPr="00E52640">
        <w:rPr>
          <w:rFonts w:cstheme="minorHAnsi"/>
          <w:sz w:val="21"/>
          <w:szCs w:val="21"/>
        </w:rPr>
        <w:t xml:space="preserve"> industries. Australia is seeking to facilitate exports of agricultural products including grains with Indonesia and other growth economies in the region, and to support growing Indonesian businesses, particularly encouraging women business leadership, across the value chain to become more integrated with global supply chains.</w:t>
      </w:r>
    </w:p>
    <w:p w14:paraId="136DD1ED" w14:textId="4029B341" w:rsidR="00CB1C18" w:rsidRPr="00E52640" w:rsidRDefault="00105EF8" w:rsidP="00105EF8">
      <w:pPr>
        <w:pBdr>
          <w:top w:val="single" w:sz="4" w:space="1" w:color="auto"/>
          <w:left w:val="single" w:sz="4" w:space="4" w:color="auto"/>
          <w:bottom w:val="single" w:sz="4" w:space="1" w:color="auto"/>
          <w:right w:val="single" w:sz="4" w:space="4" w:color="auto"/>
        </w:pBdr>
        <w:spacing w:after="120"/>
        <w:jc w:val="both"/>
        <w:rPr>
          <w:rFonts w:cstheme="minorHAnsi"/>
          <w:sz w:val="21"/>
          <w:szCs w:val="21"/>
        </w:rPr>
      </w:pPr>
      <w:r>
        <w:rPr>
          <w:rFonts w:cstheme="minorHAnsi"/>
          <w:b/>
          <w:sz w:val="21"/>
          <w:szCs w:val="21"/>
        </w:rPr>
        <w:t xml:space="preserve">(iv) </w:t>
      </w:r>
      <w:r w:rsidR="00CB1C18" w:rsidRPr="00E52640">
        <w:rPr>
          <w:rFonts w:cstheme="minorHAnsi"/>
          <w:b/>
          <w:sz w:val="21"/>
          <w:szCs w:val="21"/>
        </w:rPr>
        <w:t xml:space="preserve">Politically feasible and practical: </w:t>
      </w:r>
      <w:proofErr w:type="spellStart"/>
      <w:r w:rsidR="00CB1C18" w:rsidRPr="00E52640">
        <w:rPr>
          <w:rFonts w:cstheme="minorHAnsi"/>
          <w:b/>
          <w:sz w:val="21"/>
          <w:szCs w:val="21"/>
        </w:rPr>
        <w:t>agrifood</w:t>
      </w:r>
      <w:proofErr w:type="spellEnd"/>
      <w:r w:rsidR="00CB1C18" w:rsidRPr="00E52640">
        <w:rPr>
          <w:rFonts w:cstheme="minorHAnsi"/>
          <w:b/>
          <w:sz w:val="21"/>
          <w:szCs w:val="21"/>
        </w:rPr>
        <w:t xml:space="preserve"> and </w:t>
      </w:r>
      <w:r w:rsidR="00CB1C18" w:rsidRPr="00E52640">
        <w:rPr>
          <w:rFonts w:cstheme="minorHAnsi"/>
          <w:bCs/>
          <w:sz w:val="21"/>
          <w:szCs w:val="21"/>
        </w:rPr>
        <w:t>specifically</w:t>
      </w:r>
      <w:r w:rsidR="00CB1C18" w:rsidRPr="00E52640">
        <w:rPr>
          <w:rFonts w:cstheme="minorHAnsi"/>
          <w:b/>
          <w:sz w:val="21"/>
          <w:szCs w:val="21"/>
        </w:rPr>
        <w:t xml:space="preserve"> </w:t>
      </w:r>
      <w:r w:rsidR="00CB1C18" w:rsidRPr="00E52640">
        <w:rPr>
          <w:rFonts w:cstheme="minorHAnsi"/>
          <w:sz w:val="21"/>
          <w:szCs w:val="21"/>
        </w:rPr>
        <w:t xml:space="preserve">the grains partnership is a political priority of both the Australian and Indonesian governments. The activity is designed to begin by working with organisations already participating in the grains value chain across the two countries to achieve practical outcomes in the near term. </w:t>
      </w:r>
    </w:p>
    <w:p w14:paraId="771B2372" w14:textId="788407DB" w:rsidR="00CB1C18" w:rsidRPr="00E52640" w:rsidRDefault="00105EF8" w:rsidP="00105EF8">
      <w:pPr>
        <w:pBdr>
          <w:top w:val="single" w:sz="4" w:space="1" w:color="auto"/>
          <w:left w:val="single" w:sz="4" w:space="4" w:color="auto"/>
          <w:bottom w:val="single" w:sz="4" w:space="1" w:color="auto"/>
          <w:right w:val="single" w:sz="4" w:space="4" w:color="auto"/>
        </w:pBdr>
        <w:spacing w:after="120"/>
        <w:jc w:val="both"/>
        <w:rPr>
          <w:rFonts w:cstheme="minorHAnsi"/>
          <w:sz w:val="21"/>
          <w:szCs w:val="21"/>
        </w:rPr>
      </w:pPr>
      <w:r>
        <w:rPr>
          <w:rFonts w:cstheme="minorHAnsi"/>
          <w:b/>
          <w:sz w:val="21"/>
          <w:szCs w:val="21"/>
        </w:rPr>
        <w:t xml:space="preserve">(v) </w:t>
      </w:r>
      <w:r w:rsidR="00CB1C18" w:rsidRPr="00E52640">
        <w:rPr>
          <w:rFonts w:cstheme="minorHAnsi"/>
          <w:b/>
          <w:sz w:val="21"/>
          <w:szCs w:val="21"/>
        </w:rPr>
        <w:t xml:space="preserve">Reflect Australia and Indonesia’s comparative advantages: </w:t>
      </w:r>
      <w:r w:rsidR="00CB1C18" w:rsidRPr="00E52640">
        <w:rPr>
          <w:rFonts w:cstheme="minorHAnsi"/>
          <w:sz w:val="21"/>
          <w:szCs w:val="21"/>
        </w:rPr>
        <w:t>Indonesia has major capacity in flour milling and feed grain milling, along with growing domestic demand and significant export opportunities for products such as instant noodles. Australia’s comparative advantage is in the supply of high-quality grains, and the associated research, technical capabilities and skills required across production and processing to optimise value for consumers.  Australia is also focused on applying a gender equality and social inclusion lens on policies and business opportunities. The design draws on respective capabilities across the whole grains value chain.</w:t>
      </w:r>
    </w:p>
    <w:p w14:paraId="672BCF03" w14:textId="0F28D233" w:rsidR="00CB1C18" w:rsidRPr="00E52640" w:rsidRDefault="00105EF8" w:rsidP="00105EF8">
      <w:pPr>
        <w:pBdr>
          <w:top w:val="single" w:sz="4" w:space="1" w:color="auto"/>
          <w:left w:val="single" w:sz="4" w:space="4" w:color="auto"/>
          <w:bottom w:val="single" w:sz="4" w:space="1" w:color="auto"/>
          <w:right w:val="single" w:sz="4" w:space="4" w:color="auto"/>
        </w:pBdr>
        <w:spacing w:after="120"/>
        <w:jc w:val="both"/>
        <w:rPr>
          <w:rFonts w:cstheme="minorHAnsi"/>
          <w:sz w:val="21"/>
          <w:szCs w:val="21"/>
        </w:rPr>
      </w:pPr>
      <w:r>
        <w:rPr>
          <w:rFonts w:cstheme="minorHAnsi"/>
          <w:b/>
          <w:sz w:val="21"/>
          <w:szCs w:val="21"/>
        </w:rPr>
        <w:t xml:space="preserve">(vi) </w:t>
      </w:r>
      <w:r w:rsidR="00CB1C18" w:rsidRPr="00E52640">
        <w:rPr>
          <w:rFonts w:cstheme="minorHAnsi"/>
          <w:b/>
          <w:sz w:val="21"/>
          <w:szCs w:val="21"/>
        </w:rPr>
        <w:t xml:space="preserve">Prioritises catalytic outcomes: </w:t>
      </w:r>
      <w:r w:rsidR="00CB1C18" w:rsidRPr="00E52640">
        <w:rPr>
          <w:rFonts w:cstheme="minorHAnsi"/>
          <w:sz w:val="21"/>
          <w:szCs w:val="21"/>
        </w:rPr>
        <w:t xml:space="preserve">The activity has the potential to support immediate trade opportunities while also building more capabilities in Australia and Indonesia. For instance, collaboration on the grains value chains for artisan bakeries and fresh noodles could demonstrate opportunities to better match the wheat varieties grown in Australia to optimize value for Indonesian businesses. Promotion of the outcomes would be facilitated through industry engagement of participants at an annual forum (which could expand to include other agricultural industries included in IA-CEPA as they become involved in </w:t>
      </w:r>
      <w:proofErr w:type="spellStart"/>
      <w:r w:rsidR="00CB1C18" w:rsidRPr="00E52640">
        <w:rPr>
          <w:rFonts w:cstheme="minorHAnsi"/>
          <w:sz w:val="21"/>
          <w:szCs w:val="21"/>
        </w:rPr>
        <w:t>agrifood</w:t>
      </w:r>
      <w:proofErr w:type="spellEnd"/>
      <w:r w:rsidR="00CB1C18" w:rsidRPr="00E52640">
        <w:rPr>
          <w:rFonts w:cstheme="minorHAnsi"/>
          <w:sz w:val="21"/>
          <w:szCs w:val="21"/>
        </w:rPr>
        <w:t xml:space="preserve"> innovation partnerships).</w:t>
      </w:r>
    </w:p>
    <w:p w14:paraId="16B19702" w14:textId="740B9B23" w:rsidR="00CB1C18" w:rsidRPr="00E52640" w:rsidRDefault="00105EF8" w:rsidP="00105EF8">
      <w:pPr>
        <w:pBdr>
          <w:top w:val="single" w:sz="4" w:space="1" w:color="auto"/>
          <w:left w:val="single" w:sz="4" w:space="4" w:color="auto"/>
          <w:bottom w:val="single" w:sz="4" w:space="1" w:color="auto"/>
          <w:right w:val="single" w:sz="4" w:space="4" w:color="auto"/>
        </w:pBdr>
        <w:spacing w:after="120"/>
        <w:jc w:val="both"/>
        <w:rPr>
          <w:rFonts w:cstheme="minorHAnsi"/>
          <w:sz w:val="21"/>
          <w:szCs w:val="21"/>
        </w:rPr>
      </w:pPr>
      <w:r>
        <w:rPr>
          <w:rFonts w:cstheme="minorHAnsi"/>
          <w:b/>
          <w:bCs/>
          <w:sz w:val="21"/>
          <w:szCs w:val="21"/>
        </w:rPr>
        <w:t xml:space="preserve">(vii) </w:t>
      </w:r>
      <w:r w:rsidR="00CB1C18" w:rsidRPr="00E52640">
        <w:rPr>
          <w:rFonts w:cstheme="minorHAnsi"/>
          <w:b/>
          <w:bCs/>
          <w:sz w:val="21"/>
          <w:szCs w:val="21"/>
        </w:rPr>
        <w:t xml:space="preserve">Co-contribution: </w:t>
      </w:r>
      <w:r w:rsidR="00CB1C18" w:rsidRPr="00E52640">
        <w:rPr>
          <w:rFonts w:cstheme="minorHAnsi"/>
          <w:bCs/>
          <w:sz w:val="21"/>
          <w:szCs w:val="21"/>
        </w:rPr>
        <w:t>Co</w:t>
      </w:r>
      <w:r w:rsidR="00CB1C18" w:rsidRPr="00E52640">
        <w:rPr>
          <w:rFonts w:cstheme="minorHAnsi"/>
          <w:b/>
          <w:bCs/>
          <w:sz w:val="21"/>
          <w:szCs w:val="21"/>
        </w:rPr>
        <w:t>-</w:t>
      </w:r>
      <w:r w:rsidR="00CB1C18" w:rsidRPr="00E52640">
        <w:rPr>
          <w:rFonts w:cstheme="minorHAnsi"/>
          <w:bCs/>
          <w:sz w:val="21"/>
          <w:szCs w:val="21"/>
        </w:rPr>
        <w:t xml:space="preserve">contribution will be sought from government and the private sector where trade and investment opportunities are complimentary. In-kind contributions from the private sector will also be sought for partnership events, studies and training events and a co-contribution will be sought from </w:t>
      </w:r>
      <w:r w:rsidR="00C805FD">
        <w:rPr>
          <w:rFonts w:cstheme="minorHAnsi"/>
          <w:bCs/>
          <w:sz w:val="21"/>
          <w:szCs w:val="21"/>
        </w:rPr>
        <w:t xml:space="preserve">other partners if they are engaged in the activity, such as </w:t>
      </w:r>
      <w:r w:rsidR="00CB1C18" w:rsidRPr="00E52640">
        <w:rPr>
          <w:rFonts w:cstheme="minorHAnsi"/>
          <w:bCs/>
          <w:sz w:val="21"/>
          <w:szCs w:val="21"/>
        </w:rPr>
        <w:t>AEGIC.</w:t>
      </w:r>
    </w:p>
    <w:p w14:paraId="211D9676" w14:textId="77777777" w:rsidR="00642B87" w:rsidRDefault="00642B87">
      <w:pPr>
        <w:suppressAutoHyphens w:val="0"/>
        <w:spacing w:before="0" w:after="120" w:line="440" w:lineRule="atLeast"/>
        <w:rPr>
          <w:rFonts w:cstheme="minorHAnsi"/>
          <w:b/>
          <w:bCs/>
          <w:sz w:val="21"/>
          <w:szCs w:val="21"/>
        </w:rPr>
      </w:pPr>
      <w:r>
        <w:rPr>
          <w:rFonts w:cstheme="minorHAnsi"/>
          <w:b/>
          <w:bCs/>
          <w:sz w:val="21"/>
          <w:szCs w:val="21"/>
        </w:rPr>
        <w:br w:type="page"/>
      </w:r>
    </w:p>
    <w:p w14:paraId="35FAF74D" w14:textId="487DE741"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theme="minorHAnsi"/>
          <w:b/>
          <w:bCs/>
          <w:sz w:val="21"/>
          <w:szCs w:val="21"/>
        </w:rPr>
      </w:pPr>
      <w:r w:rsidRPr="00E52640">
        <w:rPr>
          <w:rFonts w:cstheme="minorHAnsi"/>
          <w:b/>
          <w:bCs/>
          <w:sz w:val="21"/>
          <w:szCs w:val="21"/>
        </w:rPr>
        <w:lastRenderedPageBreak/>
        <w:t>Rationale for the activity</w:t>
      </w:r>
    </w:p>
    <w:p w14:paraId="77EE1B10" w14:textId="77777777" w:rsidR="00CB1C18" w:rsidRPr="00105EF8"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theme="minorHAnsi"/>
          <w:b/>
          <w:bCs/>
          <w:i/>
          <w:sz w:val="21"/>
          <w:szCs w:val="21"/>
        </w:rPr>
      </w:pPr>
      <w:r w:rsidRPr="00105EF8">
        <w:rPr>
          <w:rFonts w:cstheme="minorHAnsi"/>
          <w:b/>
          <w:bCs/>
          <w:i/>
          <w:sz w:val="21"/>
          <w:szCs w:val="21"/>
        </w:rPr>
        <w:t>Context analysis</w:t>
      </w:r>
    </w:p>
    <w:p w14:paraId="049129B4"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sz w:val="21"/>
          <w:szCs w:val="21"/>
        </w:rPr>
      </w:pPr>
      <w:r w:rsidRPr="00E52640">
        <w:rPr>
          <w:rFonts w:cstheme="minorHAnsi"/>
          <w:sz w:val="21"/>
          <w:szCs w:val="21"/>
        </w:rPr>
        <w:t xml:space="preserve">Better integration of agricultural value chains with food manufacturing and innovation will leverage the advantages of Indonesia and Australia in supplying high quality agricultural products and manufactures to other countries in the Indo-Pacific region and beyond. The </w:t>
      </w:r>
      <w:proofErr w:type="spellStart"/>
      <w:r w:rsidRPr="00E52640">
        <w:rPr>
          <w:rFonts w:cstheme="minorHAnsi"/>
          <w:sz w:val="21"/>
          <w:szCs w:val="21"/>
        </w:rPr>
        <w:t>agrifood</w:t>
      </w:r>
      <w:proofErr w:type="spellEnd"/>
      <w:r w:rsidRPr="00E52640">
        <w:rPr>
          <w:rFonts w:cstheme="minorHAnsi"/>
          <w:sz w:val="21"/>
          <w:szCs w:val="21"/>
        </w:rPr>
        <w:t xml:space="preserve"> innovation partnerships will provide avenues to accelerate economic development by bringing value chain firms and institutions such as business associations together from across the agricultural sectors covered in the IA-CEPA commitments.</w:t>
      </w:r>
    </w:p>
    <w:p w14:paraId="4FF99FA7" w14:textId="7D78599C"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sz w:val="21"/>
          <w:szCs w:val="21"/>
        </w:rPr>
      </w:pPr>
      <w:r w:rsidRPr="00E52640">
        <w:rPr>
          <w:rFonts w:cstheme="minorHAnsi"/>
          <w:sz w:val="21"/>
          <w:szCs w:val="21"/>
        </w:rPr>
        <w:t xml:space="preserve">Grains and particularly wheat are an especially important part of </w:t>
      </w:r>
      <w:proofErr w:type="spellStart"/>
      <w:r w:rsidRPr="00E52640">
        <w:rPr>
          <w:rFonts w:cstheme="minorHAnsi"/>
          <w:sz w:val="21"/>
          <w:szCs w:val="21"/>
        </w:rPr>
        <w:t>agrifood</w:t>
      </w:r>
      <w:proofErr w:type="spellEnd"/>
      <w:r w:rsidRPr="00E52640">
        <w:rPr>
          <w:rFonts w:cstheme="minorHAnsi"/>
          <w:sz w:val="21"/>
          <w:szCs w:val="21"/>
        </w:rPr>
        <w:t xml:space="preserve"> value chains.</w:t>
      </w:r>
      <w:r w:rsidR="006F098B">
        <w:rPr>
          <w:rStyle w:val="FootnoteReference"/>
          <w:rFonts w:cstheme="minorHAnsi"/>
          <w:szCs w:val="21"/>
        </w:rPr>
        <w:footnoteReference w:id="40"/>
      </w:r>
      <w:r w:rsidRPr="00E52640">
        <w:rPr>
          <w:rFonts w:cstheme="minorHAnsi"/>
          <w:sz w:val="21"/>
          <w:szCs w:val="21"/>
        </w:rPr>
        <w:t xml:space="preserve"> For example, flour products are used with many other ingredients such as palm sugar, vegetables and spices in food products from bread and biscuits to soups and noodles. These products are consumed domestically and the opportunity is for innovation with products using wheat flour for new, nutritious value-added foods for Indonesian consumers and exports to Australia and third countries.</w:t>
      </w:r>
    </w:p>
    <w:p w14:paraId="366EAB86"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iCs/>
          <w:sz w:val="21"/>
          <w:szCs w:val="21"/>
        </w:rPr>
      </w:pPr>
      <w:r w:rsidRPr="00E52640">
        <w:rPr>
          <w:rFonts w:cstheme="minorHAnsi"/>
          <w:iCs/>
          <w:sz w:val="21"/>
          <w:szCs w:val="21"/>
        </w:rPr>
        <w:t xml:space="preserve">The supply of grain for export from Australia has declined in recent years, with domestic grain prices increasing as production is impacted by prolonged drought. Rising competition from low-cost/lower quality sources such as the Black Sea has enabled those countries to now provide a larger share of Indonesia’s grain import requirements. </w:t>
      </w:r>
    </w:p>
    <w:p w14:paraId="4EB7160F"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iCs/>
          <w:sz w:val="21"/>
          <w:szCs w:val="21"/>
        </w:rPr>
      </w:pPr>
      <w:r w:rsidRPr="00E52640">
        <w:rPr>
          <w:rFonts w:cstheme="minorHAnsi"/>
          <w:iCs/>
          <w:sz w:val="21"/>
          <w:szCs w:val="21"/>
        </w:rPr>
        <w:t xml:space="preserve">These and other changes in supply, pricing, competition and Indonesian consumer demand all signal a major strategic shift in the nature of grain trade relationship between Indonesia and Australia. </w:t>
      </w:r>
    </w:p>
    <w:p w14:paraId="60D62A3E"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sz w:val="21"/>
          <w:szCs w:val="21"/>
        </w:rPr>
      </w:pPr>
      <w:r w:rsidRPr="00E52640">
        <w:rPr>
          <w:rFonts w:cstheme="minorHAnsi"/>
          <w:sz w:val="21"/>
          <w:szCs w:val="21"/>
        </w:rPr>
        <w:t>As recently as 2017, Australia had been the preferred source of wheat due to the noodle industry’s demand for Australian standard white wheat, competitive price, and close proximity to Indonesia. However, the reduced availability of Australian wheat in recent years has meant that noodle manufacturers have met supply needs from alternative sources, with manufacturers and consumers adjusting to noodles that are made with flour from a blend of wheat sources. This trend is expected to continue and has particular implications for Indonesian businesses producing fresh noodles, as flour from different sources have different attributes such as eating quality.</w:t>
      </w:r>
    </w:p>
    <w:p w14:paraId="131F82D7"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sz w:val="21"/>
          <w:szCs w:val="21"/>
        </w:rPr>
      </w:pPr>
      <w:r w:rsidRPr="00E52640">
        <w:rPr>
          <w:rFonts w:cstheme="minorHAnsi"/>
          <w:iCs/>
          <w:sz w:val="21"/>
          <w:szCs w:val="21"/>
        </w:rPr>
        <w:t xml:space="preserve">Indonesian milling wheat imports are around 10 million tonnes/annum, with most flour used for instant noodles where consumption has plateaued at about 8 kg per annum. The Indonesia flour milling sector is large and growing, but is also characterised by a high degree of concentration. There were 28 flour mills operational in 2019 with a total reported capacity of 11.8mmt per year. </w:t>
      </w:r>
      <w:r w:rsidRPr="00E52640">
        <w:rPr>
          <w:rFonts w:cstheme="minorHAnsi"/>
          <w:sz w:val="21"/>
          <w:szCs w:val="21"/>
        </w:rPr>
        <w:t>Increasing consolidation among the large firms has been a contributing factor to improved efficiencies.</w:t>
      </w:r>
    </w:p>
    <w:p w14:paraId="3AEB1E50"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sz w:val="21"/>
          <w:szCs w:val="21"/>
        </w:rPr>
      </w:pPr>
      <w:r w:rsidRPr="00E52640">
        <w:rPr>
          <w:rFonts w:cstheme="minorHAnsi"/>
          <w:sz w:val="21"/>
          <w:szCs w:val="21"/>
        </w:rPr>
        <w:t>Per capita consumption of flour in Indonesia is around 4.7 kg/year and forecast to grow to 6.6 kg by 2030. Over half the flour used is for noodles and the three main types of noodles produced are: instant noodles, dried noodles and fresh noodles.  Instant noodle manufacture is by far the dominant form, with large-scale manufacturers producing instant noodles in state-of-the-art facilities. By contrast, fresh noodles account for about 20% of noodle consumption and are produced by small- to medium-sized food producers. This latter group makes up about two-thirds of Indonesia’s flour milling customers.</w:t>
      </w:r>
      <w:r w:rsidRPr="00E52640">
        <w:rPr>
          <w:rStyle w:val="FootnoteReference"/>
          <w:rFonts w:cstheme="minorHAnsi"/>
          <w:sz w:val="21"/>
          <w:szCs w:val="21"/>
        </w:rPr>
        <w:footnoteReference w:id="41"/>
      </w:r>
    </w:p>
    <w:p w14:paraId="68F6C358"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iCs/>
          <w:sz w:val="21"/>
          <w:szCs w:val="21"/>
        </w:rPr>
      </w:pPr>
      <w:r w:rsidRPr="00E52640">
        <w:rPr>
          <w:rFonts w:cstheme="minorHAnsi"/>
          <w:iCs/>
          <w:sz w:val="21"/>
          <w:szCs w:val="21"/>
        </w:rPr>
        <w:t>The global trade in instant noodles has expanded from around US$1 billion in 2004 to US$2.8 billion in 2014. Indonesian exports have flourished, going from being the fifteenth largest exporter in 2004 to the second largest in 2018 (behind China).</w:t>
      </w:r>
    </w:p>
    <w:p w14:paraId="5DB0F077"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sz w:val="21"/>
          <w:szCs w:val="21"/>
        </w:rPr>
      </w:pPr>
      <w:r w:rsidRPr="00E52640">
        <w:rPr>
          <w:rFonts w:cstheme="minorHAnsi"/>
          <w:sz w:val="21"/>
          <w:szCs w:val="21"/>
        </w:rPr>
        <w:t>More recently, relatively stable macro-economic conditions have allowed middle and upper-middle income consumers to diversify their diets to include more western-style foods like bread and pasta. Rather than eating rice three times daily, many Indonesians have switched to eating bread or noodles for breakfast. Restaurants and high-end bakeries are also driving demand for wheat-based food products, especially in major cities such as Jakarta, Surabaya, Medan, and Bandung. The future is likely to see increased usage of flour for the manufacture of bakery products including breads, cookies, cakes, buns and other wheat-based snacks.</w:t>
      </w:r>
    </w:p>
    <w:p w14:paraId="6805FBD7" w14:textId="77777777" w:rsidR="00CB1C18" w:rsidRPr="00E52640" w:rsidRDefault="00CB1C18" w:rsidP="00CB1C18">
      <w:pPr>
        <w:spacing w:after="120"/>
        <w:jc w:val="both"/>
        <w:rPr>
          <w:rFonts w:cstheme="minorHAnsi"/>
          <w:sz w:val="21"/>
          <w:szCs w:val="21"/>
        </w:rPr>
      </w:pPr>
      <w:r w:rsidRPr="00E52640">
        <w:rPr>
          <w:rFonts w:cstheme="minorHAnsi"/>
          <w:sz w:val="21"/>
          <w:szCs w:val="21"/>
        </w:rPr>
        <w:lastRenderedPageBreak/>
        <w:t>Importantly, the feed milling sector is growing faster than the wheat flour milling sector in Indonesia. Consumer demand for affordable protein such as chicken meat is growing and the feed milling industry is striving to improve scale and productivity. Implementation of the IA-CEPA commitments will provide improved access for the supply of Australian feed grains to Indonesia, opening opportunities for integration with value chains with benefits for firms and consumers.</w:t>
      </w:r>
    </w:p>
    <w:p w14:paraId="489B558D" w14:textId="77777777" w:rsidR="00CB1C18" w:rsidRPr="00E52640" w:rsidRDefault="00CB1C18" w:rsidP="00CB1C18">
      <w:pPr>
        <w:spacing w:after="120"/>
        <w:jc w:val="both"/>
        <w:rPr>
          <w:rFonts w:cstheme="minorHAnsi"/>
          <w:sz w:val="21"/>
          <w:szCs w:val="21"/>
        </w:rPr>
      </w:pPr>
      <w:r w:rsidRPr="00E52640">
        <w:rPr>
          <w:rFonts w:cstheme="minorHAnsi"/>
          <w:sz w:val="21"/>
          <w:szCs w:val="21"/>
        </w:rPr>
        <w:t>The Indonesian feed mill sector consists of 97 feed mills in total and about 69 are located on Java. Collectively, they have an installed capacity of around 25.5 million tons, which is an increase of 3.2 percent from 24.7 million tons in 2018. Feed mills are running at 80 percent of the total installed capacity.</w:t>
      </w:r>
      <w:r w:rsidRPr="00E52640">
        <w:rPr>
          <w:rStyle w:val="FootnoteReference"/>
          <w:rFonts w:cstheme="minorHAnsi"/>
          <w:sz w:val="21"/>
          <w:szCs w:val="21"/>
        </w:rPr>
        <w:footnoteReference w:id="42"/>
      </w:r>
    </w:p>
    <w:p w14:paraId="0A2DD206"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sz w:val="21"/>
          <w:szCs w:val="21"/>
        </w:rPr>
      </w:pPr>
      <w:r w:rsidRPr="00E52640">
        <w:rPr>
          <w:rFonts w:cstheme="minorHAnsi"/>
          <w:sz w:val="21"/>
          <w:szCs w:val="21"/>
        </w:rPr>
        <w:t xml:space="preserve">Indonesia is seeking to become a major player in the export of </w:t>
      </w:r>
      <w:proofErr w:type="spellStart"/>
      <w:r w:rsidRPr="00E52640">
        <w:rPr>
          <w:rFonts w:cstheme="minorHAnsi"/>
          <w:sz w:val="21"/>
          <w:szCs w:val="21"/>
        </w:rPr>
        <w:t>agrifood</w:t>
      </w:r>
      <w:proofErr w:type="spellEnd"/>
      <w:r w:rsidRPr="00E52640">
        <w:rPr>
          <w:rFonts w:cstheme="minorHAnsi"/>
          <w:sz w:val="21"/>
          <w:szCs w:val="21"/>
        </w:rPr>
        <w:t xml:space="preserve"> products and thus, policies and practices that will harmonise and simplify regulations across the APEC region will have substantial benefit for the flour milling and value-added food sectors.  </w:t>
      </w:r>
    </w:p>
    <w:p w14:paraId="1ADEF4D1" w14:textId="77777777" w:rsidR="00CB1C18" w:rsidRPr="00E52640" w:rsidRDefault="00CB1C18" w:rsidP="00CB1C18">
      <w:pPr>
        <w:spacing w:after="120"/>
        <w:jc w:val="both"/>
        <w:rPr>
          <w:rFonts w:cstheme="minorHAnsi"/>
          <w:sz w:val="21"/>
          <w:szCs w:val="21"/>
        </w:rPr>
      </w:pPr>
      <w:r w:rsidRPr="00E52640">
        <w:rPr>
          <w:rFonts w:cstheme="minorHAnsi"/>
          <w:sz w:val="21"/>
          <w:szCs w:val="21"/>
        </w:rPr>
        <w:t xml:space="preserve">The suite of activities required to advance the grain partnership between Australia and Indonesia are a combination of relationship building, industry partnership, leadership and technical skills, continued progress in the opening of markets for trade and investment in food processing and sharing knowledge on respective sector capabilities. </w:t>
      </w:r>
    </w:p>
    <w:p w14:paraId="7662B816" w14:textId="77777777" w:rsidR="00CB1C18" w:rsidRPr="00E52640" w:rsidRDefault="00CB1C18" w:rsidP="00282C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b/>
          <w:bCs/>
          <w:sz w:val="21"/>
          <w:szCs w:val="21"/>
        </w:rPr>
      </w:pPr>
      <w:r w:rsidRPr="00E52640">
        <w:rPr>
          <w:rFonts w:cstheme="minorHAnsi"/>
          <w:b/>
          <w:bCs/>
          <w:sz w:val="21"/>
          <w:szCs w:val="21"/>
        </w:rPr>
        <w:t>Activity logic</w:t>
      </w:r>
    </w:p>
    <w:p w14:paraId="443D0CBE"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sz w:val="21"/>
          <w:szCs w:val="21"/>
          <w:lang w:val="en-AU"/>
        </w:rPr>
      </w:pPr>
      <w:r w:rsidRPr="00E52640">
        <w:rPr>
          <w:rFonts w:cstheme="minorHAnsi"/>
          <w:sz w:val="21"/>
          <w:szCs w:val="21"/>
          <w:lang w:val="en-AU"/>
        </w:rPr>
        <w:t xml:space="preserve">Indonesia’s demand for imported baking wheats is expected to grow. Over the next decade, Indonesia’s bread and baked goods market compares favourably with alternative markets in terms of potential volume and margin for Australian exporters. </w:t>
      </w:r>
    </w:p>
    <w:p w14:paraId="751EAC76"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sz w:val="21"/>
          <w:szCs w:val="21"/>
          <w:lang w:val="en-AU"/>
        </w:rPr>
      </w:pPr>
      <w:r w:rsidRPr="00E52640">
        <w:rPr>
          <w:rFonts w:cstheme="minorHAnsi"/>
          <w:sz w:val="21"/>
          <w:szCs w:val="21"/>
          <w:lang w:val="en-AU"/>
        </w:rPr>
        <w:t>Australia has the technical capability to produce suitable higher protein baking wheat varieties and share in the benefits of this growing opportunity. An implication is that the Australian industry could prioritise the development, segregation and marketing of wheat varieties for this specific segment. The grains partnership activities will inform and potentially catalyse decisions to ensure closer alignment of Australian production with the growing demand.</w:t>
      </w:r>
    </w:p>
    <w:p w14:paraId="34CB2A19"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sz w:val="21"/>
          <w:szCs w:val="21"/>
        </w:rPr>
      </w:pPr>
      <w:r w:rsidRPr="00E52640">
        <w:rPr>
          <w:rFonts w:cstheme="minorHAnsi"/>
          <w:sz w:val="21"/>
          <w:szCs w:val="21"/>
        </w:rPr>
        <w:t>This activity requires a flexible approach to scoping and diagnostic, building partnerships where opportunities are identified and adapting delivery models to suit the specific needs of the Indonesian food processing industry. A gender equality and social inclusion lens will be applied to the diagnostic approach to ensure industry development is fully inclusive.</w:t>
      </w:r>
    </w:p>
    <w:p w14:paraId="711AC50A"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sz w:val="21"/>
          <w:szCs w:val="21"/>
        </w:rPr>
      </w:pPr>
      <w:r w:rsidRPr="00E52640">
        <w:rPr>
          <w:rFonts w:cstheme="minorHAnsi"/>
          <w:sz w:val="21"/>
          <w:szCs w:val="21"/>
        </w:rPr>
        <w:t>The demand from Indonesian consumers for affordable protein such as chicken and beef is also growing. Australia is well-placed to be part of feed grain supply chains and contribute to the increase in local protein production. Australia can also provide technical knowledge and skills to enhance efficiency and productivity in feed milling, further reducing the costs of production for poultry and beef farms.</w:t>
      </w:r>
    </w:p>
    <w:p w14:paraId="2B06072C" w14:textId="1232B704" w:rsidR="00CB1C18" w:rsidRPr="00E52640" w:rsidRDefault="00B04ED1"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sz w:val="21"/>
          <w:szCs w:val="21"/>
        </w:rPr>
      </w:pPr>
      <w:r>
        <w:rPr>
          <w:rFonts w:cstheme="minorHAnsi"/>
          <w:sz w:val="21"/>
          <w:szCs w:val="21"/>
        </w:rPr>
        <w:t>This activity</w:t>
      </w:r>
      <w:bookmarkStart w:id="5" w:name="_Hlk31896139"/>
      <w:r w:rsidR="00CB1C18" w:rsidRPr="00E52640">
        <w:rPr>
          <w:rFonts w:cstheme="minorHAnsi"/>
          <w:sz w:val="21"/>
          <w:szCs w:val="21"/>
        </w:rPr>
        <w:t xml:space="preserve"> will enable increased trade and investment flows with expansion the wheat flour and feed grain industries, based on strengthening the quality of partnerships, improved alignment across value chains and harmonising of the standards ecosystem for </w:t>
      </w:r>
      <w:proofErr w:type="spellStart"/>
      <w:r w:rsidR="00CB1C18" w:rsidRPr="00E52640">
        <w:rPr>
          <w:rFonts w:cstheme="minorHAnsi"/>
          <w:sz w:val="21"/>
          <w:szCs w:val="21"/>
        </w:rPr>
        <w:t>agrifood</w:t>
      </w:r>
      <w:proofErr w:type="spellEnd"/>
      <w:r w:rsidR="00CB1C18" w:rsidRPr="00E52640">
        <w:rPr>
          <w:rFonts w:cstheme="minorHAnsi"/>
          <w:sz w:val="21"/>
          <w:szCs w:val="21"/>
        </w:rPr>
        <w:t xml:space="preserve"> industries.</w:t>
      </w:r>
      <w:bookmarkEnd w:id="5"/>
      <w:r w:rsidR="00CB1C18" w:rsidRPr="00E52640">
        <w:rPr>
          <w:rFonts w:cstheme="minorHAnsi"/>
          <w:sz w:val="21"/>
          <w:szCs w:val="21"/>
        </w:rPr>
        <w:t xml:space="preserve"> It will lead to opportunities for Indonesia to strengthen its value-added </w:t>
      </w:r>
      <w:proofErr w:type="spellStart"/>
      <w:r w:rsidR="00CB1C18" w:rsidRPr="00E52640">
        <w:rPr>
          <w:rFonts w:cstheme="minorHAnsi"/>
          <w:sz w:val="21"/>
          <w:szCs w:val="21"/>
        </w:rPr>
        <w:t>agrifood</w:t>
      </w:r>
      <w:proofErr w:type="spellEnd"/>
      <w:r w:rsidR="00CB1C18" w:rsidRPr="00E52640">
        <w:rPr>
          <w:rFonts w:cstheme="minorHAnsi"/>
          <w:sz w:val="21"/>
          <w:szCs w:val="21"/>
        </w:rPr>
        <w:t xml:space="preserve"> exports.</w:t>
      </w:r>
    </w:p>
    <w:p w14:paraId="214DE440" w14:textId="6365FC4C" w:rsidR="00CB1C18" w:rsidRPr="00E52640" w:rsidRDefault="00CB1C18" w:rsidP="00CB1C18">
      <w:pPr>
        <w:spacing w:after="120" w:line="259" w:lineRule="auto"/>
        <w:jc w:val="both"/>
        <w:rPr>
          <w:rFonts w:eastAsia="Calibri" w:cstheme="minorHAnsi"/>
          <w:b/>
          <w:sz w:val="21"/>
          <w:szCs w:val="21"/>
          <w:lang w:val="en-AU"/>
        </w:rPr>
      </w:pPr>
      <w:r w:rsidRPr="00E52640">
        <w:rPr>
          <w:rFonts w:eastAsia="Calibri" w:cstheme="minorHAnsi"/>
          <w:b/>
          <w:sz w:val="21"/>
          <w:szCs w:val="21"/>
          <w:lang w:val="en-AU"/>
        </w:rPr>
        <w:t>Goal</w:t>
      </w:r>
      <w:r w:rsidR="00B04ED1">
        <w:rPr>
          <w:rFonts w:eastAsia="Calibri" w:cstheme="minorHAnsi"/>
          <w:b/>
          <w:sz w:val="21"/>
          <w:szCs w:val="21"/>
          <w:lang w:val="en-AU"/>
        </w:rPr>
        <w:t>(s)</w:t>
      </w:r>
      <w:r w:rsidRPr="00E52640">
        <w:rPr>
          <w:rFonts w:eastAsia="Calibri" w:cstheme="minorHAnsi"/>
          <w:b/>
          <w:sz w:val="21"/>
          <w:szCs w:val="21"/>
          <w:lang w:val="en-AU"/>
        </w:rPr>
        <w:t xml:space="preserve">: </w:t>
      </w:r>
      <w:r w:rsidRPr="00E52640">
        <w:rPr>
          <w:rFonts w:cstheme="minorHAnsi"/>
          <w:sz w:val="21"/>
          <w:szCs w:val="21"/>
        </w:rPr>
        <w:t xml:space="preserve">To increase the grain </w:t>
      </w:r>
      <w:r w:rsidR="00A44370">
        <w:rPr>
          <w:rFonts w:cstheme="minorHAnsi"/>
          <w:sz w:val="21"/>
          <w:szCs w:val="21"/>
        </w:rPr>
        <w:t xml:space="preserve">and food processing product </w:t>
      </w:r>
      <w:r w:rsidRPr="00E52640">
        <w:rPr>
          <w:rFonts w:cstheme="minorHAnsi"/>
          <w:sz w:val="21"/>
          <w:szCs w:val="21"/>
        </w:rPr>
        <w:t>trade between Australia and Indonesia</w:t>
      </w:r>
      <w:r w:rsidR="00B04ED1">
        <w:rPr>
          <w:rFonts w:cstheme="minorHAnsi"/>
          <w:sz w:val="21"/>
          <w:szCs w:val="21"/>
        </w:rPr>
        <w:t>;</w:t>
      </w:r>
      <w:r w:rsidRPr="00E52640">
        <w:rPr>
          <w:rFonts w:cstheme="minorHAnsi"/>
          <w:sz w:val="21"/>
          <w:szCs w:val="21"/>
        </w:rPr>
        <w:t xml:space="preserve"> </w:t>
      </w:r>
      <w:r w:rsidR="00A44370">
        <w:rPr>
          <w:rFonts w:cstheme="minorHAnsi"/>
          <w:sz w:val="21"/>
          <w:szCs w:val="21"/>
        </w:rPr>
        <w:t>and i</w:t>
      </w:r>
      <w:r w:rsidRPr="00E52640">
        <w:rPr>
          <w:rFonts w:cstheme="minorHAnsi"/>
          <w:sz w:val="21"/>
          <w:szCs w:val="21"/>
        </w:rPr>
        <w:t xml:space="preserve">ncrease </w:t>
      </w:r>
      <w:r w:rsidR="00B04ED1">
        <w:rPr>
          <w:rFonts w:cstheme="minorHAnsi"/>
          <w:sz w:val="21"/>
          <w:szCs w:val="21"/>
        </w:rPr>
        <w:t xml:space="preserve">support and </w:t>
      </w:r>
      <w:r w:rsidRPr="00E52640">
        <w:rPr>
          <w:rFonts w:cstheme="minorHAnsi"/>
          <w:sz w:val="21"/>
          <w:szCs w:val="21"/>
        </w:rPr>
        <w:t>investment in food processing in Indonesia as a prosperous and value-added industry</w:t>
      </w:r>
    </w:p>
    <w:p w14:paraId="443A26BE" w14:textId="77777777" w:rsidR="00CB1C18" w:rsidRPr="00E52640" w:rsidRDefault="00CB1C18" w:rsidP="00CB1C18">
      <w:pPr>
        <w:spacing w:after="120" w:line="259" w:lineRule="auto"/>
        <w:jc w:val="both"/>
        <w:rPr>
          <w:rFonts w:eastAsia="Calibri" w:cstheme="minorHAnsi"/>
          <w:b/>
          <w:sz w:val="21"/>
          <w:szCs w:val="21"/>
          <w:lang w:val="en-AU"/>
        </w:rPr>
      </w:pPr>
      <w:r w:rsidRPr="00E52640">
        <w:rPr>
          <w:rFonts w:eastAsia="Calibri" w:cstheme="minorHAnsi"/>
          <w:b/>
          <w:sz w:val="21"/>
          <w:szCs w:val="21"/>
          <w:lang w:val="en-AU"/>
        </w:rPr>
        <w:t xml:space="preserve">Contributes to:  </w:t>
      </w:r>
      <w:r w:rsidRPr="00E52640">
        <w:rPr>
          <w:rFonts w:cstheme="minorHAnsi"/>
          <w:sz w:val="21"/>
          <w:szCs w:val="21"/>
        </w:rPr>
        <w:t>ECP End of Program Outcome 2 – Better Integrated Markets</w:t>
      </w:r>
    </w:p>
    <w:p w14:paraId="05ED2968" w14:textId="77777777" w:rsidR="00CB1C18" w:rsidRPr="00E52640" w:rsidRDefault="00CB1C18" w:rsidP="00CB1C18">
      <w:pPr>
        <w:spacing w:after="120" w:line="259" w:lineRule="auto"/>
        <w:jc w:val="both"/>
        <w:rPr>
          <w:rFonts w:eastAsia="Calibri" w:cstheme="minorHAnsi"/>
          <w:b/>
          <w:sz w:val="21"/>
          <w:szCs w:val="21"/>
          <w:lang w:val="en-AU"/>
        </w:rPr>
      </w:pPr>
      <w:r w:rsidRPr="00E52640">
        <w:rPr>
          <w:rFonts w:eastAsia="Calibri" w:cstheme="minorHAnsi"/>
          <w:b/>
          <w:sz w:val="21"/>
          <w:szCs w:val="21"/>
          <w:lang w:val="en-AU"/>
        </w:rPr>
        <w:t>Activity Objectives</w:t>
      </w:r>
    </w:p>
    <w:p w14:paraId="765A4136" w14:textId="77777777" w:rsidR="00CB1C18" w:rsidRPr="00E52640" w:rsidRDefault="00CB1C18" w:rsidP="00F5504F">
      <w:pPr>
        <w:numPr>
          <w:ilvl w:val="0"/>
          <w:numId w:val="87"/>
        </w:numPr>
        <w:suppressAutoHyphens w:val="0"/>
        <w:spacing w:after="120" w:line="259" w:lineRule="auto"/>
        <w:contextualSpacing/>
        <w:jc w:val="both"/>
        <w:rPr>
          <w:rFonts w:eastAsia="Calibri" w:cstheme="minorHAnsi"/>
          <w:sz w:val="21"/>
          <w:szCs w:val="21"/>
          <w:lang w:val="en-AU"/>
        </w:rPr>
      </w:pPr>
      <w:r w:rsidRPr="00E52640">
        <w:rPr>
          <w:rFonts w:eastAsia="Calibri" w:cstheme="minorHAnsi"/>
          <w:sz w:val="21"/>
          <w:szCs w:val="21"/>
          <w:lang w:val="en-AU"/>
        </w:rPr>
        <w:t>To identify opportunities for grain partnerships in food processing and animal feed.</w:t>
      </w:r>
    </w:p>
    <w:p w14:paraId="7F84AAED" w14:textId="77777777" w:rsidR="00CB1C18" w:rsidRPr="00E52640" w:rsidRDefault="00CB1C18" w:rsidP="00F5504F">
      <w:pPr>
        <w:numPr>
          <w:ilvl w:val="0"/>
          <w:numId w:val="87"/>
        </w:numPr>
        <w:suppressAutoHyphens w:val="0"/>
        <w:spacing w:after="120" w:line="259" w:lineRule="auto"/>
        <w:contextualSpacing/>
        <w:jc w:val="both"/>
        <w:rPr>
          <w:rFonts w:eastAsia="Calibri" w:cstheme="minorHAnsi"/>
          <w:sz w:val="21"/>
          <w:szCs w:val="21"/>
          <w:lang w:val="en-AU"/>
        </w:rPr>
      </w:pPr>
      <w:r w:rsidRPr="00E52640">
        <w:rPr>
          <w:rFonts w:eastAsia="Calibri" w:cstheme="minorHAnsi"/>
          <w:sz w:val="21"/>
          <w:szCs w:val="21"/>
          <w:lang w:val="en-AU"/>
        </w:rPr>
        <w:t>To train local male and female trainers and business leaders in the grains value chain.</w:t>
      </w:r>
    </w:p>
    <w:p w14:paraId="1F9E3F1C" w14:textId="5A8CCF11" w:rsidR="00CB1C18" w:rsidRPr="00E52640" w:rsidRDefault="00CB1C18" w:rsidP="00F5504F">
      <w:pPr>
        <w:numPr>
          <w:ilvl w:val="0"/>
          <w:numId w:val="87"/>
        </w:numPr>
        <w:suppressAutoHyphens w:val="0"/>
        <w:spacing w:after="120" w:line="259" w:lineRule="auto"/>
        <w:contextualSpacing/>
        <w:jc w:val="both"/>
        <w:rPr>
          <w:rFonts w:eastAsia="Calibri" w:cstheme="minorHAnsi"/>
          <w:sz w:val="21"/>
          <w:szCs w:val="21"/>
          <w:lang w:val="en-AU"/>
        </w:rPr>
      </w:pPr>
      <w:r w:rsidRPr="00E52640">
        <w:rPr>
          <w:rFonts w:eastAsia="Calibri" w:cstheme="minorHAnsi"/>
          <w:sz w:val="21"/>
          <w:szCs w:val="21"/>
          <w:lang w:val="en-AU"/>
        </w:rPr>
        <w:t xml:space="preserve">To implement </w:t>
      </w:r>
      <w:r w:rsidRPr="00E52640">
        <w:rPr>
          <w:rFonts w:eastAsia="Calibri" w:cstheme="minorHAnsi"/>
          <w:b/>
          <w:sz w:val="21"/>
          <w:szCs w:val="21"/>
          <w:lang w:val="en-AU"/>
        </w:rPr>
        <w:t xml:space="preserve">training programs </w:t>
      </w:r>
      <w:r w:rsidR="00737BC5">
        <w:rPr>
          <w:rFonts w:eastAsia="Calibri" w:cstheme="minorHAnsi"/>
          <w:b/>
          <w:sz w:val="21"/>
          <w:szCs w:val="21"/>
          <w:lang w:val="en-AU"/>
        </w:rPr>
        <w:t xml:space="preserve">on grain and food processing </w:t>
      </w:r>
      <w:r w:rsidRPr="00E52640">
        <w:rPr>
          <w:rFonts w:eastAsia="Calibri" w:cstheme="minorHAnsi"/>
          <w:b/>
          <w:sz w:val="21"/>
          <w:szCs w:val="21"/>
          <w:lang w:val="en-AU"/>
        </w:rPr>
        <w:t>to allow SMEs</w:t>
      </w:r>
      <w:r w:rsidRPr="00E52640">
        <w:rPr>
          <w:rFonts w:eastAsia="Calibri" w:cstheme="minorHAnsi"/>
          <w:sz w:val="21"/>
          <w:szCs w:val="21"/>
          <w:lang w:val="en-AU"/>
        </w:rPr>
        <w:t xml:space="preserve"> to take advantage of Australian grain in the production of baked goods and noodles</w:t>
      </w:r>
      <w:r w:rsidR="00B90AF7">
        <w:rPr>
          <w:rFonts w:eastAsia="Calibri" w:cstheme="minorHAnsi"/>
          <w:sz w:val="21"/>
          <w:szCs w:val="21"/>
          <w:lang w:val="en-AU"/>
        </w:rPr>
        <w:t xml:space="preserve">, and to increase capacity of food </w:t>
      </w:r>
      <w:r w:rsidR="006F098B">
        <w:rPr>
          <w:rFonts w:eastAsia="Calibri" w:cstheme="minorHAnsi"/>
          <w:sz w:val="21"/>
          <w:szCs w:val="21"/>
          <w:lang w:val="en-AU"/>
        </w:rPr>
        <w:t>processing</w:t>
      </w:r>
      <w:r w:rsidR="00B90AF7">
        <w:rPr>
          <w:rFonts w:eastAsia="Calibri" w:cstheme="minorHAnsi"/>
          <w:sz w:val="21"/>
          <w:szCs w:val="21"/>
          <w:lang w:val="en-AU"/>
        </w:rPr>
        <w:t xml:space="preserve">, food standards and safety requirements. </w:t>
      </w:r>
    </w:p>
    <w:p w14:paraId="14E7D623" w14:textId="77777777" w:rsidR="00CB1C18" w:rsidRDefault="00CB1C18" w:rsidP="00F5504F">
      <w:pPr>
        <w:numPr>
          <w:ilvl w:val="0"/>
          <w:numId w:val="87"/>
        </w:numPr>
        <w:suppressAutoHyphens w:val="0"/>
        <w:spacing w:after="120" w:line="259" w:lineRule="auto"/>
        <w:contextualSpacing/>
        <w:jc w:val="both"/>
        <w:rPr>
          <w:rFonts w:eastAsia="Calibri" w:cstheme="minorHAnsi"/>
          <w:sz w:val="21"/>
          <w:szCs w:val="21"/>
          <w:lang w:val="en-AU"/>
        </w:rPr>
      </w:pPr>
      <w:r w:rsidRPr="00E52640">
        <w:rPr>
          <w:rFonts w:eastAsia="Calibri" w:cstheme="minorHAnsi"/>
          <w:sz w:val="21"/>
          <w:szCs w:val="21"/>
          <w:lang w:val="en-AU"/>
        </w:rPr>
        <w:lastRenderedPageBreak/>
        <w:t xml:space="preserve">To increase female labour force participation in grains value-chain businesses in Indonesia across all levels. </w:t>
      </w:r>
    </w:p>
    <w:p w14:paraId="2DD8DCC4" w14:textId="66F0A8BF" w:rsidR="00B90AF7" w:rsidRPr="00E52640" w:rsidRDefault="00B90AF7" w:rsidP="00F5504F">
      <w:pPr>
        <w:numPr>
          <w:ilvl w:val="0"/>
          <w:numId w:val="87"/>
        </w:numPr>
        <w:suppressAutoHyphens w:val="0"/>
        <w:spacing w:after="120" w:line="259" w:lineRule="auto"/>
        <w:contextualSpacing/>
        <w:jc w:val="both"/>
        <w:rPr>
          <w:rFonts w:eastAsia="Calibri" w:cstheme="minorHAnsi"/>
          <w:sz w:val="21"/>
          <w:szCs w:val="21"/>
          <w:lang w:val="en-AU"/>
        </w:rPr>
      </w:pPr>
      <w:r>
        <w:rPr>
          <w:rFonts w:eastAsia="Calibri" w:cstheme="minorHAnsi"/>
          <w:sz w:val="21"/>
          <w:szCs w:val="21"/>
          <w:lang w:val="en-AU"/>
        </w:rPr>
        <w:t xml:space="preserve">To enhance research, collaboration on grain and food processing, including in the field of organoleptic food testing and food </w:t>
      </w:r>
      <w:r w:rsidR="006F098B">
        <w:rPr>
          <w:rFonts w:eastAsia="Calibri" w:cstheme="minorHAnsi"/>
          <w:sz w:val="21"/>
          <w:szCs w:val="21"/>
          <w:lang w:val="en-AU"/>
        </w:rPr>
        <w:t>flavours</w:t>
      </w:r>
      <w:r>
        <w:rPr>
          <w:rFonts w:eastAsia="Calibri" w:cstheme="minorHAnsi"/>
          <w:sz w:val="21"/>
          <w:szCs w:val="21"/>
          <w:lang w:val="en-AU"/>
        </w:rPr>
        <w:t xml:space="preserve">, to support the creation of a powerhouse model. </w:t>
      </w:r>
    </w:p>
    <w:p w14:paraId="1D0EC2B3" w14:textId="77777777" w:rsidR="00CB1C18" w:rsidRPr="00E52640" w:rsidRDefault="00CB1C18" w:rsidP="00CB1C18">
      <w:pPr>
        <w:spacing w:before="240" w:after="120" w:line="259" w:lineRule="auto"/>
        <w:jc w:val="both"/>
        <w:rPr>
          <w:rFonts w:eastAsia="Calibri" w:cstheme="minorHAnsi"/>
          <w:b/>
          <w:sz w:val="21"/>
          <w:szCs w:val="21"/>
          <w:lang w:val="en-AU"/>
        </w:rPr>
      </w:pPr>
      <w:r w:rsidRPr="00E52640">
        <w:rPr>
          <w:rFonts w:eastAsia="Calibri" w:cstheme="minorHAnsi"/>
          <w:b/>
          <w:sz w:val="21"/>
          <w:szCs w:val="21"/>
          <w:lang w:val="en-AU"/>
        </w:rPr>
        <w:t>Intended outcomes</w:t>
      </w:r>
    </w:p>
    <w:p w14:paraId="5A501987" w14:textId="3986A4F8" w:rsidR="00CB1C18" w:rsidRPr="00105EF8" w:rsidRDefault="00CB1C18" w:rsidP="00105EF8">
      <w:pPr>
        <w:spacing w:after="120" w:line="259" w:lineRule="auto"/>
        <w:jc w:val="both"/>
        <w:rPr>
          <w:rFonts w:eastAsia="Calibri" w:cstheme="minorHAnsi"/>
          <w:b/>
          <w:i/>
          <w:sz w:val="21"/>
          <w:szCs w:val="21"/>
          <w:lang w:val="en-AU"/>
        </w:rPr>
      </w:pPr>
      <w:r w:rsidRPr="00105EF8">
        <w:rPr>
          <w:rFonts w:eastAsia="Calibri" w:cstheme="minorHAnsi"/>
          <w:b/>
          <w:i/>
          <w:sz w:val="21"/>
          <w:szCs w:val="21"/>
          <w:lang w:val="en-AU"/>
        </w:rPr>
        <w:t xml:space="preserve">End of </w:t>
      </w:r>
      <w:r w:rsidR="00FC73B1">
        <w:rPr>
          <w:rFonts w:eastAsia="Calibri" w:cstheme="minorHAnsi"/>
          <w:b/>
          <w:i/>
          <w:sz w:val="21"/>
          <w:szCs w:val="21"/>
          <w:lang w:val="en-AU"/>
        </w:rPr>
        <w:t>Activity</w:t>
      </w:r>
      <w:r w:rsidR="00FC73B1" w:rsidRPr="00105EF8">
        <w:rPr>
          <w:rFonts w:eastAsia="Calibri" w:cstheme="minorHAnsi"/>
          <w:b/>
          <w:i/>
          <w:sz w:val="21"/>
          <w:szCs w:val="21"/>
          <w:lang w:val="en-AU"/>
        </w:rPr>
        <w:t xml:space="preserve"> </w:t>
      </w:r>
      <w:r w:rsidRPr="00105EF8">
        <w:rPr>
          <w:rFonts w:eastAsia="Calibri" w:cstheme="minorHAnsi"/>
          <w:b/>
          <w:i/>
          <w:sz w:val="21"/>
          <w:szCs w:val="21"/>
          <w:lang w:val="en-AU"/>
        </w:rPr>
        <w:t>Outcomes</w:t>
      </w:r>
      <w:r w:rsidR="00FC73B1">
        <w:rPr>
          <w:rFonts w:eastAsia="Calibri" w:cstheme="minorHAnsi"/>
          <w:b/>
          <w:i/>
          <w:sz w:val="21"/>
          <w:szCs w:val="21"/>
          <w:lang w:val="en-AU"/>
        </w:rPr>
        <w:t xml:space="preserve"> </w:t>
      </w:r>
    </w:p>
    <w:p w14:paraId="4DF03B57" w14:textId="77777777" w:rsidR="00CB1C18" w:rsidRPr="00E52640" w:rsidRDefault="00CB1C18" w:rsidP="00F5504F">
      <w:pPr>
        <w:numPr>
          <w:ilvl w:val="0"/>
          <w:numId w:val="87"/>
        </w:numPr>
        <w:suppressAutoHyphens w:val="0"/>
        <w:spacing w:before="0" w:after="160" w:line="259" w:lineRule="auto"/>
        <w:contextualSpacing/>
        <w:jc w:val="both"/>
        <w:rPr>
          <w:rFonts w:eastAsia="Calibri" w:cstheme="minorHAnsi"/>
          <w:sz w:val="21"/>
          <w:szCs w:val="21"/>
          <w:lang w:val="en-AU"/>
        </w:rPr>
      </w:pPr>
      <w:r w:rsidRPr="00E52640">
        <w:rPr>
          <w:rFonts w:eastAsia="Calibri" w:cstheme="minorHAnsi"/>
          <w:sz w:val="21"/>
          <w:szCs w:val="21"/>
          <w:lang w:val="en-AU"/>
        </w:rPr>
        <w:t>Deeper, more resilient industry partnerships with increased trade and investment, and greater support for women leadership in the industry.</w:t>
      </w:r>
    </w:p>
    <w:p w14:paraId="142156A5" w14:textId="77777777" w:rsidR="00CB1C18" w:rsidRPr="00E52640" w:rsidRDefault="00CB1C18" w:rsidP="00F5504F">
      <w:pPr>
        <w:numPr>
          <w:ilvl w:val="0"/>
          <w:numId w:val="87"/>
        </w:numPr>
        <w:suppressAutoHyphens w:val="0"/>
        <w:spacing w:before="0" w:after="160" w:line="259" w:lineRule="auto"/>
        <w:contextualSpacing/>
        <w:jc w:val="both"/>
        <w:rPr>
          <w:rFonts w:eastAsia="Calibri" w:cstheme="minorHAnsi"/>
          <w:sz w:val="21"/>
          <w:szCs w:val="21"/>
          <w:lang w:val="en-AU"/>
        </w:rPr>
      </w:pPr>
      <w:r w:rsidRPr="00E52640">
        <w:rPr>
          <w:rFonts w:eastAsia="Calibri" w:cstheme="minorHAnsi"/>
          <w:sz w:val="21"/>
          <w:szCs w:val="21"/>
          <w:lang w:val="en-AU"/>
        </w:rPr>
        <w:t>Expansion, investment and innovation of the food processing industry in Indonesia using Australian wheat for producing baked goods and noodles.</w:t>
      </w:r>
    </w:p>
    <w:p w14:paraId="5E05A9D8" w14:textId="7D73820D" w:rsidR="00CB1C18" w:rsidRPr="00E52640" w:rsidRDefault="00CB1C18" w:rsidP="00F5504F">
      <w:pPr>
        <w:numPr>
          <w:ilvl w:val="0"/>
          <w:numId w:val="87"/>
        </w:numPr>
        <w:suppressAutoHyphens w:val="0"/>
        <w:spacing w:before="0" w:after="160" w:line="259" w:lineRule="auto"/>
        <w:contextualSpacing/>
        <w:jc w:val="both"/>
        <w:rPr>
          <w:rFonts w:eastAsia="Calibri" w:cstheme="minorHAnsi"/>
          <w:sz w:val="21"/>
          <w:szCs w:val="21"/>
          <w:lang w:val="en-AU"/>
        </w:rPr>
      </w:pPr>
      <w:r w:rsidRPr="00E52640">
        <w:rPr>
          <w:rFonts w:eastAsia="Calibri" w:cstheme="minorHAnsi"/>
          <w:sz w:val="21"/>
          <w:szCs w:val="21"/>
          <w:lang w:val="en-AU"/>
        </w:rPr>
        <w:t xml:space="preserve">Increased export opportunities for Indonesian businesses </w:t>
      </w:r>
      <w:r w:rsidR="00445B37">
        <w:rPr>
          <w:rFonts w:eastAsia="Calibri" w:cstheme="minorHAnsi"/>
          <w:sz w:val="21"/>
          <w:szCs w:val="21"/>
          <w:lang w:val="en-AU"/>
        </w:rPr>
        <w:t xml:space="preserve">in food processing and animal feed, including the ones </w:t>
      </w:r>
      <w:r w:rsidRPr="00E52640">
        <w:rPr>
          <w:rFonts w:eastAsia="Calibri" w:cstheme="minorHAnsi"/>
          <w:sz w:val="21"/>
          <w:szCs w:val="21"/>
          <w:lang w:val="en-AU"/>
        </w:rPr>
        <w:t>involving Australian grains</w:t>
      </w:r>
      <w:r w:rsidR="00445B37">
        <w:rPr>
          <w:rFonts w:eastAsia="Calibri" w:cstheme="minorHAnsi"/>
          <w:sz w:val="21"/>
          <w:szCs w:val="21"/>
          <w:lang w:val="en-AU"/>
        </w:rPr>
        <w:t>, to Australia and other countries</w:t>
      </w:r>
    </w:p>
    <w:p w14:paraId="1A519C43" w14:textId="77777777" w:rsidR="00CB1C18" w:rsidRPr="00E52640" w:rsidRDefault="00CB1C18" w:rsidP="00F5504F">
      <w:pPr>
        <w:numPr>
          <w:ilvl w:val="0"/>
          <w:numId w:val="87"/>
        </w:numPr>
        <w:suppressAutoHyphens w:val="0"/>
        <w:spacing w:before="0" w:after="160" w:line="259" w:lineRule="auto"/>
        <w:contextualSpacing/>
        <w:jc w:val="both"/>
        <w:rPr>
          <w:rFonts w:eastAsia="Calibri" w:cstheme="minorHAnsi"/>
          <w:sz w:val="21"/>
          <w:szCs w:val="21"/>
          <w:lang w:val="en-AU"/>
        </w:rPr>
      </w:pPr>
      <w:r w:rsidRPr="00E52640">
        <w:rPr>
          <w:rFonts w:eastAsia="Calibri" w:cstheme="minorHAnsi"/>
          <w:sz w:val="21"/>
          <w:szCs w:val="21"/>
          <w:lang w:val="en-AU"/>
        </w:rPr>
        <w:t>Increase productivity and innovation across value chains that use feed grains to reduce cost of production and increase availability of affordable protein for poultry, aquaculture and cattle.</w:t>
      </w:r>
    </w:p>
    <w:p w14:paraId="47E4732E" w14:textId="0C8CF58D" w:rsidR="00CB1C18" w:rsidRPr="00E52640" w:rsidRDefault="00CB1C18" w:rsidP="00F5504F">
      <w:pPr>
        <w:numPr>
          <w:ilvl w:val="0"/>
          <w:numId w:val="87"/>
        </w:numPr>
        <w:suppressAutoHyphens w:val="0"/>
        <w:spacing w:before="0" w:after="160" w:line="259" w:lineRule="auto"/>
        <w:contextualSpacing/>
        <w:jc w:val="both"/>
        <w:rPr>
          <w:rFonts w:eastAsia="Calibri" w:cstheme="minorHAnsi"/>
          <w:sz w:val="21"/>
          <w:szCs w:val="21"/>
          <w:lang w:val="en-AU"/>
        </w:rPr>
      </w:pPr>
      <w:r w:rsidRPr="00E52640">
        <w:rPr>
          <w:rFonts w:eastAsia="Calibri" w:cstheme="minorHAnsi"/>
          <w:sz w:val="21"/>
          <w:szCs w:val="21"/>
          <w:lang w:val="en-AU"/>
        </w:rPr>
        <w:t xml:space="preserve">Standards </w:t>
      </w:r>
      <w:r w:rsidR="000E444B">
        <w:rPr>
          <w:rFonts w:cstheme="majorHAnsi"/>
          <w:sz w:val="20"/>
          <w:szCs w:val="21"/>
        </w:rPr>
        <w:t xml:space="preserve">and conformance </w:t>
      </w:r>
      <w:r w:rsidRPr="00E52640">
        <w:rPr>
          <w:rFonts w:eastAsia="Calibri" w:cstheme="minorHAnsi"/>
          <w:sz w:val="21"/>
          <w:szCs w:val="21"/>
          <w:lang w:val="en-AU"/>
        </w:rPr>
        <w:t>in the sector are harmonised between Australia and Indonesia</w:t>
      </w:r>
    </w:p>
    <w:p w14:paraId="2223986F" w14:textId="77777777" w:rsidR="00CB1C18" w:rsidRPr="00E52640" w:rsidRDefault="00CB1C18" w:rsidP="00F5504F">
      <w:pPr>
        <w:numPr>
          <w:ilvl w:val="0"/>
          <w:numId w:val="87"/>
        </w:numPr>
        <w:suppressAutoHyphens w:val="0"/>
        <w:spacing w:before="0" w:after="160" w:line="259" w:lineRule="auto"/>
        <w:contextualSpacing/>
        <w:jc w:val="both"/>
        <w:rPr>
          <w:rFonts w:eastAsia="Calibri" w:cstheme="minorHAnsi"/>
          <w:sz w:val="21"/>
          <w:szCs w:val="21"/>
          <w:lang w:val="en-AU"/>
        </w:rPr>
      </w:pPr>
      <w:r w:rsidRPr="00E52640">
        <w:rPr>
          <w:rFonts w:eastAsia="Calibri" w:cstheme="minorHAnsi"/>
          <w:sz w:val="21"/>
          <w:szCs w:val="21"/>
          <w:lang w:val="en-AU"/>
        </w:rPr>
        <w:t>Improved capacity in modern operating environments for feed and grain mills.</w:t>
      </w:r>
    </w:p>
    <w:p w14:paraId="4A9BA34E" w14:textId="77777777" w:rsidR="00CB1C18" w:rsidRPr="00105EF8" w:rsidRDefault="00CB1C18" w:rsidP="00105EF8">
      <w:pPr>
        <w:spacing w:before="240" w:after="120" w:line="259" w:lineRule="auto"/>
        <w:jc w:val="both"/>
        <w:rPr>
          <w:rFonts w:eastAsia="Calibri" w:cstheme="minorHAnsi"/>
          <w:b/>
          <w:i/>
          <w:sz w:val="21"/>
          <w:szCs w:val="21"/>
          <w:lang w:val="en-AU"/>
        </w:rPr>
      </w:pPr>
      <w:r w:rsidRPr="00105EF8">
        <w:rPr>
          <w:rFonts w:eastAsia="Calibri" w:cstheme="minorHAnsi"/>
          <w:b/>
          <w:i/>
          <w:sz w:val="21"/>
          <w:szCs w:val="21"/>
          <w:lang w:val="en-AU"/>
        </w:rPr>
        <w:t>Intermediate outcomes</w:t>
      </w:r>
    </w:p>
    <w:p w14:paraId="4FD4BE07" w14:textId="77777777" w:rsidR="00CB1C18" w:rsidRPr="00E52640" w:rsidRDefault="00CB1C18" w:rsidP="00F5504F">
      <w:pPr>
        <w:numPr>
          <w:ilvl w:val="0"/>
          <w:numId w:val="87"/>
        </w:numPr>
        <w:suppressAutoHyphens w:val="0"/>
        <w:spacing w:before="0" w:after="160" w:line="259" w:lineRule="auto"/>
        <w:contextualSpacing/>
        <w:jc w:val="both"/>
        <w:rPr>
          <w:rFonts w:eastAsia="Calibri" w:cstheme="minorHAnsi"/>
          <w:sz w:val="21"/>
          <w:szCs w:val="21"/>
          <w:lang w:val="en-AU"/>
        </w:rPr>
      </w:pPr>
      <w:r w:rsidRPr="00E52640">
        <w:rPr>
          <w:rFonts w:eastAsia="Calibri" w:cstheme="minorHAnsi"/>
          <w:sz w:val="21"/>
          <w:szCs w:val="21"/>
          <w:lang w:val="en-AU"/>
        </w:rPr>
        <w:t xml:space="preserve">Increased grain trade between Australia and Indonesia for feed mills and grain mills. </w:t>
      </w:r>
    </w:p>
    <w:p w14:paraId="2F8AF274" w14:textId="77777777" w:rsidR="00CB1C18" w:rsidRPr="00E52640" w:rsidRDefault="00CB1C18" w:rsidP="00F5504F">
      <w:pPr>
        <w:numPr>
          <w:ilvl w:val="0"/>
          <w:numId w:val="87"/>
        </w:numPr>
        <w:suppressAutoHyphens w:val="0"/>
        <w:spacing w:before="0" w:after="160" w:line="259" w:lineRule="auto"/>
        <w:contextualSpacing/>
        <w:jc w:val="both"/>
        <w:rPr>
          <w:rFonts w:eastAsia="Calibri" w:cstheme="minorHAnsi"/>
          <w:sz w:val="21"/>
          <w:szCs w:val="21"/>
          <w:lang w:val="en-AU"/>
        </w:rPr>
      </w:pPr>
      <w:r w:rsidRPr="00E52640">
        <w:rPr>
          <w:rFonts w:eastAsia="Calibri" w:cstheme="minorHAnsi"/>
          <w:sz w:val="21"/>
          <w:szCs w:val="21"/>
          <w:lang w:val="en-AU"/>
        </w:rPr>
        <w:t>Improved capacity of male and female leaders and middle managers in the private and public sectors on grains value-chain and grain value adding businesses.</w:t>
      </w:r>
    </w:p>
    <w:p w14:paraId="008412CD" w14:textId="77777777" w:rsidR="00CB1C18" w:rsidRPr="00E52640" w:rsidRDefault="00CB1C18" w:rsidP="00F5504F">
      <w:pPr>
        <w:numPr>
          <w:ilvl w:val="0"/>
          <w:numId w:val="87"/>
        </w:numPr>
        <w:suppressAutoHyphens w:val="0"/>
        <w:spacing w:before="0" w:after="160" w:line="259" w:lineRule="auto"/>
        <w:contextualSpacing/>
        <w:jc w:val="both"/>
        <w:rPr>
          <w:rFonts w:eastAsia="Calibri" w:cstheme="minorHAnsi"/>
          <w:sz w:val="21"/>
          <w:szCs w:val="21"/>
          <w:lang w:val="en-AU"/>
        </w:rPr>
      </w:pPr>
      <w:r w:rsidRPr="00E52640">
        <w:rPr>
          <w:rFonts w:eastAsia="Calibri" w:cstheme="minorHAnsi"/>
          <w:sz w:val="21"/>
          <w:szCs w:val="21"/>
          <w:lang w:val="en-AU"/>
        </w:rPr>
        <w:t>Emerging partnerships in the grains value chain between Australia and Indonesia.</w:t>
      </w:r>
    </w:p>
    <w:p w14:paraId="65D200F6" w14:textId="77777777" w:rsidR="00CB1C18" w:rsidRPr="00E52640" w:rsidRDefault="00CB1C18" w:rsidP="00F5504F">
      <w:pPr>
        <w:numPr>
          <w:ilvl w:val="0"/>
          <w:numId w:val="87"/>
        </w:numPr>
        <w:suppressAutoHyphens w:val="0"/>
        <w:spacing w:before="0" w:after="160" w:line="259" w:lineRule="auto"/>
        <w:contextualSpacing/>
        <w:jc w:val="both"/>
        <w:rPr>
          <w:rFonts w:eastAsia="Calibri" w:cstheme="minorHAnsi"/>
          <w:sz w:val="21"/>
          <w:szCs w:val="21"/>
          <w:lang w:val="en-AU"/>
        </w:rPr>
      </w:pPr>
      <w:r w:rsidRPr="00E52640">
        <w:rPr>
          <w:rFonts w:eastAsia="Calibri" w:cstheme="minorHAnsi"/>
          <w:sz w:val="21"/>
          <w:szCs w:val="21"/>
          <w:lang w:val="en-AU"/>
        </w:rPr>
        <w:t>Train the trainer participants, both men and women, commence training of others in food processing, baking and noodle production.</w:t>
      </w:r>
    </w:p>
    <w:p w14:paraId="447BC9F1" w14:textId="77777777" w:rsidR="00CB1C18" w:rsidRPr="00105EF8" w:rsidRDefault="00CB1C18" w:rsidP="00105EF8">
      <w:pPr>
        <w:spacing w:before="240" w:after="120" w:line="259" w:lineRule="auto"/>
        <w:jc w:val="both"/>
        <w:rPr>
          <w:rFonts w:eastAsia="Calibri" w:cstheme="minorHAnsi"/>
          <w:b/>
          <w:i/>
          <w:sz w:val="21"/>
          <w:szCs w:val="21"/>
          <w:lang w:val="en-AU"/>
        </w:rPr>
      </w:pPr>
      <w:r w:rsidRPr="00105EF8">
        <w:rPr>
          <w:rFonts w:eastAsia="Calibri" w:cstheme="minorHAnsi"/>
          <w:b/>
          <w:i/>
          <w:sz w:val="21"/>
          <w:szCs w:val="21"/>
          <w:lang w:val="en-AU"/>
        </w:rPr>
        <w:t xml:space="preserve">Immediate outcomes </w:t>
      </w:r>
    </w:p>
    <w:p w14:paraId="5BFEE90F" w14:textId="77777777" w:rsidR="00CB1C18" w:rsidRPr="00E52640" w:rsidRDefault="00CB1C18" w:rsidP="00F5504F">
      <w:pPr>
        <w:numPr>
          <w:ilvl w:val="0"/>
          <w:numId w:val="87"/>
        </w:numPr>
        <w:suppressAutoHyphens w:val="0"/>
        <w:spacing w:before="0" w:after="160" w:line="259" w:lineRule="auto"/>
        <w:contextualSpacing/>
        <w:jc w:val="both"/>
        <w:rPr>
          <w:rFonts w:eastAsia="Calibri" w:cstheme="minorHAnsi"/>
          <w:sz w:val="21"/>
          <w:szCs w:val="21"/>
          <w:lang w:val="en-AU"/>
        </w:rPr>
      </w:pPr>
      <w:r w:rsidRPr="00E52640">
        <w:rPr>
          <w:rFonts w:eastAsia="Calibri" w:cstheme="minorHAnsi"/>
          <w:sz w:val="21"/>
          <w:szCs w:val="21"/>
          <w:lang w:val="en-AU"/>
        </w:rPr>
        <w:t>Increased awareness of opportunities for grains partnerships and industry development between Australia and Indonesia.</w:t>
      </w:r>
    </w:p>
    <w:p w14:paraId="5D3FBB5D" w14:textId="77777777" w:rsidR="00CB1C18" w:rsidRPr="00E52640" w:rsidRDefault="00CB1C18" w:rsidP="00F5504F">
      <w:pPr>
        <w:numPr>
          <w:ilvl w:val="0"/>
          <w:numId w:val="87"/>
        </w:numPr>
        <w:suppressAutoHyphens w:val="0"/>
        <w:spacing w:before="0" w:after="160" w:line="259" w:lineRule="auto"/>
        <w:contextualSpacing/>
        <w:jc w:val="both"/>
        <w:rPr>
          <w:rFonts w:eastAsia="Calibri" w:cstheme="minorHAnsi"/>
          <w:sz w:val="21"/>
          <w:szCs w:val="21"/>
          <w:lang w:val="en-AU"/>
        </w:rPr>
      </w:pPr>
      <w:r w:rsidRPr="00E52640">
        <w:rPr>
          <w:rFonts w:eastAsia="Calibri" w:cstheme="minorHAnsi"/>
          <w:sz w:val="21"/>
          <w:szCs w:val="21"/>
          <w:lang w:val="en-AU"/>
        </w:rPr>
        <w:t>Information is collected and shared on value chains in the grain industry to assist industry development and forecasting.</w:t>
      </w:r>
    </w:p>
    <w:p w14:paraId="7103D398" w14:textId="56E659A5" w:rsidR="00CB1C18" w:rsidRPr="00E52640" w:rsidRDefault="00CB1C18" w:rsidP="00F5504F">
      <w:pPr>
        <w:numPr>
          <w:ilvl w:val="0"/>
          <w:numId w:val="87"/>
        </w:numPr>
        <w:suppressAutoHyphens w:val="0"/>
        <w:spacing w:before="0" w:after="160" w:line="259" w:lineRule="auto"/>
        <w:contextualSpacing/>
        <w:jc w:val="both"/>
        <w:rPr>
          <w:rFonts w:eastAsia="Calibri" w:cstheme="minorHAnsi"/>
          <w:sz w:val="21"/>
          <w:szCs w:val="21"/>
          <w:lang w:val="en-AU"/>
        </w:rPr>
      </w:pPr>
      <w:r w:rsidRPr="00E52640">
        <w:rPr>
          <w:rFonts w:eastAsia="Calibri" w:cstheme="minorHAnsi"/>
          <w:sz w:val="21"/>
          <w:szCs w:val="21"/>
          <w:lang w:val="en-AU"/>
        </w:rPr>
        <w:t xml:space="preserve">Increasing demand for participation in training programs, </w:t>
      </w:r>
      <w:r w:rsidR="00F80795">
        <w:rPr>
          <w:rFonts w:eastAsia="Calibri" w:cstheme="minorHAnsi"/>
          <w:sz w:val="21"/>
          <w:szCs w:val="21"/>
          <w:lang w:val="en-AU"/>
        </w:rPr>
        <w:t>including</w:t>
      </w:r>
      <w:r w:rsidRPr="00E52640">
        <w:rPr>
          <w:rFonts w:eastAsia="Calibri" w:cstheme="minorHAnsi"/>
          <w:sz w:val="21"/>
          <w:szCs w:val="21"/>
          <w:lang w:val="en-AU"/>
        </w:rPr>
        <w:t xml:space="preserve"> greater female participation.</w:t>
      </w:r>
    </w:p>
    <w:p w14:paraId="3AD9753D" w14:textId="77777777" w:rsidR="00CB1C18" w:rsidRPr="00E52640" w:rsidRDefault="00CB1C18" w:rsidP="00105EF8">
      <w:pPr>
        <w:spacing w:before="240" w:after="160" w:line="259" w:lineRule="auto"/>
        <w:jc w:val="both"/>
        <w:rPr>
          <w:rFonts w:eastAsia="Calibri" w:cstheme="minorHAnsi"/>
          <w:b/>
          <w:sz w:val="21"/>
          <w:szCs w:val="21"/>
          <w:lang w:val="en-AU"/>
        </w:rPr>
      </w:pPr>
      <w:r w:rsidRPr="00E52640">
        <w:rPr>
          <w:rFonts w:eastAsia="Calibri" w:cstheme="minorHAnsi"/>
          <w:b/>
          <w:sz w:val="21"/>
          <w:szCs w:val="21"/>
          <w:lang w:val="en-AU"/>
        </w:rPr>
        <w:t>Activities and Outputs</w:t>
      </w:r>
    </w:p>
    <w:p w14:paraId="43738B4A" w14:textId="77777777" w:rsidR="00CB1C18" w:rsidRPr="00E52640" w:rsidRDefault="00CB1C18" w:rsidP="00F5504F">
      <w:pPr>
        <w:numPr>
          <w:ilvl w:val="0"/>
          <w:numId w:val="90"/>
        </w:numPr>
        <w:suppressAutoHyphens w:val="0"/>
        <w:spacing w:before="0" w:after="160" w:line="259" w:lineRule="auto"/>
        <w:contextualSpacing/>
        <w:jc w:val="both"/>
        <w:rPr>
          <w:rFonts w:eastAsia="Calibri" w:cstheme="minorHAnsi"/>
          <w:sz w:val="21"/>
          <w:szCs w:val="21"/>
          <w:lang w:val="en-AU"/>
        </w:rPr>
      </w:pPr>
      <w:r w:rsidRPr="00E52640">
        <w:rPr>
          <w:rFonts w:eastAsia="Calibri" w:cstheme="minorHAnsi"/>
          <w:sz w:val="21"/>
          <w:szCs w:val="21"/>
          <w:lang w:val="en-AU"/>
        </w:rPr>
        <w:t>Develop and implement a training program on Grains value-chain leadership for male and female leaders and middle managers in the grains industry.</w:t>
      </w:r>
    </w:p>
    <w:p w14:paraId="42B35F76" w14:textId="77777777" w:rsidR="00CB1C18" w:rsidRPr="00E52640" w:rsidRDefault="00CB1C18" w:rsidP="00F5504F">
      <w:pPr>
        <w:numPr>
          <w:ilvl w:val="0"/>
          <w:numId w:val="90"/>
        </w:numPr>
        <w:suppressAutoHyphens w:val="0"/>
        <w:spacing w:before="0" w:after="160" w:line="259" w:lineRule="auto"/>
        <w:contextualSpacing/>
        <w:jc w:val="both"/>
        <w:rPr>
          <w:rFonts w:eastAsia="Calibri" w:cstheme="minorHAnsi"/>
          <w:sz w:val="21"/>
          <w:szCs w:val="21"/>
          <w:lang w:val="en-AU"/>
        </w:rPr>
      </w:pPr>
      <w:r w:rsidRPr="00E52640">
        <w:rPr>
          <w:rFonts w:eastAsia="Calibri" w:cstheme="minorHAnsi"/>
          <w:sz w:val="21"/>
          <w:szCs w:val="21"/>
          <w:lang w:val="en-AU"/>
        </w:rPr>
        <w:t>Develop the</w:t>
      </w:r>
      <w:r w:rsidRPr="00E52640">
        <w:rPr>
          <w:rFonts w:eastAsia="Calibri" w:cstheme="minorHAnsi"/>
          <w:b/>
          <w:sz w:val="21"/>
          <w:szCs w:val="21"/>
          <w:lang w:val="en-AU"/>
        </w:rPr>
        <w:t xml:space="preserve"> Food Advantage training program aimed at Indonesian SME’s</w:t>
      </w:r>
      <w:r w:rsidRPr="00E52640">
        <w:rPr>
          <w:rFonts w:eastAsia="Calibri" w:cstheme="minorHAnsi"/>
          <w:sz w:val="21"/>
          <w:szCs w:val="21"/>
          <w:lang w:val="en-AU"/>
        </w:rPr>
        <w:t>. It involves a train the trainer program and delivering technical training modules for SME’s involved in the production of baked goods and fresh noodles.</w:t>
      </w:r>
    </w:p>
    <w:p w14:paraId="766219F1" w14:textId="77777777" w:rsidR="00CB1C18" w:rsidRPr="00E52640" w:rsidRDefault="00CB1C18" w:rsidP="00F5504F">
      <w:pPr>
        <w:numPr>
          <w:ilvl w:val="0"/>
          <w:numId w:val="90"/>
        </w:numPr>
        <w:suppressAutoHyphens w:val="0"/>
        <w:spacing w:before="0" w:after="160" w:line="259" w:lineRule="auto"/>
        <w:contextualSpacing/>
        <w:jc w:val="both"/>
        <w:rPr>
          <w:rFonts w:eastAsia="Calibri" w:cstheme="minorHAnsi"/>
          <w:sz w:val="21"/>
          <w:szCs w:val="21"/>
          <w:lang w:val="en-AU"/>
        </w:rPr>
      </w:pPr>
      <w:r w:rsidRPr="00E52640">
        <w:rPr>
          <w:rFonts w:eastAsia="Calibri" w:cstheme="minorHAnsi"/>
          <w:sz w:val="21"/>
          <w:szCs w:val="21"/>
          <w:lang w:val="en-AU"/>
        </w:rPr>
        <w:t>Establish a grains partnership annual forum or symposium to bring together businesses, trainers and alumni to share latest trends, innovation and technology. There will be an emphasis on creating greater opportunities for women leaders in the industry.</w:t>
      </w:r>
    </w:p>
    <w:p w14:paraId="2C8A17DB" w14:textId="77777777" w:rsidR="00CB1C18" w:rsidRPr="00E52640" w:rsidRDefault="00CB1C18" w:rsidP="00F5504F">
      <w:pPr>
        <w:numPr>
          <w:ilvl w:val="0"/>
          <w:numId w:val="90"/>
        </w:numPr>
        <w:suppressAutoHyphens w:val="0"/>
        <w:spacing w:before="0" w:after="160" w:line="259" w:lineRule="auto"/>
        <w:contextualSpacing/>
        <w:jc w:val="both"/>
        <w:rPr>
          <w:rFonts w:eastAsia="Calibri" w:cstheme="minorHAnsi"/>
          <w:sz w:val="21"/>
          <w:szCs w:val="21"/>
          <w:lang w:val="en-AU"/>
        </w:rPr>
      </w:pPr>
      <w:r w:rsidRPr="00E52640">
        <w:rPr>
          <w:rFonts w:eastAsia="Calibri" w:cstheme="minorHAnsi"/>
          <w:sz w:val="21"/>
          <w:szCs w:val="21"/>
          <w:lang w:val="en-AU"/>
        </w:rPr>
        <w:t xml:space="preserve">Undertake a scoping study to identify the major technical barriers for feed mills in Indonesia to be more adaptive, efficient and effective at processing Australian grain. </w:t>
      </w:r>
    </w:p>
    <w:p w14:paraId="48C1F637" w14:textId="46EB2687" w:rsidR="00CB1C18" w:rsidRPr="00E52640" w:rsidRDefault="00F80795" w:rsidP="00F5504F">
      <w:pPr>
        <w:numPr>
          <w:ilvl w:val="0"/>
          <w:numId w:val="90"/>
        </w:numPr>
        <w:suppressAutoHyphens w:val="0"/>
        <w:spacing w:before="0" w:after="160" w:line="259" w:lineRule="auto"/>
        <w:contextualSpacing/>
        <w:jc w:val="both"/>
        <w:rPr>
          <w:rFonts w:eastAsia="Calibri" w:cstheme="minorHAnsi"/>
          <w:sz w:val="21"/>
          <w:szCs w:val="21"/>
          <w:lang w:val="en-AU"/>
        </w:rPr>
      </w:pPr>
      <w:r>
        <w:rPr>
          <w:rFonts w:eastAsia="Calibri" w:cstheme="minorHAnsi"/>
          <w:sz w:val="21"/>
          <w:szCs w:val="21"/>
          <w:lang w:val="en-AU"/>
        </w:rPr>
        <w:t>D</w:t>
      </w:r>
      <w:r w:rsidR="00CB1C18" w:rsidRPr="00E52640">
        <w:rPr>
          <w:rFonts w:eastAsia="Calibri" w:cstheme="minorHAnsi"/>
          <w:sz w:val="21"/>
          <w:szCs w:val="21"/>
          <w:lang w:val="en-AU"/>
        </w:rPr>
        <w:t>evelop a train the trainer program on advanced feed milling technology and processes.</w:t>
      </w:r>
    </w:p>
    <w:p w14:paraId="540F64A9" w14:textId="77777777" w:rsidR="00CB1C18" w:rsidRPr="00E52640" w:rsidRDefault="00CB1C18" w:rsidP="00F5504F">
      <w:pPr>
        <w:numPr>
          <w:ilvl w:val="0"/>
          <w:numId w:val="90"/>
        </w:numPr>
        <w:suppressAutoHyphens w:val="0"/>
        <w:spacing w:before="0" w:after="160" w:line="259" w:lineRule="auto"/>
        <w:contextualSpacing/>
        <w:jc w:val="both"/>
        <w:rPr>
          <w:rFonts w:eastAsia="Calibri" w:cstheme="minorHAnsi"/>
          <w:sz w:val="21"/>
          <w:szCs w:val="21"/>
          <w:lang w:val="en-AU"/>
        </w:rPr>
      </w:pPr>
      <w:r w:rsidRPr="00E52640">
        <w:rPr>
          <w:rFonts w:eastAsia="Calibri" w:cstheme="minorHAnsi"/>
          <w:sz w:val="21"/>
          <w:szCs w:val="21"/>
          <w:lang w:val="en-AU"/>
        </w:rPr>
        <w:t>Implement a government to government program to improve industry forecasting and sharing lessons between Australian and Indonesian industry.</w:t>
      </w:r>
    </w:p>
    <w:p w14:paraId="6D958893" w14:textId="77777777" w:rsidR="00CB1C18" w:rsidRPr="00E52640" w:rsidRDefault="00CB1C18" w:rsidP="00CB1C18">
      <w:pPr>
        <w:spacing w:after="160" w:line="259" w:lineRule="auto"/>
        <w:jc w:val="both"/>
        <w:rPr>
          <w:rFonts w:eastAsia="Calibri" w:cstheme="minorHAnsi"/>
          <w:b/>
          <w:sz w:val="21"/>
          <w:szCs w:val="21"/>
          <w:lang w:val="en-AU"/>
        </w:rPr>
      </w:pPr>
      <w:r w:rsidRPr="00E52640">
        <w:rPr>
          <w:rFonts w:eastAsia="Calibri" w:cstheme="minorHAnsi"/>
          <w:b/>
          <w:sz w:val="21"/>
          <w:szCs w:val="21"/>
          <w:lang w:val="en-AU"/>
        </w:rPr>
        <w:t>KPIs</w:t>
      </w:r>
    </w:p>
    <w:p w14:paraId="1CA55FCC" w14:textId="77777777" w:rsidR="00CB1C18" w:rsidRPr="00E52640" w:rsidRDefault="00CB1C18" w:rsidP="00F5504F">
      <w:pPr>
        <w:numPr>
          <w:ilvl w:val="0"/>
          <w:numId w:val="89"/>
        </w:numPr>
        <w:suppressAutoHyphens w:val="0"/>
        <w:spacing w:before="0" w:after="160" w:line="259" w:lineRule="auto"/>
        <w:contextualSpacing/>
        <w:jc w:val="both"/>
        <w:rPr>
          <w:rFonts w:eastAsia="Calibri" w:cstheme="minorHAnsi"/>
          <w:sz w:val="21"/>
          <w:szCs w:val="21"/>
          <w:lang w:val="en-AU"/>
        </w:rPr>
      </w:pPr>
      <w:r w:rsidRPr="00E52640">
        <w:rPr>
          <w:rFonts w:eastAsia="Calibri" w:cstheme="minorHAnsi"/>
          <w:sz w:val="21"/>
          <w:szCs w:val="21"/>
          <w:lang w:val="en-AU"/>
        </w:rPr>
        <w:t>Trade and investment flows</w:t>
      </w:r>
    </w:p>
    <w:p w14:paraId="0F58DA46" w14:textId="77777777" w:rsidR="00CB1C18" w:rsidRPr="00E52640" w:rsidRDefault="00CB1C18" w:rsidP="00F5504F">
      <w:pPr>
        <w:numPr>
          <w:ilvl w:val="0"/>
          <w:numId w:val="89"/>
        </w:numPr>
        <w:suppressAutoHyphens w:val="0"/>
        <w:spacing w:before="0" w:after="160" w:line="259" w:lineRule="auto"/>
        <w:contextualSpacing/>
        <w:jc w:val="both"/>
        <w:rPr>
          <w:rFonts w:eastAsia="Calibri" w:cstheme="minorHAnsi"/>
          <w:sz w:val="21"/>
          <w:szCs w:val="21"/>
          <w:lang w:val="en-AU"/>
        </w:rPr>
      </w:pPr>
      <w:r w:rsidRPr="00E52640">
        <w:rPr>
          <w:rFonts w:eastAsia="Calibri" w:cstheme="minorHAnsi"/>
          <w:sz w:val="21"/>
          <w:szCs w:val="21"/>
          <w:lang w:val="en-AU"/>
        </w:rPr>
        <w:lastRenderedPageBreak/>
        <w:t>Quality of partnerships in grain and food processing industries</w:t>
      </w:r>
    </w:p>
    <w:p w14:paraId="5EBA55A4" w14:textId="77777777" w:rsidR="00CB1C18" w:rsidRPr="00E52640" w:rsidRDefault="00CB1C18" w:rsidP="00F5504F">
      <w:pPr>
        <w:numPr>
          <w:ilvl w:val="0"/>
          <w:numId w:val="89"/>
        </w:numPr>
        <w:suppressAutoHyphens w:val="0"/>
        <w:spacing w:before="0" w:after="160" w:line="259" w:lineRule="auto"/>
        <w:contextualSpacing/>
        <w:jc w:val="both"/>
        <w:rPr>
          <w:rFonts w:eastAsia="Calibri" w:cstheme="minorHAnsi"/>
          <w:sz w:val="21"/>
          <w:szCs w:val="21"/>
          <w:lang w:val="en-AU"/>
        </w:rPr>
      </w:pPr>
      <w:r w:rsidRPr="00E52640">
        <w:rPr>
          <w:rFonts w:eastAsia="Calibri" w:cstheme="minorHAnsi"/>
          <w:sz w:val="21"/>
          <w:szCs w:val="21"/>
          <w:lang w:val="en-AU"/>
        </w:rPr>
        <w:t>Degree of alignment of food processing standards</w:t>
      </w:r>
    </w:p>
    <w:p w14:paraId="2D7466D8" w14:textId="77777777" w:rsidR="00CB1C18" w:rsidRPr="00E52640" w:rsidRDefault="00CB1C18" w:rsidP="00F5504F">
      <w:pPr>
        <w:numPr>
          <w:ilvl w:val="0"/>
          <w:numId w:val="89"/>
        </w:numPr>
        <w:suppressAutoHyphens w:val="0"/>
        <w:spacing w:before="0" w:after="160" w:line="259" w:lineRule="auto"/>
        <w:contextualSpacing/>
        <w:jc w:val="both"/>
        <w:rPr>
          <w:rFonts w:eastAsia="Calibri" w:cstheme="minorHAnsi"/>
          <w:sz w:val="21"/>
          <w:szCs w:val="21"/>
          <w:lang w:val="en-AU"/>
        </w:rPr>
      </w:pPr>
      <w:r w:rsidRPr="00E52640">
        <w:rPr>
          <w:rFonts w:eastAsia="Calibri" w:cstheme="minorHAnsi"/>
          <w:sz w:val="21"/>
          <w:szCs w:val="21"/>
          <w:lang w:val="en-AU"/>
        </w:rPr>
        <w:t>Number of women in industry leadership positions (Boards, Partnerships, Executive positions)</w:t>
      </w:r>
    </w:p>
    <w:p w14:paraId="659A4661" w14:textId="77777777" w:rsidR="00CB1C18" w:rsidRPr="00E52640" w:rsidRDefault="00CB1C18" w:rsidP="00F5504F">
      <w:pPr>
        <w:numPr>
          <w:ilvl w:val="0"/>
          <w:numId w:val="89"/>
        </w:numPr>
        <w:suppressAutoHyphens w:val="0"/>
        <w:spacing w:before="0" w:after="160" w:line="259" w:lineRule="auto"/>
        <w:contextualSpacing/>
        <w:jc w:val="both"/>
        <w:rPr>
          <w:rFonts w:eastAsia="Calibri" w:cstheme="minorHAnsi"/>
          <w:sz w:val="21"/>
          <w:szCs w:val="21"/>
          <w:lang w:val="en-AU"/>
        </w:rPr>
      </w:pPr>
      <w:r w:rsidRPr="00E52640">
        <w:rPr>
          <w:rFonts w:eastAsia="Calibri" w:cstheme="minorHAnsi"/>
          <w:sz w:val="21"/>
          <w:szCs w:val="21"/>
          <w:lang w:val="en-AU"/>
        </w:rPr>
        <w:t>Number of males and females trained</w:t>
      </w:r>
    </w:p>
    <w:p w14:paraId="0387A35A" w14:textId="53512342" w:rsidR="00CB1C18" w:rsidRDefault="00CB1C18" w:rsidP="00F5504F">
      <w:pPr>
        <w:numPr>
          <w:ilvl w:val="0"/>
          <w:numId w:val="89"/>
        </w:numPr>
        <w:suppressAutoHyphens w:val="0"/>
        <w:spacing w:before="0" w:after="160" w:line="259" w:lineRule="auto"/>
        <w:contextualSpacing/>
        <w:jc w:val="both"/>
        <w:rPr>
          <w:rFonts w:cstheme="minorHAnsi"/>
          <w:b/>
          <w:sz w:val="21"/>
          <w:szCs w:val="21"/>
        </w:rPr>
      </w:pPr>
      <w:r w:rsidRPr="00E52640">
        <w:rPr>
          <w:rFonts w:eastAsia="Calibri" w:cstheme="minorHAnsi"/>
          <w:sz w:val="21"/>
          <w:szCs w:val="21"/>
          <w:lang w:val="en-AU"/>
        </w:rPr>
        <w:t>Level of new industry investment</w:t>
      </w:r>
    </w:p>
    <w:p w14:paraId="3CE43305" w14:textId="77777777" w:rsidR="00920BDD" w:rsidRPr="00E52640" w:rsidRDefault="00920BDD" w:rsidP="007C4ABD">
      <w:pPr>
        <w:suppressAutoHyphens w:val="0"/>
        <w:spacing w:before="0" w:after="160" w:line="259" w:lineRule="auto"/>
        <w:ind w:left="360"/>
        <w:contextualSpacing/>
        <w:jc w:val="both"/>
        <w:rPr>
          <w:rFonts w:cstheme="minorHAnsi"/>
          <w:b/>
          <w:sz w:val="21"/>
          <w:szCs w:val="21"/>
        </w:rPr>
      </w:pPr>
    </w:p>
    <w:p w14:paraId="2818A0A2"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b/>
          <w:bCs/>
          <w:iCs/>
          <w:sz w:val="21"/>
          <w:szCs w:val="21"/>
        </w:rPr>
      </w:pPr>
      <w:r w:rsidRPr="00E52640">
        <w:rPr>
          <w:rFonts w:cstheme="minorHAnsi"/>
          <w:b/>
          <w:bCs/>
          <w:iCs/>
          <w:sz w:val="21"/>
          <w:szCs w:val="21"/>
        </w:rPr>
        <w:t>What changes are sought or intended in systems, practice, institutions, or policies?</w:t>
      </w:r>
    </w:p>
    <w:p w14:paraId="53D73766"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sz w:val="21"/>
          <w:szCs w:val="21"/>
        </w:rPr>
      </w:pPr>
      <w:r w:rsidRPr="00E52640">
        <w:rPr>
          <w:rFonts w:cstheme="minorHAnsi"/>
          <w:sz w:val="21"/>
          <w:szCs w:val="21"/>
        </w:rPr>
        <w:t xml:space="preserve">This activity fits within the ECP Investment Prioritisation Framework being focused on the priority sector of </w:t>
      </w:r>
      <w:proofErr w:type="spellStart"/>
      <w:r w:rsidRPr="00E52640">
        <w:rPr>
          <w:rFonts w:cstheme="minorHAnsi"/>
          <w:sz w:val="21"/>
          <w:szCs w:val="21"/>
        </w:rPr>
        <w:t>agrifood</w:t>
      </w:r>
      <w:proofErr w:type="spellEnd"/>
      <w:r w:rsidRPr="00E52640">
        <w:rPr>
          <w:rFonts w:cstheme="minorHAnsi"/>
          <w:sz w:val="21"/>
          <w:szCs w:val="21"/>
        </w:rPr>
        <w:t xml:space="preserve"> and contributing to the outcome of “Better Integrated Markets” through closer partnerships and aligned standards.</w:t>
      </w:r>
    </w:p>
    <w:p w14:paraId="1ED08455" w14:textId="77777777" w:rsidR="00282CED" w:rsidRPr="001C251C" w:rsidRDefault="00282CED" w:rsidP="00282CED">
      <w:pPr>
        <w:spacing w:after="120"/>
        <w:jc w:val="both"/>
        <w:rPr>
          <w:rFonts w:cstheme="minorHAnsi"/>
          <w:b/>
          <w:bCs/>
          <w:sz w:val="21"/>
          <w:szCs w:val="21"/>
        </w:rPr>
      </w:pPr>
      <w:r w:rsidRPr="001C251C">
        <w:rPr>
          <w:rFonts w:cstheme="minorHAnsi"/>
          <w:b/>
          <w:bCs/>
          <w:sz w:val="21"/>
          <w:szCs w:val="21"/>
        </w:rPr>
        <w:t xml:space="preserve">How </w:t>
      </w:r>
      <w:r>
        <w:rPr>
          <w:rFonts w:cstheme="minorHAnsi"/>
          <w:b/>
          <w:bCs/>
          <w:sz w:val="21"/>
          <w:szCs w:val="21"/>
        </w:rPr>
        <w:t>the Activity will be implemented</w:t>
      </w:r>
    </w:p>
    <w:p w14:paraId="638CBA67"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sz w:val="21"/>
          <w:szCs w:val="21"/>
        </w:rPr>
      </w:pPr>
      <w:r w:rsidRPr="00E52640">
        <w:rPr>
          <w:rFonts w:cstheme="minorHAnsi"/>
          <w:sz w:val="21"/>
          <w:szCs w:val="21"/>
        </w:rPr>
        <w:t xml:space="preserve">This activity will be achieved through three major components of work across the grains value chain and enabling government to government activity for collection and forecasting of grain production. </w:t>
      </w:r>
      <w:r w:rsidRPr="00E52640">
        <w:rPr>
          <w:rFonts w:cstheme="minorHAnsi"/>
          <w:b/>
          <w:sz w:val="21"/>
          <w:szCs w:val="21"/>
        </w:rPr>
        <w:t xml:space="preserve">The Grains Partnership is proposed as the first </w:t>
      </w:r>
      <w:proofErr w:type="spellStart"/>
      <w:r w:rsidRPr="00E52640">
        <w:rPr>
          <w:rFonts w:cstheme="minorHAnsi"/>
          <w:b/>
          <w:sz w:val="21"/>
          <w:szCs w:val="21"/>
        </w:rPr>
        <w:t>agrifood</w:t>
      </w:r>
      <w:proofErr w:type="spellEnd"/>
      <w:r w:rsidRPr="00E52640">
        <w:rPr>
          <w:rFonts w:cstheme="minorHAnsi"/>
          <w:b/>
          <w:sz w:val="21"/>
          <w:szCs w:val="21"/>
        </w:rPr>
        <w:t xml:space="preserve"> innovation partnership to be established in the ECP.</w:t>
      </w:r>
      <w:r w:rsidRPr="00E52640">
        <w:rPr>
          <w:rFonts w:cstheme="minorHAnsi"/>
          <w:sz w:val="21"/>
          <w:szCs w:val="21"/>
        </w:rPr>
        <w:t xml:space="preserve"> </w:t>
      </w:r>
    </w:p>
    <w:p w14:paraId="28D7EDEB"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iCs/>
          <w:sz w:val="21"/>
          <w:szCs w:val="21"/>
        </w:rPr>
      </w:pPr>
      <w:r w:rsidRPr="00E52640">
        <w:rPr>
          <w:rFonts w:cstheme="minorHAnsi"/>
          <w:iCs/>
          <w:noProof/>
          <w:sz w:val="21"/>
          <w:szCs w:val="21"/>
          <w:lang w:val="en-AU" w:eastAsia="en-AU"/>
        </w:rPr>
        <w:drawing>
          <wp:inline distT="0" distB="0" distL="0" distR="0" wp14:anchorId="54AEA14E" wp14:editId="4A6F1257">
            <wp:extent cx="3625403" cy="2165985"/>
            <wp:effectExtent l="0" t="0" r="0" b="5715"/>
            <wp:docPr id="61" name="Diagram 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7ECF1B72" w14:textId="365F17CA" w:rsidR="00CB1C18" w:rsidRPr="00645951" w:rsidRDefault="00645951"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i/>
          <w:iCs/>
          <w:sz w:val="21"/>
          <w:szCs w:val="21"/>
        </w:rPr>
      </w:pPr>
      <w:r w:rsidRPr="00645951">
        <w:rPr>
          <w:rFonts w:cstheme="minorHAnsi"/>
          <w:b/>
          <w:i/>
          <w:iCs/>
          <w:sz w:val="21"/>
          <w:szCs w:val="21"/>
        </w:rPr>
        <w:t xml:space="preserve">1. </w:t>
      </w:r>
      <w:r w:rsidR="00CB1C18" w:rsidRPr="00645951">
        <w:rPr>
          <w:rFonts w:cstheme="minorHAnsi"/>
          <w:b/>
          <w:i/>
          <w:iCs/>
          <w:sz w:val="21"/>
          <w:szCs w:val="21"/>
        </w:rPr>
        <w:t>Developing grains value chain leadership</w:t>
      </w:r>
    </w:p>
    <w:p w14:paraId="6A5CE4C4"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iCs/>
          <w:sz w:val="21"/>
          <w:szCs w:val="21"/>
        </w:rPr>
      </w:pPr>
      <w:r w:rsidRPr="00E52640">
        <w:rPr>
          <w:rFonts w:cstheme="minorHAnsi"/>
          <w:iCs/>
          <w:sz w:val="21"/>
          <w:szCs w:val="21"/>
        </w:rPr>
        <w:t xml:space="preserve">The operating environment for all organisations involved in Australia/Indonesia grains value chains is changing rapidly at both strategic and operational levels. These changes are driven by consumers, competitors, climate change, biosecurity and technology. The dynamic environment presents challenges for government policy-makers, regulators, industry organisations and businesses in both countries. </w:t>
      </w:r>
    </w:p>
    <w:p w14:paraId="08C112E4"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iCs/>
          <w:sz w:val="21"/>
          <w:szCs w:val="21"/>
        </w:rPr>
      </w:pPr>
      <w:r w:rsidRPr="00E52640">
        <w:rPr>
          <w:rFonts w:cstheme="minorHAnsi"/>
          <w:iCs/>
          <w:sz w:val="21"/>
          <w:szCs w:val="21"/>
        </w:rPr>
        <w:t xml:space="preserve">Developing the capacity of men and women leaders and middle-managers in the private and public sector is fundamental to enable and accelerate the transition and growth of grain value chain businesses. </w:t>
      </w:r>
    </w:p>
    <w:p w14:paraId="71FE6694"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iCs/>
          <w:sz w:val="21"/>
          <w:szCs w:val="21"/>
        </w:rPr>
      </w:pPr>
      <w:r w:rsidRPr="00E52640">
        <w:rPr>
          <w:rFonts w:cstheme="minorHAnsi"/>
          <w:iCs/>
          <w:sz w:val="21"/>
          <w:szCs w:val="21"/>
        </w:rPr>
        <w:t>A grains value-chain leadership course will be designed and offered for up to 25 people per year over five years. It will involve a short course of two weeks in Australia including pre and post workshops for participants and be delivered through the Australia Awards program. Participants would include Indonesian government officials and middle managers from businesses such as: flour and feed milling; food processing; and livestock production. There will be an emphasis on involving equal numbers of men and women.</w:t>
      </w:r>
    </w:p>
    <w:p w14:paraId="47B22CFB"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iCs/>
          <w:sz w:val="21"/>
          <w:szCs w:val="21"/>
        </w:rPr>
      </w:pPr>
      <w:r w:rsidRPr="00E52640">
        <w:rPr>
          <w:rFonts w:cstheme="minorHAnsi"/>
          <w:iCs/>
          <w:sz w:val="21"/>
          <w:szCs w:val="21"/>
        </w:rPr>
        <w:t>People from medium or larger Indonesian businesses involved in grains/food value chains that operate nationally, but are not yet involved in export would be encouraged to be part of the leadership course, particularly women. These ‘export ready’ firms are well-positioned to take the next step and become involved in exporting, which is a high priority for the Indonesian government.</w:t>
      </w:r>
    </w:p>
    <w:p w14:paraId="2613E055" w14:textId="2F8D2AB0" w:rsidR="00CB1C18" w:rsidRPr="00645951"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iCs/>
          <w:sz w:val="21"/>
          <w:szCs w:val="21"/>
          <w:lang w:val="en-AU"/>
        </w:rPr>
      </w:pPr>
      <w:r w:rsidRPr="00E52640">
        <w:rPr>
          <w:rFonts w:cstheme="minorHAnsi"/>
          <w:iCs/>
          <w:sz w:val="21"/>
          <w:szCs w:val="21"/>
          <w:lang w:val="en-AU"/>
        </w:rPr>
        <w:t>Opportunities will exist to link</w:t>
      </w:r>
      <w:r w:rsidRPr="00E52640">
        <w:rPr>
          <w:rFonts w:cstheme="minorHAnsi"/>
          <w:b/>
          <w:iCs/>
          <w:sz w:val="21"/>
          <w:szCs w:val="21"/>
        </w:rPr>
        <w:t xml:space="preserve"> </w:t>
      </w:r>
      <w:r w:rsidRPr="00E52640">
        <w:rPr>
          <w:rFonts w:cstheme="minorHAnsi"/>
          <w:bCs/>
          <w:iCs/>
          <w:sz w:val="21"/>
          <w:szCs w:val="21"/>
        </w:rPr>
        <w:t>the</w:t>
      </w:r>
      <w:r w:rsidRPr="00E52640">
        <w:rPr>
          <w:rFonts w:cstheme="minorHAnsi"/>
          <w:b/>
          <w:iCs/>
          <w:sz w:val="21"/>
          <w:szCs w:val="21"/>
        </w:rPr>
        <w:t xml:space="preserve"> </w:t>
      </w:r>
      <w:r w:rsidRPr="00E52640">
        <w:rPr>
          <w:rFonts w:cstheme="minorHAnsi"/>
          <w:bCs/>
          <w:iCs/>
          <w:sz w:val="21"/>
          <w:szCs w:val="21"/>
        </w:rPr>
        <w:t>grains value chain leadership</w:t>
      </w:r>
      <w:r w:rsidRPr="00E52640">
        <w:rPr>
          <w:rFonts w:cstheme="minorHAnsi"/>
          <w:iCs/>
          <w:sz w:val="21"/>
          <w:szCs w:val="21"/>
          <w:lang w:val="en-AU"/>
        </w:rPr>
        <w:t xml:space="preserve"> activity with existing initiatives in regions where there is a significant grains processing industry. For example, with the Partnership for Australia-Indonesia Research (PAIR) in Makassar. Similarly, there will be opportunities to work in those Provinces where there is an Australian Consulate General office, which can advise and contribute to tailoring of the partnership at local level.</w:t>
      </w:r>
    </w:p>
    <w:p w14:paraId="6391E8C8" w14:textId="26213522" w:rsidR="00CB1C18" w:rsidRPr="00645951" w:rsidRDefault="00CB1C18" w:rsidP="00645951">
      <w:pPr>
        <w:pStyle w:val="ListParagraph"/>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b/>
          <w:i/>
          <w:iCs/>
          <w:sz w:val="21"/>
          <w:szCs w:val="21"/>
        </w:rPr>
      </w:pPr>
      <w:r w:rsidRPr="00645951">
        <w:rPr>
          <w:rFonts w:cstheme="minorHAnsi"/>
          <w:b/>
          <w:i/>
          <w:iCs/>
          <w:sz w:val="21"/>
          <w:szCs w:val="21"/>
        </w:rPr>
        <w:lastRenderedPageBreak/>
        <w:t>Food Advantage: technical capability for wheat flour value-added products</w:t>
      </w:r>
    </w:p>
    <w:p w14:paraId="6F9C1A91"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iCs/>
          <w:sz w:val="21"/>
          <w:szCs w:val="21"/>
          <w:lang w:val="en-AU"/>
        </w:rPr>
      </w:pPr>
      <w:r w:rsidRPr="00E52640">
        <w:rPr>
          <w:rFonts w:cstheme="minorHAnsi"/>
          <w:iCs/>
          <w:sz w:val="21"/>
          <w:szCs w:val="21"/>
          <w:lang w:val="en-AU"/>
        </w:rPr>
        <w:t xml:space="preserve">More than two-thirds of baked goods in Indonesia are produced by small, traditional, family-owned enterprises and similar SMEs. A further 11% is produced by small boutique bakeries, while larger, mass-market enterprises produce 19% of Indonesia’s baked goods. </w:t>
      </w:r>
      <w:r w:rsidRPr="00E52640">
        <w:rPr>
          <w:rFonts w:cstheme="minorHAnsi"/>
          <w:iCs/>
          <w:sz w:val="21"/>
          <w:szCs w:val="21"/>
        </w:rPr>
        <w:t xml:space="preserve">Similarly, small- to medium-sized food producers produce fresh noodles, which makes up about two-thirds of Indonesia’s flour milling customers. </w:t>
      </w:r>
    </w:p>
    <w:p w14:paraId="52B42BAE"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iCs/>
          <w:sz w:val="21"/>
          <w:szCs w:val="21"/>
          <w:lang w:val="en-AU"/>
        </w:rPr>
      </w:pPr>
      <w:bookmarkStart w:id="6" w:name="_Hlk28881893"/>
      <w:r w:rsidRPr="00E52640">
        <w:rPr>
          <w:rFonts w:cstheme="minorHAnsi"/>
          <w:b/>
          <w:iCs/>
          <w:sz w:val="21"/>
          <w:szCs w:val="21"/>
          <w:lang w:val="en-AU"/>
        </w:rPr>
        <w:t>The Food Advantage program will be aimed at Indonesian SME’s.</w:t>
      </w:r>
      <w:r w:rsidRPr="00E52640">
        <w:rPr>
          <w:rFonts w:cstheme="minorHAnsi"/>
          <w:iCs/>
          <w:sz w:val="21"/>
          <w:szCs w:val="21"/>
          <w:lang w:val="en-AU"/>
        </w:rPr>
        <w:t xml:space="preserve"> It involves a train the trainer program and delivering technical training modules for SME’s involved in the production of baked goods and fresh noodles.</w:t>
      </w:r>
      <w:bookmarkEnd w:id="6"/>
      <w:r w:rsidRPr="00E52640">
        <w:rPr>
          <w:rFonts w:cstheme="minorHAnsi"/>
          <w:iCs/>
          <w:sz w:val="21"/>
          <w:szCs w:val="21"/>
          <w:lang w:val="en-AU"/>
        </w:rPr>
        <w:t xml:space="preserve"> In particular, the training will use Australian flour and blends and train SME’s in how to optimise value to their business from using Australian flour. </w:t>
      </w:r>
    </w:p>
    <w:p w14:paraId="64FC878D"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sz w:val="21"/>
          <w:szCs w:val="21"/>
          <w:lang w:val="en-AU"/>
        </w:rPr>
      </w:pPr>
      <w:r w:rsidRPr="00E52640">
        <w:rPr>
          <w:rFonts w:cstheme="minorHAnsi"/>
          <w:sz w:val="21"/>
          <w:szCs w:val="21"/>
          <w:lang w:val="en-AU"/>
        </w:rPr>
        <w:t>The technical information and training modules will be developed during the first year and based on existing research and current research being conducted by AEGIC and in collaboration with the Indonesian flour milling association (APTINDO). Delivery of the modules will be through 2-4 days training events held in training room facilities of Indonesian flour milling companies. The milling companies will offer the training to their SME suppliers, with financial or in-kind contributions from participants. Participants will be selected to ensure there are equal opportunities for women and people living with disabilities.</w:t>
      </w:r>
    </w:p>
    <w:p w14:paraId="46E92827"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iCs/>
          <w:sz w:val="21"/>
          <w:szCs w:val="21"/>
          <w:lang w:val="en-AU"/>
        </w:rPr>
      </w:pPr>
      <w:r w:rsidRPr="00E52640">
        <w:rPr>
          <w:rFonts w:cstheme="minorHAnsi"/>
          <w:iCs/>
          <w:sz w:val="21"/>
          <w:szCs w:val="21"/>
          <w:lang w:val="en-AU"/>
        </w:rPr>
        <w:t>The approach will be practical, commercially-oriented and link directly with each milling companies’ SME customers. In this way, a large number of SME’s can access the training over the course of the ECP and it aligns with links across the grains value chain.</w:t>
      </w:r>
    </w:p>
    <w:p w14:paraId="79B64AA3"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iCs/>
          <w:sz w:val="21"/>
          <w:szCs w:val="21"/>
          <w:lang w:val="en-AU"/>
        </w:rPr>
      </w:pPr>
      <w:r w:rsidRPr="00E52640">
        <w:rPr>
          <w:rFonts w:cstheme="minorHAnsi"/>
          <w:iCs/>
          <w:sz w:val="21"/>
          <w:szCs w:val="21"/>
          <w:lang w:val="en-AU"/>
        </w:rPr>
        <w:t>Australia’s potential to benefit from serving Indonesia’s bread and baked goods sector is likely to arise via the use of Australian wheat being included in premium bread flour blends, due to the relatively affordable functionality of suitable Australian wheat classes.</w:t>
      </w:r>
    </w:p>
    <w:p w14:paraId="615A53B0"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iCs/>
          <w:sz w:val="21"/>
          <w:szCs w:val="21"/>
          <w:lang w:val="en-AU"/>
        </w:rPr>
      </w:pPr>
      <w:r w:rsidRPr="00E52640">
        <w:rPr>
          <w:rFonts w:cstheme="minorHAnsi"/>
          <w:iCs/>
          <w:sz w:val="21"/>
          <w:szCs w:val="21"/>
          <w:lang w:val="en-AU"/>
        </w:rPr>
        <w:t>However, success will depend on Australia’s ability to reliably produce sufficient</w:t>
      </w:r>
      <w:r w:rsidRPr="00E52640">
        <w:rPr>
          <w:rFonts w:cstheme="minorHAnsi"/>
          <w:i/>
          <w:iCs/>
          <w:sz w:val="21"/>
          <w:szCs w:val="21"/>
          <w:lang w:val="en-AU"/>
        </w:rPr>
        <w:t xml:space="preserve"> </w:t>
      </w:r>
      <w:r w:rsidRPr="00E52640">
        <w:rPr>
          <w:rFonts w:cstheme="minorHAnsi"/>
          <w:iCs/>
          <w:sz w:val="21"/>
          <w:szCs w:val="21"/>
          <w:lang w:val="en-AU"/>
        </w:rPr>
        <w:t>quantities of wheat with the protein levels and functionalities required by end-users and recognition by end users of the business value offered by using Australian flour.</w:t>
      </w:r>
    </w:p>
    <w:p w14:paraId="6149662B"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iCs/>
          <w:sz w:val="21"/>
          <w:szCs w:val="21"/>
        </w:rPr>
      </w:pPr>
      <w:r w:rsidRPr="00E52640">
        <w:rPr>
          <w:rFonts w:cstheme="minorHAnsi"/>
          <w:iCs/>
          <w:sz w:val="21"/>
          <w:szCs w:val="21"/>
        </w:rPr>
        <w:t>Supply of functionally attractive wheat from Australia will help Indonesia to diversify its sources of wheat for the bread and baked goods segment. This will add to Australia’s reputation as a supplier of functional wheat for use in a range of wheat products.</w:t>
      </w:r>
    </w:p>
    <w:p w14:paraId="57E17AA7" w14:textId="16365AD4"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iCs/>
          <w:sz w:val="21"/>
          <w:szCs w:val="21"/>
        </w:rPr>
      </w:pPr>
      <w:r w:rsidRPr="00E52640">
        <w:rPr>
          <w:rFonts w:cstheme="minorHAnsi"/>
          <w:iCs/>
          <w:sz w:val="21"/>
          <w:szCs w:val="21"/>
        </w:rPr>
        <w:t xml:space="preserve">The primary partnership for this activity is between APTINDO and </w:t>
      </w:r>
      <w:r w:rsidR="00C805FD">
        <w:rPr>
          <w:rFonts w:cstheme="minorHAnsi"/>
          <w:iCs/>
          <w:sz w:val="21"/>
          <w:szCs w:val="21"/>
        </w:rPr>
        <w:t xml:space="preserve">an equivalent Australian-group such as </w:t>
      </w:r>
      <w:r w:rsidRPr="00E52640">
        <w:rPr>
          <w:rFonts w:cstheme="minorHAnsi"/>
          <w:iCs/>
          <w:sz w:val="21"/>
          <w:szCs w:val="21"/>
        </w:rPr>
        <w:t xml:space="preserve">AEGIC and could be fostered through annual meetings of member businesses, trainers, students and alumni to share information on what is being learnt and achieved – these could be done in association with existing industry events and potentially with participants from other </w:t>
      </w:r>
      <w:proofErr w:type="spellStart"/>
      <w:r w:rsidRPr="00E52640">
        <w:rPr>
          <w:rFonts w:cstheme="minorHAnsi"/>
          <w:iCs/>
          <w:sz w:val="21"/>
          <w:szCs w:val="21"/>
        </w:rPr>
        <w:t>agrifood</w:t>
      </w:r>
      <w:proofErr w:type="spellEnd"/>
      <w:r w:rsidRPr="00E52640">
        <w:rPr>
          <w:rFonts w:cstheme="minorHAnsi"/>
          <w:iCs/>
          <w:sz w:val="21"/>
          <w:szCs w:val="21"/>
        </w:rPr>
        <w:t xml:space="preserve"> innovation partnerships.</w:t>
      </w:r>
    </w:p>
    <w:p w14:paraId="002B3C40" w14:textId="5C89C00A" w:rsidR="00CB1C18" w:rsidRPr="00645951" w:rsidRDefault="00645951"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b/>
          <w:i/>
          <w:iCs/>
          <w:sz w:val="21"/>
          <w:szCs w:val="21"/>
        </w:rPr>
      </w:pPr>
      <w:r w:rsidRPr="00645951">
        <w:rPr>
          <w:rFonts w:cstheme="minorHAnsi"/>
          <w:b/>
          <w:i/>
          <w:iCs/>
          <w:sz w:val="21"/>
          <w:szCs w:val="21"/>
        </w:rPr>
        <w:t xml:space="preserve">3. </w:t>
      </w:r>
      <w:r w:rsidR="00CB1C18" w:rsidRPr="00645951">
        <w:rPr>
          <w:rFonts w:cstheme="minorHAnsi"/>
          <w:b/>
          <w:i/>
          <w:iCs/>
          <w:sz w:val="21"/>
          <w:szCs w:val="21"/>
        </w:rPr>
        <w:t>Optimised feed grain: technical capability for feed milling and livestock nutrition</w:t>
      </w:r>
    </w:p>
    <w:p w14:paraId="15B32617"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iCs/>
          <w:sz w:val="21"/>
          <w:szCs w:val="21"/>
        </w:rPr>
      </w:pPr>
      <w:r w:rsidRPr="00E52640">
        <w:rPr>
          <w:rFonts w:cstheme="minorHAnsi"/>
          <w:iCs/>
          <w:sz w:val="21"/>
          <w:szCs w:val="21"/>
        </w:rPr>
        <w:t xml:space="preserve">The feed milling sector is growing faster than the wheat flour milling sector in Indonesia. The increased volume of grain required by feed mills creates increased supply-side risk (e.g. due to seasonality domestically and overseas) and challenges with constantly adapting to integrate grains of different types, sources and costs into production. </w:t>
      </w:r>
    </w:p>
    <w:p w14:paraId="14C8F4BC"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sz w:val="21"/>
          <w:szCs w:val="21"/>
        </w:rPr>
      </w:pPr>
      <w:r w:rsidRPr="00E52640">
        <w:rPr>
          <w:rFonts w:cstheme="minorHAnsi"/>
          <w:sz w:val="21"/>
          <w:szCs w:val="21"/>
        </w:rPr>
        <w:t xml:space="preserve">Feed mills must be agile and constantly make decisions that will optimize feed mixes by integrating grains from different sources (domestic and overseas), while matching the quality, nutritional attributes and cost requirements of their customers. The performance of Indonesian feed mills has a major influence on the viability and productivity of end-users such as the poultry industry, which represents 90 per cent of the market for feed. This activity also has prospects for good outcomes on animal health. </w:t>
      </w:r>
    </w:p>
    <w:p w14:paraId="7C6190DD"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iCs/>
          <w:sz w:val="21"/>
          <w:szCs w:val="21"/>
        </w:rPr>
      </w:pPr>
      <w:r w:rsidRPr="00E52640">
        <w:rPr>
          <w:rFonts w:cstheme="minorHAnsi"/>
          <w:iCs/>
          <w:sz w:val="21"/>
          <w:szCs w:val="21"/>
        </w:rPr>
        <w:t xml:space="preserve">A scoping study will be conducted in the first year to identify the major technical barriers (and identify other factors such as capital or infrastructure) for feed mills becoming more successful in constantly adapting operations to more closely match changing supply and demand. </w:t>
      </w:r>
    </w:p>
    <w:p w14:paraId="45FF6600"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iCs/>
          <w:sz w:val="21"/>
          <w:szCs w:val="21"/>
        </w:rPr>
      </w:pPr>
      <w:r w:rsidRPr="00E52640">
        <w:rPr>
          <w:rFonts w:cstheme="minorHAnsi"/>
          <w:iCs/>
          <w:sz w:val="21"/>
          <w:szCs w:val="21"/>
        </w:rPr>
        <w:t xml:space="preserve">In the second year, a train the trainer program will be designed and implemented, based on the findings of the scoping study and in consultation with GPMT. The targeted program could adapt selected modules and include relevant topics from the training in advanced feed milling developed by the </w:t>
      </w:r>
      <w:proofErr w:type="spellStart"/>
      <w:r w:rsidRPr="00E52640">
        <w:rPr>
          <w:rFonts w:cstheme="minorHAnsi"/>
          <w:iCs/>
          <w:sz w:val="21"/>
          <w:szCs w:val="21"/>
        </w:rPr>
        <w:t>Stockfeed</w:t>
      </w:r>
      <w:proofErr w:type="spellEnd"/>
      <w:r w:rsidRPr="00E52640">
        <w:rPr>
          <w:rFonts w:cstheme="minorHAnsi"/>
          <w:iCs/>
          <w:sz w:val="21"/>
          <w:szCs w:val="21"/>
        </w:rPr>
        <w:t xml:space="preserve"> Manufacturers Council of </w:t>
      </w:r>
      <w:r w:rsidRPr="00E52640">
        <w:rPr>
          <w:rFonts w:cstheme="minorHAnsi"/>
          <w:iCs/>
          <w:sz w:val="21"/>
          <w:szCs w:val="21"/>
        </w:rPr>
        <w:lastRenderedPageBreak/>
        <w:t>Australia.</w:t>
      </w:r>
    </w:p>
    <w:p w14:paraId="71F8F9D2"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iCs/>
          <w:sz w:val="21"/>
          <w:szCs w:val="21"/>
        </w:rPr>
      </w:pPr>
      <w:r w:rsidRPr="00E52640">
        <w:rPr>
          <w:rFonts w:cstheme="minorHAnsi"/>
          <w:iCs/>
          <w:sz w:val="21"/>
          <w:szCs w:val="21"/>
        </w:rPr>
        <w:t>During years 3-5, training of staff will be delivered as a two-day session on each module/topic at training rooms available at individual feed mills.</w:t>
      </w:r>
    </w:p>
    <w:p w14:paraId="7794D5BC"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iCs/>
          <w:sz w:val="21"/>
          <w:szCs w:val="21"/>
        </w:rPr>
      </w:pPr>
      <w:bookmarkStart w:id="7" w:name="_Hlk27843435"/>
      <w:r w:rsidRPr="00E52640">
        <w:rPr>
          <w:rFonts w:cstheme="minorHAnsi"/>
          <w:iCs/>
          <w:sz w:val="21"/>
          <w:szCs w:val="21"/>
        </w:rPr>
        <w:t xml:space="preserve">The primary partnership for this activity is between GPMT and SMCA and could be fostered through annual meetings of member businesses, trainers and students to share information on what is being learnt and achieved – these could be done in association with existing industry events or combined with a wider </w:t>
      </w:r>
      <w:proofErr w:type="spellStart"/>
      <w:r w:rsidRPr="00E52640">
        <w:rPr>
          <w:rFonts w:cstheme="minorHAnsi"/>
          <w:iCs/>
          <w:sz w:val="21"/>
          <w:szCs w:val="21"/>
        </w:rPr>
        <w:t>agrifood</w:t>
      </w:r>
      <w:proofErr w:type="spellEnd"/>
      <w:r w:rsidRPr="00E52640">
        <w:rPr>
          <w:rFonts w:cstheme="minorHAnsi"/>
          <w:iCs/>
          <w:sz w:val="21"/>
          <w:szCs w:val="21"/>
        </w:rPr>
        <w:t xml:space="preserve"> innovation partnerships event.</w:t>
      </w:r>
    </w:p>
    <w:p w14:paraId="23D89598" w14:textId="6FBC3A41" w:rsidR="00CB1C18" w:rsidRPr="00645951" w:rsidRDefault="00645951"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b/>
          <w:bCs/>
          <w:i/>
          <w:iCs/>
          <w:sz w:val="21"/>
          <w:szCs w:val="21"/>
        </w:rPr>
      </w:pPr>
      <w:r w:rsidRPr="00645951">
        <w:rPr>
          <w:rFonts w:cstheme="minorHAnsi"/>
          <w:b/>
          <w:bCs/>
          <w:i/>
          <w:iCs/>
          <w:sz w:val="21"/>
          <w:szCs w:val="21"/>
        </w:rPr>
        <w:t xml:space="preserve">4.  </w:t>
      </w:r>
      <w:r w:rsidR="00CB1C18" w:rsidRPr="00645951">
        <w:rPr>
          <w:rFonts w:cstheme="minorHAnsi"/>
          <w:b/>
          <w:bCs/>
          <w:i/>
          <w:iCs/>
          <w:sz w:val="21"/>
          <w:szCs w:val="21"/>
        </w:rPr>
        <w:t xml:space="preserve">Forecasting initiative </w:t>
      </w:r>
    </w:p>
    <w:p w14:paraId="61A0D5A3" w14:textId="77777777" w:rsidR="00D74DD2" w:rsidRPr="00E52640" w:rsidRDefault="00D74DD2" w:rsidP="00D74D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sz w:val="21"/>
          <w:szCs w:val="21"/>
        </w:rPr>
      </w:pPr>
      <w:r w:rsidRPr="00E52640">
        <w:rPr>
          <w:rFonts w:cstheme="minorHAnsi"/>
          <w:sz w:val="21"/>
          <w:szCs w:val="21"/>
        </w:rPr>
        <w:t xml:space="preserve">The forecasting initiative is a government-to-government partnership activity, designed to improve forecasting capability, share </w:t>
      </w:r>
      <w:r>
        <w:rPr>
          <w:rFonts w:cstheme="minorHAnsi"/>
          <w:sz w:val="21"/>
          <w:szCs w:val="21"/>
        </w:rPr>
        <w:t xml:space="preserve">methods, approaches </w:t>
      </w:r>
      <w:r w:rsidRPr="00E52640">
        <w:rPr>
          <w:rFonts w:cstheme="minorHAnsi"/>
          <w:sz w:val="21"/>
          <w:szCs w:val="21"/>
        </w:rPr>
        <w:t xml:space="preserve">and information between the two nations. </w:t>
      </w:r>
      <w:r>
        <w:rPr>
          <w:rFonts w:cstheme="minorHAnsi"/>
          <w:sz w:val="21"/>
          <w:szCs w:val="21"/>
        </w:rPr>
        <w:t>Subject to consultation, t</w:t>
      </w:r>
      <w:r w:rsidRPr="00E52640">
        <w:rPr>
          <w:rFonts w:cstheme="minorHAnsi"/>
          <w:sz w:val="21"/>
          <w:szCs w:val="21"/>
        </w:rPr>
        <w:t xml:space="preserve">he partnership is between ABARES and </w:t>
      </w:r>
      <w:proofErr w:type="spellStart"/>
      <w:r w:rsidRPr="00E52640">
        <w:rPr>
          <w:rFonts w:cstheme="minorHAnsi"/>
          <w:sz w:val="21"/>
          <w:szCs w:val="21"/>
        </w:rPr>
        <w:t>MoA</w:t>
      </w:r>
      <w:proofErr w:type="spellEnd"/>
      <w:r w:rsidRPr="00E52640">
        <w:rPr>
          <w:rFonts w:cstheme="minorHAnsi"/>
          <w:sz w:val="21"/>
          <w:szCs w:val="21"/>
        </w:rPr>
        <w:t xml:space="preserve">, with an exchange being arranged annually, </w:t>
      </w:r>
      <w:r>
        <w:rPr>
          <w:rFonts w:cstheme="minorHAnsi"/>
          <w:sz w:val="21"/>
          <w:szCs w:val="21"/>
        </w:rPr>
        <w:t xml:space="preserve">supported by seminars and meetings delivered via videoconference. </w:t>
      </w:r>
    </w:p>
    <w:bookmarkEnd w:id="7"/>
    <w:p w14:paraId="738AB26F" w14:textId="77777777" w:rsidR="00CB1C18" w:rsidRPr="00E52640" w:rsidRDefault="00CB1C18" w:rsidP="006459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b/>
          <w:bCs/>
          <w:sz w:val="21"/>
          <w:szCs w:val="21"/>
        </w:rPr>
      </w:pPr>
      <w:r w:rsidRPr="00E52640">
        <w:rPr>
          <w:rFonts w:cstheme="minorHAnsi"/>
          <w:b/>
          <w:bCs/>
          <w:sz w:val="21"/>
          <w:szCs w:val="21"/>
        </w:rPr>
        <w:t>Gender equality and social inclusion</w:t>
      </w:r>
    </w:p>
    <w:p w14:paraId="2AEC3EE4"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bCs/>
          <w:sz w:val="21"/>
          <w:szCs w:val="21"/>
        </w:rPr>
      </w:pPr>
      <w:r w:rsidRPr="00E52640">
        <w:rPr>
          <w:rFonts w:cstheme="minorHAnsi"/>
          <w:bCs/>
          <w:sz w:val="21"/>
          <w:szCs w:val="21"/>
        </w:rPr>
        <w:t xml:space="preserve">There is significant potential to increase female labour force participation in </w:t>
      </w:r>
      <w:proofErr w:type="spellStart"/>
      <w:r w:rsidRPr="00E52640">
        <w:rPr>
          <w:rFonts w:cstheme="minorHAnsi"/>
          <w:bCs/>
          <w:sz w:val="21"/>
          <w:szCs w:val="21"/>
        </w:rPr>
        <w:t>agrifood</w:t>
      </w:r>
      <w:proofErr w:type="spellEnd"/>
      <w:r w:rsidRPr="00E52640">
        <w:rPr>
          <w:rFonts w:cstheme="minorHAnsi"/>
          <w:bCs/>
          <w:sz w:val="21"/>
          <w:szCs w:val="21"/>
        </w:rPr>
        <w:t xml:space="preserve"> value-chain businesses in Indonesia at all levels. In the grains partnership, this activity will support greater gender equality and social inclusion through the active engagement of women in the baked goods and fresh noodle business sectors and the feed mill sector. The ECP will seek 50 percent female participation in the training and industry engagement events.</w:t>
      </w:r>
    </w:p>
    <w:p w14:paraId="44358054" w14:textId="77777777" w:rsidR="00CB1C18" w:rsidRPr="00E52640"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inorHAnsi"/>
          <w:bCs/>
          <w:sz w:val="21"/>
          <w:szCs w:val="21"/>
        </w:rPr>
      </w:pPr>
      <w:r w:rsidRPr="00E52640">
        <w:rPr>
          <w:rFonts w:cstheme="minorHAnsi"/>
          <w:bCs/>
          <w:sz w:val="21"/>
          <w:szCs w:val="21"/>
        </w:rPr>
        <w:t>The grains partnership will work with organisations that represent people living with disabilities, to explore opportunities for their participation.</w:t>
      </w:r>
    </w:p>
    <w:p w14:paraId="2D69C9CC" w14:textId="709998E2" w:rsidR="00CB1C18" w:rsidRPr="00594619" w:rsidRDefault="00CB1C18">
      <w:pPr>
        <w:suppressAutoHyphens w:val="0"/>
        <w:spacing w:before="0" w:after="120" w:line="440" w:lineRule="atLeast"/>
        <w:rPr>
          <w:rFonts w:asciiTheme="majorHAnsi" w:hAnsiTheme="majorHAnsi" w:cstheme="majorHAnsi"/>
          <w:strike/>
          <w:sz w:val="21"/>
          <w:szCs w:val="21"/>
        </w:rPr>
      </w:pPr>
      <w:r w:rsidRPr="00594619">
        <w:rPr>
          <w:rFonts w:asciiTheme="majorHAnsi" w:hAnsiTheme="majorHAnsi" w:cstheme="majorHAnsi"/>
          <w:strike/>
          <w:sz w:val="21"/>
          <w:szCs w:val="21"/>
        </w:rPr>
        <w:br w:type="page"/>
      </w:r>
    </w:p>
    <w:p w14:paraId="378BA1BA" w14:textId="0BDCCB26" w:rsidR="00CB1C18" w:rsidRPr="007C4ABD" w:rsidRDefault="00CB1C18" w:rsidP="006367D1">
      <w:pPr>
        <w:pStyle w:val="Subtitle"/>
        <w:rPr>
          <w:b/>
        </w:rPr>
      </w:pPr>
      <w:r w:rsidRPr="007C4ABD">
        <w:rPr>
          <w:b/>
        </w:rPr>
        <w:lastRenderedPageBreak/>
        <w:t xml:space="preserve">ACTIVITY 3: POWERING ADVANCED MANUFACTURING </w:t>
      </w:r>
    </w:p>
    <w:p w14:paraId="02C8228F" w14:textId="77777777" w:rsidR="00CB1C18" w:rsidRPr="00645951"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b/>
          <w:bCs/>
          <w:sz w:val="21"/>
          <w:szCs w:val="21"/>
        </w:rPr>
      </w:pPr>
      <w:r w:rsidRPr="00645951">
        <w:rPr>
          <w:rFonts w:cstheme="majorHAnsi"/>
          <w:b/>
          <w:bCs/>
          <w:sz w:val="21"/>
          <w:szCs w:val="21"/>
        </w:rPr>
        <w:t>Activity in brief</w:t>
      </w:r>
    </w:p>
    <w:p w14:paraId="52E26E16" w14:textId="37902DEF" w:rsidR="00CB1C18" w:rsidRPr="00645951"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iCs/>
          <w:sz w:val="21"/>
          <w:szCs w:val="21"/>
        </w:rPr>
      </w:pPr>
      <w:r w:rsidRPr="00645951">
        <w:rPr>
          <w:rFonts w:cstheme="majorHAnsi"/>
          <w:iCs/>
          <w:sz w:val="21"/>
          <w:szCs w:val="21"/>
        </w:rPr>
        <w:t xml:space="preserve">Advanced manufacturing has the potential to add value and transform Indonesia’s productivity and industrial development. Australia has complimentary skills to support these goals in high value sectors. </w:t>
      </w:r>
      <w:r w:rsidR="00513A79">
        <w:rPr>
          <w:rFonts w:cstheme="majorHAnsi"/>
          <w:iCs/>
          <w:sz w:val="21"/>
          <w:szCs w:val="21"/>
        </w:rPr>
        <w:t xml:space="preserve">Developing sustainable supply chains to power </w:t>
      </w:r>
      <w:r w:rsidRPr="00645951">
        <w:rPr>
          <w:rFonts w:cstheme="majorHAnsi"/>
          <w:iCs/>
          <w:sz w:val="21"/>
          <w:szCs w:val="21"/>
        </w:rPr>
        <w:t xml:space="preserve">advanced manufacturing is a clear area of mutual interest and this activity will explore that opportunity in specific </w:t>
      </w:r>
      <w:r w:rsidR="00513A79">
        <w:rPr>
          <w:rFonts w:cstheme="majorHAnsi"/>
          <w:iCs/>
          <w:sz w:val="21"/>
          <w:szCs w:val="21"/>
        </w:rPr>
        <w:t>categories</w:t>
      </w:r>
      <w:r w:rsidRPr="00645951">
        <w:rPr>
          <w:rFonts w:cstheme="majorHAnsi"/>
          <w:iCs/>
          <w:sz w:val="21"/>
          <w:szCs w:val="21"/>
        </w:rPr>
        <w:t>, while also demonstrating potential collaboration across the broader manufacturing sector. There are also significant opportunities to increase women’s participation across the sector, including in leadership positions.</w:t>
      </w:r>
    </w:p>
    <w:p w14:paraId="53A62D4A" w14:textId="77777777" w:rsidR="00CB1C18" w:rsidRPr="00645951"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iCs/>
          <w:sz w:val="21"/>
          <w:szCs w:val="21"/>
        </w:rPr>
      </w:pPr>
      <w:r w:rsidRPr="00645951">
        <w:rPr>
          <w:rFonts w:cstheme="majorHAnsi"/>
          <w:iCs/>
          <w:sz w:val="21"/>
          <w:szCs w:val="21"/>
        </w:rPr>
        <w:t>A range of potential opportunities for collaboration in advanced manufacturing exists between Australia and Indonesia. The World Economic Forum identifies the need for more multilateral, platform models (collaborative networks that minimize structural differences) and direct, proactive interventions to develop more localized technologies and boost production capabilities, including for SMEs.</w:t>
      </w:r>
      <w:r w:rsidRPr="00645951">
        <w:rPr>
          <w:rStyle w:val="FootnoteReference"/>
          <w:rFonts w:cstheme="majorHAnsi"/>
          <w:iCs/>
          <w:sz w:val="21"/>
          <w:szCs w:val="21"/>
        </w:rPr>
        <w:footnoteReference w:id="43"/>
      </w:r>
      <w:r w:rsidRPr="00645951">
        <w:rPr>
          <w:rFonts w:cstheme="majorHAnsi"/>
          <w:iCs/>
          <w:sz w:val="21"/>
          <w:szCs w:val="21"/>
        </w:rPr>
        <w:t xml:space="preserve"> This activity will explore opportunities for Australia and Indonesia to collaborate across these areas.  </w:t>
      </w:r>
    </w:p>
    <w:p w14:paraId="292464EC" w14:textId="6133D8D8" w:rsidR="00CB1C18" w:rsidRPr="00645951"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iCs/>
          <w:sz w:val="21"/>
          <w:szCs w:val="21"/>
        </w:rPr>
      </w:pPr>
      <w:r w:rsidRPr="00645951">
        <w:rPr>
          <w:rFonts w:cstheme="majorHAnsi"/>
          <w:iCs/>
          <w:sz w:val="21"/>
          <w:szCs w:val="21"/>
        </w:rPr>
        <w:t>A particular opportunity proposed by Indonesia, is for Australian industry expertise and trade in components</w:t>
      </w:r>
      <w:r w:rsidR="00D74DD2">
        <w:rPr>
          <w:rFonts w:cstheme="majorHAnsi"/>
          <w:iCs/>
          <w:sz w:val="21"/>
          <w:szCs w:val="21"/>
        </w:rPr>
        <w:t>, core material</w:t>
      </w:r>
      <w:r w:rsidR="005A1FE4">
        <w:rPr>
          <w:rFonts w:cstheme="majorHAnsi"/>
          <w:iCs/>
          <w:sz w:val="21"/>
          <w:szCs w:val="21"/>
        </w:rPr>
        <w:t xml:space="preserve"> and </w:t>
      </w:r>
      <w:r w:rsidR="00964A63">
        <w:rPr>
          <w:rFonts w:cstheme="majorHAnsi"/>
          <w:iCs/>
          <w:sz w:val="21"/>
          <w:szCs w:val="21"/>
        </w:rPr>
        <w:t>other inputs</w:t>
      </w:r>
      <w:r w:rsidRPr="00645951">
        <w:rPr>
          <w:rFonts w:cstheme="majorHAnsi"/>
          <w:iCs/>
          <w:sz w:val="21"/>
          <w:szCs w:val="21"/>
        </w:rPr>
        <w:t xml:space="preserve"> that will support the design and development of a</w:t>
      </w:r>
      <w:r w:rsidR="005A1FE4">
        <w:rPr>
          <w:rFonts w:cstheme="majorHAnsi"/>
          <w:iCs/>
          <w:sz w:val="21"/>
          <w:szCs w:val="21"/>
        </w:rPr>
        <w:t xml:space="preserve"> battery for an</w:t>
      </w:r>
      <w:r w:rsidRPr="00645951">
        <w:rPr>
          <w:rFonts w:cstheme="majorHAnsi"/>
          <w:iCs/>
          <w:sz w:val="21"/>
          <w:szCs w:val="21"/>
        </w:rPr>
        <w:t xml:space="preserve"> electric vehicle, a core priority in Indonesia’s industrial development plans. Indonesia is currently partnering with Japan in the development of an electric vehicle designed for domestic and export markets, including the ASEAN region. This work has revealed major component and skills needs in sectors where Australia has a clear comparative advantage. </w:t>
      </w:r>
      <w:r w:rsidR="00B37F8E">
        <w:rPr>
          <w:rFonts w:cstheme="majorHAnsi"/>
          <w:iCs/>
          <w:sz w:val="21"/>
          <w:szCs w:val="21"/>
        </w:rPr>
        <w:t>O</w:t>
      </w:r>
      <w:r w:rsidRPr="00645951">
        <w:rPr>
          <w:rFonts w:cstheme="majorHAnsi"/>
          <w:iCs/>
          <w:sz w:val="21"/>
          <w:szCs w:val="21"/>
        </w:rPr>
        <w:t xml:space="preserve">pportunities have been identified in </w:t>
      </w:r>
      <w:r w:rsidR="00C94CBB" w:rsidRPr="00645951">
        <w:rPr>
          <w:rFonts w:cstheme="majorHAnsi"/>
          <w:iCs/>
          <w:sz w:val="21"/>
          <w:szCs w:val="21"/>
        </w:rPr>
        <w:t>in</w:t>
      </w:r>
      <w:r w:rsidR="00C94CBB">
        <w:rPr>
          <w:rFonts w:cstheme="majorHAnsi"/>
          <w:iCs/>
          <w:sz w:val="21"/>
          <w:szCs w:val="21"/>
        </w:rPr>
        <w:t xml:space="preserve"> automotive componentry, as well as in</w:t>
      </w:r>
      <w:r w:rsidR="00C94CBB" w:rsidRPr="00645951">
        <w:rPr>
          <w:rFonts w:cstheme="majorHAnsi"/>
          <w:iCs/>
          <w:sz w:val="21"/>
          <w:szCs w:val="21"/>
        </w:rPr>
        <w:t xml:space="preserve"> </w:t>
      </w:r>
      <w:r w:rsidRPr="00645951">
        <w:rPr>
          <w:rFonts w:cstheme="majorHAnsi"/>
          <w:iCs/>
          <w:sz w:val="21"/>
          <w:szCs w:val="21"/>
        </w:rPr>
        <w:t>lithium batter</w:t>
      </w:r>
      <w:r w:rsidR="00964A63">
        <w:rPr>
          <w:rFonts w:cstheme="majorHAnsi"/>
          <w:iCs/>
          <w:sz w:val="21"/>
          <w:szCs w:val="21"/>
        </w:rPr>
        <w:t>y</w:t>
      </w:r>
      <w:r w:rsidR="00C94CBB" w:rsidRPr="00C94CBB">
        <w:rPr>
          <w:rFonts w:cstheme="majorHAnsi"/>
          <w:iCs/>
          <w:sz w:val="21"/>
          <w:szCs w:val="21"/>
        </w:rPr>
        <w:t xml:space="preserve"> </w:t>
      </w:r>
      <w:r w:rsidR="00C94CBB">
        <w:rPr>
          <w:rFonts w:cstheme="majorHAnsi"/>
          <w:iCs/>
          <w:sz w:val="21"/>
          <w:szCs w:val="21"/>
        </w:rPr>
        <w:t>technology and inputs</w:t>
      </w:r>
      <w:r w:rsidR="00C94CBB" w:rsidRPr="00645951">
        <w:rPr>
          <w:rFonts w:cstheme="majorHAnsi"/>
          <w:iCs/>
          <w:sz w:val="21"/>
          <w:szCs w:val="21"/>
        </w:rPr>
        <w:t>,</w:t>
      </w:r>
      <w:r w:rsidR="00C94CBB">
        <w:rPr>
          <w:rFonts w:cstheme="majorHAnsi"/>
          <w:iCs/>
          <w:sz w:val="21"/>
          <w:szCs w:val="21"/>
        </w:rPr>
        <w:t xml:space="preserve"> with lithium batteries</w:t>
      </w:r>
      <w:r w:rsidRPr="00645951">
        <w:rPr>
          <w:rFonts w:cstheme="majorHAnsi"/>
          <w:iCs/>
          <w:sz w:val="21"/>
          <w:szCs w:val="21"/>
        </w:rPr>
        <w:t xml:space="preserve"> being a major component of electric vehicles</w:t>
      </w:r>
      <w:r w:rsidR="00C94CBB">
        <w:rPr>
          <w:rFonts w:cstheme="majorHAnsi"/>
          <w:iCs/>
          <w:sz w:val="21"/>
          <w:szCs w:val="21"/>
        </w:rPr>
        <w:t>.</w:t>
      </w:r>
      <w:r w:rsidR="008A6C73">
        <w:rPr>
          <w:rFonts w:cstheme="majorHAnsi"/>
          <w:iCs/>
          <w:sz w:val="21"/>
          <w:szCs w:val="21"/>
        </w:rPr>
        <w:t xml:space="preserve"> </w:t>
      </w:r>
      <w:r w:rsidRPr="00645951">
        <w:rPr>
          <w:rFonts w:cstheme="majorHAnsi"/>
          <w:iCs/>
          <w:sz w:val="21"/>
          <w:szCs w:val="21"/>
        </w:rPr>
        <w:t xml:space="preserve">Australia is well placed to collaborate with Indonesia to advance </w:t>
      </w:r>
      <w:r w:rsidR="00C94CBB">
        <w:rPr>
          <w:rFonts w:cstheme="majorHAnsi"/>
          <w:iCs/>
          <w:sz w:val="21"/>
          <w:szCs w:val="21"/>
        </w:rPr>
        <w:t xml:space="preserve">capability </w:t>
      </w:r>
      <w:r w:rsidRPr="00645951">
        <w:rPr>
          <w:rFonts w:cstheme="majorHAnsi"/>
          <w:iCs/>
          <w:sz w:val="21"/>
          <w:szCs w:val="21"/>
        </w:rPr>
        <w:t xml:space="preserve">and increase </w:t>
      </w:r>
      <w:r w:rsidR="00B37F8E">
        <w:rPr>
          <w:rFonts w:cstheme="majorHAnsi"/>
          <w:iCs/>
          <w:sz w:val="21"/>
          <w:szCs w:val="21"/>
        </w:rPr>
        <w:t xml:space="preserve">supply </w:t>
      </w:r>
      <w:r w:rsidRPr="00645951">
        <w:rPr>
          <w:rFonts w:cstheme="majorHAnsi"/>
          <w:iCs/>
          <w:sz w:val="21"/>
          <w:szCs w:val="21"/>
        </w:rPr>
        <w:t xml:space="preserve">to meet Indonesia’s needs. </w:t>
      </w:r>
    </w:p>
    <w:p w14:paraId="62CDA263" w14:textId="1D12C896" w:rsidR="00861D2D" w:rsidRPr="00645951" w:rsidRDefault="00CB1C18" w:rsidP="00861D2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iCs/>
          <w:sz w:val="21"/>
          <w:szCs w:val="21"/>
        </w:rPr>
      </w:pPr>
      <w:r w:rsidRPr="00645951">
        <w:rPr>
          <w:rFonts w:cstheme="majorHAnsi"/>
          <w:iCs/>
          <w:sz w:val="21"/>
          <w:szCs w:val="21"/>
        </w:rPr>
        <w:t>The ECP will convene a process between Indonesian automotive industry and Australia’s advanced manufacturing industry to explore opportunities to support these efforts</w:t>
      </w:r>
      <w:r w:rsidR="000C603D">
        <w:rPr>
          <w:rFonts w:cstheme="majorHAnsi"/>
          <w:iCs/>
          <w:sz w:val="21"/>
          <w:szCs w:val="21"/>
        </w:rPr>
        <w:t>, including for SMEs</w:t>
      </w:r>
      <w:r w:rsidRPr="00645951">
        <w:rPr>
          <w:rFonts w:cstheme="majorHAnsi"/>
          <w:iCs/>
          <w:sz w:val="21"/>
          <w:szCs w:val="21"/>
        </w:rPr>
        <w:t>. This work will include a scoping study into complementarities and opportunities for Australia’s components</w:t>
      </w:r>
      <w:r w:rsidR="00C94CBB">
        <w:rPr>
          <w:rFonts w:cstheme="majorHAnsi"/>
          <w:iCs/>
          <w:sz w:val="21"/>
          <w:szCs w:val="21"/>
        </w:rPr>
        <w:t>, raw materials</w:t>
      </w:r>
      <w:r w:rsidRPr="00645951">
        <w:rPr>
          <w:rFonts w:cstheme="majorHAnsi"/>
          <w:iCs/>
          <w:sz w:val="21"/>
          <w:szCs w:val="21"/>
        </w:rPr>
        <w:t xml:space="preserve"> and precision engineering industries to support Indonesia’s ambitions for an electric vehicle, </w:t>
      </w:r>
      <w:r w:rsidR="0079148A" w:rsidRPr="00645951">
        <w:rPr>
          <w:rFonts w:cstheme="majorHAnsi"/>
          <w:iCs/>
          <w:sz w:val="21"/>
          <w:szCs w:val="21"/>
        </w:rPr>
        <w:t>modelled</w:t>
      </w:r>
      <w:r w:rsidRPr="00645951">
        <w:rPr>
          <w:rFonts w:cstheme="majorHAnsi"/>
          <w:iCs/>
          <w:sz w:val="21"/>
          <w:szCs w:val="21"/>
        </w:rPr>
        <w:t xml:space="preserve"> on similar initiative undertaken by the Thailand Board of Investment.  </w:t>
      </w:r>
      <w:r w:rsidR="00861D2D">
        <w:rPr>
          <w:rFonts w:ascii="Calibri Light" w:hAnsi="Calibri Light" w:cs="Calibri"/>
          <w:sz w:val="21"/>
          <w:szCs w:val="21"/>
        </w:rPr>
        <w:t>A dialogue will</w:t>
      </w:r>
      <w:r w:rsidR="00B37F8E">
        <w:rPr>
          <w:rFonts w:ascii="Calibri Light" w:hAnsi="Calibri Light" w:cs="Calibri"/>
          <w:sz w:val="21"/>
          <w:szCs w:val="21"/>
        </w:rPr>
        <w:t xml:space="preserve"> also</w:t>
      </w:r>
      <w:r w:rsidR="00861D2D">
        <w:rPr>
          <w:rFonts w:ascii="Calibri Light" w:hAnsi="Calibri Light" w:cs="Calibri"/>
          <w:sz w:val="21"/>
          <w:szCs w:val="21"/>
        </w:rPr>
        <w:t xml:space="preserve"> be established between DISER and appropriate Indonesian counterpart to discuss the short, medium and long term requirements for raw materials and components into electric vehicles, with a focus on understanding the respective role of each country in developing their side of the supply chain.</w:t>
      </w:r>
      <w:r w:rsidR="00861D2D" w:rsidRPr="00645951">
        <w:rPr>
          <w:rFonts w:cstheme="majorHAnsi"/>
          <w:iCs/>
          <w:sz w:val="21"/>
          <w:szCs w:val="21"/>
        </w:rPr>
        <w:t xml:space="preserve"> </w:t>
      </w:r>
    </w:p>
    <w:p w14:paraId="749D6A55" w14:textId="74A5EE77" w:rsidR="002E28EB"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iCs/>
          <w:sz w:val="21"/>
          <w:szCs w:val="21"/>
        </w:rPr>
      </w:pPr>
      <w:r w:rsidRPr="00645951">
        <w:rPr>
          <w:rFonts w:cstheme="majorHAnsi"/>
          <w:iCs/>
          <w:sz w:val="21"/>
          <w:szCs w:val="21"/>
        </w:rPr>
        <w:t xml:space="preserve">This </w:t>
      </w:r>
      <w:r w:rsidR="00B37F8E">
        <w:rPr>
          <w:rFonts w:cstheme="majorHAnsi"/>
          <w:iCs/>
          <w:sz w:val="21"/>
          <w:szCs w:val="21"/>
        </w:rPr>
        <w:t xml:space="preserve">activity </w:t>
      </w:r>
      <w:r w:rsidRPr="00645951">
        <w:rPr>
          <w:rFonts w:cstheme="majorHAnsi"/>
          <w:iCs/>
          <w:sz w:val="21"/>
          <w:szCs w:val="21"/>
        </w:rPr>
        <w:t xml:space="preserve">will also explore opportunities to expand trade and investment across other advanced manufacturing industries. A partnership is proposed between Australia’s Advanced Manufacturing Growth Centre (AMGC) and the Indonesian </w:t>
      </w:r>
      <w:r w:rsidR="00C805FD">
        <w:rPr>
          <w:rFonts w:cstheme="majorHAnsi"/>
          <w:iCs/>
          <w:sz w:val="21"/>
          <w:szCs w:val="21"/>
        </w:rPr>
        <w:t>Chamber of Commerce and Industry</w:t>
      </w:r>
      <w:r w:rsidRPr="00645951">
        <w:rPr>
          <w:rFonts w:cstheme="majorHAnsi"/>
          <w:iCs/>
          <w:sz w:val="21"/>
          <w:szCs w:val="21"/>
        </w:rPr>
        <w:t xml:space="preserve"> (K</w:t>
      </w:r>
      <w:r w:rsidR="0079148A">
        <w:rPr>
          <w:rFonts w:cstheme="majorHAnsi"/>
          <w:iCs/>
          <w:sz w:val="21"/>
          <w:szCs w:val="21"/>
        </w:rPr>
        <w:t>ADIN</w:t>
      </w:r>
      <w:r w:rsidRPr="00645951">
        <w:rPr>
          <w:rFonts w:cstheme="majorHAnsi"/>
          <w:iCs/>
          <w:sz w:val="21"/>
          <w:szCs w:val="21"/>
        </w:rPr>
        <w:t xml:space="preserve">) </w:t>
      </w:r>
      <w:r w:rsidR="00C805FD">
        <w:rPr>
          <w:rFonts w:ascii="Calibri Light" w:hAnsi="Calibri Light" w:cs="Calibri"/>
          <w:sz w:val="21"/>
          <w:szCs w:val="21"/>
        </w:rPr>
        <w:t>or other relevant industry representative organisations</w:t>
      </w:r>
      <w:r w:rsidR="00C805FD" w:rsidRPr="00645951">
        <w:rPr>
          <w:rFonts w:cstheme="majorHAnsi"/>
          <w:iCs/>
          <w:sz w:val="21"/>
          <w:szCs w:val="21"/>
        </w:rPr>
        <w:t xml:space="preserve"> </w:t>
      </w:r>
      <w:r w:rsidRPr="00645951">
        <w:rPr>
          <w:rFonts w:cstheme="majorHAnsi"/>
          <w:iCs/>
          <w:sz w:val="21"/>
          <w:szCs w:val="21"/>
        </w:rPr>
        <w:t xml:space="preserve">to establish a dialogue to explore opportunities in other sectors, including increasing women’s participation and leadership. This work will be coordinated with </w:t>
      </w:r>
      <w:r w:rsidR="00B37F8E">
        <w:rPr>
          <w:rFonts w:cstheme="majorHAnsi"/>
          <w:iCs/>
          <w:sz w:val="21"/>
          <w:szCs w:val="21"/>
        </w:rPr>
        <w:t xml:space="preserve">DISER and </w:t>
      </w:r>
      <w:proofErr w:type="spellStart"/>
      <w:r w:rsidRPr="00645951">
        <w:rPr>
          <w:rFonts w:cstheme="majorHAnsi"/>
          <w:iCs/>
          <w:sz w:val="21"/>
          <w:szCs w:val="21"/>
        </w:rPr>
        <w:t>Aus</w:t>
      </w:r>
      <w:r w:rsidR="0079148A">
        <w:rPr>
          <w:rFonts w:cstheme="majorHAnsi"/>
          <w:iCs/>
          <w:sz w:val="21"/>
          <w:szCs w:val="21"/>
        </w:rPr>
        <w:t>t</w:t>
      </w:r>
      <w:r w:rsidRPr="00645951">
        <w:rPr>
          <w:rFonts w:cstheme="majorHAnsi"/>
          <w:iCs/>
          <w:sz w:val="21"/>
          <w:szCs w:val="21"/>
        </w:rPr>
        <w:t>rade</w:t>
      </w:r>
      <w:proofErr w:type="spellEnd"/>
      <w:r w:rsidRPr="00645951">
        <w:rPr>
          <w:rFonts w:cstheme="majorHAnsi"/>
          <w:iCs/>
          <w:sz w:val="21"/>
          <w:szCs w:val="21"/>
        </w:rPr>
        <w:t xml:space="preserve"> given their established relationships and role working with both these organisations.</w:t>
      </w:r>
    </w:p>
    <w:p w14:paraId="1A2BEDD2" w14:textId="78E96C05" w:rsidR="00CB1C18" w:rsidRPr="00645951"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iCs/>
          <w:sz w:val="21"/>
          <w:szCs w:val="21"/>
        </w:rPr>
      </w:pPr>
      <w:r w:rsidRPr="00645951">
        <w:rPr>
          <w:rFonts w:cstheme="majorHAnsi"/>
          <w:iCs/>
          <w:sz w:val="21"/>
          <w:szCs w:val="21"/>
        </w:rPr>
        <w:t>Trade and investment in advanced manufacturing requires further alignment of standards between the two countries manufacturing sectors. Standards Australia undertook a study in 2015 on opportunities to work towards agreed global standards in partnership with Indonesia. This activity will support the continuation of these efforts, looking at standards in priority sectors, potentially electrical and nutraceutical standards (including the impact of regulatory standards on trade, such as halal requirements), in subsequent years.</w:t>
      </w:r>
    </w:p>
    <w:p w14:paraId="224F50AE" w14:textId="77777777" w:rsidR="00CB1C18" w:rsidRPr="00645951"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b/>
          <w:bCs/>
          <w:sz w:val="21"/>
          <w:szCs w:val="21"/>
        </w:rPr>
      </w:pPr>
      <w:r w:rsidRPr="00645951">
        <w:rPr>
          <w:rFonts w:cstheme="majorHAnsi"/>
          <w:iCs/>
          <w:sz w:val="21"/>
          <w:szCs w:val="21"/>
        </w:rPr>
        <w:t xml:space="preserve">Over the five year life of ECP, this activity will expand the partnership in manufacturing to other industries, with processed foods and health sector vitamins and supplements (nutraceuticals), identified as priority sectors with significant economic potential, government and private sector interest in both Indonesia and Australia, and alignment with IA-CEPA.  We would expect that Indonesia’s MSME sector would be a key beneficiary of this work. </w:t>
      </w:r>
    </w:p>
    <w:p w14:paraId="57D6F050" w14:textId="77777777" w:rsidR="00CB1C18" w:rsidRPr="00645951"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b/>
          <w:bCs/>
          <w:sz w:val="21"/>
          <w:szCs w:val="21"/>
        </w:rPr>
      </w:pPr>
      <w:r w:rsidRPr="00645951">
        <w:rPr>
          <w:rFonts w:cstheme="majorHAnsi"/>
          <w:b/>
          <w:bCs/>
          <w:sz w:val="21"/>
          <w:szCs w:val="21"/>
        </w:rPr>
        <w:t>Period of funding and total funds requested</w:t>
      </w:r>
    </w:p>
    <w:p w14:paraId="6BCE0361" w14:textId="017B2800" w:rsidR="00CB1C18" w:rsidRPr="00645951"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iCs/>
          <w:sz w:val="21"/>
          <w:szCs w:val="21"/>
        </w:rPr>
      </w:pPr>
      <w:r w:rsidRPr="00645951">
        <w:rPr>
          <w:rFonts w:cstheme="majorHAnsi"/>
          <w:iCs/>
          <w:sz w:val="21"/>
          <w:szCs w:val="21"/>
        </w:rPr>
        <w:lastRenderedPageBreak/>
        <w:t>The proposed budget for this activity is $</w:t>
      </w:r>
      <w:r w:rsidR="00F71698">
        <w:rPr>
          <w:rFonts w:cstheme="majorHAnsi"/>
          <w:iCs/>
          <w:sz w:val="21"/>
          <w:szCs w:val="21"/>
        </w:rPr>
        <w:t>5.0</w:t>
      </w:r>
      <w:r w:rsidRPr="00645951">
        <w:rPr>
          <w:rFonts w:cstheme="majorHAnsi"/>
          <w:iCs/>
          <w:sz w:val="21"/>
          <w:szCs w:val="21"/>
        </w:rPr>
        <w:t xml:space="preserve"> million over 5 years. Indicative costs are provided in the table below. Additional co-funding or in-kind contributions will be sought from the Government of Indonesia and Australian manufacturers. </w:t>
      </w:r>
    </w:p>
    <w:tbl>
      <w:tblPr>
        <w:tblStyle w:val="MediumGrid3-Accent3"/>
        <w:tblW w:w="0" w:type="auto"/>
        <w:tblLook w:val="04A0" w:firstRow="1" w:lastRow="0" w:firstColumn="1" w:lastColumn="0" w:noHBand="0" w:noVBand="1"/>
      </w:tblPr>
      <w:tblGrid>
        <w:gridCol w:w="1419"/>
        <w:gridCol w:w="1419"/>
        <w:gridCol w:w="1419"/>
        <w:gridCol w:w="1419"/>
        <w:gridCol w:w="1420"/>
        <w:gridCol w:w="1420"/>
      </w:tblGrid>
      <w:tr w:rsidR="00CB1C18" w:rsidRPr="00645951" w14:paraId="6DCCF5E1" w14:textId="77777777" w:rsidTr="00994A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596483AB" w14:textId="2608BF99" w:rsidR="00CB1C18" w:rsidRPr="00645951" w:rsidRDefault="00F104E1" w:rsidP="00994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sz w:val="21"/>
                <w:szCs w:val="21"/>
              </w:rPr>
            </w:pPr>
            <w:r>
              <w:rPr>
                <w:rFonts w:cstheme="majorHAnsi"/>
                <w:sz w:val="21"/>
                <w:szCs w:val="21"/>
              </w:rPr>
              <w:t xml:space="preserve">Financial </w:t>
            </w:r>
            <w:r w:rsidR="000843AB">
              <w:rPr>
                <w:rFonts w:cstheme="majorHAnsi"/>
                <w:sz w:val="21"/>
                <w:szCs w:val="21"/>
              </w:rPr>
              <w:t>Year</w:t>
            </w:r>
          </w:p>
        </w:tc>
        <w:tc>
          <w:tcPr>
            <w:tcW w:w="1419" w:type="dxa"/>
          </w:tcPr>
          <w:p w14:paraId="001C1277" w14:textId="77777777" w:rsidR="00CB1C18" w:rsidRPr="00645951" w:rsidRDefault="00CB1C18" w:rsidP="00994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cnfStyle w:val="100000000000" w:firstRow="1" w:lastRow="0" w:firstColumn="0" w:lastColumn="0" w:oddVBand="0" w:evenVBand="0" w:oddHBand="0" w:evenHBand="0" w:firstRowFirstColumn="0" w:firstRowLastColumn="0" w:lastRowFirstColumn="0" w:lastRowLastColumn="0"/>
              <w:rPr>
                <w:rFonts w:cstheme="majorHAnsi"/>
                <w:sz w:val="21"/>
                <w:szCs w:val="21"/>
              </w:rPr>
            </w:pPr>
            <w:r w:rsidRPr="00645951">
              <w:rPr>
                <w:rFonts w:cstheme="majorHAnsi"/>
                <w:sz w:val="21"/>
                <w:szCs w:val="21"/>
              </w:rPr>
              <w:t>2020-21</w:t>
            </w:r>
          </w:p>
        </w:tc>
        <w:tc>
          <w:tcPr>
            <w:tcW w:w="1419" w:type="dxa"/>
          </w:tcPr>
          <w:p w14:paraId="4FFCFC74" w14:textId="77777777" w:rsidR="00CB1C18" w:rsidRPr="00645951" w:rsidRDefault="00CB1C18" w:rsidP="00994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cnfStyle w:val="100000000000" w:firstRow="1" w:lastRow="0" w:firstColumn="0" w:lastColumn="0" w:oddVBand="0" w:evenVBand="0" w:oddHBand="0" w:evenHBand="0" w:firstRowFirstColumn="0" w:firstRowLastColumn="0" w:lastRowFirstColumn="0" w:lastRowLastColumn="0"/>
              <w:rPr>
                <w:rFonts w:cstheme="majorHAnsi"/>
                <w:sz w:val="21"/>
                <w:szCs w:val="21"/>
              </w:rPr>
            </w:pPr>
            <w:r w:rsidRPr="00645951">
              <w:rPr>
                <w:rFonts w:cstheme="majorHAnsi"/>
                <w:sz w:val="21"/>
                <w:szCs w:val="21"/>
              </w:rPr>
              <w:t>2021-22</w:t>
            </w:r>
          </w:p>
        </w:tc>
        <w:tc>
          <w:tcPr>
            <w:tcW w:w="1419" w:type="dxa"/>
          </w:tcPr>
          <w:p w14:paraId="376DC1D6" w14:textId="77777777" w:rsidR="00CB1C18" w:rsidRPr="00645951" w:rsidRDefault="00CB1C18" w:rsidP="00994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cnfStyle w:val="100000000000" w:firstRow="1" w:lastRow="0" w:firstColumn="0" w:lastColumn="0" w:oddVBand="0" w:evenVBand="0" w:oddHBand="0" w:evenHBand="0" w:firstRowFirstColumn="0" w:firstRowLastColumn="0" w:lastRowFirstColumn="0" w:lastRowLastColumn="0"/>
              <w:rPr>
                <w:rFonts w:cstheme="majorHAnsi"/>
                <w:sz w:val="21"/>
                <w:szCs w:val="21"/>
              </w:rPr>
            </w:pPr>
            <w:r w:rsidRPr="00645951">
              <w:rPr>
                <w:rFonts w:cstheme="majorHAnsi"/>
                <w:sz w:val="21"/>
                <w:szCs w:val="21"/>
              </w:rPr>
              <w:t>2022-23</w:t>
            </w:r>
          </w:p>
        </w:tc>
        <w:tc>
          <w:tcPr>
            <w:tcW w:w="1420" w:type="dxa"/>
          </w:tcPr>
          <w:p w14:paraId="08B212DA" w14:textId="77777777" w:rsidR="00CB1C18" w:rsidRPr="00645951" w:rsidRDefault="00CB1C18" w:rsidP="00994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cnfStyle w:val="100000000000" w:firstRow="1" w:lastRow="0" w:firstColumn="0" w:lastColumn="0" w:oddVBand="0" w:evenVBand="0" w:oddHBand="0" w:evenHBand="0" w:firstRowFirstColumn="0" w:firstRowLastColumn="0" w:lastRowFirstColumn="0" w:lastRowLastColumn="0"/>
              <w:rPr>
                <w:rFonts w:cstheme="majorHAnsi"/>
                <w:sz w:val="21"/>
                <w:szCs w:val="21"/>
              </w:rPr>
            </w:pPr>
            <w:r w:rsidRPr="00645951">
              <w:rPr>
                <w:rFonts w:cstheme="majorHAnsi"/>
                <w:sz w:val="21"/>
                <w:szCs w:val="21"/>
              </w:rPr>
              <w:t>2023-24</w:t>
            </w:r>
          </w:p>
        </w:tc>
        <w:tc>
          <w:tcPr>
            <w:tcW w:w="1420" w:type="dxa"/>
          </w:tcPr>
          <w:p w14:paraId="3289DC16" w14:textId="77777777" w:rsidR="00CB1C18" w:rsidRPr="00645951" w:rsidRDefault="00CB1C18" w:rsidP="00994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cnfStyle w:val="100000000000" w:firstRow="1" w:lastRow="0" w:firstColumn="0" w:lastColumn="0" w:oddVBand="0" w:evenVBand="0" w:oddHBand="0" w:evenHBand="0" w:firstRowFirstColumn="0" w:firstRowLastColumn="0" w:lastRowFirstColumn="0" w:lastRowLastColumn="0"/>
              <w:rPr>
                <w:rFonts w:cstheme="majorHAnsi"/>
                <w:sz w:val="21"/>
                <w:szCs w:val="21"/>
              </w:rPr>
            </w:pPr>
            <w:r w:rsidRPr="00645951">
              <w:rPr>
                <w:rFonts w:cstheme="majorHAnsi"/>
                <w:sz w:val="21"/>
                <w:szCs w:val="21"/>
              </w:rPr>
              <w:t>2024-25</w:t>
            </w:r>
          </w:p>
        </w:tc>
      </w:tr>
      <w:tr w:rsidR="00CB1C18" w:rsidRPr="00645951" w14:paraId="1CF384D7" w14:textId="77777777" w:rsidTr="00994A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6B01BA49" w14:textId="77777777" w:rsidR="00CB1C18" w:rsidRPr="00645951" w:rsidRDefault="00CB1C18" w:rsidP="00994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sz w:val="21"/>
                <w:szCs w:val="21"/>
              </w:rPr>
            </w:pPr>
            <w:r w:rsidRPr="00645951">
              <w:rPr>
                <w:rFonts w:cstheme="majorHAnsi"/>
                <w:sz w:val="21"/>
                <w:szCs w:val="21"/>
              </w:rPr>
              <w:t>$m</w:t>
            </w:r>
          </w:p>
        </w:tc>
        <w:tc>
          <w:tcPr>
            <w:tcW w:w="1419" w:type="dxa"/>
          </w:tcPr>
          <w:p w14:paraId="3C5484F8" w14:textId="77777777" w:rsidR="00CB1C18" w:rsidRPr="00645951" w:rsidRDefault="00CB1C18" w:rsidP="00994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cstheme="majorHAnsi"/>
                <w:sz w:val="21"/>
                <w:szCs w:val="21"/>
              </w:rPr>
            </w:pPr>
            <w:r w:rsidRPr="00645951">
              <w:rPr>
                <w:rFonts w:cstheme="majorHAnsi"/>
                <w:sz w:val="21"/>
                <w:szCs w:val="21"/>
              </w:rPr>
              <w:t>0.6</w:t>
            </w:r>
          </w:p>
        </w:tc>
        <w:tc>
          <w:tcPr>
            <w:tcW w:w="1419" w:type="dxa"/>
          </w:tcPr>
          <w:p w14:paraId="117E0114" w14:textId="77777777" w:rsidR="00CB1C18" w:rsidRPr="00645951" w:rsidRDefault="00CB1C18" w:rsidP="00994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cstheme="majorHAnsi"/>
                <w:sz w:val="21"/>
                <w:szCs w:val="21"/>
              </w:rPr>
            </w:pPr>
            <w:r w:rsidRPr="00645951">
              <w:rPr>
                <w:rFonts w:cstheme="majorHAnsi"/>
                <w:sz w:val="21"/>
                <w:szCs w:val="21"/>
              </w:rPr>
              <w:t>0.9</w:t>
            </w:r>
          </w:p>
        </w:tc>
        <w:tc>
          <w:tcPr>
            <w:tcW w:w="1419" w:type="dxa"/>
          </w:tcPr>
          <w:p w14:paraId="29FC0DB8" w14:textId="77777777" w:rsidR="00CB1C18" w:rsidRPr="00645951" w:rsidRDefault="00CB1C18" w:rsidP="00994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cstheme="majorHAnsi"/>
                <w:sz w:val="21"/>
                <w:szCs w:val="21"/>
              </w:rPr>
            </w:pPr>
            <w:r w:rsidRPr="00645951">
              <w:rPr>
                <w:rFonts w:cstheme="majorHAnsi"/>
                <w:sz w:val="21"/>
                <w:szCs w:val="21"/>
              </w:rPr>
              <w:t>1.0</w:t>
            </w:r>
          </w:p>
        </w:tc>
        <w:tc>
          <w:tcPr>
            <w:tcW w:w="1420" w:type="dxa"/>
          </w:tcPr>
          <w:p w14:paraId="45A72130" w14:textId="4E77A10D" w:rsidR="00CB1C18" w:rsidRPr="00645951" w:rsidRDefault="00CB1C18" w:rsidP="00994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cstheme="majorHAnsi"/>
                <w:sz w:val="21"/>
                <w:szCs w:val="21"/>
              </w:rPr>
            </w:pPr>
            <w:r w:rsidRPr="00645951">
              <w:rPr>
                <w:rFonts w:cstheme="majorHAnsi"/>
                <w:sz w:val="21"/>
                <w:szCs w:val="21"/>
              </w:rPr>
              <w:t>1.</w:t>
            </w:r>
            <w:r w:rsidR="008116D7">
              <w:rPr>
                <w:rFonts w:cstheme="majorHAnsi"/>
                <w:sz w:val="21"/>
                <w:szCs w:val="21"/>
              </w:rPr>
              <w:t>3</w:t>
            </w:r>
          </w:p>
        </w:tc>
        <w:tc>
          <w:tcPr>
            <w:tcW w:w="1420" w:type="dxa"/>
          </w:tcPr>
          <w:p w14:paraId="37B10402" w14:textId="319FE7F0" w:rsidR="00CB1C18" w:rsidRPr="00645951" w:rsidRDefault="00CB1C18" w:rsidP="00994A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cnfStyle w:val="000000100000" w:firstRow="0" w:lastRow="0" w:firstColumn="0" w:lastColumn="0" w:oddVBand="0" w:evenVBand="0" w:oddHBand="1" w:evenHBand="0" w:firstRowFirstColumn="0" w:firstRowLastColumn="0" w:lastRowFirstColumn="0" w:lastRowLastColumn="0"/>
              <w:rPr>
                <w:rFonts w:cstheme="majorHAnsi"/>
                <w:sz w:val="21"/>
                <w:szCs w:val="21"/>
              </w:rPr>
            </w:pPr>
            <w:r w:rsidRPr="00645951">
              <w:rPr>
                <w:rFonts w:cstheme="majorHAnsi"/>
                <w:sz w:val="21"/>
                <w:szCs w:val="21"/>
              </w:rPr>
              <w:t>1.</w:t>
            </w:r>
            <w:r w:rsidR="00F71698">
              <w:rPr>
                <w:rFonts w:cstheme="majorHAnsi"/>
                <w:sz w:val="21"/>
                <w:szCs w:val="21"/>
              </w:rPr>
              <w:t>2</w:t>
            </w:r>
          </w:p>
        </w:tc>
      </w:tr>
    </w:tbl>
    <w:p w14:paraId="453BE3DA" w14:textId="77777777" w:rsidR="00CB1C18" w:rsidRPr="00645951" w:rsidRDefault="00CB1C18" w:rsidP="00CB1C18">
      <w:pPr>
        <w:spacing w:before="360" w:after="120"/>
        <w:jc w:val="both"/>
        <w:rPr>
          <w:rFonts w:cstheme="majorHAnsi"/>
          <w:b/>
          <w:bCs/>
          <w:sz w:val="21"/>
          <w:szCs w:val="21"/>
        </w:rPr>
      </w:pPr>
      <w:r w:rsidRPr="00645951">
        <w:rPr>
          <w:rFonts w:cstheme="majorHAnsi"/>
          <w:b/>
          <w:bCs/>
          <w:sz w:val="21"/>
          <w:szCs w:val="21"/>
        </w:rPr>
        <w:t>Partner agency(s) or institution(s), branch and work group</w:t>
      </w:r>
    </w:p>
    <w:p w14:paraId="25A1016E" w14:textId="77777777" w:rsidR="00CB1C18" w:rsidRPr="00645951"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iCs/>
          <w:sz w:val="21"/>
          <w:szCs w:val="21"/>
        </w:rPr>
      </w:pPr>
      <w:r w:rsidRPr="00645951">
        <w:rPr>
          <w:rFonts w:cstheme="majorHAnsi"/>
          <w:iCs/>
          <w:sz w:val="21"/>
          <w:szCs w:val="21"/>
        </w:rPr>
        <w:t xml:space="preserve">The activity will involve working with the following partners, institutions and groups: </w:t>
      </w:r>
    </w:p>
    <w:p w14:paraId="2C98F643" w14:textId="47CCE4A0" w:rsidR="005A1FE4" w:rsidRPr="005A1FE4" w:rsidRDefault="005A1FE4" w:rsidP="00F5504F">
      <w:pPr>
        <w:pStyle w:val="ListParagraph"/>
        <w:widowControl w:val="0"/>
        <w:numPr>
          <w:ilvl w:val="0"/>
          <w:numId w:val="9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line="240" w:lineRule="auto"/>
        <w:jc w:val="both"/>
        <w:rPr>
          <w:rFonts w:cstheme="majorHAnsi"/>
          <w:iCs/>
          <w:sz w:val="21"/>
          <w:szCs w:val="21"/>
        </w:rPr>
      </w:pPr>
      <w:r w:rsidRPr="005A1FE4">
        <w:rPr>
          <w:rFonts w:cstheme="majorHAnsi"/>
          <w:b/>
          <w:iCs/>
          <w:sz w:val="21"/>
          <w:szCs w:val="21"/>
        </w:rPr>
        <w:t xml:space="preserve">The Indonesian Coordinating Ministry for Economic Affairs, </w:t>
      </w:r>
      <w:r>
        <w:rPr>
          <w:rFonts w:cstheme="majorHAnsi"/>
          <w:iCs/>
          <w:sz w:val="21"/>
          <w:szCs w:val="21"/>
        </w:rPr>
        <w:t>given their role supporting policy in trade and advanced manufacturing in Indonesia.</w:t>
      </w:r>
    </w:p>
    <w:p w14:paraId="76D1DD11" w14:textId="55B0649A" w:rsidR="00CB1C18" w:rsidRDefault="00CB1C18" w:rsidP="00F5504F">
      <w:pPr>
        <w:pStyle w:val="ListParagraph"/>
        <w:widowControl w:val="0"/>
        <w:numPr>
          <w:ilvl w:val="0"/>
          <w:numId w:val="9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line="240" w:lineRule="auto"/>
        <w:jc w:val="both"/>
        <w:rPr>
          <w:rFonts w:cstheme="majorHAnsi"/>
          <w:iCs/>
          <w:sz w:val="21"/>
          <w:szCs w:val="21"/>
        </w:rPr>
      </w:pPr>
      <w:r w:rsidRPr="00645951">
        <w:rPr>
          <w:rFonts w:cstheme="majorHAnsi"/>
          <w:b/>
          <w:iCs/>
          <w:sz w:val="21"/>
          <w:szCs w:val="21"/>
        </w:rPr>
        <w:t xml:space="preserve">The Indonesian </w:t>
      </w:r>
      <w:r w:rsidR="0079148A" w:rsidRPr="0079148A">
        <w:rPr>
          <w:rFonts w:cstheme="majorHAnsi"/>
          <w:b/>
          <w:bCs/>
          <w:iCs/>
          <w:sz w:val="21"/>
          <w:szCs w:val="21"/>
        </w:rPr>
        <w:t>Coordinating Ministry</w:t>
      </w:r>
      <w:r w:rsidR="0079148A" w:rsidRPr="0079148A">
        <w:rPr>
          <w:rFonts w:cstheme="majorHAnsi"/>
          <w:b/>
          <w:iCs/>
          <w:sz w:val="21"/>
          <w:szCs w:val="21"/>
        </w:rPr>
        <w:t xml:space="preserve"> for </w:t>
      </w:r>
      <w:r w:rsidR="0079148A" w:rsidRPr="0079148A">
        <w:rPr>
          <w:rFonts w:cstheme="majorHAnsi"/>
          <w:b/>
          <w:bCs/>
          <w:iCs/>
          <w:sz w:val="21"/>
          <w:szCs w:val="21"/>
        </w:rPr>
        <w:t>Maritime and Investment</w:t>
      </w:r>
      <w:r w:rsidR="0079148A" w:rsidRPr="0079148A">
        <w:rPr>
          <w:rFonts w:cstheme="majorHAnsi"/>
          <w:b/>
          <w:iCs/>
          <w:sz w:val="21"/>
          <w:szCs w:val="21"/>
        </w:rPr>
        <w:t xml:space="preserve"> Affairs</w:t>
      </w:r>
      <w:r w:rsidR="0079148A">
        <w:rPr>
          <w:rFonts w:cstheme="majorHAnsi"/>
          <w:b/>
          <w:iCs/>
          <w:sz w:val="21"/>
          <w:szCs w:val="21"/>
        </w:rPr>
        <w:t xml:space="preserve"> </w:t>
      </w:r>
      <w:r w:rsidRPr="00645951">
        <w:rPr>
          <w:rFonts w:cstheme="majorHAnsi"/>
          <w:b/>
          <w:iCs/>
          <w:sz w:val="21"/>
          <w:szCs w:val="21"/>
        </w:rPr>
        <w:t>and BKPM</w:t>
      </w:r>
      <w:r w:rsidRPr="00645951">
        <w:rPr>
          <w:rFonts w:cstheme="majorHAnsi"/>
          <w:iCs/>
          <w:sz w:val="21"/>
          <w:szCs w:val="21"/>
        </w:rPr>
        <w:t xml:space="preserve"> support policy and investment in advanced manufacturing in Indonesia. </w:t>
      </w:r>
    </w:p>
    <w:p w14:paraId="1A6B9F6D" w14:textId="318CE849" w:rsidR="005A1FE4" w:rsidRPr="0079148A" w:rsidRDefault="005A1FE4" w:rsidP="00F5504F">
      <w:pPr>
        <w:pStyle w:val="ListParagraph"/>
        <w:widowControl w:val="0"/>
        <w:numPr>
          <w:ilvl w:val="0"/>
          <w:numId w:val="9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line="240" w:lineRule="auto"/>
        <w:jc w:val="both"/>
        <w:rPr>
          <w:rFonts w:cstheme="majorHAnsi"/>
          <w:iCs/>
          <w:sz w:val="21"/>
          <w:szCs w:val="21"/>
        </w:rPr>
      </w:pPr>
      <w:r>
        <w:rPr>
          <w:rFonts w:cstheme="majorHAnsi"/>
          <w:b/>
          <w:iCs/>
          <w:sz w:val="21"/>
          <w:szCs w:val="21"/>
        </w:rPr>
        <w:t xml:space="preserve">The Indonesian Ministry of Industry, </w:t>
      </w:r>
      <w:r w:rsidRPr="00B30EFA">
        <w:rPr>
          <w:rFonts w:cstheme="majorHAnsi"/>
          <w:iCs/>
          <w:sz w:val="21"/>
          <w:szCs w:val="21"/>
        </w:rPr>
        <w:t>working collaboratively with industry to support Indonesia’s manufacturing development and access to international markets</w:t>
      </w:r>
      <w:r>
        <w:rPr>
          <w:rFonts w:cstheme="majorHAnsi"/>
          <w:b/>
          <w:iCs/>
          <w:sz w:val="21"/>
          <w:szCs w:val="21"/>
        </w:rPr>
        <w:t xml:space="preserve">. </w:t>
      </w:r>
    </w:p>
    <w:p w14:paraId="1762783C" w14:textId="5E91B74E" w:rsidR="00B04ED1" w:rsidRPr="00B30EFA" w:rsidRDefault="00CB1C18" w:rsidP="00F5504F">
      <w:pPr>
        <w:pStyle w:val="ListParagraph"/>
        <w:widowControl w:val="0"/>
        <w:numPr>
          <w:ilvl w:val="0"/>
          <w:numId w:val="92"/>
        </w:numPr>
        <w:tabs>
          <w:tab w:val="left" w:pos="560"/>
          <w:tab w:val="left" w:pos="993"/>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line="240" w:lineRule="auto"/>
        <w:jc w:val="both"/>
        <w:rPr>
          <w:rFonts w:cstheme="majorHAnsi"/>
          <w:iCs/>
          <w:sz w:val="21"/>
          <w:szCs w:val="21"/>
        </w:rPr>
      </w:pPr>
      <w:r w:rsidRPr="00645951">
        <w:rPr>
          <w:rFonts w:cstheme="majorHAnsi"/>
          <w:b/>
          <w:iCs/>
          <w:sz w:val="21"/>
          <w:szCs w:val="21"/>
        </w:rPr>
        <w:t>The Australian Department of Industry</w:t>
      </w:r>
      <w:r w:rsidR="00B04ED1">
        <w:rPr>
          <w:rFonts w:cstheme="majorHAnsi"/>
          <w:b/>
          <w:iCs/>
          <w:sz w:val="21"/>
          <w:szCs w:val="21"/>
        </w:rPr>
        <w:t>, Science, Energy and Resou</w:t>
      </w:r>
      <w:r w:rsidR="008116D7">
        <w:rPr>
          <w:rFonts w:cstheme="majorHAnsi"/>
          <w:b/>
          <w:iCs/>
          <w:sz w:val="21"/>
          <w:szCs w:val="21"/>
        </w:rPr>
        <w:t>r</w:t>
      </w:r>
      <w:r w:rsidR="00B04ED1">
        <w:rPr>
          <w:rFonts w:cstheme="majorHAnsi"/>
          <w:b/>
          <w:iCs/>
          <w:sz w:val="21"/>
          <w:szCs w:val="21"/>
        </w:rPr>
        <w:t xml:space="preserve">ces (DISER) </w:t>
      </w:r>
      <w:r w:rsidR="00B04ED1" w:rsidRPr="00B30EFA">
        <w:rPr>
          <w:rFonts w:cstheme="majorHAnsi"/>
          <w:iCs/>
          <w:sz w:val="21"/>
          <w:szCs w:val="21"/>
        </w:rPr>
        <w:t xml:space="preserve">will be engaged </w:t>
      </w:r>
      <w:r w:rsidR="00935AE2" w:rsidRPr="00B30EFA">
        <w:rPr>
          <w:rFonts w:cstheme="majorHAnsi"/>
          <w:iCs/>
          <w:sz w:val="21"/>
          <w:szCs w:val="21"/>
        </w:rPr>
        <w:t>through their teams with</w:t>
      </w:r>
      <w:r w:rsidR="00B04ED1" w:rsidRPr="00B30EFA">
        <w:rPr>
          <w:rFonts w:cstheme="majorHAnsi"/>
          <w:iCs/>
          <w:sz w:val="21"/>
          <w:szCs w:val="21"/>
        </w:rPr>
        <w:t xml:space="preserve"> </w:t>
      </w:r>
      <w:r w:rsidR="00935AE2" w:rsidRPr="00B30EFA">
        <w:rPr>
          <w:rFonts w:cstheme="majorHAnsi"/>
          <w:iCs/>
          <w:sz w:val="21"/>
          <w:szCs w:val="21"/>
        </w:rPr>
        <w:t>capabilities in trade policy, advanced manufacturing, trade facilitation (standards and conformance) and Critical Mineral</w:t>
      </w:r>
      <w:r w:rsidR="00B37F8E">
        <w:rPr>
          <w:rFonts w:cstheme="majorHAnsi"/>
          <w:iCs/>
          <w:sz w:val="21"/>
          <w:szCs w:val="21"/>
        </w:rPr>
        <w:t>s</w:t>
      </w:r>
      <w:r w:rsidR="00935AE2" w:rsidRPr="00B30EFA">
        <w:rPr>
          <w:rFonts w:cstheme="majorHAnsi"/>
          <w:iCs/>
          <w:sz w:val="21"/>
          <w:szCs w:val="21"/>
        </w:rPr>
        <w:t xml:space="preserve"> Facilitation Office. </w:t>
      </w:r>
    </w:p>
    <w:p w14:paraId="5906439D" w14:textId="34D1A1E3" w:rsidR="00CB1C18" w:rsidRPr="0079148A" w:rsidRDefault="00CB1C18" w:rsidP="00F5504F">
      <w:pPr>
        <w:pStyle w:val="ListParagraph"/>
        <w:widowControl w:val="0"/>
        <w:numPr>
          <w:ilvl w:val="0"/>
          <w:numId w:val="92"/>
        </w:numPr>
        <w:tabs>
          <w:tab w:val="left" w:pos="560"/>
          <w:tab w:val="left" w:pos="993"/>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line="240" w:lineRule="auto"/>
        <w:jc w:val="both"/>
        <w:rPr>
          <w:rFonts w:cstheme="majorHAnsi"/>
          <w:iCs/>
          <w:sz w:val="21"/>
          <w:szCs w:val="21"/>
        </w:rPr>
      </w:pPr>
      <w:proofErr w:type="spellStart"/>
      <w:r w:rsidRPr="00645951">
        <w:rPr>
          <w:rFonts w:cstheme="majorHAnsi"/>
          <w:b/>
          <w:iCs/>
          <w:sz w:val="21"/>
          <w:szCs w:val="21"/>
        </w:rPr>
        <w:t>Aus</w:t>
      </w:r>
      <w:r w:rsidR="008B0A07">
        <w:rPr>
          <w:rFonts w:cstheme="majorHAnsi"/>
          <w:b/>
          <w:iCs/>
          <w:sz w:val="21"/>
          <w:szCs w:val="21"/>
        </w:rPr>
        <w:t>t</w:t>
      </w:r>
      <w:r w:rsidRPr="00645951">
        <w:rPr>
          <w:rFonts w:cstheme="majorHAnsi"/>
          <w:b/>
          <w:iCs/>
          <w:sz w:val="21"/>
          <w:szCs w:val="21"/>
        </w:rPr>
        <w:t>rade</w:t>
      </w:r>
      <w:proofErr w:type="spellEnd"/>
      <w:r w:rsidRPr="00645951">
        <w:rPr>
          <w:rFonts w:cstheme="majorHAnsi"/>
          <w:b/>
          <w:iCs/>
          <w:sz w:val="21"/>
          <w:szCs w:val="21"/>
        </w:rPr>
        <w:t xml:space="preserve"> </w:t>
      </w:r>
      <w:r w:rsidR="00B04ED1">
        <w:rPr>
          <w:rFonts w:cstheme="majorHAnsi"/>
          <w:b/>
          <w:iCs/>
          <w:sz w:val="21"/>
          <w:szCs w:val="21"/>
        </w:rPr>
        <w:t xml:space="preserve">will also be engaged to </w:t>
      </w:r>
      <w:r w:rsidRPr="00645951">
        <w:rPr>
          <w:rFonts w:cstheme="majorHAnsi"/>
          <w:iCs/>
          <w:sz w:val="21"/>
          <w:szCs w:val="21"/>
        </w:rPr>
        <w:t xml:space="preserve">work collaboratively with industry to support Australia’s manufacturing industry and access to international markets. </w:t>
      </w:r>
    </w:p>
    <w:p w14:paraId="5FD8E01D" w14:textId="0051934F" w:rsidR="00CB1C18" w:rsidRPr="0079148A" w:rsidRDefault="00CB1C18" w:rsidP="00F5504F">
      <w:pPr>
        <w:pStyle w:val="ListParagraph"/>
        <w:widowControl w:val="0"/>
        <w:numPr>
          <w:ilvl w:val="0"/>
          <w:numId w:val="9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line="240" w:lineRule="auto"/>
        <w:jc w:val="both"/>
        <w:rPr>
          <w:rFonts w:cstheme="majorHAnsi"/>
          <w:iCs/>
          <w:sz w:val="21"/>
          <w:szCs w:val="21"/>
        </w:rPr>
      </w:pPr>
      <w:r w:rsidRPr="00645951">
        <w:rPr>
          <w:rFonts w:cstheme="majorHAnsi"/>
          <w:b/>
          <w:iCs/>
          <w:sz w:val="21"/>
          <w:szCs w:val="21"/>
        </w:rPr>
        <w:t>Private sector:</w:t>
      </w:r>
      <w:r w:rsidRPr="00645951">
        <w:rPr>
          <w:rFonts w:cstheme="majorHAnsi"/>
          <w:iCs/>
          <w:sz w:val="21"/>
          <w:szCs w:val="21"/>
        </w:rPr>
        <w:t xml:space="preserve"> A range of private sector providers will be engaged to support this activity. Toyota, who is working in partnership with the Governments of Indonesia and Japan to design an electric vehicle, has expressed interest in working with Australian manufacturers. </w:t>
      </w:r>
      <w:r w:rsidR="00B37F8E">
        <w:rPr>
          <w:rFonts w:cstheme="majorHAnsi"/>
          <w:iCs/>
          <w:sz w:val="21"/>
          <w:szCs w:val="21"/>
        </w:rPr>
        <w:t xml:space="preserve">DISER and </w:t>
      </w:r>
      <w:proofErr w:type="spellStart"/>
      <w:r w:rsidR="00B37F8E">
        <w:rPr>
          <w:rFonts w:cstheme="majorHAnsi"/>
          <w:iCs/>
          <w:sz w:val="21"/>
          <w:szCs w:val="21"/>
        </w:rPr>
        <w:t>Austrade</w:t>
      </w:r>
      <w:proofErr w:type="spellEnd"/>
      <w:r w:rsidR="00B37F8E">
        <w:rPr>
          <w:rFonts w:cstheme="majorHAnsi"/>
          <w:iCs/>
          <w:sz w:val="21"/>
          <w:szCs w:val="21"/>
        </w:rPr>
        <w:t xml:space="preserve"> can provide advice on component and other input suppliers from an Australian perspective. </w:t>
      </w:r>
      <w:r w:rsidRPr="00645951">
        <w:rPr>
          <w:rFonts w:cstheme="majorHAnsi"/>
          <w:iCs/>
          <w:sz w:val="21"/>
          <w:szCs w:val="21"/>
        </w:rPr>
        <w:t xml:space="preserve"> </w:t>
      </w:r>
    </w:p>
    <w:p w14:paraId="007ECFBC" w14:textId="32FAE6EA" w:rsidR="00CB1C18" w:rsidRPr="0079148A" w:rsidRDefault="00CB1C18" w:rsidP="00F5504F">
      <w:pPr>
        <w:pStyle w:val="ListParagraph"/>
        <w:widowControl w:val="0"/>
        <w:numPr>
          <w:ilvl w:val="0"/>
          <w:numId w:val="9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line="240" w:lineRule="auto"/>
        <w:jc w:val="both"/>
        <w:rPr>
          <w:rFonts w:cstheme="majorHAnsi"/>
          <w:iCs/>
          <w:sz w:val="21"/>
          <w:szCs w:val="21"/>
        </w:rPr>
      </w:pPr>
      <w:r w:rsidRPr="00645951">
        <w:rPr>
          <w:rFonts w:cstheme="majorHAnsi"/>
          <w:b/>
          <w:iCs/>
          <w:sz w:val="21"/>
          <w:szCs w:val="21"/>
        </w:rPr>
        <w:t xml:space="preserve">Industry groups </w:t>
      </w:r>
      <w:r w:rsidR="00C805FD">
        <w:rPr>
          <w:rFonts w:cstheme="majorHAnsi"/>
          <w:b/>
          <w:iCs/>
          <w:sz w:val="21"/>
          <w:szCs w:val="21"/>
        </w:rPr>
        <w:t>such as</w:t>
      </w:r>
      <w:r w:rsidR="00C805FD" w:rsidRPr="00645951">
        <w:rPr>
          <w:rFonts w:cstheme="majorHAnsi"/>
          <w:b/>
          <w:iCs/>
          <w:sz w:val="21"/>
          <w:szCs w:val="21"/>
        </w:rPr>
        <w:t xml:space="preserve"> </w:t>
      </w:r>
      <w:r w:rsidRPr="00645951">
        <w:rPr>
          <w:rFonts w:cstheme="majorHAnsi"/>
          <w:b/>
          <w:iCs/>
          <w:sz w:val="21"/>
          <w:szCs w:val="21"/>
        </w:rPr>
        <w:t>AMGC in Australia</w:t>
      </w:r>
      <w:r w:rsidR="00935AE2">
        <w:rPr>
          <w:rFonts w:cstheme="majorHAnsi"/>
          <w:b/>
          <w:iCs/>
          <w:sz w:val="21"/>
          <w:szCs w:val="21"/>
        </w:rPr>
        <w:t>, Australian Automotive Aftermarket Association (AAAA),</w:t>
      </w:r>
      <w:r w:rsidRPr="00645951">
        <w:rPr>
          <w:rFonts w:cstheme="majorHAnsi"/>
          <w:b/>
          <w:iCs/>
          <w:sz w:val="21"/>
          <w:szCs w:val="21"/>
        </w:rPr>
        <w:t xml:space="preserve"> KADIN</w:t>
      </w:r>
      <w:r w:rsidR="00595AE6">
        <w:rPr>
          <w:rFonts w:cstheme="majorHAnsi"/>
          <w:b/>
          <w:iCs/>
          <w:sz w:val="21"/>
          <w:szCs w:val="21"/>
        </w:rPr>
        <w:t xml:space="preserve"> GAIKINDO and GIAMM in Indonesia</w:t>
      </w:r>
      <w:r w:rsidRPr="00645951">
        <w:rPr>
          <w:rFonts w:cstheme="majorHAnsi"/>
          <w:b/>
          <w:iCs/>
          <w:sz w:val="21"/>
          <w:szCs w:val="21"/>
        </w:rPr>
        <w:t xml:space="preserve"> (and other relevant groups) </w:t>
      </w:r>
      <w:r w:rsidR="00C805FD">
        <w:rPr>
          <w:rFonts w:cstheme="majorHAnsi"/>
          <w:iCs/>
          <w:sz w:val="21"/>
          <w:szCs w:val="21"/>
        </w:rPr>
        <w:t>may</w:t>
      </w:r>
      <w:r w:rsidR="00C805FD" w:rsidRPr="00645951">
        <w:rPr>
          <w:rFonts w:cstheme="majorHAnsi"/>
          <w:iCs/>
          <w:sz w:val="21"/>
          <w:szCs w:val="21"/>
        </w:rPr>
        <w:t xml:space="preserve"> </w:t>
      </w:r>
      <w:r w:rsidRPr="00645951">
        <w:rPr>
          <w:rFonts w:cstheme="majorHAnsi"/>
          <w:iCs/>
          <w:sz w:val="21"/>
          <w:szCs w:val="21"/>
        </w:rPr>
        <w:t xml:space="preserve">be engaged in the partnership to support trade and investment in advanced manufacturing between the two countries.  </w:t>
      </w:r>
    </w:p>
    <w:p w14:paraId="7E1680E0" w14:textId="2471D400" w:rsidR="00CB1C18" w:rsidRPr="0079148A" w:rsidRDefault="00CB1C18" w:rsidP="00F5504F">
      <w:pPr>
        <w:pStyle w:val="ListParagraph"/>
        <w:widowControl w:val="0"/>
        <w:numPr>
          <w:ilvl w:val="0"/>
          <w:numId w:val="9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line="240" w:lineRule="auto"/>
        <w:jc w:val="both"/>
        <w:rPr>
          <w:rFonts w:cstheme="majorHAnsi"/>
          <w:iCs/>
          <w:sz w:val="21"/>
          <w:szCs w:val="21"/>
        </w:rPr>
      </w:pPr>
      <w:r w:rsidRPr="00645951">
        <w:rPr>
          <w:rFonts w:cstheme="majorHAnsi"/>
          <w:b/>
          <w:iCs/>
          <w:sz w:val="21"/>
          <w:szCs w:val="21"/>
        </w:rPr>
        <w:t>Standards Australia and BSN</w:t>
      </w:r>
      <w:r w:rsidRPr="00645951">
        <w:rPr>
          <w:rFonts w:cstheme="majorHAnsi"/>
          <w:iCs/>
          <w:sz w:val="21"/>
          <w:szCs w:val="21"/>
        </w:rPr>
        <w:t xml:space="preserve"> will continue their partnership to improve alignment of standards and develop the standards ecosystem. </w:t>
      </w:r>
    </w:p>
    <w:p w14:paraId="405B0627" w14:textId="77777777" w:rsidR="00CB1C18" w:rsidRPr="00645951" w:rsidRDefault="00CB1C18" w:rsidP="00F5504F">
      <w:pPr>
        <w:pStyle w:val="ListParagraph"/>
        <w:widowControl w:val="0"/>
        <w:numPr>
          <w:ilvl w:val="0"/>
          <w:numId w:val="9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line="240" w:lineRule="auto"/>
        <w:jc w:val="both"/>
        <w:rPr>
          <w:rFonts w:cstheme="majorHAnsi"/>
          <w:iCs/>
          <w:sz w:val="21"/>
          <w:szCs w:val="21"/>
        </w:rPr>
      </w:pPr>
      <w:proofErr w:type="spellStart"/>
      <w:r w:rsidRPr="00645951">
        <w:rPr>
          <w:rFonts w:cstheme="majorHAnsi"/>
          <w:b/>
          <w:iCs/>
          <w:sz w:val="21"/>
          <w:szCs w:val="21"/>
        </w:rPr>
        <w:t>Prospera’s</w:t>
      </w:r>
      <w:proofErr w:type="spellEnd"/>
      <w:r w:rsidRPr="00645951">
        <w:rPr>
          <w:rFonts w:cstheme="majorHAnsi"/>
          <w:b/>
          <w:iCs/>
          <w:sz w:val="21"/>
          <w:szCs w:val="21"/>
        </w:rPr>
        <w:t xml:space="preserve"> Markets Engagement Area</w:t>
      </w:r>
      <w:r w:rsidRPr="00645951">
        <w:rPr>
          <w:rFonts w:cstheme="majorHAnsi"/>
          <w:iCs/>
          <w:sz w:val="21"/>
          <w:szCs w:val="21"/>
        </w:rPr>
        <w:t xml:space="preserve"> have existing expertise in the Indonesian manufacturing sectors, such as electronic parts and the automotive industry. ECP will seek to collaborate with this team to build on their past work and expertise. </w:t>
      </w:r>
    </w:p>
    <w:p w14:paraId="6220BB9B" w14:textId="0101BCA5" w:rsidR="00CB1C18" w:rsidRPr="00645951" w:rsidRDefault="00CB1C18" w:rsidP="0079148A">
      <w:pPr>
        <w:rPr>
          <w:rFonts w:cstheme="majorHAnsi"/>
          <w:b/>
          <w:bCs/>
          <w:sz w:val="21"/>
          <w:szCs w:val="21"/>
        </w:rPr>
      </w:pPr>
      <w:r w:rsidRPr="00645951">
        <w:rPr>
          <w:rFonts w:cstheme="majorHAnsi"/>
          <w:b/>
          <w:bCs/>
          <w:sz w:val="21"/>
          <w:szCs w:val="21"/>
        </w:rPr>
        <w:t>Activity assessment against investment criteria</w:t>
      </w:r>
    </w:p>
    <w:p w14:paraId="1CCA246B" w14:textId="77777777" w:rsidR="00CB1C18" w:rsidRPr="00645951" w:rsidRDefault="00CB1C18" w:rsidP="00CB1C18">
      <w:pPr>
        <w:pBdr>
          <w:top w:val="single" w:sz="4" w:space="1" w:color="auto"/>
          <w:left w:val="single" w:sz="4" w:space="4" w:color="auto"/>
          <w:bottom w:val="single" w:sz="4" w:space="1" w:color="auto"/>
          <w:right w:val="single" w:sz="4" w:space="4" w:color="auto"/>
        </w:pBdr>
        <w:spacing w:after="120"/>
        <w:jc w:val="both"/>
        <w:rPr>
          <w:rFonts w:cstheme="majorHAnsi"/>
          <w:b/>
          <w:sz w:val="21"/>
          <w:szCs w:val="21"/>
        </w:rPr>
      </w:pPr>
      <w:r w:rsidRPr="00645951">
        <w:rPr>
          <w:rFonts w:cstheme="majorHAnsi"/>
          <w:b/>
          <w:sz w:val="21"/>
          <w:szCs w:val="21"/>
        </w:rPr>
        <w:t>INVESTMENT CRITERIA:</w:t>
      </w:r>
    </w:p>
    <w:p w14:paraId="11E3E10F" w14:textId="64DB2A56" w:rsidR="00CB1C18" w:rsidRPr="00645951" w:rsidRDefault="00D7368F" w:rsidP="0079148A">
      <w:pPr>
        <w:pBdr>
          <w:top w:val="single" w:sz="4" w:space="1" w:color="auto"/>
          <w:left w:val="single" w:sz="4" w:space="4" w:color="auto"/>
          <w:bottom w:val="single" w:sz="4" w:space="1" w:color="auto"/>
          <w:right w:val="single" w:sz="4" w:space="4" w:color="auto"/>
        </w:pBdr>
        <w:spacing w:after="120"/>
        <w:jc w:val="both"/>
        <w:rPr>
          <w:rFonts w:cstheme="majorHAnsi"/>
          <w:sz w:val="21"/>
          <w:szCs w:val="21"/>
        </w:rPr>
      </w:pPr>
      <w:r>
        <w:rPr>
          <w:rFonts w:cstheme="majorHAnsi"/>
          <w:b/>
          <w:sz w:val="21"/>
          <w:szCs w:val="21"/>
        </w:rPr>
        <w:t>(</w:t>
      </w:r>
      <w:proofErr w:type="spellStart"/>
      <w:r>
        <w:rPr>
          <w:rFonts w:cstheme="majorHAnsi"/>
          <w:b/>
          <w:sz w:val="21"/>
          <w:szCs w:val="21"/>
        </w:rPr>
        <w:t>i</w:t>
      </w:r>
      <w:proofErr w:type="spellEnd"/>
      <w:r>
        <w:rPr>
          <w:rFonts w:cstheme="majorHAnsi"/>
          <w:b/>
          <w:sz w:val="21"/>
          <w:szCs w:val="21"/>
        </w:rPr>
        <w:t xml:space="preserve">) </w:t>
      </w:r>
      <w:r w:rsidR="00CB1C18" w:rsidRPr="00645951">
        <w:rPr>
          <w:rFonts w:cstheme="majorHAnsi"/>
          <w:b/>
          <w:sz w:val="21"/>
          <w:szCs w:val="21"/>
        </w:rPr>
        <w:t xml:space="preserve">Maximising the outcomes of IA-CEPA: </w:t>
      </w:r>
      <w:r w:rsidR="00CB1C18" w:rsidRPr="00645951">
        <w:rPr>
          <w:rFonts w:cstheme="majorHAnsi"/>
          <w:sz w:val="21"/>
          <w:szCs w:val="21"/>
        </w:rPr>
        <w:t>This activities</w:t>
      </w:r>
      <w:r w:rsidR="00CB1C18" w:rsidRPr="00645951">
        <w:rPr>
          <w:rFonts w:cstheme="majorHAnsi"/>
          <w:b/>
          <w:sz w:val="21"/>
          <w:szCs w:val="21"/>
        </w:rPr>
        <w:t xml:space="preserve"> aligns with IA-CEPA outcomes </w:t>
      </w:r>
      <w:r w:rsidR="00CB1C18" w:rsidRPr="00645951">
        <w:rPr>
          <w:rFonts w:cstheme="majorHAnsi"/>
          <w:sz w:val="21"/>
          <w:szCs w:val="21"/>
        </w:rPr>
        <w:t>in goods and investment. Through closer partnerships between industries, analysis of sectoral opportunities, and better alignment of standards</w:t>
      </w:r>
      <w:r w:rsidR="000E444B">
        <w:rPr>
          <w:rFonts w:cstheme="majorHAnsi"/>
          <w:sz w:val="21"/>
          <w:szCs w:val="21"/>
        </w:rPr>
        <w:t xml:space="preserve"> </w:t>
      </w:r>
      <w:r w:rsidR="000E444B">
        <w:rPr>
          <w:rFonts w:cstheme="majorHAnsi"/>
          <w:sz w:val="20"/>
          <w:szCs w:val="21"/>
        </w:rPr>
        <w:t>and conformance</w:t>
      </w:r>
      <w:r w:rsidR="00CB1C18" w:rsidRPr="00645951">
        <w:rPr>
          <w:rFonts w:cstheme="majorHAnsi"/>
          <w:sz w:val="21"/>
          <w:szCs w:val="21"/>
        </w:rPr>
        <w:t xml:space="preserve">, this work supports enhanced trade and investment between Australia and Indonesia; </w:t>
      </w:r>
    </w:p>
    <w:p w14:paraId="6E3DBB29" w14:textId="0DB80BC2" w:rsidR="00CB1C18" w:rsidRPr="00645951" w:rsidRDefault="00D7368F" w:rsidP="0079148A">
      <w:pPr>
        <w:pBdr>
          <w:top w:val="single" w:sz="4" w:space="1" w:color="auto"/>
          <w:left w:val="single" w:sz="4" w:space="4" w:color="auto"/>
          <w:bottom w:val="single" w:sz="4" w:space="1" w:color="auto"/>
          <w:right w:val="single" w:sz="4" w:space="4" w:color="auto"/>
        </w:pBdr>
        <w:spacing w:after="120"/>
        <w:jc w:val="both"/>
        <w:rPr>
          <w:rFonts w:cstheme="majorHAnsi"/>
          <w:sz w:val="21"/>
          <w:szCs w:val="21"/>
        </w:rPr>
      </w:pPr>
      <w:r>
        <w:rPr>
          <w:rFonts w:cstheme="majorHAnsi"/>
          <w:b/>
          <w:sz w:val="21"/>
          <w:szCs w:val="21"/>
        </w:rPr>
        <w:t xml:space="preserve">(ii) </w:t>
      </w:r>
      <w:r w:rsidR="00CB1C18" w:rsidRPr="00645951">
        <w:rPr>
          <w:rFonts w:cstheme="majorHAnsi"/>
          <w:b/>
          <w:sz w:val="21"/>
          <w:szCs w:val="21"/>
        </w:rPr>
        <w:t xml:space="preserve">Aligned to bilateral or regional interests: </w:t>
      </w:r>
      <w:r w:rsidR="00CB1C18" w:rsidRPr="00645951">
        <w:rPr>
          <w:rFonts w:cstheme="majorHAnsi"/>
          <w:sz w:val="21"/>
          <w:szCs w:val="21"/>
        </w:rPr>
        <w:t xml:space="preserve">Advanced manufacturing is a priority contained in IA-CEPA, and has the potential to support bilateral and regional development through trade, investment and third party markets. </w:t>
      </w:r>
    </w:p>
    <w:p w14:paraId="5142155F" w14:textId="0090A309" w:rsidR="00CB1C18" w:rsidRPr="00645951" w:rsidRDefault="00D7368F" w:rsidP="0079148A">
      <w:pPr>
        <w:pBdr>
          <w:top w:val="single" w:sz="4" w:space="1" w:color="auto"/>
          <w:left w:val="single" w:sz="4" w:space="4" w:color="auto"/>
          <w:bottom w:val="single" w:sz="4" w:space="1" w:color="auto"/>
          <w:right w:val="single" w:sz="4" w:space="4" w:color="auto"/>
        </w:pBdr>
        <w:spacing w:after="120"/>
        <w:jc w:val="both"/>
        <w:rPr>
          <w:rFonts w:cstheme="majorHAnsi"/>
          <w:sz w:val="21"/>
          <w:szCs w:val="21"/>
        </w:rPr>
      </w:pPr>
      <w:r>
        <w:rPr>
          <w:rFonts w:cstheme="majorHAnsi"/>
          <w:b/>
          <w:sz w:val="21"/>
          <w:szCs w:val="21"/>
        </w:rPr>
        <w:t xml:space="preserve">(iii) </w:t>
      </w:r>
      <w:r w:rsidR="00CB1C18" w:rsidRPr="00645951">
        <w:rPr>
          <w:rFonts w:cstheme="majorHAnsi"/>
          <w:b/>
          <w:sz w:val="21"/>
          <w:szCs w:val="21"/>
        </w:rPr>
        <w:t>Mutually beneficial opportunities</w:t>
      </w:r>
      <w:r w:rsidR="00CB1C18" w:rsidRPr="00645951">
        <w:rPr>
          <w:rFonts w:cstheme="majorHAnsi"/>
          <w:sz w:val="21"/>
          <w:szCs w:val="21"/>
        </w:rPr>
        <w:t>: Indonesia is seeking significant growth in manufacturing as a source of large-scale employment. At the same time, Australia’s manufacturing industry is transforming and with emerging technologies holds significant potential for advanced skills and innovation, boosting jobs growth and value added manufacturing. Collaboration on the Indonesian government’s plans with the Japanese Government for an electric vehicle provides an opportunity to pursue complementarities in the region and secure trade outcomes in their mutual interest in regional and global markets.</w:t>
      </w:r>
    </w:p>
    <w:p w14:paraId="6F3AB28E" w14:textId="518A16C3" w:rsidR="00CB1C18" w:rsidRPr="00645951" w:rsidRDefault="00D7368F" w:rsidP="00D7368F">
      <w:pPr>
        <w:pBdr>
          <w:top w:val="single" w:sz="4" w:space="1" w:color="auto"/>
          <w:left w:val="single" w:sz="4" w:space="4" w:color="auto"/>
          <w:bottom w:val="single" w:sz="4" w:space="1" w:color="auto"/>
          <w:right w:val="single" w:sz="4" w:space="4" w:color="auto"/>
        </w:pBdr>
        <w:spacing w:after="120"/>
        <w:jc w:val="both"/>
        <w:rPr>
          <w:rFonts w:cstheme="majorHAnsi"/>
          <w:sz w:val="21"/>
          <w:szCs w:val="21"/>
        </w:rPr>
      </w:pPr>
      <w:r>
        <w:rPr>
          <w:rFonts w:cstheme="majorHAnsi"/>
          <w:b/>
          <w:sz w:val="21"/>
          <w:szCs w:val="21"/>
        </w:rPr>
        <w:lastRenderedPageBreak/>
        <w:t xml:space="preserve">(iv) </w:t>
      </w:r>
      <w:r w:rsidR="00CB1C18" w:rsidRPr="00645951">
        <w:rPr>
          <w:rFonts w:cstheme="majorHAnsi"/>
          <w:b/>
          <w:sz w:val="21"/>
          <w:szCs w:val="21"/>
        </w:rPr>
        <w:t xml:space="preserve">Politically feasible and practical: </w:t>
      </w:r>
      <w:r w:rsidR="00CB1C18" w:rsidRPr="00645951">
        <w:rPr>
          <w:rFonts w:cstheme="majorHAnsi"/>
          <w:sz w:val="21"/>
          <w:szCs w:val="21"/>
        </w:rPr>
        <w:t xml:space="preserve">Advanced manufacturing is a political priority of both the Australian and Indonesian governments. The activity is designed to build on existing partnerships, such as between Standards Australia and BSN, and utilise existing capabilities in agencies such as </w:t>
      </w:r>
      <w:proofErr w:type="spellStart"/>
      <w:r w:rsidR="00CB1C18" w:rsidRPr="00645951">
        <w:rPr>
          <w:rFonts w:cstheme="majorHAnsi"/>
          <w:sz w:val="21"/>
          <w:szCs w:val="21"/>
        </w:rPr>
        <w:t>Aus</w:t>
      </w:r>
      <w:r w:rsidR="000843AB">
        <w:rPr>
          <w:rFonts w:cstheme="majorHAnsi"/>
          <w:sz w:val="21"/>
          <w:szCs w:val="21"/>
        </w:rPr>
        <w:t>t</w:t>
      </w:r>
      <w:r w:rsidR="00CB1C18" w:rsidRPr="00645951">
        <w:rPr>
          <w:rFonts w:cstheme="majorHAnsi"/>
          <w:sz w:val="21"/>
          <w:szCs w:val="21"/>
        </w:rPr>
        <w:t>rade</w:t>
      </w:r>
      <w:proofErr w:type="spellEnd"/>
      <w:r w:rsidR="00CB1C18" w:rsidRPr="00645951">
        <w:rPr>
          <w:rFonts w:cstheme="majorHAnsi"/>
          <w:sz w:val="21"/>
          <w:szCs w:val="21"/>
        </w:rPr>
        <w:t xml:space="preserve"> and AMGC to provide practical outcomes in the near term. </w:t>
      </w:r>
    </w:p>
    <w:p w14:paraId="39E0D1A5" w14:textId="76F74A41" w:rsidR="00CB1C18" w:rsidRPr="00645951" w:rsidRDefault="00D7368F" w:rsidP="00D7368F">
      <w:pPr>
        <w:pBdr>
          <w:top w:val="single" w:sz="4" w:space="1" w:color="auto"/>
          <w:left w:val="single" w:sz="4" w:space="4" w:color="auto"/>
          <w:bottom w:val="single" w:sz="4" w:space="1" w:color="auto"/>
          <w:right w:val="single" w:sz="4" w:space="4" w:color="auto"/>
        </w:pBdr>
        <w:spacing w:after="120"/>
        <w:jc w:val="both"/>
        <w:rPr>
          <w:rFonts w:cstheme="majorHAnsi"/>
          <w:b/>
          <w:sz w:val="21"/>
          <w:szCs w:val="21"/>
        </w:rPr>
      </w:pPr>
      <w:r>
        <w:rPr>
          <w:rFonts w:cstheme="majorHAnsi"/>
          <w:b/>
          <w:sz w:val="21"/>
          <w:szCs w:val="21"/>
        </w:rPr>
        <w:t>(v) R</w:t>
      </w:r>
      <w:r w:rsidR="00CB1C18" w:rsidRPr="00645951">
        <w:rPr>
          <w:rFonts w:cstheme="majorHAnsi"/>
          <w:b/>
          <w:sz w:val="21"/>
          <w:szCs w:val="21"/>
        </w:rPr>
        <w:t xml:space="preserve">eflect Australia and Indonesia’s comparative advantages: </w:t>
      </w:r>
      <w:r w:rsidR="00CB1C18" w:rsidRPr="00645951">
        <w:rPr>
          <w:rFonts w:cstheme="majorHAnsi"/>
          <w:sz w:val="21"/>
          <w:szCs w:val="21"/>
        </w:rPr>
        <w:t>Indones</w:t>
      </w:r>
      <w:r>
        <w:rPr>
          <w:rFonts w:cstheme="majorHAnsi"/>
          <w:sz w:val="21"/>
          <w:szCs w:val="21"/>
        </w:rPr>
        <w:t xml:space="preserve">ia has significant potential in </w:t>
      </w:r>
      <w:r w:rsidR="00CB1C18" w:rsidRPr="00645951">
        <w:rPr>
          <w:rFonts w:cstheme="majorHAnsi"/>
          <w:sz w:val="21"/>
          <w:szCs w:val="21"/>
        </w:rPr>
        <w:t>manufacturing, while Australia’s comparative advantage is in advanced manufacturing such as precision engineering, automation, design and innovation</w:t>
      </w:r>
      <w:r w:rsidR="007C69F0">
        <w:rPr>
          <w:rFonts w:cstheme="majorHAnsi"/>
          <w:sz w:val="21"/>
          <w:szCs w:val="21"/>
        </w:rPr>
        <w:t>, and in the supply of raw materials and inputs</w:t>
      </w:r>
      <w:r w:rsidR="00CB1C18" w:rsidRPr="00645951">
        <w:rPr>
          <w:rFonts w:cstheme="majorHAnsi"/>
          <w:sz w:val="21"/>
          <w:szCs w:val="21"/>
        </w:rPr>
        <w:t xml:space="preserve">. The design has focused on drawing on respective capabilities in specific industries - such as electric vehicles - and will explore potential industries that may have complementarities into the future. </w:t>
      </w:r>
    </w:p>
    <w:p w14:paraId="00D77BB1" w14:textId="1DDECF09" w:rsidR="00CB1C18" w:rsidRPr="00645951" w:rsidRDefault="00D7368F" w:rsidP="00D7368F">
      <w:pPr>
        <w:pBdr>
          <w:top w:val="single" w:sz="4" w:space="1" w:color="auto"/>
          <w:left w:val="single" w:sz="4" w:space="4" w:color="auto"/>
          <w:bottom w:val="single" w:sz="4" w:space="1" w:color="auto"/>
          <w:right w:val="single" w:sz="4" w:space="4" w:color="auto"/>
        </w:pBdr>
        <w:spacing w:after="120"/>
        <w:jc w:val="both"/>
        <w:rPr>
          <w:rFonts w:cstheme="majorHAnsi"/>
          <w:sz w:val="21"/>
          <w:szCs w:val="21"/>
        </w:rPr>
      </w:pPr>
      <w:r>
        <w:rPr>
          <w:rFonts w:cstheme="majorHAnsi"/>
          <w:b/>
          <w:sz w:val="21"/>
          <w:szCs w:val="21"/>
        </w:rPr>
        <w:t xml:space="preserve">(vi) </w:t>
      </w:r>
      <w:r w:rsidR="00CB1C18" w:rsidRPr="00645951">
        <w:rPr>
          <w:rFonts w:cstheme="majorHAnsi"/>
          <w:b/>
          <w:sz w:val="21"/>
          <w:szCs w:val="21"/>
        </w:rPr>
        <w:t xml:space="preserve">Prioritise catalytic outcomes: </w:t>
      </w:r>
      <w:r w:rsidR="00CB1C18" w:rsidRPr="00645951">
        <w:rPr>
          <w:rFonts w:cstheme="majorHAnsi"/>
          <w:sz w:val="21"/>
          <w:szCs w:val="21"/>
        </w:rPr>
        <w:t>The activity has the potential to support immediate trade opportunities but also build more advanced manufacturing capabilities in Australia and Indonesia. For instance, collaboration on electric vehicles in components and precis</w:t>
      </w:r>
      <w:r w:rsidR="00B04ED1">
        <w:rPr>
          <w:rFonts w:cstheme="majorHAnsi"/>
          <w:sz w:val="21"/>
          <w:szCs w:val="21"/>
        </w:rPr>
        <w:t>ion</w:t>
      </w:r>
      <w:r w:rsidR="00CB1C18" w:rsidRPr="00645951">
        <w:rPr>
          <w:rFonts w:cstheme="majorHAnsi"/>
          <w:sz w:val="21"/>
          <w:szCs w:val="21"/>
        </w:rPr>
        <w:t xml:space="preserve"> engineering could demonstrate opportunities for other sectors, which will be explored as part of the manufacturing partnership. Promoting outcomes in advanced manufacturing will be incorporated into this activity, socialising partnerships and opportunities for other industries. </w:t>
      </w:r>
    </w:p>
    <w:p w14:paraId="65B0D31F" w14:textId="3769B5D2" w:rsidR="00CB1C18" w:rsidRPr="00645951" w:rsidRDefault="00D7368F" w:rsidP="00D7368F">
      <w:pPr>
        <w:pBdr>
          <w:top w:val="single" w:sz="4" w:space="1" w:color="auto"/>
          <w:left w:val="single" w:sz="4" w:space="4" w:color="auto"/>
          <w:bottom w:val="single" w:sz="4" w:space="1" w:color="auto"/>
          <w:right w:val="single" w:sz="4" w:space="4" w:color="auto"/>
        </w:pBdr>
        <w:spacing w:after="120"/>
        <w:jc w:val="both"/>
        <w:rPr>
          <w:rFonts w:cstheme="majorHAnsi"/>
          <w:i/>
          <w:iCs/>
          <w:sz w:val="21"/>
          <w:szCs w:val="21"/>
        </w:rPr>
      </w:pPr>
      <w:r>
        <w:rPr>
          <w:rFonts w:cstheme="majorHAnsi"/>
          <w:b/>
          <w:bCs/>
          <w:sz w:val="21"/>
          <w:szCs w:val="21"/>
        </w:rPr>
        <w:t xml:space="preserve">(vii) </w:t>
      </w:r>
      <w:r w:rsidR="00CB1C18" w:rsidRPr="00645951">
        <w:rPr>
          <w:rFonts w:cstheme="majorHAnsi"/>
          <w:b/>
          <w:bCs/>
          <w:sz w:val="21"/>
          <w:szCs w:val="21"/>
        </w:rPr>
        <w:t xml:space="preserve">Co-contribution: </w:t>
      </w:r>
      <w:r w:rsidR="00CB1C18" w:rsidRPr="00645951">
        <w:rPr>
          <w:rFonts w:cstheme="majorHAnsi"/>
          <w:bCs/>
          <w:sz w:val="21"/>
          <w:szCs w:val="21"/>
        </w:rPr>
        <w:t>Co</w:t>
      </w:r>
      <w:r w:rsidR="00CB1C18" w:rsidRPr="00645951">
        <w:rPr>
          <w:rFonts w:cstheme="majorHAnsi"/>
          <w:b/>
          <w:bCs/>
          <w:sz w:val="21"/>
          <w:szCs w:val="21"/>
        </w:rPr>
        <w:t>-</w:t>
      </w:r>
      <w:r w:rsidR="00CB1C18" w:rsidRPr="00645951">
        <w:rPr>
          <w:rFonts w:cstheme="majorHAnsi"/>
          <w:bCs/>
          <w:sz w:val="21"/>
          <w:szCs w:val="21"/>
        </w:rPr>
        <w:t xml:space="preserve">contribution will be sought from government and the private sector where trade and investment opportunities are complimentary. In-kind contributions from the private sector will also be sought for partnership events, studies and training events. </w:t>
      </w:r>
    </w:p>
    <w:p w14:paraId="0113811B" w14:textId="4A50D66C" w:rsidR="00CB1C18" w:rsidRPr="00645951" w:rsidRDefault="00CB1C18" w:rsidP="0079148A">
      <w:pPr>
        <w:rPr>
          <w:rFonts w:cstheme="majorHAnsi"/>
          <w:b/>
          <w:bCs/>
          <w:sz w:val="21"/>
          <w:szCs w:val="21"/>
        </w:rPr>
      </w:pPr>
      <w:r w:rsidRPr="00645951">
        <w:rPr>
          <w:rFonts w:cstheme="majorHAnsi"/>
          <w:b/>
          <w:bCs/>
          <w:sz w:val="21"/>
          <w:szCs w:val="21"/>
        </w:rPr>
        <w:t>Rationale for the activity</w:t>
      </w:r>
    </w:p>
    <w:p w14:paraId="644C91CB" w14:textId="77777777" w:rsidR="00CB1C18" w:rsidRPr="00D7368F"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b/>
          <w:bCs/>
          <w:i/>
          <w:sz w:val="21"/>
          <w:szCs w:val="21"/>
        </w:rPr>
      </w:pPr>
      <w:r w:rsidRPr="00D7368F">
        <w:rPr>
          <w:rFonts w:cstheme="majorHAnsi"/>
          <w:b/>
          <w:bCs/>
          <w:i/>
          <w:sz w:val="21"/>
          <w:szCs w:val="21"/>
        </w:rPr>
        <w:t>Context analysis</w:t>
      </w:r>
    </w:p>
    <w:p w14:paraId="6882004C" w14:textId="77777777" w:rsidR="00CB1C18" w:rsidRPr="00645951"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sz w:val="21"/>
          <w:szCs w:val="21"/>
        </w:rPr>
      </w:pPr>
      <w:r w:rsidRPr="00645951">
        <w:rPr>
          <w:rFonts w:cstheme="majorHAnsi"/>
          <w:sz w:val="21"/>
          <w:szCs w:val="21"/>
        </w:rPr>
        <w:t xml:space="preserve">There is significant potential for manufacturing in Indonesia, being a major potential source of jobs growth. In Australia, technological change is transforming the potential for manufacturing in advanced economies, with particular comparative advantage in innovation, project management, complex design and engineering. </w:t>
      </w:r>
    </w:p>
    <w:p w14:paraId="5E5249F6" w14:textId="77777777" w:rsidR="00CB1C18" w:rsidRPr="00645951"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sz w:val="21"/>
          <w:szCs w:val="21"/>
        </w:rPr>
      </w:pPr>
      <w:r w:rsidRPr="00645951">
        <w:rPr>
          <w:rFonts w:cstheme="majorHAnsi"/>
          <w:sz w:val="21"/>
          <w:szCs w:val="21"/>
        </w:rPr>
        <w:t xml:space="preserve">The Indonesian government has made manufacturing a major priority and is looking for opportunities to enhance productivity and growth of the sector. Australian manufacturing is also entering a renewed period in niche sectors involving advanced skills. </w:t>
      </w:r>
    </w:p>
    <w:p w14:paraId="15EC40DB" w14:textId="77777777" w:rsidR="00CB1C18" w:rsidRPr="00645951"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sz w:val="21"/>
          <w:szCs w:val="21"/>
        </w:rPr>
      </w:pPr>
      <w:r w:rsidRPr="00645951">
        <w:rPr>
          <w:rFonts w:cstheme="majorHAnsi"/>
          <w:sz w:val="21"/>
          <w:szCs w:val="21"/>
        </w:rPr>
        <w:t xml:space="preserve">IA-CEPA provides an opportunity to build on the transformation underway in manufacturing. The ECP can support relationships that have not existed in the past or are under-explored between Australia and Indonesian manufacturing industry. Greater trade and investment in manufacturing is important to both countries to support productivity improvements and enable value added manufacturing in Indonesia, and as a major potential export market for Australian manufacturers. </w:t>
      </w:r>
    </w:p>
    <w:p w14:paraId="2380C6E9" w14:textId="77777777" w:rsidR="00CB1C18" w:rsidRPr="00645951"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sz w:val="21"/>
          <w:szCs w:val="21"/>
        </w:rPr>
      </w:pPr>
      <w:r w:rsidRPr="00645951">
        <w:rPr>
          <w:rFonts w:cstheme="majorHAnsi"/>
          <w:sz w:val="21"/>
          <w:szCs w:val="21"/>
        </w:rPr>
        <w:t xml:space="preserve">Manufacturers in both countries are interested in exploring opportunities. Indonesia is focused on addressing gaps that support the growth of manufacturing in Indonesia, such as intermediate goods and technical components that feed into large scale manufacturing plans. Australia is focused on identifying opportunities for high value manufactured goods, with priority given to existing demand to drive growth in the sector and jobs. </w:t>
      </w:r>
    </w:p>
    <w:p w14:paraId="1E5B98B6" w14:textId="77777777" w:rsidR="00CB1C18" w:rsidRPr="00645951"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sz w:val="21"/>
          <w:szCs w:val="21"/>
        </w:rPr>
      </w:pPr>
      <w:r w:rsidRPr="00645951">
        <w:rPr>
          <w:rFonts w:cstheme="majorHAnsi"/>
          <w:sz w:val="21"/>
          <w:szCs w:val="21"/>
        </w:rPr>
        <w:t xml:space="preserve">Indonesia remains committed to building a domestic manufacturing industry. Consequently trade and investment will need to be focused on areas that compliment Indonesia’s priority sectors, enabling growth in their manufacturing sectors. This is feasible as Australia’s manufacturing sector tends to be focused on high skilled components, technologies and advanced manufacturing, being an area of need in Indonesia.  Both Australian and Indonesian firms will need to adapt and learn about their counterpart industries. </w:t>
      </w:r>
    </w:p>
    <w:p w14:paraId="3AFE3D35" w14:textId="4758ED7C" w:rsidR="00CB1C18"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sz w:val="21"/>
          <w:szCs w:val="21"/>
        </w:rPr>
      </w:pPr>
      <w:r w:rsidRPr="00645951">
        <w:rPr>
          <w:rFonts w:cstheme="majorHAnsi"/>
          <w:sz w:val="21"/>
          <w:szCs w:val="21"/>
        </w:rPr>
        <w:t xml:space="preserve">The suite of activities required to advance trade and investment in manufacturing between Australian and Indonesia are a combination of relationship building, industry partnership, continued progress in the opening of markets for trade and investment in manufacturing and sharing knowledge on respective sector capabilities. </w:t>
      </w:r>
    </w:p>
    <w:p w14:paraId="399B86B0" w14:textId="77777777" w:rsidR="0087378F" w:rsidRPr="00645951" w:rsidRDefault="0087378F"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sz w:val="21"/>
          <w:szCs w:val="21"/>
        </w:rPr>
      </w:pPr>
    </w:p>
    <w:p w14:paraId="724FB532" w14:textId="27A72B17" w:rsidR="00F104E1" w:rsidRDefault="00F104E1" w:rsidP="00F80795">
      <w:pPr>
        <w:spacing w:before="360" w:after="120"/>
        <w:jc w:val="both"/>
        <w:rPr>
          <w:rFonts w:cstheme="majorHAnsi"/>
          <w:b/>
          <w:sz w:val="21"/>
          <w:szCs w:val="21"/>
        </w:rPr>
      </w:pPr>
      <w:r>
        <w:rPr>
          <w:rFonts w:cstheme="majorHAnsi"/>
          <w:b/>
          <w:sz w:val="21"/>
          <w:szCs w:val="21"/>
        </w:rPr>
        <w:t>Activity logic</w:t>
      </w:r>
    </w:p>
    <w:p w14:paraId="0F10D246" w14:textId="750F9839" w:rsidR="00CB1C18" w:rsidRPr="00645951" w:rsidRDefault="00CB1C18" w:rsidP="00CB1C18">
      <w:pPr>
        <w:spacing w:after="120"/>
        <w:jc w:val="both"/>
        <w:rPr>
          <w:rFonts w:cstheme="majorHAnsi"/>
          <w:b/>
          <w:sz w:val="21"/>
          <w:szCs w:val="21"/>
        </w:rPr>
      </w:pPr>
      <w:r w:rsidRPr="00645951">
        <w:rPr>
          <w:rFonts w:cstheme="majorHAnsi"/>
          <w:b/>
          <w:sz w:val="21"/>
          <w:szCs w:val="21"/>
        </w:rPr>
        <w:t xml:space="preserve">Goal: </w:t>
      </w:r>
      <w:r w:rsidRPr="00645951">
        <w:rPr>
          <w:rFonts w:cstheme="majorHAnsi"/>
          <w:sz w:val="21"/>
          <w:szCs w:val="21"/>
        </w:rPr>
        <w:t>To increase trade and investment between Australia and Indonesia in the advanced manufacturing sector.</w:t>
      </w:r>
    </w:p>
    <w:p w14:paraId="135F8300" w14:textId="58B5AB91" w:rsidR="00CB1C18" w:rsidRPr="00645951" w:rsidRDefault="00CB1C18" w:rsidP="00CB1C18">
      <w:pPr>
        <w:spacing w:after="120"/>
        <w:jc w:val="both"/>
        <w:rPr>
          <w:rFonts w:cstheme="majorHAnsi"/>
          <w:sz w:val="21"/>
          <w:szCs w:val="21"/>
        </w:rPr>
      </w:pPr>
      <w:r w:rsidRPr="00645951">
        <w:rPr>
          <w:rFonts w:cstheme="majorHAnsi"/>
          <w:b/>
          <w:sz w:val="21"/>
          <w:szCs w:val="21"/>
        </w:rPr>
        <w:lastRenderedPageBreak/>
        <w:t xml:space="preserve">Contributes to:  </w:t>
      </w:r>
      <w:r w:rsidRPr="00645951">
        <w:rPr>
          <w:rFonts w:cstheme="majorHAnsi"/>
          <w:sz w:val="21"/>
          <w:szCs w:val="21"/>
        </w:rPr>
        <w:t>ECP End of Program Outcome 2 – Better Integrated Markets</w:t>
      </w:r>
      <w:r w:rsidR="00D7368F">
        <w:rPr>
          <w:rFonts w:cstheme="majorHAnsi"/>
          <w:sz w:val="21"/>
          <w:szCs w:val="21"/>
        </w:rPr>
        <w:t>.</w:t>
      </w:r>
    </w:p>
    <w:p w14:paraId="523159FC" w14:textId="77777777" w:rsidR="00CB1C18" w:rsidRPr="00D7368F" w:rsidRDefault="00CB1C18" w:rsidP="00CB1C18">
      <w:pPr>
        <w:spacing w:after="120"/>
        <w:jc w:val="both"/>
        <w:rPr>
          <w:rFonts w:cstheme="majorHAnsi"/>
          <w:b/>
          <w:sz w:val="21"/>
          <w:szCs w:val="21"/>
        </w:rPr>
      </w:pPr>
      <w:r w:rsidRPr="00D7368F">
        <w:rPr>
          <w:rFonts w:cstheme="majorHAnsi"/>
          <w:b/>
          <w:sz w:val="21"/>
          <w:szCs w:val="21"/>
        </w:rPr>
        <w:t>Activity Objectives</w:t>
      </w:r>
    </w:p>
    <w:p w14:paraId="4A560139" w14:textId="77777777" w:rsidR="00CB1C18" w:rsidRPr="00645951" w:rsidRDefault="00CB1C18" w:rsidP="00F5504F">
      <w:pPr>
        <w:pStyle w:val="ListParagraph"/>
        <w:numPr>
          <w:ilvl w:val="0"/>
          <w:numId w:val="87"/>
        </w:numPr>
        <w:suppressAutoHyphens w:val="0"/>
        <w:spacing w:after="120" w:line="259" w:lineRule="auto"/>
        <w:jc w:val="both"/>
        <w:rPr>
          <w:rFonts w:cstheme="majorHAnsi"/>
          <w:sz w:val="21"/>
          <w:szCs w:val="21"/>
        </w:rPr>
      </w:pPr>
      <w:r w:rsidRPr="00645951">
        <w:rPr>
          <w:rFonts w:cstheme="majorHAnsi"/>
          <w:sz w:val="21"/>
          <w:szCs w:val="21"/>
        </w:rPr>
        <w:t xml:space="preserve">To explore opportunities to expand trade and investment across advanced manufacturing industries, to support jobs growth and productivity in Indonesia, and to ensure it is more inclusive of opportunities for women and people living with disabilities. </w:t>
      </w:r>
    </w:p>
    <w:p w14:paraId="6079B807" w14:textId="5E797B9E" w:rsidR="00CB1C18" w:rsidRPr="00645951" w:rsidRDefault="00CB1C18" w:rsidP="00F5504F">
      <w:pPr>
        <w:pStyle w:val="ListParagraph"/>
        <w:numPr>
          <w:ilvl w:val="0"/>
          <w:numId w:val="87"/>
        </w:numPr>
        <w:suppressAutoHyphens w:val="0"/>
        <w:spacing w:after="120" w:line="259" w:lineRule="auto"/>
        <w:jc w:val="both"/>
        <w:rPr>
          <w:rFonts w:cstheme="majorHAnsi"/>
          <w:sz w:val="21"/>
          <w:szCs w:val="21"/>
        </w:rPr>
      </w:pPr>
      <w:r w:rsidRPr="00645951">
        <w:rPr>
          <w:rFonts w:cstheme="majorHAnsi"/>
          <w:sz w:val="21"/>
          <w:szCs w:val="21"/>
        </w:rPr>
        <w:t>To support Indonesia with its ambitions to produce electric cars for the domestic and international markets</w:t>
      </w:r>
      <w:r w:rsidR="00D74DD2">
        <w:rPr>
          <w:rFonts w:cstheme="majorHAnsi"/>
          <w:sz w:val="21"/>
          <w:szCs w:val="21"/>
        </w:rPr>
        <w:t xml:space="preserve"> </w:t>
      </w:r>
      <w:r w:rsidRPr="00645951">
        <w:rPr>
          <w:rFonts w:cstheme="majorHAnsi"/>
          <w:sz w:val="21"/>
          <w:szCs w:val="21"/>
        </w:rPr>
        <w:t xml:space="preserve">and to identify opportunities for </w:t>
      </w:r>
      <w:r w:rsidR="00595AE6">
        <w:rPr>
          <w:rFonts w:cstheme="majorHAnsi"/>
          <w:sz w:val="21"/>
          <w:szCs w:val="21"/>
        </w:rPr>
        <w:t>Indonesia</w:t>
      </w:r>
      <w:r w:rsidR="00964A63">
        <w:rPr>
          <w:rFonts w:cstheme="majorHAnsi"/>
          <w:sz w:val="21"/>
          <w:szCs w:val="21"/>
        </w:rPr>
        <w:t>n</w:t>
      </w:r>
      <w:r w:rsidR="00595AE6">
        <w:rPr>
          <w:rFonts w:cstheme="majorHAnsi"/>
          <w:sz w:val="21"/>
          <w:szCs w:val="21"/>
        </w:rPr>
        <w:t xml:space="preserve"> and </w:t>
      </w:r>
      <w:r w:rsidRPr="00645951">
        <w:rPr>
          <w:rFonts w:cstheme="majorHAnsi"/>
          <w:sz w:val="21"/>
          <w:szCs w:val="21"/>
        </w:rPr>
        <w:t>Australian</w:t>
      </w:r>
      <w:r w:rsidR="007C69F0">
        <w:rPr>
          <w:rFonts w:cstheme="majorHAnsi"/>
          <w:sz w:val="21"/>
          <w:szCs w:val="21"/>
        </w:rPr>
        <w:t xml:space="preserve"> automotive</w:t>
      </w:r>
      <w:r w:rsidRPr="00645951">
        <w:rPr>
          <w:rFonts w:cstheme="majorHAnsi"/>
          <w:sz w:val="21"/>
          <w:szCs w:val="21"/>
        </w:rPr>
        <w:t xml:space="preserve"> component manufacturing, training, supporting infrastructure</w:t>
      </w:r>
      <w:r w:rsidR="007C69F0">
        <w:rPr>
          <w:rFonts w:cstheme="majorHAnsi"/>
          <w:sz w:val="21"/>
          <w:szCs w:val="21"/>
        </w:rPr>
        <w:t>,</w:t>
      </w:r>
      <w:r w:rsidR="007C69F0" w:rsidRPr="00645951">
        <w:rPr>
          <w:rFonts w:cstheme="majorHAnsi"/>
          <w:sz w:val="21"/>
          <w:szCs w:val="21"/>
        </w:rPr>
        <w:t xml:space="preserve"> and </w:t>
      </w:r>
      <w:r w:rsidR="007C69F0">
        <w:rPr>
          <w:rFonts w:cstheme="majorHAnsi"/>
          <w:sz w:val="21"/>
          <w:szCs w:val="21"/>
        </w:rPr>
        <w:t xml:space="preserve">lithium </w:t>
      </w:r>
      <w:r w:rsidR="007C69F0" w:rsidRPr="00645951">
        <w:rPr>
          <w:rFonts w:cstheme="majorHAnsi"/>
          <w:sz w:val="21"/>
          <w:szCs w:val="21"/>
        </w:rPr>
        <w:t>batter</w:t>
      </w:r>
      <w:r w:rsidR="007C69F0">
        <w:rPr>
          <w:rFonts w:cstheme="majorHAnsi"/>
          <w:sz w:val="21"/>
          <w:szCs w:val="21"/>
        </w:rPr>
        <w:t>y technology and inputs</w:t>
      </w:r>
      <w:r w:rsidR="007C69F0" w:rsidRPr="00645951">
        <w:rPr>
          <w:rFonts w:cstheme="majorHAnsi"/>
          <w:sz w:val="21"/>
          <w:szCs w:val="21"/>
        </w:rPr>
        <w:t>.</w:t>
      </w:r>
      <w:r w:rsidR="007C69F0">
        <w:rPr>
          <w:rFonts w:cstheme="majorHAnsi"/>
          <w:sz w:val="21"/>
          <w:szCs w:val="21"/>
        </w:rPr>
        <w:t xml:space="preserve"> </w:t>
      </w:r>
    </w:p>
    <w:p w14:paraId="3895D9F5" w14:textId="69ECC5BE" w:rsidR="00CB1C18" w:rsidRPr="00645951" w:rsidRDefault="00CB1C18" w:rsidP="00F5504F">
      <w:pPr>
        <w:pStyle w:val="ListParagraph"/>
        <w:numPr>
          <w:ilvl w:val="0"/>
          <w:numId w:val="87"/>
        </w:numPr>
        <w:suppressAutoHyphens w:val="0"/>
        <w:spacing w:after="120" w:line="259" w:lineRule="auto"/>
        <w:jc w:val="both"/>
        <w:rPr>
          <w:rFonts w:cstheme="majorHAnsi"/>
          <w:sz w:val="21"/>
          <w:szCs w:val="21"/>
        </w:rPr>
      </w:pPr>
      <w:r w:rsidRPr="00645951">
        <w:rPr>
          <w:rFonts w:cstheme="majorHAnsi"/>
          <w:sz w:val="21"/>
          <w:szCs w:val="21"/>
        </w:rPr>
        <w:t xml:space="preserve">To support the alignment of advanced manufacturing standards </w:t>
      </w:r>
      <w:r w:rsidR="007C69F0">
        <w:rPr>
          <w:rFonts w:cstheme="majorHAnsi"/>
          <w:sz w:val="21"/>
          <w:szCs w:val="21"/>
        </w:rPr>
        <w:t>and better understand conformance requirements.</w:t>
      </w:r>
    </w:p>
    <w:p w14:paraId="67D757AE" w14:textId="02C0A13F" w:rsidR="00CB1C18" w:rsidRPr="00645951" w:rsidRDefault="00CB1C18" w:rsidP="00F5504F">
      <w:pPr>
        <w:pStyle w:val="ListParagraph"/>
        <w:numPr>
          <w:ilvl w:val="0"/>
          <w:numId w:val="87"/>
        </w:numPr>
        <w:suppressAutoHyphens w:val="0"/>
        <w:spacing w:after="120" w:line="259" w:lineRule="auto"/>
        <w:jc w:val="both"/>
        <w:rPr>
          <w:rFonts w:cstheme="majorHAnsi"/>
          <w:sz w:val="21"/>
          <w:szCs w:val="21"/>
        </w:rPr>
      </w:pPr>
      <w:r w:rsidRPr="00645951">
        <w:rPr>
          <w:rFonts w:cstheme="majorHAnsi"/>
          <w:sz w:val="21"/>
          <w:szCs w:val="21"/>
        </w:rPr>
        <w:t xml:space="preserve">To identify opportunities </w:t>
      </w:r>
      <w:r w:rsidR="0025734E">
        <w:rPr>
          <w:rFonts w:cstheme="majorHAnsi"/>
          <w:sz w:val="21"/>
          <w:szCs w:val="21"/>
        </w:rPr>
        <w:t xml:space="preserve">based on </w:t>
      </w:r>
      <w:r w:rsidRPr="00645951">
        <w:rPr>
          <w:rFonts w:cstheme="majorHAnsi"/>
          <w:sz w:val="21"/>
          <w:szCs w:val="21"/>
        </w:rPr>
        <w:t>Australia and Indonesia</w:t>
      </w:r>
      <w:r w:rsidR="0025734E">
        <w:rPr>
          <w:rFonts w:cstheme="majorHAnsi"/>
          <w:sz w:val="21"/>
          <w:szCs w:val="21"/>
        </w:rPr>
        <w:t>’s comparative advantages</w:t>
      </w:r>
      <w:r w:rsidRPr="00645951">
        <w:rPr>
          <w:rFonts w:cstheme="majorHAnsi"/>
          <w:sz w:val="21"/>
          <w:szCs w:val="21"/>
        </w:rPr>
        <w:t xml:space="preserve"> to build supply chains to export to international markets (global supply chains - powerhouse model), expanding regional integration and Indonesia’s value adding industries. </w:t>
      </w:r>
    </w:p>
    <w:p w14:paraId="4B4B9995" w14:textId="77777777" w:rsidR="00CB1C18" w:rsidRPr="00D7368F" w:rsidRDefault="00CB1C18" w:rsidP="00CB1C18">
      <w:pPr>
        <w:spacing w:after="120"/>
        <w:jc w:val="both"/>
        <w:rPr>
          <w:rFonts w:cstheme="majorHAnsi"/>
          <w:b/>
          <w:sz w:val="21"/>
          <w:szCs w:val="21"/>
        </w:rPr>
      </w:pPr>
      <w:r w:rsidRPr="00D7368F">
        <w:rPr>
          <w:rFonts w:cstheme="majorHAnsi"/>
          <w:b/>
          <w:sz w:val="21"/>
          <w:szCs w:val="21"/>
        </w:rPr>
        <w:t>Intended outcomes</w:t>
      </w:r>
    </w:p>
    <w:p w14:paraId="2E4FCE22" w14:textId="32F69440" w:rsidR="00CB1C18" w:rsidRPr="00D7368F" w:rsidRDefault="00CB1C18" w:rsidP="00D7368F">
      <w:pPr>
        <w:spacing w:after="120"/>
        <w:jc w:val="both"/>
        <w:rPr>
          <w:rFonts w:cstheme="majorHAnsi"/>
          <w:b/>
          <w:i/>
          <w:sz w:val="21"/>
          <w:szCs w:val="21"/>
        </w:rPr>
      </w:pPr>
      <w:r w:rsidRPr="00D7368F">
        <w:rPr>
          <w:rFonts w:cstheme="majorHAnsi"/>
          <w:b/>
          <w:i/>
          <w:sz w:val="21"/>
          <w:szCs w:val="21"/>
        </w:rPr>
        <w:t xml:space="preserve">End of </w:t>
      </w:r>
      <w:r w:rsidR="00FC73B1">
        <w:rPr>
          <w:rFonts w:cstheme="majorHAnsi"/>
          <w:b/>
          <w:i/>
          <w:sz w:val="21"/>
          <w:szCs w:val="21"/>
        </w:rPr>
        <w:t xml:space="preserve">Activity </w:t>
      </w:r>
      <w:r w:rsidRPr="00D7368F">
        <w:rPr>
          <w:rFonts w:cstheme="majorHAnsi"/>
          <w:b/>
          <w:i/>
          <w:sz w:val="21"/>
          <w:szCs w:val="21"/>
        </w:rPr>
        <w:t>Outcomes</w:t>
      </w:r>
    </w:p>
    <w:p w14:paraId="46A3C27F" w14:textId="38A23518" w:rsidR="00CB1C18" w:rsidRPr="00645951" w:rsidRDefault="00C26939" w:rsidP="00F5504F">
      <w:pPr>
        <w:pStyle w:val="ListParagraph"/>
        <w:numPr>
          <w:ilvl w:val="0"/>
          <w:numId w:val="87"/>
        </w:numPr>
        <w:suppressAutoHyphens w:val="0"/>
        <w:spacing w:after="120" w:line="259" w:lineRule="auto"/>
        <w:jc w:val="both"/>
        <w:rPr>
          <w:rFonts w:cstheme="majorHAnsi"/>
          <w:sz w:val="21"/>
          <w:szCs w:val="21"/>
        </w:rPr>
      </w:pPr>
      <w:r>
        <w:rPr>
          <w:rFonts w:cstheme="majorHAnsi"/>
          <w:sz w:val="21"/>
          <w:szCs w:val="21"/>
        </w:rPr>
        <w:t xml:space="preserve">Support </w:t>
      </w:r>
      <w:r w:rsidR="00CB1C18" w:rsidRPr="00645951">
        <w:rPr>
          <w:rFonts w:cstheme="majorHAnsi"/>
          <w:sz w:val="21"/>
          <w:szCs w:val="21"/>
        </w:rPr>
        <w:t>growth in manufacturing in Indonesia leading to large-scale employment.</w:t>
      </w:r>
    </w:p>
    <w:p w14:paraId="13695B4E" w14:textId="67B65A82" w:rsidR="00CB1C18" w:rsidRPr="00645951" w:rsidRDefault="00CB1C18" w:rsidP="00F5504F">
      <w:pPr>
        <w:pStyle w:val="ListParagraph"/>
        <w:numPr>
          <w:ilvl w:val="0"/>
          <w:numId w:val="87"/>
        </w:numPr>
        <w:suppressAutoHyphens w:val="0"/>
        <w:spacing w:after="120" w:line="259" w:lineRule="auto"/>
        <w:jc w:val="both"/>
        <w:rPr>
          <w:rFonts w:cstheme="majorHAnsi"/>
          <w:sz w:val="21"/>
          <w:szCs w:val="21"/>
        </w:rPr>
      </w:pPr>
      <w:r w:rsidRPr="00645951">
        <w:rPr>
          <w:rFonts w:cstheme="majorHAnsi"/>
          <w:sz w:val="21"/>
          <w:szCs w:val="21"/>
        </w:rPr>
        <w:t>A standards ecosystem is implemented to support AMS</w:t>
      </w:r>
      <w:r w:rsidR="00D7368F">
        <w:rPr>
          <w:rFonts w:cstheme="majorHAnsi"/>
          <w:sz w:val="21"/>
          <w:szCs w:val="21"/>
        </w:rPr>
        <w:t>.</w:t>
      </w:r>
    </w:p>
    <w:p w14:paraId="4BE078A8" w14:textId="50D185A5" w:rsidR="00CB1C18" w:rsidRPr="00645951" w:rsidRDefault="00CB1C18" w:rsidP="00F5504F">
      <w:pPr>
        <w:pStyle w:val="ListParagraph"/>
        <w:numPr>
          <w:ilvl w:val="0"/>
          <w:numId w:val="87"/>
        </w:numPr>
        <w:suppressAutoHyphens w:val="0"/>
        <w:spacing w:after="120" w:line="259" w:lineRule="auto"/>
        <w:jc w:val="both"/>
        <w:rPr>
          <w:rFonts w:cstheme="majorHAnsi"/>
          <w:sz w:val="21"/>
          <w:szCs w:val="21"/>
        </w:rPr>
      </w:pPr>
      <w:r w:rsidRPr="00645951">
        <w:rPr>
          <w:rFonts w:cstheme="majorHAnsi"/>
          <w:sz w:val="21"/>
          <w:szCs w:val="21"/>
        </w:rPr>
        <w:t>Stronger partnerships in the AMS between Australia and Indonesia</w:t>
      </w:r>
      <w:r w:rsidR="00D7368F">
        <w:rPr>
          <w:rFonts w:cstheme="majorHAnsi"/>
          <w:sz w:val="21"/>
          <w:szCs w:val="21"/>
        </w:rPr>
        <w:t>.</w:t>
      </w:r>
    </w:p>
    <w:p w14:paraId="7D819D25" w14:textId="77777777" w:rsidR="00CB1C18" w:rsidRPr="00645951" w:rsidRDefault="00CB1C18" w:rsidP="00F5504F">
      <w:pPr>
        <w:pStyle w:val="ListParagraph"/>
        <w:numPr>
          <w:ilvl w:val="0"/>
          <w:numId w:val="87"/>
        </w:numPr>
        <w:suppressAutoHyphens w:val="0"/>
        <w:spacing w:after="120" w:line="259" w:lineRule="auto"/>
        <w:jc w:val="both"/>
        <w:rPr>
          <w:rFonts w:cstheme="majorHAnsi"/>
          <w:sz w:val="21"/>
          <w:szCs w:val="21"/>
        </w:rPr>
      </w:pPr>
      <w:r w:rsidRPr="00645951">
        <w:rPr>
          <w:rFonts w:cstheme="majorHAnsi"/>
          <w:sz w:val="21"/>
          <w:szCs w:val="21"/>
        </w:rPr>
        <w:t>Increased women leadership in the AMS and a more inclusive sector.</w:t>
      </w:r>
    </w:p>
    <w:p w14:paraId="707685A8" w14:textId="77777777" w:rsidR="00CB1C18" w:rsidRPr="00D7368F" w:rsidRDefault="00CB1C18" w:rsidP="00D7368F">
      <w:pPr>
        <w:spacing w:after="120"/>
        <w:jc w:val="both"/>
        <w:rPr>
          <w:rFonts w:cstheme="majorHAnsi"/>
          <w:b/>
          <w:i/>
          <w:sz w:val="21"/>
          <w:szCs w:val="21"/>
        </w:rPr>
      </w:pPr>
      <w:r w:rsidRPr="00D7368F">
        <w:rPr>
          <w:rFonts w:cstheme="majorHAnsi"/>
          <w:b/>
          <w:i/>
          <w:sz w:val="21"/>
          <w:szCs w:val="21"/>
        </w:rPr>
        <w:t>Intermediate outcomes</w:t>
      </w:r>
    </w:p>
    <w:p w14:paraId="0DF2698F" w14:textId="77777777" w:rsidR="00CB1C18" w:rsidRPr="00645951" w:rsidRDefault="00CB1C18" w:rsidP="00F5504F">
      <w:pPr>
        <w:pStyle w:val="ListParagraph"/>
        <w:numPr>
          <w:ilvl w:val="0"/>
          <w:numId w:val="87"/>
        </w:numPr>
        <w:suppressAutoHyphens w:val="0"/>
        <w:spacing w:after="120" w:line="259" w:lineRule="auto"/>
        <w:jc w:val="both"/>
        <w:rPr>
          <w:rFonts w:cstheme="majorHAnsi"/>
          <w:sz w:val="21"/>
          <w:szCs w:val="21"/>
        </w:rPr>
      </w:pPr>
      <w:bookmarkStart w:id="8" w:name="_Hlk29805343"/>
      <w:r w:rsidRPr="00645951">
        <w:rPr>
          <w:rFonts w:cstheme="majorHAnsi"/>
          <w:sz w:val="21"/>
          <w:szCs w:val="21"/>
        </w:rPr>
        <w:t xml:space="preserve">Greater knowledge of trade and investment opportunities between Indonesian and Australian manufacturers </w:t>
      </w:r>
    </w:p>
    <w:p w14:paraId="27C8393D" w14:textId="77777777" w:rsidR="00CB1C18" w:rsidRPr="00645951" w:rsidRDefault="00CB1C18" w:rsidP="00F5504F">
      <w:pPr>
        <w:pStyle w:val="ListParagraph"/>
        <w:numPr>
          <w:ilvl w:val="0"/>
          <w:numId w:val="87"/>
        </w:numPr>
        <w:suppressAutoHyphens w:val="0"/>
        <w:spacing w:after="120" w:line="259" w:lineRule="auto"/>
        <w:jc w:val="both"/>
        <w:rPr>
          <w:rFonts w:cstheme="majorHAnsi"/>
          <w:sz w:val="21"/>
          <w:szCs w:val="21"/>
        </w:rPr>
      </w:pPr>
      <w:bookmarkStart w:id="9" w:name="_Hlk29805318"/>
      <w:bookmarkEnd w:id="8"/>
      <w:r w:rsidRPr="00645951">
        <w:rPr>
          <w:rFonts w:cstheme="majorHAnsi"/>
          <w:sz w:val="21"/>
          <w:szCs w:val="21"/>
        </w:rPr>
        <w:t>A strengthened and more cohesive standards ecosystem for AMS</w:t>
      </w:r>
      <w:bookmarkEnd w:id="9"/>
    </w:p>
    <w:p w14:paraId="4748AC08" w14:textId="5C8C71C5" w:rsidR="00CB1C18" w:rsidRPr="00645951" w:rsidRDefault="00CB1C18" w:rsidP="00F5504F">
      <w:pPr>
        <w:pStyle w:val="ListParagraph"/>
        <w:numPr>
          <w:ilvl w:val="0"/>
          <w:numId w:val="87"/>
        </w:numPr>
        <w:suppressAutoHyphens w:val="0"/>
        <w:spacing w:after="120" w:line="259" w:lineRule="auto"/>
        <w:jc w:val="both"/>
        <w:rPr>
          <w:rFonts w:cstheme="majorHAnsi"/>
          <w:sz w:val="21"/>
          <w:szCs w:val="21"/>
        </w:rPr>
      </w:pPr>
      <w:r w:rsidRPr="00645951">
        <w:rPr>
          <w:rFonts w:cstheme="majorHAnsi"/>
          <w:sz w:val="21"/>
          <w:szCs w:val="21"/>
        </w:rPr>
        <w:t xml:space="preserve">New partnerships between Australian and Indonesian industries in the advanced manufacturing sector, </w:t>
      </w:r>
      <w:r w:rsidR="007C69F0">
        <w:rPr>
          <w:rFonts w:cstheme="majorHAnsi"/>
          <w:sz w:val="21"/>
          <w:szCs w:val="21"/>
        </w:rPr>
        <w:t xml:space="preserve">and critical minerals </w:t>
      </w:r>
      <w:r w:rsidR="007C69F0" w:rsidRPr="00645951">
        <w:rPr>
          <w:rFonts w:cstheme="majorHAnsi"/>
          <w:sz w:val="21"/>
          <w:szCs w:val="21"/>
        </w:rPr>
        <w:t>sector</w:t>
      </w:r>
      <w:r w:rsidR="007C69F0">
        <w:rPr>
          <w:rFonts w:cstheme="majorHAnsi"/>
          <w:sz w:val="21"/>
          <w:szCs w:val="21"/>
        </w:rPr>
        <w:t>s</w:t>
      </w:r>
      <w:r w:rsidR="007C69F0" w:rsidRPr="00645951">
        <w:rPr>
          <w:rFonts w:cstheme="majorHAnsi"/>
          <w:sz w:val="21"/>
          <w:szCs w:val="21"/>
        </w:rPr>
        <w:t xml:space="preserve">, </w:t>
      </w:r>
      <w:r w:rsidRPr="00645951">
        <w:rPr>
          <w:rFonts w:cstheme="majorHAnsi"/>
          <w:sz w:val="21"/>
          <w:szCs w:val="21"/>
        </w:rPr>
        <w:t>supporting value added industries and jobs growth.</w:t>
      </w:r>
    </w:p>
    <w:p w14:paraId="05E36C95" w14:textId="77777777" w:rsidR="00D34B6F" w:rsidRDefault="00CB1C18" w:rsidP="00F5504F">
      <w:pPr>
        <w:pStyle w:val="ListParagraph"/>
        <w:numPr>
          <w:ilvl w:val="0"/>
          <w:numId w:val="87"/>
        </w:numPr>
        <w:suppressAutoHyphens w:val="0"/>
        <w:spacing w:after="120" w:line="259" w:lineRule="auto"/>
        <w:jc w:val="both"/>
        <w:rPr>
          <w:rFonts w:cstheme="majorHAnsi"/>
          <w:sz w:val="21"/>
          <w:szCs w:val="21"/>
        </w:rPr>
      </w:pPr>
      <w:r w:rsidRPr="00645951">
        <w:rPr>
          <w:rFonts w:cstheme="majorHAnsi"/>
          <w:sz w:val="21"/>
          <w:szCs w:val="21"/>
        </w:rPr>
        <w:t>Increased participation of women and people living with disabilities in AMS</w:t>
      </w:r>
    </w:p>
    <w:p w14:paraId="49FC84B3" w14:textId="46C5A55D" w:rsidR="00CB1C18" w:rsidRPr="00645951" w:rsidRDefault="00D34B6F" w:rsidP="00F5504F">
      <w:pPr>
        <w:pStyle w:val="ListParagraph"/>
        <w:numPr>
          <w:ilvl w:val="0"/>
          <w:numId w:val="87"/>
        </w:numPr>
        <w:suppressAutoHyphens w:val="0"/>
        <w:spacing w:after="120" w:line="259" w:lineRule="auto"/>
        <w:jc w:val="both"/>
        <w:rPr>
          <w:rFonts w:cstheme="majorHAnsi"/>
          <w:sz w:val="21"/>
          <w:szCs w:val="21"/>
        </w:rPr>
      </w:pPr>
      <w:r>
        <w:rPr>
          <w:rFonts w:cstheme="majorHAnsi"/>
          <w:sz w:val="21"/>
          <w:szCs w:val="21"/>
        </w:rPr>
        <w:t>Increased participation of SMEs in advanced manufacturing</w:t>
      </w:r>
      <w:r w:rsidR="00CB1C18" w:rsidRPr="00645951">
        <w:rPr>
          <w:rFonts w:cstheme="majorHAnsi"/>
          <w:sz w:val="21"/>
          <w:szCs w:val="21"/>
        </w:rPr>
        <w:t>.</w:t>
      </w:r>
    </w:p>
    <w:p w14:paraId="777BA00A" w14:textId="77777777" w:rsidR="00CB1C18" w:rsidRPr="00D7368F" w:rsidRDefault="00CB1C18" w:rsidP="00D7368F">
      <w:pPr>
        <w:spacing w:after="120"/>
        <w:jc w:val="both"/>
        <w:rPr>
          <w:rFonts w:cstheme="majorHAnsi"/>
          <w:b/>
          <w:i/>
          <w:sz w:val="21"/>
          <w:szCs w:val="21"/>
        </w:rPr>
      </w:pPr>
      <w:r w:rsidRPr="00D7368F">
        <w:rPr>
          <w:rFonts w:cstheme="majorHAnsi"/>
          <w:b/>
          <w:i/>
          <w:sz w:val="21"/>
          <w:szCs w:val="21"/>
        </w:rPr>
        <w:t xml:space="preserve">Immediate outcomes </w:t>
      </w:r>
    </w:p>
    <w:p w14:paraId="5CB797BE" w14:textId="77777777" w:rsidR="00CB1C18" w:rsidRPr="00645951" w:rsidRDefault="00CB1C18" w:rsidP="00F5504F">
      <w:pPr>
        <w:pStyle w:val="ListParagraph"/>
        <w:numPr>
          <w:ilvl w:val="0"/>
          <w:numId w:val="87"/>
        </w:numPr>
        <w:suppressAutoHyphens w:val="0"/>
        <w:spacing w:after="120" w:line="259" w:lineRule="auto"/>
        <w:jc w:val="both"/>
        <w:rPr>
          <w:rFonts w:cstheme="majorHAnsi"/>
          <w:sz w:val="21"/>
          <w:szCs w:val="21"/>
        </w:rPr>
      </w:pPr>
      <w:r w:rsidRPr="00645951">
        <w:rPr>
          <w:rFonts w:cstheme="majorHAnsi"/>
          <w:sz w:val="21"/>
          <w:szCs w:val="21"/>
        </w:rPr>
        <w:t>Increased dialogue, exchange and research being funded by joint-industry partners</w:t>
      </w:r>
    </w:p>
    <w:p w14:paraId="0A453476" w14:textId="34A4E5D2" w:rsidR="00CB1C18" w:rsidRPr="00645951" w:rsidRDefault="00CB1C18" w:rsidP="00F5504F">
      <w:pPr>
        <w:pStyle w:val="ListParagraph"/>
        <w:numPr>
          <w:ilvl w:val="0"/>
          <w:numId w:val="87"/>
        </w:numPr>
        <w:suppressAutoHyphens w:val="0"/>
        <w:spacing w:after="120" w:line="259" w:lineRule="auto"/>
        <w:jc w:val="both"/>
        <w:rPr>
          <w:rFonts w:cstheme="majorHAnsi"/>
          <w:sz w:val="21"/>
          <w:szCs w:val="21"/>
        </w:rPr>
      </w:pPr>
      <w:r w:rsidRPr="00645951">
        <w:rPr>
          <w:rFonts w:cstheme="majorHAnsi"/>
          <w:sz w:val="21"/>
          <w:szCs w:val="21"/>
        </w:rPr>
        <w:t xml:space="preserve">Increased knowledge and awareness of Australia’s and Indonesia’s capabilities in the advanced </w:t>
      </w:r>
      <w:r w:rsidR="007C69F0">
        <w:rPr>
          <w:rFonts w:cstheme="majorHAnsi"/>
          <w:sz w:val="21"/>
          <w:szCs w:val="21"/>
        </w:rPr>
        <w:t xml:space="preserve">and critical minerals </w:t>
      </w:r>
      <w:r w:rsidRPr="00645951">
        <w:rPr>
          <w:rFonts w:cstheme="majorHAnsi"/>
          <w:sz w:val="21"/>
          <w:szCs w:val="21"/>
        </w:rPr>
        <w:t>manufacturing sector.</w:t>
      </w:r>
    </w:p>
    <w:p w14:paraId="1BFA3D94" w14:textId="77777777" w:rsidR="00CB1C18" w:rsidRPr="00645951" w:rsidRDefault="00CB1C18" w:rsidP="00F5504F">
      <w:pPr>
        <w:pStyle w:val="ListParagraph"/>
        <w:numPr>
          <w:ilvl w:val="0"/>
          <w:numId w:val="87"/>
        </w:numPr>
        <w:suppressAutoHyphens w:val="0"/>
        <w:spacing w:after="120" w:line="259" w:lineRule="auto"/>
        <w:jc w:val="both"/>
        <w:rPr>
          <w:rFonts w:cstheme="majorHAnsi"/>
          <w:sz w:val="21"/>
          <w:szCs w:val="21"/>
        </w:rPr>
      </w:pPr>
      <w:r w:rsidRPr="00645951">
        <w:rPr>
          <w:rFonts w:cstheme="majorHAnsi"/>
          <w:sz w:val="21"/>
          <w:szCs w:val="21"/>
        </w:rPr>
        <w:t>Greater knowledge of trade and investment opportunities including around EVs</w:t>
      </w:r>
    </w:p>
    <w:p w14:paraId="6A191EC5" w14:textId="77777777" w:rsidR="00CB1C18" w:rsidRPr="00645951" w:rsidRDefault="00CB1C18" w:rsidP="00F5504F">
      <w:pPr>
        <w:pStyle w:val="ListParagraph"/>
        <w:numPr>
          <w:ilvl w:val="0"/>
          <w:numId w:val="87"/>
        </w:numPr>
        <w:suppressAutoHyphens w:val="0"/>
        <w:spacing w:after="120" w:line="259" w:lineRule="auto"/>
        <w:jc w:val="both"/>
        <w:rPr>
          <w:rFonts w:cstheme="majorHAnsi"/>
          <w:sz w:val="21"/>
          <w:szCs w:val="21"/>
        </w:rPr>
      </w:pPr>
      <w:r w:rsidRPr="00645951">
        <w:rPr>
          <w:rFonts w:cstheme="majorHAnsi"/>
          <w:sz w:val="21"/>
          <w:szCs w:val="21"/>
        </w:rPr>
        <w:t>Increased participation by industry in Australian-Indonesian partnerships</w:t>
      </w:r>
    </w:p>
    <w:p w14:paraId="60BE5AC2" w14:textId="77777777" w:rsidR="00CB1C18" w:rsidRPr="00645951" w:rsidRDefault="00CB1C18" w:rsidP="00F5504F">
      <w:pPr>
        <w:pStyle w:val="ListParagraph"/>
        <w:numPr>
          <w:ilvl w:val="0"/>
          <w:numId w:val="87"/>
        </w:numPr>
        <w:suppressAutoHyphens w:val="0"/>
        <w:spacing w:after="120" w:line="259" w:lineRule="auto"/>
        <w:jc w:val="both"/>
        <w:rPr>
          <w:rFonts w:cstheme="majorHAnsi"/>
          <w:sz w:val="21"/>
          <w:szCs w:val="21"/>
        </w:rPr>
      </w:pPr>
      <w:r w:rsidRPr="00645951">
        <w:rPr>
          <w:rFonts w:cstheme="majorHAnsi"/>
          <w:sz w:val="21"/>
          <w:szCs w:val="21"/>
        </w:rPr>
        <w:t xml:space="preserve">Increase in the number of women interested in the AMS </w:t>
      </w:r>
    </w:p>
    <w:p w14:paraId="01ACB399" w14:textId="77777777" w:rsidR="00CB1C18" w:rsidRPr="00CB4384" w:rsidRDefault="00CB1C18" w:rsidP="00CB1C18">
      <w:pPr>
        <w:spacing w:after="120"/>
        <w:jc w:val="both"/>
        <w:rPr>
          <w:rFonts w:cstheme="majorHAnsi"/>
          <w:b/>
          <w:sz w:val="21"/>
          <w:szCs w:val="21"/>
        </w:rPr>
      </w:pPr>
      <w:r w:rsidRPr="00CB4384">
        <w:rPr>
          <w:rFonts w:cstheme="majorHAnsi"/>
          <w:b/>
          <w:sz w:val="21"/>
          <w:szCs w:val="21"/>
        </w:rPr>
        <w:t>Activities and Outputs</w:t>
      </w:r>
    </w:p>
    <w:p w14:paraId="5972B65E" w14:textId="758849B7" w:rsidR="00CB1C18" w:rsidRDefault="00CB1C18" w:rsidP="00F5504F">
      <w:pPr>
        <w:pStyle w:val="ListParagraph"/>
        <w:numPr>
          <w:ilvl w:val="0"/>
          <w:numId w:val="93"/>
        </w:numPr>
        <w:suppressAutoHyphens w:val="0"/>
        <w:spacing w:after="120" w:line="259" w:lineRule="auto"/>
        <w:jc w:val="both"/>
        <w:rPr>
          <w:rFonts w:cstheme="majorHAnsi"/>
          <w:sz w:val="21"/>
          <w:szCs w:val="21"/>
        </w:rPr>
      </w:pPr>
      <w:r w:rsidRPr="00645951">
        <w:rPr>
          <w:rFonts w:cstheme="majorHAnsi"/>
          <w:sz w:val="21"/>
          <w:szCs w:val="21"/>
        </w:rPr>
        <w:t xml:space="preserve">Establish the Indonesia-Australia Advanced Manufacturing Dialogue with AMGC, </w:t>
      </w:r>
      <w:r w:rsidR="00C805FD">
        <w:rPr>
          <w:rFonts w:cstheme="majorHAnsi"/>
          <w:sz w:val="21"/>
          <w:szCs w:val="21"/>
        </w:rPr>
        <w:t xml:space="preserve">and other relevant partners, such as </w:t>
      </w:r>
      <w:r w:rsidRPr="00645951">
        <w:rPr>
          <w:rFonts w:cstheme="majorHAnsi"/>
          <w:sz w:val="21"/>
          <w:szCs w:val="21"/>
        </w:rPr>
        <w:t>K</w:t>
      </w:r>
      <w:r w:rsidR="00D7368F">
        <w:rPr>
          <w:rFonts w:cstheme="majorHAnsi"/>
          <w:sz w:val="21"/>
          <w:szCs w:val="21"/>
        </w:rPr>
        <w:t>ADIN</w:t>
      </w:r>
      <w:r w:rsidRPr="00645951">
        <w:rPr>
          <w:rFonts w:cstheme="majorHAnsi"/>
          <w:sz w:val="21"/>
          <w:szCs w:val="21"/>
        </w:rPr>
        <w:t>.</w:t>
      </w:r>
    </w:p>
    <w:p w14:paraId="5A24FC89" w14:textId="20FDAF3B" w:rsidR="007C69F0" w:rsidRPr="00645951" w:rsidRDefault="007C69F0" w:rsidP="00F5504F">
      <w:pPr>
        <w:pStyle w:val="ListParagraph"/>
        <w:numPr>
          <w:ilvl w:val="0"/>
          <w:numId w:val="93"/>
        </w:numPr>
        <w:suppressAutoHyphens w:val="0"/>
        <w:spacing w:after="120" w:line="259" w:lineRule="auto"/>
        <w:jc w:val="both"/>
        <w:rPr>
          <w:rFonts w:cstheme="majorHAnsi"/>
          <w:sz w:val="21"/>
          <w:szCs w:val="21"/>
        </w:rPr>
      </w:pPr>
      <w:r>
        <w:rPr>
          <w:rFonts w:cstheme="majorHAnsi"/>
          <w:sz w:val="21"/>
          <w:szCs w:val="21"/>
        </w:rPr>
        <w:t>Establish a dialogue between relevant Australian and Indonesian Ministr</w:t>
      </w:r>
      <w:r w:rsidR="00964A63">
        <w:rPr>
          <w:rFonts w:cstheme="majorHAnsi"/>
          <w:sz w:val="21"/>
          <w:szCs w:val="21"/>
        </w:rPr>
        <w:t>ie</w:t>
      </w:r>
      <w:r>
        <w:rPr>
          <w:rFonts w:cstheme="majorHAnsi"/>
          <w:sz w:val="21"/>
          <w:szCs w:val="21"/>
        </w:rPr>
        <w:t>s to discuss the</w:t>
      </w:r>
      <w:r w:rsidRPr="00525A2A">
        <w:rPr>
          <w:rFonts w:cstheme="majorHAnsi"/>
          <w:sz w:val="21"/>
          <w:szCs w:val="21"/>
        </w:rPr>
        <w:t xml:space="preserve"> short, medium and long term requirements for raw materials and components for electric vehicles, with a focus on understanding the respective role of each country in developing their side of the supply chain.</w:t>
      </w:r>
    </w:p>
    <w:p w14:paraId="20CB206D" w14:textId="77777777" w:rsidR="00CB1C18" w:rsidRPr="00645951" w:rsidRDefault="00CB1C18" w:rsidP="00F5504F">
      <w:pPr>
        <w:pStyle w:val="ListParagraph"/>
        <w:numPr>
          <w:ilvl w:val="0"/>
          <w:numId w:val="93"/>
        </w:numPr>
        <w:suppressAutoHyphens w:val="0"/>
        <w:spacing w:after="120" w:line="259" w:lineRule="auto"/>
        <w:jc w:val="both"/>
        <w:rPr>
          <w:rFonts w:cstheme="majorHAnsi"/>
          <w:sz w:val="21"/>
          <w:szCs w:val="21"/>
        </w:rPr>
      </w:pPr>
      <w:r w:rsidRPr="00645951">
        <w:rPr>
          <w:rFonts w:cstheme="majorHAnsi"/>
          <w:sz w:val="21"/>
          <w:szCs w:val="21"/>
        </w:rPr>
        <w:t xml:space="preserve">Undertake stakeholder mapping and gap analysis. </w:t>
      </w:r>
    </w:p>
    <w:p w14:paraId="2BA7ABC6" w14:textId="77777777" w:rsidR="00CB1C18" w:rsidRPr="00645951" w:rsidRDefault="00CB1C18" w:rsidP="00F5504F">
      <w:pPr>
        <w:pStyle w:val="ListParagraph"/>
        <w:numPr>
          <w:ilvl w:val="0"/>
          <w:numId w:val="93"/>
        </w:numPr>
        <w:suppressAutoHyphens w:val="0"/>
        <w:spacing w:after="120" w:line="259" w:lineRule="auto"/>
        <w:jc w:val="both"/>
        <w:rPr>
          <w:rFonts w:cstheme="majorHAnsi"/>
          <w:sz w:val="21"/>
          <w:szCs w:val="21"/>
        </w:rPr>
      </w:pPr>
      <w:r w:rsidRPr="00645951">
        <w:rPr>
          <w:rFonts w:cstheme="majorHAnsi"/>
          <w:sz w:val="21"/>
          <w:szCs w:val="21"/>
        </w:rPr>
        <w:t>Awareness raising through road shows, fact sheets and promotional materials.</w:t>
      </w:r>
    </w:p>
    <w:p w14:paraId="5A758AEB" w14:textId="77777777" w:rsidR="00CB1C18" w:rsidRPr="00645951" w:rsidRDefault="00CB1C18" w:rsidP="00F5504F">
      <w:pPr>
        <w:pStyle w:val="ListParagraph"/>
        <w:numPr>
          <w:ilvl w:val="0"/>
          <w:numId w:val="93"/>
        </w:numPr>
        <w:suppressAutoHyphens w:val="0"/>
        <w:spacing w:after="120" w:line="259" w:lineRule="auto"/>
        <w:jc w:val="both"/>
        <w:rPr>
          <w:rFonts w:cstheme="majorHAnsi"/>
          <w:sz w:val="21"/>
          <w:szCs w:val="21"/>
        </w:rPr>
      </w:pPr>
      <w:r w:rsidRPr="00645951">
        <w:rPr>
          <w:rFonts w:cstheme="majorHAnsi"/>
          <w:sz w:val="21"/>
          <w:szCs w:val="21"/>
        </w:rPr>
        <w:t>Scoping study into component and precision engineering in the design of an electric vehicle and opportunities for Australia to support Indonesia.</w:t>
      </w:r>
    </w:p>
    <w:p w14:paraId="6A5F37DA" w14:textId="77777777" w:rsidR="00CB1C18" w:rsidRPr="00645951" w:rsidRDefault="00CB1C18" w:rsidP="00F5504F">
      <w:pPr>
        <w:pStyle w:val="ListParagraph"/>
        <w:numPr>
          <w:ilvl w:val="0"/>
          <w:numId w:val="93"/>
        </w:numPr>
        <w:suppressAutoHyphens w:val="0"/>
        <w:spacing w:after="120" w:line="259" w:lineRule="auto"/>
        <w:jc w:val="both"/>
        <w:rPr>
          <w:rFonts w:cstheme="majorHAnsi"/>
          <w:sz w:val="21"/>
          <w:szCs w:val="21"/>
        </w:rPr>
      </w:pPr>
      <w:r w:rsidRPr="00645951">
        <w:rPr>
          <w:rFonts w:cstheme="majorHAnsi"/>
          <w:sz w:val="21"/>
          <w:szCs w:val="21"/>
        </w:rPr>
        <w:lastRenderedPageBreak/>
        <w:t xml:space="preserve">Research and analysis of opportunities to deliver mutual benefits in the advanced manufacturing sector involving a partnership between Australia and Indonesia. </w:t>
      </w:r>
    </w:p>
    <w:p w14:paraId="61EEA845" w14:textId="77777777" w:rsidR="00CB1C18" w:rsidRDefault="00CB1C18" w:rsidP="00F5504F">
      <w:pPr>
        <w:pStyle w:val="ListParagraph"/>
        <w:numPr>
          <w:ilvl w:val="0"/>
          <w:numId w:val="93"/>
        </w:numPr>
        <w:suppressAutoHyphens w:val="0"/>
        <w:spacing w:after="120" w:line="259" w:lineRule="auto"/>
        <w:jc w:val="both"/>
        <w:rPr>
          <w:rFonts w:cstheme="majorHAnsi"/>
          <w:sz w:val="21"/>
          <w:szCs w:val="21"/>
        </w:rPr>
      </w:pPr>
      <w:r w:rsidRPr="00645951">
        <w:rPr>
          <w:rFonts w:cstheme="majorHAnsi"/>
          <w:sz w:val="21"/>
          <w:szCs w:val="21"/>
        </w:rPr>
        <w:t xml:space="preserve">Scoping study on complementarities. This will include opportunities to increase women’s participation in the sector. </w:t>
      </w:r>
    </w:p>
    <w:p w14:paraId="5ACF7218" w14:textId="4A084594" w:rsidR="00CB1C18" w:rsidRPr="00645951" w:rsidRDefault="00CB1C18" w:rsidP="00CB1C18">
      <w:pPr>
        <w:jc w:val="both"/>
        <w:rPr>
          <w:rFonts w:cstheme="majorHAnsi"/>
          <w:b/>
          <w:sz w:val="21"/>
          <w:szCs w:val="21"/>
        </w:rPr>
      </w:pPr>
      <w:r w:rsidRPr="00645951">
        <w:rPr>
          <w:rFonts w:cstheme="majorHAnsi"/>
          <w:b/>
          <w:sz w:val="21"/>
          <w:szCs w:val="21"/>
        </w:rPr>
        <w:t>KPIs</w:t>
      </w:r>
    </w:p>
    <w:p w14:paraId="6358EC11" w14:textId="77777777" w:rsidR="00CB1C18" w:rsidRPr="00645951" w:rsidRDefault="00CB1C18" w:rsidP="00F5504F">
      <w:pPr>
        <w:pStyle w:val="ListParagraph"/>
        <w:numPr>
          <w:ilvl w:val="0"/>
          <w:numId w:val="89"/>
        </w:numPr>
        <w:suppressAutoHyphens w:val="0"/>
        <w:spacing w:before="0" w:after="120" w:line="259" w:lineRule="auto"/>
        <w:jc w:val="both"/>
        <w:rPr>
          <w:rFonts w:cstheme="majorHAnsi"/>
          <w:sz w:val="21"/>
          <w:szCs w:val="21"/>
        </w:rPr>
      </w:pPr>
      <w:r w:rsidRPr="00645951">
        <w:rPr>
          <w:rFonts w:cstheme="majorHAnsi"/>
          <w:sz w:val="21"/>
          <w:szCs w:val="21"/>
        </w:rPr>
        <w:t>Trade and investment flows</w:t>
      </w:r>
    </w:p>
    <w:p w14:paraId="656530D9" w14:textId="4DE3E4E7" w:rsidR="00CB1C18" w:rsidRPr="00645951" w:rsidRDefault="00CB1C18" w:rsidP="00F5504F">
      <w:pPr>
        <w:pStyle w:val="ListParagraph"/>
        <w:numPr>
          <w:ilvl w:val="0"/>
          <w:numId w:val="89"/>
        </w:numPr>
        <w:suppressAutoHyphens w:val="0"/>
        <w:spacing w:after="120" w:line="259" w:lineRule="auto"/>
        <w:jc w:val="both"/>
        <w:rPr>
          <w:rFonts w:cstheme="majorHAnsi"/>
          <w:sz w:val="21"/>
          <w:szCs w:val="21"/>
        </w:rPr>
      </w:pPr>
      <w:r w:rsidRPr="00645951">
        <w:rPr>
          <w:rFonts w:cstheme="majorHAnsi"/>
          <w:sz w:val="21"/>
          <w:szCs w:val="21"/>
        </w:rPr>
        <w:t xml:space="preserve">Increase in partnerships in specific manufacturing </w:t>
      </w:r>
      <w:r w:rsidR="007C69F0">
        <w:rPr>
          <w:rFonts w:cstheme="majorHAnsi"/>
          <w:sz w:val="21"/>
          <w:szCs w:val="21"/>
        </w:rPr>
        <w:t>and resources</w:t>
      </w:r>
      <w:r w:rsidR="007C69F0" w:rsidRPr="00645951">
        <w:rPr>
          <w:rFonts w:cstheme="majorHAnsi"/>
          <w:sz w:val="21"/>
          <w:szCs w:val="21"/>
        </w:rPr>
        <w:t xml:space="preserve"> </w:t>
      </w:r>
      <w:r w:rsidRPr="00645951">
        <w:rPr>
          <w:rFonts w:cstheme="majorHAnsi"/>
          <w:sz w:val="21"/>
          <w:szCs w:val="21"/>
        </w:rPr>
        <w:t>industries</w:t>
      </w:r>
    </w:p>
    <w:p w14:paraId="760FEB84" w14:textId="07036537" w:rsidR="00CB1C18" w:rsidRPr="00645951" w:rsidRDefault="00CB1C18" w:rsidP="00F5504F">
      <w:pPr>
        <w:pStyle w:val="ListParagraph"/>
        <w:numPr>
          <w:ilvl w:val="0"/>
          <w:numId w:val="89"/>
        </w:numPr>
        <w:suppressAutoHyphens w:val="0"/>
        <w:spacing w:after="120" w:line="259" w:lineRule="auto"/>
        <w:jc w:val="both"/>
        <w:rPr>
          <w:rFonts w:cstheme="majorHAnsi"/>
          <w:sz w:val="21"/>
          <w:szCs w:val="21"/>
        </w:rPr>
      </w:pPr>
      <w:r w:rsidRPr="00645951">
        <w:rPr>
          <w:rFonts w:cstheme="majorHAnsi"/>
          <w:sz w:val="21"/>
          <w:szCs w:val="21"/>
        </w:rPr>
        <w:t>Closer alignment of standards</w:t>
      </w:r>
      <w:r w:rsidR="007C69F0">
        <w:rPr>
          <w:rFonts w:cstheme="majorHAnsi"/>
          <w:sz w:val="21"/>
          <w:szCs w:val="21"/>
        </w:rPr>
        <w:t xml:space="preserve"> and conformance</w:t>
      </w:r>
    </w:p>
    <w:p w14:paraId="26812E08" w14:textId="77777777" w:rsidR="006367D1" w:rsidRPr="001C251C" w:rsidRDefault="006367D1" w:rsidP="007C4ABD">
      <w:pPr>
        <w:suppressAutoHyphens w:val="0"/>
        <w:spacing w:before="0" w:after="120" w:line="440" w:lineRule="atLeast"/>
        <w:rPr>
          <w:rFonts w:cstheme="minorHAnsi"/>
          <w:b/>
          <w:bCs/>
          <w:sz w:val="21"/>
          <w:szCs w:val="21"/>
        </w:rPr>
      </w:pPr>
      <w:r w:rsidRPr="001C251C">
        <w:rPr>
          <w:rFonts w:cstheme="minorHAnsi"/>
          <w:b/>
          <w:bCs/>
          <w:sz w:val="21"/>
          <w:szCs w:val="21"/>
        </w:rPr>
        <w:t xml:space="preserve">How </w:t>
      </w:r>
      <w:r>
        <w:rPr>
          <w:rFonts w:cstheme="minorHAnsi"/>
          <w:b/>
          <w:bCs/>
          <w:sz w:val="21"/>
          <w:szCs w:val="21"/>
        </w:rPr>
        <w:t>the Activity will be implemented</w:t>
      </w:r>
    </w:p>
    <w:p w14:paraId="4FC3896C" w14:textId="77777777" w:rsidR="00CB1C18" w:rsidRPr="00645951"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iCs/>
          <w:sz w:val="21"/>
          <w:szCs w:val="21"/>
        </w:rPr>
      </w:pPr>
      <w:r w:rsidRPr="00645951">
        <w:rPr>
          <w:rFonts w:cstheme="majorHAnsi"/>
          <w:iCs/>
          <w:sz w:val="21"/>
          <w:szCs w:val="21"/>
        </w:rPr>
        <w:t xml:space="preserve">This activity will be achieved through three streams of work: </w:t>
      </w:r>
    </w:p>
    <w:p w14:paraId="1B7BC9E1" w14:textId="5C1B3925" w:rsidR="00CB1C18" w:rsidRPr="006367D1" w:rsidRDefault="006367D1"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i/>
          <w:iCs/>
          <w:sz w:val="21"/>
          <w:szCs w:val="21"/>
        </w:rPr>
      </w:pPr>
      <w:r w:rsidRPr="006367D1">
        <w:rPr>
          <w:rFonts w:cstheme="majorHAnsi"/>
          <w:b/>
          <w:i/>
          <w:iCs/>
          <w:sz w:val="21"/>
          <w:szCs w:val="21"/>
        </w:rPr>
        <w:t xml:space="preserve">1. </w:t>
      </w:r>
      <w:r w:rsidR="00CB1C18" w:rsidRPr="006367D1">
        <w:rPr>
          <w:rFonts w:cstheme="majorHAnsi"/>
          <w:b/>
          <w:i/>
          <w:iCs/>
          <w:sz w:val="21"/>
          <w:szCs w:val="21"/>
        </w:rPr>
        <w:t>Establishing the Indonesia-Australia Advanced Manufacturing Dialogue</w:t>
      </w:r>
    </w:p>
    <w:p w14:paraId="76FC87D0" w14:textId="4AE2DEDC" w:rsidR="00CB1C18" w:rsidRPr="00645951"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iCs/>
          <w:sz w:val="21"/>
          <w:szCs w:val="21"/>
        </w:rPr>
      </w:pPr>
      <w:r w:rsidRPr="00645951">
        <w:rPr>
          <w:rFonts w:cstheme="majorHAnsi"/>
          <w:iCs/>
          <w:sz w:val="21"/>
          <w:szCs w:val="21"/>
        </w:rPr>
        <w:t xml:space="preserve">A dialogue will be convened drawing together government, including </w:t>
      </w:r>
      <w:proofErr w:type="spellStart"/>
      <w:r w:rsidRPr="00645951">
        <w:rPr>
          <w:rFonts w:cstheme="majorHAnsi"/>
          <w:iCs/>
          <w:sz w:val="21"/>
          <w:szCs w:val="21"/>
        </w:rPr>
        <w:t>Aus</w:t>
      </w:r>
      <w:r w:rsidR="006367D1">
        <w:rPr>
          <w:rFonts w:cstheme="majorHAnsi"/>
          <w:iCs/>
          <w:sz w:val="21"/>
          <w:szCs w:val="21"/>
        </w:rPr>
        <w:t>t</w:t>
      </w:r>
      <w:r w:rsidRPr="00645951">
        <w:rPr>
          <w:rFonts w:cstheme="majorHAnsi"/>
          <w:iCs/>
          <w:sz w:val="21"/>
          <w:szCs w:val="21"/>
        </w:rPr>
        <w:t>rade</w:t>
      </w:r>
      <w:proofErr w:type="spellEnd"/>
      <w:r w:rsidRPr="00645951">
        <w:rPr>
          <w:rFonts w:cstheme="majorHAnsi"/>
          <w:iCs/>
          <w:sz w:val="21"/>
          <w:szCs w:val="21"/>
        </w:rPr>
        <w:t>, the Department of Industry</w:t>
      </w:r>
      <w:r w:rsidR="003A087E">
        <w:rPr>
          <w:rFonts w:cstheme="majorHAnsi"/>
          <w:iCs/>
          <w:sz w:val="21"/>
          <w:szCs w:val="21"/>
        </w:rPr>
        <w:t>, Science, Energy and Resources</w:t>
      </w:r>
      <w:r w:rsidRPr="00645951">
        <w:rPr>
          <w:rFonts w:cstheme="majorHAnsi"/>
          <w:iCs/>
          <w:sz w:val="21"/>
          <w:szCs w:val="21"/>
        </w:rPr>
        <w:t xml:space="preserve">, the </w:t>
      </w:r>
      <w:r w:rsidR="006367D1" w:rsidRPr="006367D1">
        <w:rPr>
          <w:rFonts w:cstheme="majorHAnsi"/>
          <w:iCs/>
          <w:sz w:val="21"/>
          <w:szCs w:val="21"/>
        </w:rPr>
        <w:t>Coordinating Ministry for Maritime and Investment Affairs</w:t>
      </w:r>
      <w:r w:rsidR="006367D1">
        <w:rPr>
          <w:rFonts w:cstheme="majorHAnsi"/>
          <w:iCs/>
          <w:sz w:val="21"/>
          <w:szCs w:val="21"/>
        </w:rPr>
        <w:t xml:space="preserve"> </w:t>
      </w:r>
      <w:r w:rsidRPr="00645951">
        <w:rPr>
          <w:rFonts w:cstheme="majorHAnsi"/>
          <w:iCs/>
          <w:sz w:val="21"/>
          <w:szCs w:val="21"/>
        </w:rPr>
        <w:t xml:space="preserve">and BKPM, and Indonesian and Australian manufacturing sector. The dialogue will bring the private sector together to share experiences in manufacturing, identify needs and opportunities and navigate barriers to partnership, trade and investment. It is proposed that the Advanced Manufacturing Growth Centre (AMGC) be engaged to support the dialogue, given their existing networks and experience driving growth in advanced manufacturing. Indonesian Industry associations would also be engaged in the dialogue. </w:t>
      </w:r>
    </w:p>
    <w:p w14:paraId="50F336EA" w14:textId="1EA6F951" w:rsidR="00CB1C18" w:rsidRPr="00645951"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iCs/>
          <w:sz w:val="21"/>
          <w:szCs w:val="21"/>
        </w:rPr>
      </w:pPr>
      <w:r w:rsidRPr="00645951">
        <w:rPr>
          <w:rFonts w:cstheme="majorHAnsi"/>
          <w:iCs/>
          <w:sz w:val="21"/>
          <w:szCs w:val="21"/>
        </w:rPr>
        <w:t xml:space="preserve">The dialogue will meet twice annually </w:t>
      </w:r>
      <w:r w:rsidR="006367D1">
        <w:rPr>
          <w:rFonts w:cstheme="majorHAnsi"/>
          <w:iCs/>
          <w:sz w:val="21"/>
          <w:szCs w:val="21"/>
        </w:rPr>
        <w:t>—</w:t>
      </w:r>
      <w:r w:rsidRPr="00645951">
        <w:rPr>
          <w:rFonts w:cstheme="majorHAnsi"/>
          <w:iCs/>
          <w:sz w:val="21"/>
          <w:szCs w:val="21"/>
        </w:rPr>
        <w:t xml:space="preserve"> once in Indonesia and once in Australia. Research and analysis, such as stakeholder mapping and gap analysis, across priority manufacturing sectors will be commissioned to support the dialogue. </w:t>
      </w:r>
    </w:p>
    <w:p w14:paraId="1D8E8EB2" w14:textId="57C73278" w:rsidR="00CB1C18" w:rsidRPr="006367D1" w:rsidRDefault="006367D1"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b/>
          <w:i/>
          <w:iCs/>
          <w:sz w:val="21"/>
          <w:szCs w:val="21"/>
        </w:rPr>
      </w:pPr>
      <w:r w:rsidRPr="006367D1">
        <w:rPr>
          <w:rFonts w:cstheme="majorHAnsi"/>
          <w:b/>
          <w:i/>
          <w:iCs/>
          <w:sz w:val="21"/>
          <w:szCs w:val="21"/>
        </w:rPr>
        <w:t xml:space="preserve">2. </w:t>
      </w:r>
      <w:r w:rsidR="00CB1C18" w:rsidRPr="006367D1">
        <w:rPr>
          <w:rFonts w:cstheme="majorHAnsi"/>
          <w:b/>
          <w:i/>
          <w:iCs/>
          <w:sz w:val="21"/>
          <w:szCs w:val="21"/>
        </w:rPr>
        <w:t>Support investment in advanced manufacturing in electric vehicles</w:t>
      </w:r>
    </w:p>
    <w:p w14:paraId="0104F46C" w14:textId="77777777" w:rsidR="00CB1C18" w:rsidRPr="00645951"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iCs/>
          <w:sz w:val="21"/>
          <w:szCs w:val="21"/>
        </w:rPr>
      </w:pPr>
      <w:r w:rsidRPr="00645951">
        <w:rPr>
          <w:rFonts w:cstheme="majorHAnsi"/>
          <w:iCs/>
          <w:sz w:val="21"/>
          <w:szCs w:val="21"/>
        </w:rPr>
        <w:t xml:space="preserve">The Government of Indonesia identified the design and delivery of an electric vehicle as a priority for Indonesian manufacturing. This work is being delivered in partnership with the Japan, including Japanese car manufacturer, Toyota. As part of this work, Australian manufacturers have been identified as a potential source of essential components and precision engineering in the development of the electric vehicle. </w:t>
      </w:r>
    </w:p>
    <w:p w14:paraId="362177BA" w14:textId="77777777" w:rsidR="00CB1C18" w:rsidRPr="00645951" w:rsidRDefault="00CB1C18" w:rsidP="00CB1C18">
      <w:pPr>
        <w:pStyle w:val="CommentText"/>
        <w:spacing w:after="120"/>
        <w:jc w:val="both"/>
        <w:rPr>
          <w:rFonts w:cstheme="majorHAnsi"/>
          <w:iCs/>
          <w:sz w:val="21"/>
          <w:szCs w:val="21"/>
        </w:rPr>
      </w:pPr>
      <w:r w:rsidRPr="00645951">
        <w:rPr>
          <w:rFonts w:cstheme="majorHAnsi"/>
          <w:iCs/>
          <w:sz w:val="21"/>
          <w:szCs w:val="21"/>
        </w:rPr>
        <w:t>The ECP will support partnership between the Indonesian Automotive sector and Australian advanced Manufacturers. This work will involve initial scoping of needs in the development of the electric vehicle, followed by connecting relevant manufacturers and exploring trade and investment opportunities. There may be opportunities in the supporting sectors – e.g. charging stations, training on maintenance of electric vehicles, renewable energy options</w:t>
      </w:r>
    </w:p>
    <w:p w14:paraId="3CFADFA8" w14:textId="5A2182AE" w:rsidR="00CB1C18" w:rsidRPr="006367D1" w:rsidRDefault="006367D1"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b/>
          <w:i/>
          <w:iCs/>
          <w:sz w:val="21"/>
          <w:szCs w:val="21"/>
        </w:rPr>
      </w:pPr>
      <w:r w:rsidRPr="006367D1">
        <w:rPr>
          <w:rFonts w:cstheme="majorHAnsi"/>
          <w:b/>
          <w:i/>
          <w:iCs/>
          <w:sz w:val="21"/>
          <w:szCs w:val="21"/>
        </w:rPr>
        <w:t xml:space="preserve">3. </w:t>
      </w:r>
      <w:r w:rsidR="00CB1C18" w:rsidRPr="006367D1">
        <w:rPr>
          <w:rFonts w:cstheme="majorHAnsi"/>
          <w:b/>
          <w:i/>
          <w:iCs/>
          <w:sz w:val="21"/>
          <w:szCs w:val="21"/>
        </w:rPr>
        <w:t xml:space="preserve">Building a standards </w:t>
      </w:r>
      <w:r w:rsidR="003A087E">
        <w:rPr>
          <w:rFonts w:cstheme="majorHAnsi"/>
          <w:b/>
          <w:i/>
          <w:iCs/>
          <w:sz w:val="21"/>
          <w:szCs w:val="21"/>
        </w:rPr>
        <w:t xml:space="preserve">and conformance </w:t>
      </w:r>
      <w:r w:rsidR="00CB1C18" w:rsidRPr="006367D1">
        <w:rPr>
          <w:rFonts w:cstheme="majorHAnsi"/>
          <w:b/>
          <w:i/>
          <w:iCs/>
          <w:sz w:val="21"/>
          <w:szCs w:val="21"/>
        </w:rPr>
        <w:t>ecosystem in manufacturing</w:t>
      </w:r>
    </w:p>
    <w:p w14:paraId="7F63011A" w14:textId="60782F31" w:rsidR="00CB1C18" w:rsidRPr="00645951"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iCs/>
          <w:sz w:val="21"/>
          <w:szCs w:val="21"/>
        </w:rPr>
      </w:pPr>
      <w:r w:rsidRPr="00645951">
        <w:rPr>
          <w:rFonts w:cstheme="majorHAnsi"/>
          <w:iCs/>
          <w:sz w:val="21"/>
          <w:szCs w:val="21"/>
        </w:rPr>
        <w:t xml:space="preserve">Standards Australia will be engaged to update the 2015 Standards Report, developed and delivered in collaboration with BSN. </w:t>
      </w:r>
      <w:r w:rsidR="00964A63">
        <w:rPr>
          <w:rFonts w:cstheme="majorHAnsi"/>
          <w:iCs/>
          <w:sz w:val="21"/>
          <w:szCs w:val="21"/>
        </w:rPr>
        <w:t xml:space="preserve">Partners for enhancing integration of the manufacturing conformance infrastructure will also be identified and engaged.  </w:t>
      </w:r>
      <w:r w:rsidRPr="00645951">
        <w:rPr>
          <w:rFonts w:cstheme="majorHAnsi"/>
          <w:iCs/>
          <w:sz w:val="21"/>
          <w:szCs w:val="21"/>
        </w:rPr>
        <w:t>This work will involve overarching research, consultations</w:t>
      </w:r>
      <w:r w:rsidR="00E736A5">
        <w:rPr>
          <w:rFonts w:cstheme="majorHAnsi"/>
          <w:iCs/>
          <w:sz w:val="21"/>
          <w:szCs w:val="21"/>
        </w:rPr>
        <w:t xml:space="preserve">, </w:t>
      </w:r>
      <w:r w:rsidR="00964A63">
        <w:rPr>
          <w:rFonts w:cstheme="majorHAnsi"/>
          <w:iCs/>
          <w:sz w:val="21"/>
          <w:szCs w:val="21"/>
        </w:rPr>
        <w:t xml:space="preserve">standards/conformance </w:t>
      </w:r>
      <w:r w:rsidR="00E736A5">
        <w:rPr>
          <w:rFonts w:cstheme="majorHAnsi"/>
          <w:iCs/>
          <w:sz w:val="21"/>
          <w:szCs w:val="21"/>
        </w:rPr>
        <w:t xml:space="preserve">infrastructure mapping </w:t>
      </w:r>
      <w:r w:rsidRPr="00645951">
        <w:rPr>
          <w:rFonts w:cstheme="majorHAnsi"/>
          <w:iCs/>
          <w:sz w:val="21"/>
          <w:szCs w:val="21"/>
        </w:rPr>
        <w:t xml:space="preserve">and capacity building to strengthen the standards </w:t>
      </w:r>
      <w:r w:rsidR="000E444B">
        <w:rPr>
          <w:rFonts w:cstheme="majorHAnsi"/>
          <w:sz w:val="20"/>
          <w:szCs w:val="21"/>
        </w:rPr>
        <w:t xml:space="preserve">and conformance </w:t>
      </w:r>
      <w:r w:rsidRPr="00645951">
        <w:rPr>
          <w:rFonts w:cstheme="majorHAnsi"/>
          <w:iCs/>
          <w:sz w:val="21"/>
          <w:szCs w:val="21"/>
        </w:rPr>
        <w:t xml:space="preserve">ecosystem in Indonesia for advanced manufacturing. </w:t>
      </w:r>
    </w:p>
    <w:p w14:paraId="142E30D1" w14:textId="77777777" w:rsidR="00CB1C18" w:rsidRPr="00645951"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jc w:val="both"/>
        <w:rPr>
          <w:rFonts w:cstheme="majorHAnsi"/>
          <w:iCs/>
          <w:sz w:val="21"/>
          <w:szCs w:val="21"/>
        </w:rPr>
      </w:pPr>
      <w:r w:rsidRPr="00645951">
        <w:rPr>
          <w:rFonts w:cstheme="majorHAnsi"/>
          <w:iCs/>
          <w:sz w:val="21"/>
          <w:szCs w:val="21"/>
        </w:rPr>
        <w:t xml:space="preserve">Sector specific analysis will also be delivered in priority sectors, including electrical standards and nutraceuticals, being two industries identified in the earlier report has presenting major opportunities for alignment between Indonesia and Australia. </w:t>
      </w:r>
    </w:p>
    <w:p w14:paraId="4B138AD5" w14:textId="77777777" w:rsidR="00CB1C18" w:rsidRPr="00645951" w:rsidRDefault="00CB1C18" w:rsidP="00CB1C18">
      <w:pPr>
        <w:rPr>
          <w:rFonts w:cstheme="majorHAnsi"/>
          <w:b/>
          <w:bCs/>
          <w:sz w:val="21"/>
          <w:szCs w:val="21"/>
        </w:rPr>
      </w:pPr>
      <w:r w:rsidRPr="00645951">
        <w:rPr>
          <w:rFonts w:cstheme="majorHAnsi"/>
          <w:b/>
          <w:sz w:val="21"/>
          <w:szCs w:val="21"/>
        </w:rPr>
        <w:t>G</w:t>
      </w:r>
      <w:r w:rsidRPr="00645951">
        <w:rPr>
          <w:rFonts w:cstheme="majorHAnsi"/>
          <w:b/>
          <w:bCs/>
          <w:sz w:val="21"/>
          <w:szCs w:val="21"/>
        </w:rPr>
        <w:t>ender equality and social inclusion</w:t>
      </w:r>
    </w:p>
    <w:p w14:paraId="47C1DD1A" w14:textId="77777777" w:rsidR="00CB1C18" w:rsidRPr="00645951"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bCs/>
          <w:sz w:val="21"/>
          <w:szCs w:val="21"/>
        </w:rPr>
      </w:pPr>
      <w:r w:rsidRPr="00645951">
        <w:rPr>
          <w:rFonts w:cstheme="majorHAnsi"/>
          <w:bCs/>
          <w:sz w:val="21"/>
          <w:szCs w:val="21"/>
        </w:rPr>
        <w:t xml:space="preserve">Fewer females are employed in manufacturing as other sectors in Indonesia, such as agriculture and services. However, given technological advances and rising skills amongst women in Indonesia, there is significant potential to increase female labour force participation in manufacturing in Indonesia at all levels. In some sectors of </w:t>
      </w:r>
      <w:r w:rsidRPr="00645951">
        <w:rPr>
          <w:rFonts w:cstheme="majorHAnsi"/>
          <w:bCs/>
          <w:sz w:val="21"/>
          <w:szCs w:val="21"/>
        </w:rPr>
        <w:lastRenderedPageBreak/>
        <w:t xml:space="preserve">manufacturing, such as textiles, clothing and footwear, women already represent a majority of workers. </w:t>
      </w:r>
    </w:p>
    <w:p w14:paraId="734C1279" w14:textId="0880F236" w:rsidR="00CB1C18" w:rsidRPr="00645951"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bCs/>
          <w:sz w:val="21"/>
          <w:szCs w:val="21"/>
        </w:rPr>
      </w:pPr>
      <w:r w:rsidRPr="00645951">
        <w:rPr>
          <w:rFonts w:cstheme="majorHAnsi"/>
          <w:bCs/>
          <w:sz w:val="21"/>
          <w:szCs w:val="21"/>
        </w:rPr>
        <w:t xml:space="preserve">This activity will support greater gender equality and social inclusion through the active engagement of women in manufacturing in the Indonesia-Australia Advanced Manufacturing dialogue and capacity building efforts in the standards </w:t>
      </w:r>
      <w:r w:rsidR="000E444B">
        <w:rPr>
          <w:rFonts w:cstheme="majorHAnsi"/>
          <w:sz w:val="20"/>
          <w:szCs w:val="21"/>
        </w:rPr>
        <w:t xml:space="preserve">and conformance </w:t>
      </w:r>
      <w:r w:rsidRPr="00645951">
        <w:rPr>
          <w:rFonts w:cstheme="majorHAnsi"/>
          <w:bCs/>
          <w:sz w:val="21"/>
          <w:szCs w:val="21"/>
        </w:rPr>
        <w:t xml:space="preserve">ecosystem. The ECP will seek 50 percent female participation in the dialogue, including </w:t>
      </w:r>
      <w:r w:rsidR="00D74DD2" w:rsidRPr="00645951">
        <w:rPr>
          <w:rFonts w:cstheme="majorHAnsi"/>
          <w:bCs/>
          <w:sz w:val="21"/>
          <w:szCs w:val="21"/>
        </w:rPr>
        <w:t>panellis</w:t>
      </w:r>
      <w:r w:rsidR="00D74DD2">
        <w:rPr>
          <w:rFonts w:cstheme="majorHAnsi"/>
          <w:bCs/>
          <w:sz w:val="21"/>
          <w:szCs w:val="21"/>
        </w:rPr>
        <w:t>ts</w:t>
      </w:r>
      <w:r w:rsidRPr="00645951">
        <w:rPr>
          <w:rFonts w:cstheme="majorHAnsi"/>
          <w:bCs/>
          <w:sz w:val="21"/>
          <w:szCs w:val="21"/>
        </w:rPr>
        <w:t xml:space="preserve"> and participants, and training.</w:t>
      </w:r>
    </w:p>
    <w:p w14:paraId="486D989A" w14:textId="77777777" w:rsidR="00CB1C18" w:rsidRPr="00645951"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bCs/>
          <w:sz w:val="21"/>
          <w:szCs w:val="21"/>
        </w:rPr>
      </w:pPr>
      <w:r w:rsidRPr="00645951">
        <w:rPr>
          <w:rFonts w:cstheme="majorHAnsi"/>
          <w:bCs/>
          <w:sz w:val="21"/>
          <w:szCs w:val="21"/>
        </w:rPr>
        <w:t xml:space="preserve">The dialogue will give priority to manufacturing industries that currently or have the potential to be significant employers of women, such as food processing and nutraceuticals, where women are already significantly engaged although typically in very small businesses. </w:t>
      </w:r>
    </w:p>
    <w:p w14:paraId="2F843479" w14:textId="4440EADC" w:rsidR="00CB1C18" w:rsidRPr="00645951" w:rsidRDefault="00CB1C18" w:rsidP="00CB1C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cstheme="majorHAnsi"/>
          <w:bCs/>
          <w:sz w:val="21"/>
          <w:szCs w:val="21"/>
        </w:rPr>
      </w:pPr>
      <w:r w:rsidRPr="00645951">
        <w:rPr>
          <w:rFonts w:cstheme="majorHAnsi"/>
          <w:bCs/>
          <w:sz w:val="21"/>
          <w:szCs w:val="21"/>
        </w:rPr>
        <w:t>Work on the development of an electric vehicle involves engaging highly skilled professionals including in precis</w:t>
      </w:r>
      <w:r w:rsidR="00B04ED1">
        <w:rPr>
          <w:rFonts w:cstheme="majorHAnsi"/>
          <w:bCs/>
          <w:sz w:val="21"/>
          <w:szCs w:val="21"/>
        </w:rPr>
        <w:t>ion</w:t>
      </w:r>
      <w:r w:rsidRPr="00645951">
        <w:rPr>
          <w:rFonts w:cstheme="majorHAnsi"/>
          <w:bCs/>
          <w:sz w:val="21"/>
          <w:szCs w:val="21"/>
        </w:rPr>
        <w:t xml:space="preserve"> engineering. Again, this is a sector with low representation of women, including in Australia. The ECP will actively support women’s participation in these activities.</w:t>
      </w:r>
    </w:p>
    <w:p w14:paraId="76503CCA" w14:textId="77777777" w:rsidR="0087378F" w:rsidRDefault="0087378F" w:rsidP="007C4ABD">
      <w:pPr>
        <w:suppressAutoHyphens w:val="0"/>
        <w:spacing w:before="0" w:after="120" w:line="440" w:lineRule="atLeast"/>
        <w:rPr>
          <w:b/>
          <w:sz w:val="38"/>
          <w:szCs w:val="38"/>
        </w:rPr>
      </w:pPr>
      <w:r>
        <w:rPr>
          <w:b/>
          <w:sz w:val="38"/>
          <w:szCs w:val="38"/>
        </w:rPr>
        <w:br w:type="page"/>
      </w:r>
    </w:p>
    <w:p w14:paraId="690CB036" w14:textId="6A16588E" w:rsidR="00E827EF" w:rsidRPr="007C4ABD" w:rsidRDefault="00E827EF" w:rsidP="007C4ABD">
      <w:pPr>
        <w:suppressAutoHyphens w:val="0"/>
        <w:spacing w:before="0" w:after="120" w:line="440" w:lineRule="atLeast"/>
        <w:rPr>
          <w:b/>
          <w:szCs w:val="38"/>
        </w:rPr>
      </w:pPr>
      <w:r w:rsidRPr="007C4ABD">
        <w:rPr>
          <w:b/>
          <w:sz w:val="38"/>
          <w:szCs w:val="38"/>
        </w:rPr>
        <w:lastRenderedPageBreak/>
        <w:t>ACTIVITY 4: CO-INVESTING IN SKILLS AND TRAINING</w:t>
      </w:r>
    </w:p>
    <w:p w14:paraId="458E7BEA" w14:textId="0F8F6B98" w:rsidR="00E827EF" w:rsidRPr="007C4ABD" w:rsidRDefault="00E827EF" w:rsidP="00AD5A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heme="minorHAnsi"/>
          <w:iCs/>
          <w:sz w:val="16"/>
        </w:rPr>
      </w:pPr>
      <w:r w:rsidRPr="007C4ABD">
        <w:rPr>
          <w:rFonts w:cstheme="minorHAnsi"/>
          <w:b/>
          <w:bCs/>
        </w:rPr>
        <w:t>Activity in brief</w:t>
      </w:r>
    </w:p>
    <w:p w14:paraId="063497FA" w14:textId="77777777" w:rsidR="00E827EF" w:rsidRPr="007C4ABD" w:rsidRDefault="00E827EF" w:rsidP="00E827EF">
      <w:pPr>
        <w:rPr>
          <w:rFonts w:cstheme="minorHAnsi"/>
        </w:rPr>
      </w:pPr>
      <w:r w:rsidRPr="007C4ABD">
        <w:rPr>
          <w:rFonts w:cstheme="minorHAnsi"/>
          <w:iCs/>
        </w:rPr>
        <w:t xml:space="preserve">The ECP will support greater partnership in technical vocational education and training (TVET) between Indonesian industry and Australian TVET providers. The activity will connect Indonesian employers to high quality skills and training, addressing a major constraint to growth and productivity in Indonesia.  </w:t>
      </w:r>
      <w:r w:rsidRPr="007C4ABD">
        <w:rPr>
          <w:rFonts w:cstheme="minorHAnsi"/>
        </w:rPr>
        <w:t>This activity will contribute to the goal of increasing productivity, competitiveness and innovation in Indonesia through skills development of the workforce, through the identification and development of industry demand-led, commercially sustainable skills and training opportunities.</w:t>
      </w:r>
    </w:p>
    <w:p w14:paraId="4BBD35FC" w14:textId="77777777" w:rsidR="00E827EF" w:rsidRPr="007C4ABD" w:rsidRDefault="00E827EF" w:rsidP="00E82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Cs/>
        </w:rPr>
      </w:pPr>
      <w:r w:rsidRPr="007C4ABD">
        <w:rPr>
          <w:rFonts w:cstheme="minorHAnsi"/>
          <w:iCs/>
        </w:rPr>
        <w:t>Building human capital through skills and training is a priority of the Government of Indonesia and a major service industry for Australia. Indonesia’s recently announced pre-employment card provides a potential new funding source for quality TVET investment in Indonesia.</w:t>
      </w:r>
    </w:p>
    <w:p w14:paraId="35172FA2" w14:textId="3637BBEC" w:rsidR="00E827EF" w:rsidRPr="007C4ABD" w:rsidRDefault="00E827EF" w:rsidP="00E82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Cs/>
          <w:szCs w:val="20"/>
        </w:rPr>
      </w:pPr>
      <w:r w:rsidRPr="007C4ABD">
        <w:rPr>
          <w:rFonts w:cstheme="minorHAnsi"/>
          <w:iCs/>
          <w:szCs w:val="20"/>
        </w:rPr>
        <w:t>The ECP will convene Indonesian Industry Committees in the priority IA-CEPA sectors of tourism, agriculture and the digital economy (services), among others over time including the health sector</w:t>
      </w:r>
      <w:r w:rsidR="00D74DD2">
        <w:rPr>
          <w:rFonts w:cstheme="minorHAnsi"/>
          <w:iCs/>
          <w:szCs w:val="20"/>
        </w:rPr>
        <w:t xml:space="preserve"> and advanced manufacturing</w:t>
      </w:r>
      <w:r w:rsidRPr="007C4ABD">
        <w:rPr>
          <w:rFonts w:cstheme="minorHAnsi"/>
          <w:iCs/>
          <w:szCs w:val="20"/>
        </w:rPr>
        <w:t xml:space="preserve">. The Industry Committees will consist of major employers in those priority sectors and existing industry bodies. The Industry Committees will identify major skills gaps in their sector, develop courses and identify new and innovative delivery models for training with the support of TVET experts funded by the ECP. The Industry Committees will ensure courses are demand driven and designed to meet the specific skills needs of Indonesian employers. </w:t>
      </w:r>
    </w:p>
    <w:p w14:paraId="70B2E020" w14:textId="17142FF4" w:rsidR="00E827EF" w:rsidRPr="00EF498E" w:rsidRDefault="00E827EF" w:rsidP="00E82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iCs/>
          <w:sz w:val="16"/>
          <w:szCs w:val="20"/>
        </w:rPr>
      </w:pPr>
      <w:r w:rsidRPr="007C4ABD">
        <w:rPr>
          <w:rFonts w:cstheme="minorHAnsi"/>
          <w:iCs/>
          <w:szCs w:val="20"/>
        </w:rPr>
        <w:t xml:space="preserve">The ECP will also establish a TVET Clearinghouse. The Clearinghouse will facilitate procurement and partnership between Indonesian Industry and Australian RTOs, to meet the skills needs identified by the Indonesian Industry Committees. The TVET Clearinghouse will address the gap in information flows between Indonesian industry and Australian RTOs, build connections and partnerships between employers and RTOs, and support the delivery of commercially viable training programs by Australian RTOs to meet Indonesian industry needs. The TVET Clearinghouse will include representatives from the Australian Department of Education, Skills and Employment (DESE), </w:t>
      </w:r>
      <w:proofErr w:type="spellStart"/>
      <w:r w:rsidRPr="007C4ABD">
        <w:rPr>
          <w:rFonts w:cstheme="minorHAnsi"/>
          <w:iCs/>
          <w:szCs w:val="20"/>
        </w:rPr>
        <w:t>Austrade</w:t>
      </w:r>
      <w:proofErr w:type="spellEnd"/>
      <w:r w:rsidRPr="007C4ABD">
        <w:rPr>
          <w:rFonts w:cstheme="minorHAnsi"/>
          <w:iCs/>
          <w:szCs w:val="20"/>
        </w:rPr>
        <w:t xml:space="preserve"> and the Australia Awards to utilise existing networks and capabilities. </w:t>
      </w:r>
    </w:p>
    <w:p w14:paraId="194D2CF4" w14:textId="77777777" w:rsidR="00E827EF" w:rsidRPr="00B31533" w:rsidRDefault="00E827EF" w:rsidP="00E82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Arial"/>
          <w:iCs/>
          <w:szCs w:val="20"/>
        </w:rPr>
      </w:pPr>
      <w:r w:rsidRPr="009E74AF">
        <w:rPr>
          <w:rFonts w:asciiTheme="majorHAnsi" w:hAnsiTheme="majorHAnsi" w:cs="Arial"/>
          <w:iCs/>
          <w:noProof/>
          <w:szCs w:val="20"/>
          <w:lang w:val="en-AU" w:eastAsia="en-AU"/>
        </w:rPr>
        <w:drawing>
          <wp:inline distT="0" distB="0" distL="0" distR="0" wp14:anchorId="33B35942" wp14:editId="0273FC7E">
            <wp:extent cx="4571999" cy="3429000"/>
            <wp:effectExtent l="0" t="0" r="635" b="0"/>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1999" cy="3429000"/>
                    </a:xfrm>
                    <a:prstGeom prst="rect">
                      <a:avLst/>
                    </a:prstGeom>
                    <a:noFill/>
                    <a:ln>
                      <a:noFill/>
                    </a:ln>
                  </pic:spPr>
                </pic:pic>
              </a:graphicData>
            </a:graphic>
          </wp:inline>
        </w:drawing>
      </w:r>
    </w:p>
    <w:p w14:paraId="40C253E6" w14:textId="77777777" w:rsidR="00E827EF" w:rsidRPr="007C4ABD" w:rsidRDefault="00E827EF" w:rsidP="00E82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Cs/>
          <w:szCs w:val="20"/>
        </w:rPr>
      </w:pPr>
      <w:r w:rsidRPr="00B31533">
        <w:rPr>
          <w:rFonts w:asciiTheme="majorHAnsi" w:hAnsiTheme="majorHAnsi" w:cs="Arial"/>
          <w:iCs/>
          <w:szCs w:val="20"/>
        </w:rPr>
        <w:t xml:space="preserve">A range of </w:t>
      </w:r>
      <w:r>
        <w:rPr>
          <w:rFonts w:asciiTheme="majorHAnsi" w:hAnsiTheme="majorHAnsi" w:cs="Arial"/>
          <w:iCs/>
          <w:szCs w:val="20"/>
        </w:rPr>
        <w:t>training</w:t>
      </w:r>
      <w:r w:rsidRPr="00B31533">
        <w:rPr>
          <w:rFonts w:asciiTheme="majorHAnsi" w:hAnsiTheme="majorHAnsi" w:cs="Arial"/>
          <w:iCs/>
          <w:szCs w:val="20"/>
        </w:rPr>
        <w:t xml:space="preserve"> methods will be </w:t>
      </w:r>
      <w:r>
        <w:rPr>
          <w:rFonts w:asciiTheme="majorHAnsi" w:hAnsiTheme="majorHAnsi" w:cs="Arial"/>
          <w:iCs/>
          <w:szCs w:val="20"/>
        </w:rPr>
        <w:t>implemented</w:t>
      </w:r>
      <w:r w:rsidRPr="00B31533">
        <w:rPr>
          <w:rFonts w:asciiTheme="majorHAnsi" w:hAnsiTheme="majorHAnsi" w:cs="Arial"/>
          <w:iCs/>
          <w:szCs w:val="20"/>
        </w:rPr>
        <w:t xml:space="preserve"> including blended learning, train the trainer and </w:t>
      </w:r>
      <w:r w:rsidRPr="007C4ABD">
        <w:rPr>
          <w:rFonts w:cstheme="minorHAnsi"/>
          <w:iCs/>
          <w:szCs w:val="20"/>
        </w:rPr>
        <w:t xml:space="preserve">online </w:t>
      </w:r>
      <w:r w:rsidRPr="007C4ABD">
        <w:rPr>
          <w:rFonts w:cstheme="minorHAnsi"/>
          <w:iCs/>
          <w:szCs w:val="20"/>
        </w:rPr>
        <w:lastRenderedPageBreak/>
        <w:t xml:space="preserve">education, depending on the needs identified by Indonesian industry and commercial viability of different delivery models. Delivery methods could include workplace-based training for major employers, online platforms, intensive-courses targeting unique skill sets in particular firms, and/or longer-term training programs delivered in partnership with local providers. </w:t>
      </w:r>
    </w:p>
    <w:p w14:paraId="037CA1CC" w14:textId="0AB8E853" w:rsidR="00E827EF" w:rsidRPr="00FC73B1" w:rsidRDefault="00E827EF" w:rsidP="00E82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CommentReference"/>
          <w:rFonts w:cstheme="minorHAnsi"/>
          <w:sz w:val="21"/>
          <w:szCs w:val="21"/>
        </w:rPr>
      </w:pPr>
      <w:r w:rsidRPr="00FC73B1">
        <w:rPr>
          <w:rFonts w:cstheme="minorHAnsi"/>
          <w:iCs/>
          <w:sz w:val="21"/>
          <w:szCs w:val="21"/>
        </w:rPr>
        <w:t>For instance:</w:t>
      </w:r>
    </w:p>
    <w:p w14:paraId="4266C1F8" w14:textId="72B578AA" w:rsidR="00E827EF" w:rsidRPr="00321AD5" w:rsidRDefault="00E827EF" w:rsidP="00F5504F">
      <w:pPr>
        <w:pStyle w:val="ListParagraph"/>
        <w:widowControl w:val="0"/>
        <w:numPr>
          <w:ilvl w:val="0"/>
          <w:numId w:val="98"/>
        </w:numPr>
        <w:tabs>
          <w:tab w:val="left" w:pos="426"/>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line="240" w:lineRule="auto"/>
        <w:ind w:left="918" w:hanging="561"/>
        <w:rPr>
          <w:rStyle w:val="CommentReference"/>
          <w:rFonts w:cstheme="minorHAnsi"/>
          <w:sz w:val="21"/>
          <w:szCs w:val="21"/>
        </w:rPr>
      </w:pPr>
      <w:r w:rsidRPr="002832DF">
        <w:rPr>
          <w:rStyle w:val="CommentReference"/>
          <w:rFonts w:cstheme="minorHAnsi"/>
          <w:b/>
          <w:sz w:val="21"/>
          <w:szCs w:val="21"/>
        </w:rPr>
        <w:t>In tourism</w:t>
      </w:r>
      <w:r w:rsidRPr="002832DF">
        <w:rPr>
          <w:rStyle w:val="CommentReference"/>
          <w:rFonts w:cstheme="minorHAnsi"/>
          <w:sz w:val="21"/>
          <w:szCs w:val="21"/>
        </w:rPr>
        <w:t xml:space="preserve"> this may involve an existing Indonesian training institution with existing infrastructure in place (buildings and equipment), partnering with an Australian RTO in a multi-year partnership, delivering skill-based courses developed to meet industry needs. Opportunities to deliver training online, directly to emplo</w:t>
      </w:r>
      <w:r w:rsidRPr="00321AD5">
        <w:rPr>
          <w:rStyle w:val="CommentReference"/>
          <w:rFonts w:cstheme="minorHAnsi"/>
          <w:sz w:val="21"/>
          <w:szCs w:val="21"/>
        </w:rPr>
        <w:t xml:space="preserve">yers and through industry partnerships with Australian employers and training institutes will also be explored with the Tourism Industry Committee. </w:t>
      </w:r>
    </w:p>
    <w:p w14:paraId="6773DCEF" w14:textId="3CB6E443" w:rsidR="00E827EF" w:rsidRPr="00FD2AFE" w:rsidRDefault="00E827EF" w:rsidP="00F5504F">
      <w:pPr>
        <w:pStyle w:val="ListParagraph"/>
        <w:widowControl w:val="0"/>
        <w:numPr>
          <w:ilvl w:val="0"/>
          <w:numId w:val="98"/>
        </w:numPr>
        <w:tabs>
          <w:tab w:val="left" w:pos="426"/>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line="240" w:lineRule="auto"/>
        <w:ind w:left="918" w:hanging="561"/>
        <w:rPr>
          <w:rStyle w:val="CommentReference"/>
          <w:rFonts w:cstheme="minorHAnsi"/>
          <w:sz w:val="21"/>
          <w:szCs w:val="21"/>
        </w:rPr>
      </w:pPr>
      <w:r w:rsidRPr="006F098B">
        <w:rPr>
          <w:rStyle w:val="CommentReference"/>
          <w:rFonts w:cstheme="minorHAnsi"/>
          <w:b/>
          <w:sz w:val="21"/>
          <w:szCs w:val="21"/>
        </w:rPr>
        <w:t>In</w:t>
      </w:r>
      <w:r w:rsidRPr="006F098B">
        <w:rPr>
          <w:rStyle w:val="CommentReference"/>
          <w:rFonts w:cstheme="minorHAnsi"/>
          <w:sz w:val="21"/>
          <w:szCs w:val="21"/>
        </w:rPr>
        <w:t xml:space="preserve"> </w:t>
      </w:r>
      <w:r w:rsidRPr="00964A63">
        <w:rPr>
          <w:rStyle w:val="CommentReference"/>
          <w:rFonts w:cstheme="minorHAnsi"/>
          <w:b/>
          <w:sz w:val="21"/>
          <w:szCs w:val="21"/>
        </w:rPr>
        <w:t>agriculture</w:t>
      </w:r>
      <w:r w:rsidRPr="00964A63">
        <w:rPr>
          <w:rStyle w:val="CommentReference"/>
          <w:rFonts w:cstheme="minorHAnsi"/>
          <w:sz w:val="21"/>
          <w:szCs w:val="21"/>
        </w:rPr>
        <w:t xml:space="preserve"> there are opportunities to compliment the </w:t>
      </w:r>
      <w:proofErr w:type="spellStart"/>
      <w:r w:rsidRPr="00964A63">
        <w:rPr>
          <w:rStyle w:val="CommentReference"/>
          <w:rFonts w:cstheme="minorHAnsi"/>
          <w:sz w:val="21"/>
          <w:szCs w:val="21"/>
        </w:rPr>
        <w:t>AgriFood</w:t>
      </w:r>
      <w:proofErr w:type="spellEnd"/>
      <w:r w:rsidRPr="00964A63">
        <w:rPr>
          <w:rStyle w:val="CommentReference"/>
          <w:rFonts w:cstheme="minorHAnsi"/>
          <w:sz w:val="21"/>
          <w:szCs w:val="21"/>
        </w:rPr>
        <w:t xml:space="preserve"> Partnerships activity (see separate activity description) with targeted train the trainer programs. For instance, as part of the Grains Partnership, training is needed in the use of different quality grains to support Indonesia to add value along the food supply chain, for the domestic and export</w:t>
      </w:r>
      <w:r w:rsidRPr="00FD2AFE">
        <w:rPr>
          <w:rStyle w:val="CommentReference"/>
          <w:rFonts w:cstheme="minorHAnsi"/>
          <w:sz w:val="21"/>
          <w:szCs w:val="21"/>
        </w:rPr>
        <w:t xml:space="preserve"> food market. These training programs could be delivered through existing training institutes linked to Indonesian mills.</w:t>
      </w:r>
    </w:p>
    <w:p w14:paraId="62EFA4E6" w14:textId="55D8B77D" w:rsidR="00E827EF" w:rsidRPr="00321AD5" w:rsidRDefault="00E827EF" w:rsidP="00F5504F">
      <w:pPr>
        <w:pStyle w:val="ListParagraph"/>
        <w:widowControl w:val="0"/>
        <w:numPr>
          <w:ilvl w:val="0"/>
          <w:numId w:val="98"/>
        </w:numPr>
        <w:tabs>
          <w:tab w:val="left" w:pos="426"/>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line="240" w:lineRule="auto"/>
        <w:ind w:left="918" w:hanging="561"/>
        <w:rPr>
          <w:rFonts w:cstheme="minorHAnsi"/>
          <w:sz w:val="21"/>
          <w:szCs w:val="21"/>
        </w:rPr>
      </w:pPr>
      <w:r w:rsidRPr="00732345">
        <w:rPr>
          <w:rStyle w:val="CommentReference"/>
          <w:rFonts w:cstheme="minorHAnsi"/>
          <w:b/>
          <w:sz w:val="21"/>
          <w:szCs w:val="21"/>
        </w:rPr>
        <w:t>In services</w:t>
      </w:r>
      <w:r w:rsidRPr="00732345">
        <w:rPr>
          <w:rStyle w:val="CommentReference"/>
          <w:rFonts w:cstheme="minorHAnsi"/>
          <w:sz w:val="21"/>
          <w:szCs w:val="21"/>
        </w:rPr>
        <w:t xml:space="preserve">, Indonesia’s high-growth digital platform businesses identified a need for not only digital literacy but also leadership and management skills. There is an opportunity to work with the industry to develop courses that meets these needs. </w:t>
      </w:r>
      <w:r w:rsidR="00D74DD2">
        <w:rPr>
          <w:rStyle w:val="CommentReference"/>
          <w:rFonts w:cstheme="minorHAnsi"/>
          <w:sz w:val="21"/>
          <w:szCs w:val="21"/>
        </w:rPr>
        <w:t xml:space="preserve">For opportunities where online or blended online-offline delivery is suitable, </w:t>
      </w:r>
      <w:r w:rsidR="00D74DD2">
        <w:rPr>
          <w:rFonts w:cstheme="minorHAnsi"/>
          <w:iCs/>
          <w:sz w:val="21"/>
          <w:szCs w:val="21"/>
        </w:rPr>
        <w:t>t</w:t>
      </w:r>
      <w:r w:rsidRPr="00BE2E69">
        <w:rPr>
          <w:rFonts w:cstheme="minorHAnsi"/>
          <w:iCs/>
          <w:sz w:val="21"/>
          <w:szCs w:val="21"/>
        </w:rPr>
        <w:t xml:space="preserve">here is potential to collaborate with Indonesian and Australian </w:t>
      </w:r>
      <w:proofErr w:type="spellStart"/>
      <w:r w:rsidRPr="00BE2E69">
        <w:rPr>
          <w:rFonts w:cstheme="minorHAnsi"/>
          <w:iCs/>
          <w:sz w:val="21"/>
          <w:szCs w:val="21"/>
        </w:rPr>
        <w:t>EdTech</w:t>
      </w:r>
      <w:proofErr w:type="spellEnd"/>
      <w:r w:rsidRPr="00BE2E69">
        <w:rPr>
          <w:rFonts w:cstheme="minorHAnsi"/>
          <w:iCs/>
          <w:sz w:val="21"/>
          <w:szCs w:val="21"/>
        </w:rPr>
        <w:t xml:space="preserve"> platforms for the delivery of online training, with high potential fo</w:t>
      </w:r>
      <w:r w:rsidRPr="00023E79">
        <w:rPr>
          <w:rFonts w:cstheme="minorHAnsi"/>
          <w:iCs/>
          <w:sz w:val="21"/>
          <w:szCs w:val="21"/>
        </w:rPr>
        <w:t>r intensive training (short-courses) in discrete technical areas, delivered in partnership with major employers and industry.  Further opportunities in health services, social care services, construction and creative economy will be explored for future tra</w:t>
      </w:r>
      <w:r w:rsidRPr="002571CD">
        <w:rPr>
          <w:rFonts w:cstheme="minorHAnsi"/>
          <w:iCs/>
          <w:sz w:val="21"/>
          <w:szCs w:val="21"/>
        </w:rPr>
        <w:t>ining and courses, subject to available resources, commer</w:t>
      </w:r>
      <w:r w:rsidR="00964A63">
        <w:rPr>
          <w:rFonts w:cstheme="minorHAnsi"/>
          <w:iCs/>
          <w:sz w:val="21"/>
          <w:szCs w:val="21"/>
        </w:rPr>
        <w:t>c</w:t>
      </w:r>
      <w:r w:rsidRPr="00964A63">
        <w:rPr>
          <w:rFonts w:cstheme="minorHAnsi"/>
          <w:iCs/>
          <w:sz w:val="21"/>
          <w:szCs w:val="21"/>
        </w:rPr>
        <w:t xml:space="preserve">ial opportunities and Industry engagement. </w:t>
      </w:r>
    </w:p>
    <w:p w14:paraId="0B518373" w14:textId="1862B139" w:rsidR="00E827EF" w:rsidRPr="00321AD5" w:rsidRDefault="00E827EF" w:rsidP="00E82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CommentReference"/>
          <w:rFonts w:cstheme="minorHAnsi"/>
          <w:sz w:val="21"/>
          <w:szCs w:val="21"/>
        </w:rPr>
      </w:pPr>
      <w:r w:rsidRPr="006F098B">
        <w:rPr>
          <w:rStyle w:val="CommentReference"/>
          <w:rFonts w:cstheme="minorHAnsi"/>
          <w:sz w:val="21"/>
          <w:szCs w:val="21"/>
        </w:rPr>
        <w:t>In future years, courses in advanced manufacturing, construction, creative economy and social services will be explored through the Industry Committee m</w:t>
      </w:r>
      <w:r w:rsidRPr="00FD2AFE">
        <w:rPr>
          <w:rStyle w:val="CommentReference"/>
          <w:rFonts w:cstheme="minorHAnsi"/>
          <w:sz w:val="21"/>
          <w:szCs w:val="21"/>
        </w:rPr>
        <w:t xml:space="preserve">odel. </w:t>
      </w:r>
      <w:r w:rsidRPr="00FC73B1">
        <w:rPr>
          <w:rStyle w:val="CommentReference"/>
          <w:rFonts w:cstheme="minorHAnsi"/>
          <w:sz w:val="21"/>
          <w:szCs w:val="21"/>
        </w:rPr>
        <w:t xml:space="preserve">The opportunity to support government training, as a major employer, through partnerships with Australian RTOs will also be explored. Identified opportunities include working with existing </w:t>
      </w:r>
      <w:r w:rsidR="00D74DD2">
        <w:rPr>
          <w:rStyle w:val="CommentReference"/>
          <w:rFonts w:cstheme="minorHAnsi"/>
          <w:sz w:val="21"/>
          <w:szCs w:val="21"/>
        </w:rPr>
        <w:t>training institutes</w:t>
      </w:r>
      <w:r w:rsidRPr="00FC73B1">
        <w:rPr>
          <w:rStyle w:val="CommentReference"/>
          <w:rFonts w:cstheme="minorHAnsi"/>
          <w:sz w:val="21"/>
          <w:szCs w:val="21"/>
        </w:rPr>
        <w:t>, such as Local Government BLK UPTD and private LPKS, and/or the Ministry of Manpower’s 21 Centr</w:t>
      </w:r>
      <w:r w:rsidR="00964A63">
        <w:rPr>
          <w:rStyle w:val="CommentReference"/>
          <w:rFonts w:cstheme="minorHAnsi"/>
          <w:sz w:val="21"/>
          <w:szCs w:val="21"/>
        </w:rPr>
        <w:t>e</w:t>
      </w:r>
      <w:r w:rsidRPr="00FC73B1">
        <w:rPr>
          <w:rStyle w:val="CommentReference"/>
          <w:rFonts w:cstheme="minorHAnsi"/>
          <w:sz w:val="21"/>
          <w:szCs w:val="21"/>
        </w:rPr>
        <w:t>s of Excellence (BLK UPTP). These training institutes and centres of excellence tend to have higher quality facilities and are relatively well resourced. Support for thes</w:t>
      </w:r>
      <w:r w:rsidRPr="002832DF">
        <w:rPr>
          <w:rStyle w:val="CommentReference"/>
          <w:rFonts w:cstheme="minorHAnsi"/>
          <w:sz w:val="21"/>
          <w:szCs w:val="21"/>
        </w:rPr>
        <w:t xml:space="preserve">e institutions is needed in the areas of operational management, teacher training and overarching leadership of these institutions to improve performance and student outcomes. TAFE Directors Australia </w:t>
      </w:r>
      <w:r w:rsidR="00D74DD2">
        <w:rPr>
          <w:rStyle w:val="CommentReference"/>
          <w:rFonts w:cstheme="minorHAnsi"/>
          <w:sz w:val="21"/>
          <w:szCs w:val="21"/>
        </w:rPr>
        <w:t xml:space="preserve">and the Independent Tertiary Education Council of Australia </w:t>
      </w:r>
      <w:r w:rsidR="00D74DD2" w:rsidRPr="002832DF">
        <w:rPr>
          <w:rStyle w:val="CommentReference"/>
          <w:rFonts w:cstheme="minorHAnsi"/>
          <w:sz w:val="21"/>
          <w:szCs w:val="21"/>
        </w:rPr>
        <w:t>ha</w:t>
      </w:r>
      <w:r w:rsidR="00D74DD2">
        <w:rPr>
          <w:rStyle w:val="CommentReference"/>
          <w:rFonts w:cstheme="minorHAnsi"/>
          <w:sz w:val="21"/>
          <w:szCs w:val="21"/>
        </w:rPr>
        <w:t>ve</w:t>
      </w:r>
      <w:r w:rsidR="00D74DD2" w:rsidRPr="002832DF">
        <w:rPr>
          <w:rStyle w:val="CommentReference"/>
          <w:rFonts w:cstheme="minorHAnsi"/>
          <w:sz w:val="21"/>
          <w:szCs w:val="21"/>
        </w:rPr>
        <w:t xml:space="preserve"> expressed </w:t>
      </w:r>
      <w:r w:rsidRPr="002832DF">
        <w:rPr>
          <w:rStyle w:val="CommentReference"/>
          <w:rFonts w:cstheme="minorHAnsi"/>
          <w:sz w:val="21"/>
          <w:szCs w:val="21"/>
        </w:rPr>
        <w:t xml:space="preserve">an interest in supporting organisational </w:t>
      </w:r>
      <w:r w:rsidRPr="00321AD5">
        <w:rPr>
          <w:rStyle w:val="CommentReference"/>
          <w:rFonts w:cstheme="minorHAnsi"/>
          <w:sz w:val="21"/>
          <w:szCs w:val="21"/>
        </w:rPr>
        <w:t xml:space="preserve">management and capacity building across these and other Indonesian led TVET providers, to strengthen Indonesia’s TVET sector in the longer-term. </w:t>
      </w:r>
    </w:p>
    <w:p w14:paraId="3546B05A" w14:textId="25BCF5D8" w:rsidR="00E827EF" w:rsidRPr="006F098B" w:rsidRDefault="00E827EF" w:rsidP="00E827EF">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CommentReference"/>
          <w:rFonts w:cstheme="minorHAnsi"/>
          <w:sz w:val="21"/>
          <w:szCs w:val="21"/>
        </w:rPr>
      </w:pPr>
      <w:r w:rsidRPr="006F098B">
        <w:rPr>
          <w:rStyle w:val="CommentReference"/>
          <w:rFonts w:cstheme="minorHAnsi"/>
          <w:b/>
          <w:sz w:val="21"/>
          <w:szCs w:val="21"/>
        </w:rPr>
        <w:t xml:space="preserve">Example 1:  Addressing the shortfall of skilled nurses through quality online training </w:t>
      </w:r>
    </w:p>
    <w:p w14:paraId="3250F726" w14:textId="084A4EC8" w:rsidR="00E827EF" w:rsidRPr="00732345" w:rsidRDefault="00E827EF" w:rsidP="00E827EF">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CommentReference"/>
          <w:rFonts w:cstheme="minorHAnsi"/>
          <w:sz w:val="21"/>
          <w:szCs w:val="21"/>
        </w:rPr>
      </w:pPr>
      <w:r w:rsidRPr="00FD2AFE">
        <w:rPr>
          <w:rStyle w:val="CommentReference"/>
          <w:rFonts w:cstheme="minorHAnsi"/>
          <w:sz w:val="21"/>
          <w:szCs w:val="21"/>
        </w:rPr>
        <w:t>Australian RTOs are in</w:t>
      </w:r>
      <w:r w:rsidRPr="00732345">
        <w:rPr>
          <w:rStyle w:val="CommentReference"/>
          <w:rFonts w:cstheme="minorHAnsi"/>
          <w:sz w:val="21"/>
          <w:szCs w:val="21"/>
        </w:rPr>
        <w:t xml:space="preserve">creasingly skilled in delivering high quality skills and training via online courses. Capabilities are rapidly developing and achieving good educational and employment outcomes, including in high demand skill areas such as nursing. </w:t>
      </w:r>
    </w:p>
    <w:p w14:paraId="3F4C1DD3" w14:textId="22B15659" w:rsidR="00E827EF" w:rsidRPr="00FC73B1" w:rsidRDefault="00E827EF" w:rsidP="00E827EF">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CommentReference"/>
          <w:rFonts w:cstheme="minorHAnsi"/>
          <w:sz w:val="21"/>
          <w:szCs w:val="21"/>
        </w:rPr>
      </w:pPr>
      <w:r w:rsidRPr="00732345">
        <w:rPr>
          <w:rStyle w:val="CommentReference"/>
          <w:rFonts w:cstheme="minorHAnsi"/>
          <w:sz w:val="21"/>
          <w:szCs w:val="21"/>
        </w:rPr>
        <w:t>Indonesia has a serious</w:t>
      </w:r>
      <w:r w:rsidRPr="00BE2E69">
        <w:rPr>
          <w:rStyle w:val="CommentReference"/>
          <w:rFonts w:cstheme="minorHAnsi"/>
          <w:sz w:val="21"/>
          <w:szCs w:val="21"/>
        </w:rPr>
        <w:t xml:space="preserve"> shortfall of qualified nurses, with an estimated 50 nurses per 100,000 of the population. The majority of nurses (60%) are educated to high school level only, 39% have a diploma and 1% are graduates.</w:t>
      </w:r>
      <w:r w:rsidRPr="00023E79">
        <w:rPr>
          <w:rStyle w:val="FootnoteReference"/>
          <w:rFonts w:cstheme="minorHAnsi"/>
          <w:sz w:val="21"/>
          <w:szCs w:val="21"/>
        </w:rPr>
        <w:t>.</w:t>
      </w:r>
      <w:r w:rsidRPr="00FC73B1">
        <w:rPr>
          <w:rStyle w:val="FootnoteReference"/>
          <w:rFonts w:cstheme="minorHAnsi"/>
          <w:sz w:val="21"/>
          <w:szCs w:val="21"/>
        </w:rPr>
        <w:footnoteReference w:id="44"/>
      </w:r>
      <w:r w:rsidRPr="00FC73B1">
        <w:rPr>
          <w:rStyle w:val="CommentReference"/>
          <w:rFonts w:cstheme="minorHAnsi"/>
          <w:sz w:val="21"/>
          <w:szCs w:val="21"/>
        </w:rPr>
        <w:t xml:space="preserve"> </w:t>
      </w:r>
    </w:p>
    <w:p w14:paraId="1BA4CC0D" w14:textId="374A6470" w:rsidR="00E827EF" w:rsidRPr="007C4ABD" w:rsidRDefault="00E827EF" w:rsidP="00E827EF">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CommentReference"/>
          <w:rFonts w:cstheme="minorHAnsi"/>
          <w:sz w:val="20"/>
        </w:rPr>
      </w:pPr>
      <w:r w:rsidRPr="002832DF">
        <w:rPr>
          <w:rStyle w:val="CommentReference"/>
          <w:rFonts w:cstheme="minorHAnsi"/>
          <w:sz w:val="21"/>
          <w:szCs w:val="21"/>
        </w:rPr>
        <w:t>Australian RTOs have expressed an interest in supporting Indonesian employers and local training institutes</w:t>
      </w:r>
      <w:r w:rsidRPr="007C4ABD">
        <w:rPr>
          <w:rStyle w:val="CommentReference"/>
          <w:rFonts w:cstheme="minorHAnsi"/>
          <w:sz w:val="20"/>
        </w:rPr>
        <w:t xml:space="preserve"> with quality training via digital content. This model can be delivered at a large scale and low cost to potentially thousands of Indonesian students and workers.  </w:t>
      </w:r>
    </w:p>
    <w:p w14:paraId="30F959F5" w14:textId="1E107D81" w:rsidR="00E827EF" w:rsidRPr="002832DF" w:rsidRDefault="00E827EF" w:rsidP="00AD5A2C">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CommentReference"/>
          <w:rFonts w:cstheme="minorHAnsi"/>
          <w:sz w:val="21"/>
          <w:szCs w:val="21"/>
        </w:rPr>
      </w:pPr>
      <w:r w:rsidRPr="00FC73B1">
        <w:rPr>
          <w:rStyle w:val="CommentReference"/>
          <w:rFonts w:cstheme="minorHAnsi"/>
          <w:sz w:val="21"/>
          <w:szCs w:val="21"/>
        </w:rPr>
        <w:t>Where the Indonesian Industry Committees identify skills that Australian RTO’s have digital training available, there is an opportunity to rollout courses rapidly and across a wide geography. The TVET Clearing House will support identification and facilitation of these partnerships, and work</w:t>
      </w:r>
      <w:r w:rsidRPr="002832DF">
        <w:rPr>
          <w:rStyle w:val="CommentReference"/>
          <w:rFonts w:cstheme="minorHAnsi"/>
          <w:sz w:val="21"/>
          <w:szCs w:val="21"/>
        </w:rPr>
        <w:t xml:space="preserve"> with the Indonesian Industry Committees to ensure the courses meet local industry requirements, are translated to Bahasa Indonesia, and have ongoing </w:t>
      </w:r>
      <w:r w:rsidRPr="002832DF">
        <w:rPr>
          <w:rStyle w:val="CommentReference"/>
          <w:rFonts w:cstheme="minorHAnsi"/>
          <w:sz w:val="21"/>
          <w:szCs w:val="21"/>
        </w:rPr>
        <w:lastRenderedPageBreak/>
        <w:t xml:space="preserve">support through the Australian RTO to ensure quality learning and employment outcomes. </w:t>
      </w:r>
    </w:p>
    <w:p w14:paraId="463BC179" w14:textId="79AB7502" w:rsidR="00E827EF" w:rsidRPr="00732345" w:rsidRDefault="00E827EF" w:rsidP="00E82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CommentReference"/>
          <w:rFonts w:cstheme="minorHAnsi"/>
          <w:sz w:val="21"/>
          <w:szCs w:val="21"/>
        </w:rPr>
      </w:pPr>
      <w:r w:rsidRPr="00321AD5">
        <w:rPr>
          <w:rStyle w:val="CommentReference"/>
          <w:rFonts w:cstheme="minorHAnsi"/>
          <w:sz w:val="21"/>
          <w:szCs w:val="21"/>
        </w:rPr>
        <w:t>This activity will</w:t>
      </w:r>
      <w:r w:rsidRPr="006F098B">
        <w:rPr>
          <w:rStyle w:val="CommentReference"/>
          <w:rFonts w:cstheme="minorHAnsi"/>
          <w:sz w:val="21"/>
          <w:szCs w:val="21"/>
        </w:rPr>
        <w:t xml:space="preserve"> focus on delivering the skills and training needed by industry, and potentially government over time. Courses will not necessarily focus on the attainment of particular qualifications, but rather meeting the specific skill sets identified by industry to q</w:t>
      </w:r>
      <w:r w:rsidRPr="00FD2AFE">
        <w:rPr>
          <w:rStyle w:val="CommentReference"/>
          <w:rFonts w:cstheme="minorHAnsi"/>
          <w:sz w:val="21"/>
          <w:szCs w:val="21"/>
        </w:rPr>
        <w:t>uickly mobilise training and make an immediate impact on workplace productivity. This approach addresses the challenge faced by Australian RTOs in ensuring continuing compliance with Australian qualification requirements, while better targeting the specifi</w:t>
      </w:r>
      <w:r w:rsidRPr="00732345">
        <w:rPr>
          <w:rStyle w:val="CommentReference"/>
          <w:rFonts w:cstheme="minorHAnsi"/>
          <w:sz w:val="21"/>
          <w:szCs w:val="21"/>
        </w:rPr>
        <w:t xml:space="preserve">c skills needs of Indonesian industry. </w:t>
      </w:r>
    </w:p>
    <w:p w14:paraId="4F302620" w14:textId="1D358BA3" w:rsidR="00E827EF" w:rsidRPr="00FC73B1" w:rsidRDefault="00E827EF" w:rsidP="00E827EF">
      <w:pPr>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Cs/>
          <w:sz w:val="21"/>
          <w:szCs w:val="21"/>
        </w:rPr>
      </w:pPr>
      <w:r w:rsidRPr="00732345">
        <w:rPr>
          <w:rFonts w:cstheme="minorHAnsi"/>
          <w:iCs/>
          <w:sz w:val="21"/>
          <w:szCs w:val="21"/>
        </w:rPr>
        <w:t xml:space="preserve">All training will be designed with the goal of being commercially viable over time, ensuring sustainability and ongoing support for meeting Indonesia’s industry skill needs. Each Indonesian Industry Committee will identify the most appropriate and commercially feasible TVET delivery model, with the support of TVET and industry experts. Contributions to course costs will be sought from employers, employees </w:t>
      </w:r>
      <w:r w:rsidRPr="00FC73B1">
        <w:rPr>
          <w:rFonts w:cstheme="minorHAnsi"/>
          <w:iCs/>
          <w:sz w:val="21"/>
          <w:szCs w:val="21"/>
        </w:rPr>
        <w:t xml:space="preserve">and the government’s new </w:t>
      </w:r>
      <w:proofErr w:type="spellStart"/>
      <w:r w:rsidRPr="00FC73B1">
        <w:rPr>
          <w:rFonts w:cstheme="minorHAnsi"/>
          <w:iCs/>
          <w:sz w:val="21"/>
          <w:szCs w:val="21"/>
        </w:rPr>
        <w:t>Kartu</w:t>
      </w:r>
      <w:proofErr w:type="spellEnd"/>
      <w:r w:rsidRPr="00FC73B1">
        <w:rPr>
          <w:rFonts w:cstheme="minorHAnsi"/>
          <w:iCs/>
          <w:sz w:val="21"/>
          <w:szCs w:val="21"/>
        </w:rPr>
        <w:t xml:space="preserve"> </w:t>
      </w:r>
      <w:proofErr w:type="spellStart"/>
      <w:r w:rsidRPr="00FC73B1">
        <w:rPr>
          <w:rFonts w:cstheme="minorHAnsi"/>
          <w:iCs/>
          <w:sz w:val="21"/>
          <w:szCs w:val="21"/>
        </w:rPr>
        <w:t>Pr</w:t>
      </w:r>
      <w:r w:rsidR="00D74DD2">
        <w:rPr>
          <w:rFonts w:cstheme="minorHAnsi"/>
          <w:iCs/>
          <w:sz w:val="21"/>
          <w:szCs w:val="21"/>
        </w:rPr>
        <w:t>a</w:t>
      </w:r>
      <w:r w:rsidRPr="00FC73B1">
        <w:rPr>
          <w:rFonts w:cstheme="minorHAnsi"/>
          <w:iCs/>
          <w:sz w:val="21"/>
          <w:szCs w:val="21"/>
        </w:rPr>
        <w:t>kerja</w:t>
      </w:r>
      <w:proofErr w:type="spellEnd"/>
      <w:r w:rsidRPr="00FC73B1">
        <w:rPr>
          <w:rFonts w:cstheme="minorHAnsi"/>
          <w:iCs/>
          <w:sz w:val="21"/>
          <w:szCs w:val="21"/>
        </w:rPr>
        <w:t xml:space="preserve"> program, to achieve lo</w:t>
      </w:r>
      <w:r w:rsidRPr="002832DF">
        <w:rPr>
          <w:rFonts w:cstheme="minorHAnsi"/>
          <w:iCs/>
          <w:sz w:val="21"/>
          <w:szCs w:val="21"/>
        </w:rPr>
        <w:t>nger-time commercial viability of quality skills and training in Indonesia. This is consistent with IA-CEPA’s mutual interest goals and the ECP’s requirement for co-contributions to the investment.  The ECP will also look at mechanisms to incentivise new i</w:t>
      </w:r>
      <w:r w:rsidRPr="00321AD5">
        <w:rPr>
          <w:rFonts w:cstheme="minorHAnsi"/>
          <w:iCs/>
          <w:sz w:val="21"/>
          <w:szCs w:val="21"/>
        </w:rPr>
        <w:t>nvestment in skills and training, inc</w:t>
      </w:r>
      <w:r w:rsidR="00964A63">
        <w:rPr>
          <w:rFonts w:cstheme="minorHAnsi"/>
          <w:iCs/>
          <w:sz w:val="21"/>
          <w:szCs w:val="21"/>
        </w:rPr>
        <w:t>l</w:t>
      </w:r>
      <w:r w:rsidRPr="00321AD5">
        <w:rPr>
          <w:rFonts w:cstheme="minorHAnsi"/>
          <w:iCs/>
          <w:sz w:val="21"/>
          <w:szCs w:val="21"/>
        </w:rPr>
        <w:t>uding by Australian TVET providers, where commerc</w:t>
      </w:r>
      <w:r w:rsidR="00964A63">
        <w:rPr>
          <w:rFonts w:cstheme="minorHAnsi"/>
          <w:iCs/>
          <w:sz w:val="21"/>
          <w:szCs w:val="21"/>
        </w:rPr>
        <w:t>i</w:t>
      </w:r>
      <w:r w:rsidRPr="00321AD5">
        <w:rPr>
          <w:rFonts w:cstheme="minorHAnsi"/>
          <w:iCs/>
          <w:sz w:val="21"/>
          <w:szCs w:val="21"/>
        </w:rPr>
        <w:t xml:space="preserve">ally viable opportunities are identified and supported by Industry. </w:t>
      </w:r>
    </w:p>
    <w:p w14:paraId="253FC71B" w14:textId="7DE0AEAD" w:rsidR="00E827EF" w:rsidRPr="007C4ABD" w:rsidRDefault="00E827EF" w:rsidP="00E827EF">
      <w:pPr>
        <w:widowControl w:val="0"/>
        <w:tabs>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Cs/>
          <w:szCs w:val="20"/>
        </w:rPr>
      </w:pPr>
      <w:r w:rsidRPr="007C4ABD">
        <w:rPr>
          <w:rFonts w:cstheme="minorHAnsi"/>
          <w:iCs/>
          <w:szCs w:val="20"/>
        </w:rPr>
        <w:t xml:space="preserve">Comprehensive monitoring and evaluation will be undertaken in each course to gather lessons and inform future TVET investments and sectoral reform efforts in Indonesia. </w:t>
      </w:r>
    </w:p>
    <w:p w14:paraId="3EE671C1" w14:textId="1AB57C7A" w:rsidR="00E827EF" w:rsidRPr="007C4ABD" w:rsidRDefault="00E827EF" w:rsidP="00E82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12"/>
        </w:rPr>
      </w:pPr>
      <w:r w:rsidRPr="007C4ABD">
        <w:rPr>
          <w:rFonts w:cstheme="minorHAnsi"/>
          <w:iCs/>
          <w:szCs w:val="20"/>
        </w:rPr>
        <w:t xml:space="preserve">Increased participation of women and people living with disabilities will be encouraged across all sectors. A key issue holding back girls’ participation in post school training is early marriage and pregnancy. Effective policies for improving women’s access to training, their participation and leadership in the workforce must address these upstream factors, including through the school sector. Socio-economic disadvantage is also impacted by geographical </w:t>
      </w:r>
      <w:r w:rsidR="00964A63" w:rsidRPr="00964A63">
        <w:rPr>
          <w:rFonts w:cstheme="minorHAnsi"/>
          <w:iCs/>
          <w:szCs w:val="20"/>
        </w:rPr>
        <w:t>disparities</w:t>
      </w:r>
      <w:r w:rsidRPr="007C4ABD">
        <w:rPr>
          <w:rFonts w:cstheme="minorHAnsi"/>
          <w:iCs/>
          <w:szCs w:val="20"/>
        </w:rPr>
        <w:t xml:space="preserve">, especially in the eastern islands. </w:t>
      </w:r>
    </w:p>
    <w:p w14:paraId="0081A61C" w14:textId="1E5D50C2" w:rsidR="00E827EF" w:rsidRPr="007C4ABD" w:rsidRDefault="00E827EF" w:rsidP="00E82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Cs/>
        </w:rPr>
      </w:pPr>
      <w:r w:rsidRPr="007C4ABD">
        <w:rPr>
          <w:rFonts w:cstheme="minorHAnsi"/>
          <w:iCs/>
        </w:rPr>
        <w:t xml:space="preserve">Building on Indonesia’s advances in supporting the education and skills of women, the ECP will support a partnership between Australia’s Chief Executive Women and the Indonesian Business Coalition for Women Empowerment. The partnership will support women in business in both countries, including exploring opportunities in the TVET sector and boosting female participation in TVET courses. </w:t>
      </w:r>
    </w:p>
    <w:p w14:paraId="68A90419" w14:textId="2A3A9AF9" w:rsidR="00E827EF" w:rsidRPr="0037583C" w:rsidRDefault="00E827EF" w:rsidP="00E827EF">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CommentReference"/>
          <w:rFonts w:cstheme="minorHAnsi"/>
          <w:sz w:val="21"/>
          <w:szCs w:val="21"/>
        </w:rPr>
      </w:pPr>
      <w:r w:rsidRPr="0037583C">
        <w:rPr>
          <w:rStyle w:val="CommentReference"/>
          <w:rFonts w:cstheme="minorHAnsi"/>
          <w:b/>
          <w:sz w:val="21"/>
          <w:szCs w:val="21"/>
        </w:rPr>
        <w:t xml:space="preserve">Example 2:  Supporting GOI’s new </w:t>
      </w:r>
      <w:proofErr w:type="spellStart"/>
      <w:r w:rsidRPr="0037583C">
        <w:rPr>
          <w:rStyle w:val="CommentReference"/>
          <w:rFonts w:cstheme="minorHAnsi"/>
          <w:b/>
          <w:sz w:val="21"/>
          <w:szCs w:val="21"/>
        </w:rPr>
        <w:t>Kartu</w:t>
      </w:r>
      <w:proofErr w:type="spellEnd"/>
      <w:r w:rsidRPr="0037583C">
        <w:rPr>
          <w:rStyle w:val="CommentReference"/>
          <w:rFonts w:cstheme="minorHAnsi"/>
          <w:b/>
          <w:sz w:val="21"/>
          <w:szCs w:val="21"/>
        </w:rPr>
        <w:t xml:space="preserve"> </w:t>
      </w:r>
      <w:proofErr w:type="spellStart"/>
      <w:r w:rsidRPr="0037583C">
        <w:rPr>
          <w:rStyle w:val="CommentReference"/>
          <w:rFonts w:cstheme="minorHAnsi"/>
          <w:b/>
          <w:sz w:val="21"/>
          <w:szCs w:val="21"/>
        </w:rPr>
        <w:t>P</w:t>
      </w:r>
      <w:r w:rsidR="00D74DD2">
        <w:rPr>
          <w:rStyle w:val="CommentReference"/>
          <w:rFonts w:cstheme="minorHAnsi"/>
          <w:b/>
          <w:sz w:val="21"/>
          <w:szCs w:val="21"/>
        </w:rPr>
        <w:t>ra</w:t>
      </w:r>
      <w:r w:rsidRPr="0037583C">
        <w:rPr>
          <w:rStyle w:val="CommentReference"/>
          <w:rFonts w:cstheme="minorHAnsi"/>
          <w:b/>
          <w:sz w:val="21"/>
          <w:szCs w:val="21"/>
        </w:rPr>
        <w:t>kerja</w:t>
      </w:r>
      <w:proofErr w:type="spellEnd"/>
      <w:r w:rsidRPr="0037583C">
        <w:rPr>
          <w:rStyle w:val="CommentReference"/>
          <w:rFonts w:cstheme="minorHAnsi"/>
          <w:b/>
          <w:sz w:val="21"/>
          <w:szCs w:val="21"/>
        </w:rPr>
        <w:t xml:space="preserve"> with more quality courses   </w:t>
      </w:r>
    </w:p>
    <w:p w14:paraId="5A763897" w14:textId="689F40D6" w:rsidR="00E827EF" w:rsidRPr="0037583C" w:rsidRDefault="00E827EF" w:rsidP="00F80795">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Style w:val="CommentReference"/>
          <w:rFonts w:cstheme="minorHAnsi"/>
          <w:sz w:val="21"/>
          <w:szCs w:val="21"/>
        </w:rPr>
      </w:pPr>
      <w:r w:rsidRPr="0037583C">
        <w:rPr>
          <w:rStyle w:val="CommentReference"/>
          <w:rFonts w:cstheme="minorHAnsi"/>
          <w:sz w:val="21"/>
          <w:szCs w:val="21"/>
        </w:rPr>
        <w:t xml:space="preserve">The Government of Indonesia has launched a major investment in skills and training of the workforce with a new pre-employment card. The card will provide funding to each individual seeking training to support employment. This is a major development for the TVET sector and presents an opportunity to fund new skills and training programs. </w:t>
      </w:r>
    </w:p>
    <w:p w14:paraId="520E7FCD" w14:textId="3C7C8CBC" w:rsidR="00E827EF" w:rsidRPr="0037583C" w:rsidRDefault="00E827EF" w:rsidP="00F80795">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Style w:val="CommentReference"/>
          <w:rFonts w:cstheme="minorHAnsi"/>
          <w:sz w:val="21"/>
          <w:szCs w:val="21"/>
        </w:rPr>
      </w:pPr>
      <w:r w:rsidRPr="0037583C">
        <w:rPr>
          <w:rStyle w:val="CommentReference"/>
          <w:rFonts w:cstheme="minorHAnsi"/>
          <w:sz w:val="21"/>
          <w:szCs w:val="21"/>
        </w:rPr>
        <w:t xml:space="preserve">The implementation and rollout of </w:t>
      </w:r>
      <w:proofErr w:type="spellStart"/>
      <w:r w:rsidRPr="0037583C">
        <w:rPr>
          <w:rStyle w:val="CommentReference"/>
          <w:rFonts w:cstheme="minorHAnsi"/>
          <w:sz w:val="21"/>
          <w:szCs w:val="21"/>
        </w:rPr>
        <w:t>Kartu</w:t>
      </w:r>
      <w:proofErr w:type="spellEnd"/>
      <w:r w:rsidRPr="0037583C">
        <w:rPr>
          <w:rStyle w:val="CommentReference"/>
          <w:rFonts w:cstheme="minorHAnsi"/>
          <w:sz w:val="21"/>
          <w:szCs w:val="21"/>
        </w:rPr>
        <w:t xml:space="preserve"> </w:t>
      </w:r>
      <w:proofErr w:type="spellStart"/>
      <w:r w:rsidRPr="0037583C">
        <w:rPr>
          <w:rStyle w:val="CommentReference"/>
          <w:rFonts w:cstheme="minorHAnsi"/>
          <w:sz w:val="21"/>
          <w:szCs w:val="21"/>
        </w:rPr>
        <w:t>P</w:t>
      </w:r>
      <w:r w:rsidR="00D74DD2">
        <w:rPr>
          <w:rStyle w:val="CommentReference"/>
          <w:rFonts w:cstheme="minorHAnsi"/>
          <w:sz w:val="21"/>
          <w:szCs w:val="21"/>
        </w:rPr>
        <w:t>rak</w:t>
      </w:r>
      <w:r w:rsidRPr="0037583C">
        <w:rPr>
          <w:rStyle w:val="CommentReference"/>
          <w:rFonts w:cstheme="minorHAnsi"/>
          <w:sz w:val="21"/>
          <w:szCs w:val="21"/>
        </w:rPr>
        <w:t>erja</w:t>
      </w:r>
      <w:proofErr w:type="spellEnd"/>
      <w:r w:rsidRPr="0037583C">
        <w:rPr>
          <w:rStyle w:val="CommentReference"/>
          <w:rFonts w:cstheme="minorHAnsi"/>
          <w:sz w:val="21"/>
          <w:szCs w:val="21"/>
        </w:rPr>
        <w:t xml:space="preserve"> are currently being developed with plans to launch early in 2020. A current area needing to be addressed to ensure the effectiveness of the program is ensuring there are quality training courses available to recipients of the </w:t>
      </w:r>
      <w:proofErr w:type="spellStart"/>
      <w:r w:rsidRPr="0037583C">
        <w:rPr>
          <w:rStyle w:val="CommentReference"/>
          <w:rFonts w:cstheme="minorHAnsi"/>
          <w:sz w:val="21"/>
          <w:szCs w:val="21"/>
        </w:rPr>
        <w:t>Kartu</w:t>
      </w:r>
      <w:proofErr w:type="spellEnd"/>
      <w:r w:rsidRPr="0037583C">
        <w:rPr>
          <w:rStyle w:val="CommentReference"/>
          <w:rFonts w:cstheme="minorHAnsi"/>
          <w:sz w:val="21"/>
          <w:szCs w:val="21"/>
        </w:rPr>
        <w:t xml:space="preserve"> </w:t>
      </w:r>
      <w:proofErr w:type="spellStart"/>
      <w:r w:rsidRPr="0037583C">
        <w:rPr>
          <w:rStyle w:val="CommentReference"/>
          <w:rFonts w:cstheme="minorHAnsi"/>
          <w:sz w:val="21"/>
          <w:szCs w:val="21"/>
        </w:rPr>
        <w:t>P</w:t>
      </w:r>
      <w:r w:rsidR="00D74DD2">
        <w:rPr>
          <w:rStyle w:val="CommentReference"/>
          <w:rFonts w:cstheme="minorHAnsi"/>
          <w:sz w:val="21"/>
          <w:szCs w:val="21"/>
        </w:rPr>
        <w:t>ra</w:t>
      </w:r>
      <w:r w:rsidRPr="0037583C">
        <w:rPr>
          <w:rStyle w:val="CommentReference"/>
          <w:rFonts w:cstheme="minorHAnsi"/>
          <w:sz w:val="21"/>
          <w:szCs w:val="21"/>
        </w:rPr>
        <w:t>kerja</w:t>
      </w:r>
      <w:proofErr w:type="spellEnd"/>
      <w:r w:rsidRPr="0037583C">
        <w:rPr>
          <w:rStyle w:val="CommentReference"/>
          <w:rFonts w:cstheme="minorHAnsi"/>
          <w:sz w:val="21"/>
          <w:szCs w:val="21"/>
        </w:rPr>
        <w:t xml:space="preserve">. Addressing the shortfall of existing training programs that meet the specific needs of Industry is a priority. </w:t>
      </w:r>
    </w:p>
    <w:p w14:paraId="53281675" w14:textId="112FE549" w:rsidR="00E827EF" w:rsidRPr="0037583C" w:rsidRDefault="00E827EF" w:rsidP="00F80795">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Style w:val="CommentReference"/>
          <w:rFonts w:cstheme="minorHAnsi"/>
          <w:sz w:val="21"/>
          <w:szCs w:val="21"/>
        </w:rPr>
      </w:pPr>
      <w:r w:rsidRPr="0037583C">
        <w:rPr>
          <w:rStyle w:val="CommentReference"/>
          <w:rFonts w:cstheme="minorHAnsi"/>
          <w:sz w:val="21"/>
          <w:szCs w:val="21"/>
        </w:rPr>
        <w:t xml:space="preserve">This activity presents an opportunity to increase the number of courses in high demand areas of skills, alongside the commencement of </w:t>
      </w:r>
      <w:proofErr w:type="spellStart"/>
      <w:r w:rsidRPr="0037583C">
        <w:rPr>
          <w:rStyle w:val="CommentReference"/>
          <w:rFonts w:cstheme="minorHAnsi"/>
          <w:sz w:val="21"/>
          <w:szCs w:val="21"/>
        </w:rPr>
        <w:t>Kartu</w:t>
      </w:r>
      <w:proofErr w:type="spellEnd"/>
      <w:r w:rsidRPr="0037583C">
        <w:rPr>
          <w:rStyle w:val="CommentReference"/>
          <w:rFonts w:cstheme="minorHAnsi"/>
          <w:sz w:val="21"/>
          <w:szCs w:val="21"/>
        </w:rPr>
        <w:t xml:space="preserve"> </w:t>
      </w:r>
      <w:proofErr w:type="spellStart"/>
      <w:r w:rsidRPr="0037583C">
        <w:rPr>
          <w:rStyle w:val="CommentReference"/>
          <w:rFonts w:cstheme="minorHAnsi"/>
          <w:sz w:val="21"/>
          <w:szCs w:val="21"/>
        </w:rPr>
        <w:t>P</w:t>
      </w:r>
      <w:r w:rsidR="00D74DD2">
        <w:rPr>
          <w:rStyle w:val="CommentReference"/>
          <w:rFonts w:cstheme="minorHAnsi"/>
          <w:sz w:val="21"/>
          <w:szCs w:val="21"/>
        </w:rPr>
        <w:t>ra</w:t>
      </w:r>
      <w:r w:rsidRPr="0037583C">
        <w:rPr>
          <w:rStyle w:val="CommentReference"/>
          <w:rFonts w:cstheme="minorHAnsi"/>
          <w:sz w:val="21"/>
          <w:szCs w:val="21"/>
        </w:rPr>
        <w:t>kerja</w:t>
      </w:r>
      <w:proofErr w:type="spellEnd"/>
      <w:r w:rsidRPr="0037583C">
        <w:rPr>
          <w:rStyle w:val="CommentReference"/>
          <w:rFonts w:cstheme="minorHAnsi"/>
          <w:sz w:val="21"/>
          <w:szCs w:val="21"/>
        </w:rPr>
        <w:t>. This would compl</w:t>
      </w:r>
      <w:r w:rsidR="00964A63" w:rsidRPr="0037583C">
        <w:rPr>
          <w:rStyle w:val="CommentReference"/>
          <w:rFonts w:cstheme="minorHAnsi"/>
          <w:sz w:val="21"/>
          <w:szCs w:val="21"/>
        </w:rPr>
        <w:t>e</w:t>
      </w:r>
      <w:r w:rsidRPr="0037583C">
        <w:rPr>
          <w:rStyle w:val="CommentReference"/>
          <w:rFonts w:cstheme="minorHAnsi"/>
          <w:sz w:val="21"/>
          <w:szCs w:val="21"/>
        </w:rPr>
        <w:t>ment the government’s investment in skills, while supporting the goals of IA-CEPA, and improve the commercial viability of RTOs in Indonesia as new funding sources become available.</w:t>
      </w:r>
    </w:p>
    <w:p w14:paraId="43F2765F" w14:textId="757BE4F4" w:rsidR="00E827EF" w:rsidRPr="0037583C" w:rsidRDefault="00E827EF" w:rsidP="00F80795">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60"/>
        <w:rPr>
          <w:rStyle w:val="CommentReference"/>
          <w:rFonts w:cstheme="minorHAnsi"/>
          <w:sz w:val="21"/>
          <w:szCs w:val="21"/>
        </w:rPr>
      </w:pPr>
      <w:r w:rsidRPr="0037583C">
        <w:rPr>
          <w:rStyle w:val="CommentReference"/>
          <w:rFonts w:cstheme="minorHAnsi"/>
          <w:sz w:val="21"/>
          <w:szCs w:val="21"/>
        </w:rPr>
        <w:t xml:space="preserve">The challenge will be rapidly rolling out quality courses in Indonesia in time to support the </w:t>
      </w:r>
      <w:proofErr w:type="spellStart"/>
      <w:r w:rsidRPr="0037583C">
        <w:rPr>
          <w:rStyle w:val="CommentReference"/>
          <w:rFonts w:cstheme="minorHAnsi"/>
          <w:sz w:val="21"/>
          <w:szCs w:val="21"/>
        </w:rPr>
        <w:t>Kartu</w:t>
      </w:r>
      <w:proofErr w:type="spellEnd"/>
      <w:r w:rsidRPr="0037583C">
        <w:rPr>
          <w:rStyle w:val="CommentReference"/>
          <w:rFonts w:cstheme="minorHAnsi"/>
          <w:sz w:val="21"/>
          <w:szCs w:val="21"/>
        </w:rPr>
        <w:t xml:space="preserve"> </w:t>
      </w:r>
      <w:proofErr w:type="spellStart"/>
      <w:r w:rsidRPr="0037583C">
        <w:rPr>
          <w:rStyle w:val="CommentReference"/>
          <w:rFonts w:cstheme="minorHAnsi"/>
          <w:sz w:val="21"/>
          <w:szCs w:val="21"/>
        </w:rPr>
        <w:t>P</w:t>
      </w:r>
      <w:r w:rsidR="00D74DD2">
        <w:rPr>
          <w:rStyle w:val="CommentReference"/>
          <w:rFonts w:cstheme="minorHAnsi"/>
          <w:sz w:val="21"/>
          <w:szCs w:val="21"/>
        </w:rPr>
        <w:t>ra</w:t>
      </w:r>
      <w:r w:rsidRPr="0037583C">
        <w:rPr>
          <w:rStyle w:val="CommentReference"/>
          <w:rFonts w:cstheme="minorHAnsi"/>
          <w:sz w:val="21"/>
          <w:szCs w:val="21"/>
        </w:rPr>
        <w:t>kerja</w:t>
      </w:r>
      <w:proofErr w:type="spellEnd"/>
      <w:r w:rsidRPr="0037583C">
        <w:rPr>
          <w:rStyle w:val="CommentReference"/>
          <w:rFonts w:cstheme="minorHAnsi"/>
          <w:sz w:val="21"/>
          <w:szCs w:val="21"/>
        </w:rPr>
        <w:t xml:space="preserve"> policy. The proposed TVET Clearing House can identify Australian RTOs able to meet Indonesian Industry needs</w:t>
      </w:r>
      <w:r w:rsidRPr="0037583C">
        <w:rPr>
          <w:rStyle w:val="CommentReference"/>
          <w:sz w:val="21"/>
          <w:szCs w:val="21"/>
        </w:rPr>
        <w:t xml:space="preserve"> quickly </w:t>
      </w:r>
      <w:r w:rsidRPr="0037583C">
        <w:rPr>
          <w:rStyle w:val="CommentReference"/>
          <w:rFonts w:cstheme="minorHAnsi"/>
          <w:sz w:val="21"/>
          <w:szCs w:val="21"/>
        </w:rPr>
        <w:t xml:space="preserve">and working with industry could help increase the availability and quality of courses rapidly. </w:t>
      </w:r>
    </w:p>
    <w:p w14:paraId="64905F84" w14:textId="77777777" w:rsidR="00F22F46" w:rsidRDefault="00F22F46" w:rsidP="00AD5A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heme="minorHAnsi"/>
          <w:b/>
          <w:bCs/>
        </w:rPr>
      </w:pPr>
    </w:p>
    <w:p w14:paraId="37E3E400" w14:textId="77777777" w:rsidR="00F22F46" w:rsidRDefault="00F22F46" w:rsidP="00AD5A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heme="minorHAnsi"/>
          <w:b/>
          <w:bCs/>
        </w:rPr>
      </w:pPr>
    </w:p>
    <w:p w14:paraId="6B181952" w14:textId="77777777" w:rsidR="00F22F46" w:rsidRDefault="00F22F46" w:rsidP="00AD5A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heme="minorHAnsi"/>
          <w:b/>
          <w:bCs/>
        </w:rPr>
      </w:pPr>
    </w:p>
    <w:p w14:paraId="6739CE39" w14:textId="77777777" w:rsidR="00F22F46" w:rsidRDefault="00F22F46" w:rsidP="00AD5A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heme="minorHAnsi"/>
          <w:b/>
          <w:bCs/>
        </w:rPr>
      </w:pPr>
    </w:p>
    <w:p w14:paraId="325E560E" w14:textId="77777777" w:rsidR="00F22F46" w:rsidRDefault="00F22F46" w:rsidP="00AD5A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heme="minorHAnsi"/>
          <w:b/>
          <w:bCs/>
        </w:rPr>
      </w:pPr>
    </w:p>
    <w:p w14:paraId="5759F8EE" w14:textId="28A411F3" w:rsidR="00E827EF" w:rsidRPr="007C4ABD" w:rsidRDefault="00E827EF" w:rsidP="00AD5A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heme="minorHAnsi"/>
          <w:bCs/>
          <w:sz w:val="16"/>
        </w:rPr>
      </w:pPr>
      <w:r w:rsidRPr="007C4ABD">
        <w:rPr>
          <w:rFonts w:cstheme="minorHAnsi"/>
          <w:b/>
          <w:bCs/>
        </w:rPr>
        <w:t>Period of funding and total funds requested</w:t>
      </w:r>
    </w:p>
    <w:p w14:paraId="3CC09CF8" w14:textId="1B888FF3" w:rsidR="00E827EF" w:rsidRPr="007C4ABD" w:rsidRDefault="00E827EF" w:rsidP="00E82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Cs/>
          <w:sz w:val="16"/>
        </w:rPr>
      </w:pPr>
      <w:r w:rsidRPr="007C4ABD">
        <w:rPr>
          <w:rFonts w:cstheme="minorHAnsi"/>
          <w:bCs/>
        </w:rPr>
        <w:t>The proposed budget for this activity is $8.</w:t>
      </w:r>
      <w:r w:rsidR="00F71698">
        <w:rPr>
          <w:rFonts w:cstheme="minorHAnsi"/>
          <w:bCs/>
        </w:rPr>
        <w:t>9</w:t>
      </w:r>
      <w:r w:rsidRPr="007C4ABD">
        <w:rPr>
          <w:rFonts w:cstheme="minorHAnsi"/>
          <w:bCs/>
        </w:rPr>
        <w:t xml:space="preserve"> million over 5 years (including $1.25 million included for skills and training as part of the Grains Partnership). Indicative costs are provided in the table below. Additional co-funding or in-kind contributions will be sought from the Government of Indonesia, Indonesian employers and Australian RTOs. </w:t>
      </w:r>
    </w:p>
    <w:tbl>
      <w:tblPr>
        <w:tblStyle w:val="MediumGrid3-Accent3"/>
        <w:tblW w:w="0" w:type="auto"/>
        <w:tblLook w:val="04A0" w:firstRow="1" w:lastRow="0" w:firstColumn="1" w:lastColumn="0" w:noHBand="0" w:noVBand="1"/>
      </w:tblPr>
      <w:tblGrid>
        <w:gridCol w:w="1419"/>
        <w:gridCol w:w="1419"/>
        <w:gridCol w:w="1419"/>
        <w:gridCol w:w="1419"/>
        <w:gridCol w:w="1420"/>
        <w:gridCol w:w="1420"/>
      </w:tblGrid>
      <w:tr w:rsidR="00E827EF" w:rsidRPr="00FC73B1" w14:paraId="6AE52214" w14:textId="77777777" w:rsidTr="00AD5A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44529E40" w14:textId="77777777" w:rsidR="00E827EF" w:rsidRPr="007C4ABD" w:rsidRDefault="00E827EF" w:rsidP="00AD5A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sz w:val="22"/>
                <w:szCs w:val="22"/>
              </w:rPr>
            </w:pPr>
          </w:p>
        </w:tc>
        <w:tc>
          <w:tcPr>
            <w:tcW w:w="1419" w:type="dxa"/>
          </w:tcPr>
          <w:p w14:paraId="308DD405" w14:textId="77777777" w:rsidR="00E827EF" w:rsidRPr="007C4ABD" w:rsidRDefault="00E827EF" w:rsidP="00AD5A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7C4ABD">
              <w:rPr>
                <w:rFonts w:cstheme="minorHAnsi"/>
              </w:rPr>
              <w:t>2020-21</w:t>
            </w:r>
          </w:p>
        </w:tc>
        <w:tc>
          <w:tcPr>
            <w:tcW w:w="1419" w:type="dxa"/>
          </w:tcPr>
          <w:p w14:paraId="4C0B8454" w14:textId="77777777" w:rsidR="00E827EF" w:rsidRPr="007C4ABD" w:rsidRDefault="00E827EF" w:rsidP="00AD5A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7C4ABD">
              <w:rPr>
                <w:rFonts w:cstheme="minorHAnsi"/>
              </w:rPr>
              <w:t>2021-22</w:t>
            </w:r>
          </w:p>
        </w:tc>
        <w:tc>
          <w:tcPr>
            <w:tcW w:w="1419" w:type="dxa"/>
          </w:tcPr>
          <w:p w14:paraId="70E0736A" w14:textId="77777777" w:rsidR="00E827EF" w:rsidRPr="007C4ABD" w:rsidRDefault="00E827EF" w:rsidP="00AD5A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7C4ABD">
              <w:rPr>
                <w:rFonts w:cstheme="minorHAnsi"/>
              </w:rPr>
              <w:t>2022-23</w:t>
            </w:r>
          </w:p>
        </w:tc>
        <w:tc>
          <w:tcPr>
            <w:tcW w:w="1420" w:type="dxa"/>
          </w:tcPr>
          <w:p w14:paraId="6DB88EBC" w14:textId="77777777" w:rsidR="00E827EF" w:rsidRPr="007C4ABD" w:rsidRDefault="00E827EF" w:rsidP="00AD5A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7C4ABD">
              <w:rPr>
                <w:rFonts w:cstheme="minorHAnsi"/>
              </w:rPr>
              <w:t>2023-24</w:t>
            </w:r>
          </w:p>
        </w:tc>
        <w:tc>
          <w:tcPr>
            <w:tcW w:w="1420" w:type="dxa"/>
          </w:tcPr>
          <w:p w14:paraId="5C48AB6B" w14:textId="77777777" w:rsidR="00E827EF" w:rsidRPr="007C4ABD" w:rsidRDefault="00E827EF" w:rsidP="00AD5A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7C4ABD">
              <w:rPr>
                <w:rFonts w:cstheme="minorHAnsi"/>
              </w:rPr>
              <w:t>2024-25</w:t>
            </w:r>
          </w:p>
        </w:tc>
      </w:tr>
      <w:tr w:rsidR="00E827EF" w:rsidRPr="00FC73B1" w14:paraId="0D21A74E" w14:textId="77777777" w:rsidTr="00BD74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9" w:type="dxa"/>
          </w:tcPr>
          <w:p w14:paraId="73593CEB" w14:textId="77777777" w:rsidR="00E827EF" w:rsidRPr="007C4ABD" w:rsidRDefault="00E827EF" w:rsidP="00AD5A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cstheme="minorHAnsi"/>
                <w:sz w:val="22"/>
                <w:szCs w:val="22"/>
              </w:rPr>
            </w:pPr>
            <w:r w:rsidRPr="007C4ABD">
              <w:rPr>
                <w:rFonts w:cstheme="minorHAnsi"/>
              </w:rPr>
              <w:t>$m</w:t>
            </w:r>
          </w:p>
        </w:tc>
        <w:tc>
          <w:tcPr>
            <w:tcW w:w="1419" w:type="dxa"/>
            <w:vAlign w:val="center"/>
          </w:tcPr>
          <w:p w14:paraId="4182F3B0" w14:textId="1B1E447B" w:rsidR="00E827EF" w:rsidRPr="007C4ABD" w:rsidRDefault="00C4125A" w:rsidP="00BD749B">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outlineLvl w:val="4"/>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7C4ABD">
              <w:rPr>
                <w:rFonts w:cstheme="minorHAnsi"/>
              </w:rPr>
              <w:t>1.1</w:t>
            </w:r>
          </w:p>
        </w:tc>
        <w:tc>
          <w:tcPr>
            <w:tcW w:w="1419" w:type="dxa"/>
            <w:vAlign w:val="center"/>
          </w:tcPr>
          <w:p w14:paraId="57CB8B91" w14:textId="7335F0D5" w:rsidR="00E827EF" w:rsidRPr="007C4ABD" w:rsidRDefault="00E827EF" w:rsidP="00BD74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7C4ABD">
              <w:rPr>
                <w:rFonts w:cstheme="minorHAnsi"/>
              </w:rPr>
              <w:t>1.</w:t>
            </w:r>
            <w:r w:rsidR="00C4125A" w:rsidRPr="007C4ABD">
              <w:rPr>
                <w:rFonts w:cstheme="minorHAnsi"/>
              </w:rPr>
              <w:t>9</w:t>
            </w:r>
          </w:p>
        </w:tc>
        <w:tc>
          <w:tcPr>
            <w:tcW w:w="1419" w:type="dxa"/>
            <w:vAlign w:val="center"/>
          </w:tcPr>
          <w:p w14:paraId="36B61158" w14:textId="79B8394A" w:rsidR="00E827EF" w:rsidRPr="007C4ABD" w:rsidRDefault="00C4125A" w:rsidP="00BD749B">
            <w:pPr>
              <w:keepNext/>
              <w:keepLines/>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outlineLvl w:val="4"/>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7C4ABD">
              <w:rPr>
                <w:rFonts w:cstheme="minorHAnsi"/>
              </w:rPr>
              <w:t>2.</w:t>
            </w:r>
            <w:r w:rsidR="00F71698">
              <w:rPr>
                <w:rFonts w:cstheme="minorHAnsi"/>
              </w:rPr>
              <w:t>1</w:t>
            </w:r>
          </w:p>
        </w:tc>
        <w:tc>
          <w:tcPr>
            <w:tcW w:w="1420" w:type="dxa"/>
            <w:vAlign w:val="center"/>
          </w:tcPr>
          <w:p w14:paraId="01C42461" w14:textId="77777777" w:rsidR="00E827EF" w:rsidRPr="007C4ABD" w:rsidRDefault="00E827EF" w:rsidP="00BD74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7C4ABD">
              <w:rPr>
                <w:rFonts w:cstheme="minorHAnsi"/>
              </w:rPr>
              <w:t>1.3</w:t>
            </w:r>
          </w:p>
        </w:tc>
        <w:tc>
          <w:tcPr>
            <w:tcW w:w="1420" w:type="dxa"/>
            <w:vAlign w:val="center"/>
          </w:tcPr>
          <w:p w14:paraId="5CB454AF" w14:textId="77777777" w:rsidR="00E827EF" w:rsidRPr="007C4ABD" w:rsidRDefault="00E827EF" w:rsidP="00BD74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7C4ABD">
              <w:rPr>
                <w:rFonts w:cstheme="minorHAnsi"/>
              </w:rPr>
              <w:t>1.3</w:t>
            </w:r>
          </w:p>
        </w:tc>
      </w:tr>
    </w:tbl>
    <w:p w14:paraId="51D5DA38" w14:textId="3B66AF8D" w:rsidR="00E827EF" w:rsidRPr="007C4ABD" w:rsidRDefault="00E827EF" w:rsidP="00AD5A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16"/>
        </w:rPr>
      </w:pPr>
      <w:r w:rsidRPr="007C4ABD">
        <w:rPr>
          <w:rFonts w:cstheme="minorHAnsi"/>
        </w:rPr>
        <w:t>*</w:t>
      </w:r>
      <w:r w:rsidRPr="007C4ABD">
        <w:rPr>
          <w:rFonts w:cstheme="minorHAnsi"/>
          <w:sz w:val="20"/>
        </w:rPr>
        <w:t xml:space="preserve">Note that the </w:t>
      </w:r>
      <w:proofErr w:type="spellStart"/>
      <w:r w:rsidRPr="007C4ABD">
        <w:rPr>
          <w:rFonts w:cstheme="minorHAnsi"/>
          <w:sz w:val="20"/>
        </w:rPr>
        <w:t>Agrifood</w:t>
      </w:r>
      <w:proofErr w:type="spellEnd"/>
      <w:r w:rsidRPr="007C4ABD">
        <w:rPr>
          <w:rFonts w:cstheme="minorHAnsi"/>
          <w:sz w:val="20"/>
        </w:rPr>
        <w:t xml:space="preserve"> Innovation Partnership includes a further $1.25 million skills and training as part of the Grains Partnership ($250,000 in 2021-22 and $500,00</w:t>
      </w:r>
      <w:r w:rsidR="00964A63">
        <w:rPr>
          <w:rFonts w:cstheme="minorHAnsi"/>
          <w:sz w:val="20"/>
        </w:rPr>
        <w:t>0</w:t>
      </w:r>
      <w:r w:rsidRPr="007C4ABD">
        <w:rPr>
          <w:rFonts w:cstheme="minorHAnsi"/>
          <w:sz w:val="20"/>
        </w:rPr>
        <w:t xml:space="preserve"> in 2022-23 and 2023-24)</w:t>
      </w:r>
    </w:p>
    <w:p w14:paraId="60A31AB6" w14:textId="250F501D" w:rsidR="00E827EF" w:rsidRPr="007C4ABD" w:rsidRDefault="00E827EF" w:rsidP="00AD5A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heme="minorHAnsi"/>
          <w:iCs/>
          <w:sz w:val="16"/>
        </w:rPr>
      </w:pPr>
      <w:r w:rsidRPr="007C4ABD">
        <w:rPr>
          <w:rFonts w:cstheme="minorHAnsi"/>
          <w:b/>
          <w:bCs/>
        </w:rPr>
        <w:t>Partner agency(s) or institution(s), branch and work group</w:t>
      </w:r>
    </w:p>
    <w:p w14:paraId="21044E9F" w14:textId="087CFE7E" w:rsidR="00E827EF" w:rsidRPr="0037583C" w:rsidRDefault="00E827EF" w:rsidP="00E82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Cs/>
        </w:rPr>
      </w:pPr>
      <w:r w:rsidRPr="007C4ABD">
        <w:rPr>
          <w:rFonts w:cstheme="minorHAnsi"/>
          <w:iCs/>
        </w:rPr>
        <w:t xml:space="preserve">The activity will involve working with the following partners, institutions and groups: </w:t>
      </w:r>
    </w:p>
    <w:p w14:paraId="218DF2B8" w14:textId="77777777" w:rsidR="0037583C" w:rsidRDefault="00E827EF" w:rsidP="0037583C">
      <w:pPr>
        <w:pStyle w:val="ListParagraph"/>
        <w:widowControl w:val="0"/>
        <w:numPr>
          <w:ilvl w:val="0"/>
          <w:numId w:val="10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line="240" w:lineRule="auto"/>
        <w:rPr>
          <w:rFonts w:cstheme="minorHAnsi"/>
          <w:iCs/>
        </w:rPr>
      </w:pPr>
      <w:r w:rsidRPr="007C4ABD">
        <w:rPr>
          <w:rFonts w:cstheme="minorHAnsi"/>
          <w:b/>
          <w:i/>
          <w:iCs/>
        </w:rPr>
        <w:t>Indonesian Ministry of Manpower</w:t>
      </w:r>
      <w:r w:rsidRPr="007C4ABD">
        <w:rPr>
          <w:rFonts w:cstheme="minorHAnsi"/>
          <w:iCs/>
        </w:rPr>
        <w:t xml:space="preserve"> is responsible for vocational training and will be a partner in this activity.</w:t>
      </w:r>
    </w:p>
    <w:p w14:paraId="1DE71C28" w14:textId="3958DFC9" w:rsidR="00E827EF" w:rsidRPr="0037583C" w:rsidRDefault="00E827EF" w:rsidP="0037583C">
      <w:pPr>
        <w:pStyle w:val="ListParagraph"/>
        <w:widowControl w:val="0"/>
        <w:numPr>
          <w:ilvl w:val="0"/>
          <w:numId w:val="10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line="240" w:lineRule="auto"/>
        <w:rPr>
          <w:rFonts w:cstheme="minorHAnsi"/>
          <w:iCs/>
        </w:rPr>
      </w:pPr>
      <w:r w:rsidRPr="0037583C">
        <w:rPr>
          <w:rFonts w:cstheme="minorHAnsi"/>
          <w:b/>
          <w:i/>
          <w:iCs/>
        </w:rPr>
        <w:t>The Indonesian Ministry of Education and Culture</w:t>
      </w:r>
      <w:r w:rsidRPr="0037583C">
        <w:rPr>
          <w:rFonts w:cstheme="minorHAnsi"/>
          <w:b/>
          <w:iCs/>
        </w:rPr>
        <w:t xml:space="preserve"> </w:t>
      </w:r>
      <w:r w:rsidRPr="0037583C">
        <w:rPr>
          <w:rFonts w:cstheme="minorHAnsi"/>
          <w:iCs/>
        </w:rPr>
        <w:t>is responsible for education, including vocational schools and polytechnics, as well as policies and technical standards for non</w:t>
      </w:r>
      <w:r w:rsidR="00964A63" w:rsidRPr="0037583C">
        <w:rPr>
          <w:rFonts w:cstheme="minorHAnsi"/>
          <w:iCs/>
        </w:rPr>
        <w:t>-</w:t>
      </w:r>
      <w:r w:rsidRPr="0037583C">
        <w:rPr>
          <w:rFonts w:cstheme="minorHAnsi"/>
          <w:iCs/>
        </w:rPr>
        <w:t xml:space="preserve"> formal courses and training, and will be a critical partner in developing and delivering the activity. </w:t>
      </w:r>
    </w:p>
    <w:p w14:paraId="462FEE91" w14:textId="20AF1BA1" w:rsidR="00E827EF" w:rsidRPr="007C4ABD" w:rsidRDefault="00E827EF" w:rsidP="0037583C">
      <w:pPr>
        <w:pStyle w:val="ListParagraph"/>
        <w:widowControl w:val="0"/>
        <w:numPr>
          <w:ilvl w:val="0"/>
          <w:numId w:val="103"/>
        </w:numPr>
        <w:tabs>
          <w:tab w:val="left" w:pos="560"/>
          <w:tab w:val="left" w:pos="993"/>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line="240" w:lineRule="auto"/>
        <w:rPr>
          <w:rFonts w:cstheme="minorHAnsi"/>
          <w:iCs/>
        </w:rPr>
      </w:pPr>
      <w:r w:rsidRPr="007C4ABD">
        <w:rPr>
          <w:rFonts w:cstheme="minorHAnsi"/>
          <w:b/>
          <w:i/>
          <w:iCs/>
        </w:rPr>
        <w:t>DFAT:</w:t>
      </w:r>
      <w:r w:rsidRPr="007C4ABD">
        <w:rPr>
          <w:rFonts w:cstheme="minorHAnsi"/>
          <w:iCs/>
        </w:rPr>
        <w:t xml:space="preserve"> DFAT’s Governance and Human Development Branch will be engaged in the program design and implementation, coordinating with the Australian Department of Education, Skills and Employment.</w:t>
      </w:r>
    </w:p>
    <w:p w14:paraId="177F5461" w14:textId="77777777" w:rsidR="0037583C" w:rsidRDefault="00E827EF" w:rsidP="0037583C">
      <w:pPr>
        <w:pStyle w:val="ListParagraph"/>
        <w:widowControl w:val="0"/>
        <w:numPr>
          <w:ilvl w:val="0"/>
          <w:numId w:val="103"/>
        </w:numPr>
        <w:tabs>
          <w:tab w:val="left" w:pos="560"/>
          <w:tab w:val="left" w:pos="993"/>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line="240" w:lineRule="auto"/>
        <w:rPr>
          <w:rFonts w:cstheme="minorHAnsi"/>
          <w:iCs/>
        </w:rPr>
      </w:pPr>
      <w:r w:rsidRPr="007C4ABD">
        <w:rPr>
          <w:rFonts w:cstheme="minorHAnsi"/>
          <w:b/>
          <w:i/>
          <w:iCs/>
        </w:rPr>
        <w:t>Australian Department of Education, Skills and Employment:</w:t>
      </w:r>
      <w:r w:rsidRPr="007C4ABD">
        <w:rPr>
          <w:rFonts w:cstheme="minorHAnsi"/>
          <w:iCs/>
        </w:rPr>
        <w:t xml:space="preserve"> The Department of Education and Training is responsible for policy and oversight of Australian RTOs. They also have a keen interest in the educational partnership with Indonesia and are committed to supporting this program. </w:t>
      </w:r>
    </w:p>
    <w:p w14:paraId="55B49AD6" w14:textId="77777777" w:rsidR="0037583C" w:rsidRDefault="00E827EF" w:rsidP="0037583C">
      <w:pPr>
        <w:pStyle w:val="ListParagraph"/>
        <w:widowControl w:val="0"/>
        <w:numPr>
          <w:ilvl w:val="0"/>
          <w:numId w:val="103"/>
        </w:numPr>
        <w:tabs>
          <w:tab w:val="left" w:pos="560"/>
          <w:tab w:val="left" w:pos="993"/>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line="240" w:lineRule="auto"/>
        <w:rPr>
          <w:rFonts w:cstheme="minorHAnsi"/>
          <w:iCs/>
        </w:rPr>
      </w:pPr>
      <w:proofErr w:type="spellStart"/>
      <w:r w:rsidRPr="0037583C">
        <w:rPr>
          <w:rFonts w:cstheme="minorHAnsi"/>
          <w:b/>
          <w:i/>
          <w:iCs/>
        </w:rPr>
        <w:t>Aus</w:t>
      </w:r>
      <w:r w:rsidR="002832DF" w:rsidRPr="0037583C">
        <w:rPr>
          <w:rFonts w:cstheme="minorHAnsi"/>
          <w:b/>
          <w:i/>
          <w:iCs/>
        </w:rPr>
        <w:t>t</w:t>
      </w:r>
      <w:r w:rsidRPr="0037583C">
        <w:rPr>
          <w:rFonts w:cstheme="minorHAnsi"/>
          <w:b/>
          <w:i/>
          <w:iCs/>
        </w:rPr>
        <w:t>rade</w:t>
      </w:r>
      <w:proofErr w:type="spellEnd"/>
      <w:r w:rsidRPr="0037583C">
        <w:rPr>
          <w:rFonts w:cstheme="minorHAnsi"/>
          <w:iCs/>
        </w:rPr>
        <w:t xml:space="preserve">: The activity will coordinate activities with </w:t>
      </w:r>
      <w:proofErr w:type="spellStart"/>
      <w:r w:rsidRPr="0037583C">
        <w:rPr>
          <w:rFonts w:cstheme="minorHAnsi"/>
          <w:iCs/>
        </w:rPr>
        <w:t>Austrade</w:t>
      </w:r>
      <w:proofErr w:type="spellEnd"/>
      <w:r w:rsidRPr="0037583C">
        <w:rPr>
          <w:rFonts w:cstheme="minorHAnsi"/>
          <w:iCs/>
        </w:rPr>
        <w:t xml:space="preserve">, particularly when developing Industry Committees and potential Australian partnerships. </w:t>
      </w:r>
      <w:proofErr w:type="spellStart"/>
      <w:r w:rsidRPr="0037583C">
        <w:rPr>
          <w:rFonts w:cstheme="minorHAnsi"/>
          <w:iCs/>
        </w:rPr>
        <w:t>Aus</w:t>
      </w:r>
      <w:r w:rsidR="002832DF" w:rsidRPr="0037583C">
        <w:rPr>
          <w:rFonts w:cstheme="minorHAnsi"/>
          <w:iCs/>
        </w:rPr>
        <w:t>t</w:t>
      </w:r>
      <w:r w:rsidRPr="0037583C">
        <w:rPr>
          <w:rFonts w:cstheme="minorHAnsi"/>
          <w:iCs/>
        </w:rPr>
        <w:t>rade</w:t>
      </w:r>
      <w:proofErr w:type="spellEnd"/>
      <w:r w:rsidRPr="0037583C">
        <w:rPr>
          <w:rFonts w:cstheme="minorHAnsi"/>
          <w:iCs/>
        </w:rPr>
        <w:t xml:space="preserve"> is a commercially focused agency that assists Australia businesses to grow their exports and international business, find international customers and business venture partners and attract productive FDI to Australia. </w:t>
      </w:r>
      <w:proofErr w:type="spellStart"/>
      <w:r w:rsidRPr="0037583C">
        <w:rPr>
          <w:rFonts w:cstheme="minorHAnsi"/>
          <w:iCs/>
        </w:rPr>
        <w:t>Austrade’s</w:t>
      </w:r>
      <w:proofErr w:type="spellEnd"/>
      <w:r w:rsidRPr="0037583C">
        <w:rPr>
          <w:rFonts w:cstheme="minorHAnsi"/>
          <w:iCs/>
        </w:rPr>
        <w:t xml:space="preserve"> primary role in implementation of the IA-CEPA will be assisting Australian businesses to maximise commercial opportunities created through the enhanced market access delivered through IA-CEPA, including in the TVET sector. </w:t>
      </w:r>
    </w:p>
    <w:p w14:paraId="00E84994" w14:textId="0F8E0077" w:rsidR="00E827EF" w:rsidRPr="0037583C" w:rsidRDefault="00E827EF" w:rsidP="0037583C">
      <w:pPr>
        <w:pStyle w:val="ListParagraph"/>
        <w:widowControl w:val="0"/>
        <w:numPr>
          <w:ilvl w:val="0"/>
          <w:numId w:val="103"/>
        </w:numPr>
        <w:tabs>
          <w:tab w:val="left" w:pos="560"/>
          <w:tab w:val="left" w:pos="993"/>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line="240" w:lineRule="auto"/>
        <w:rPr>
          <w:rFonts w:cstheme="minorHAnsi"/>
          <w:iCs/>
        </w:rPr>
      </w:pPr>
      <w:r w:rsidRPr="0037583C">
        <w:rPr>
          <w:rFonts w:cstheme="minorHAnsi"/>
          <w:b/>
          <w:i/>
          <w:iCs/>
        </w:rPr>
        <w:t>Australian Awards:</w:t>
      </w:r>
      <w:r w:rsidRPr="0037583C">
        <w:rPr>
          <w:rFonts w:cstheme="minorHAnsi"/>
          <w:iCs/>
        </w:rPr>
        <w:t xml:space="preserve"> The Australian Awards successfully delivers a range of courses that could provide important lessons for this activity. </w:t>
      </w:r>
      <w:r w:rsidR="00AD5A2C" w:rsidRPr="0037583C">
        <w:rPr>
          <w:rFonts w:cstheme="minorHAnsi"/>
          <w:iCs/>
        </w:rPr>
        <w:t xml:space="preserve">Funding for any Australian Awards courses as part of the ECP will be separate from the existing Australia’s Award budget allocation. </w:t>
      </w:r>
    </w:p>
    <w:p w14:paraId="51A470B8" w14:textId="7AA6A021" w:rsidR="00E827EF" w:rsidRPr="007C4ABD" w:rsidRDefault="00E827EF" w:rsidP="0037583C">
      <w:pPr>
        <w:pStyle w:val="ListParagraph"/>
        <w:widowControl w:val="0"/>
        <w:numPr>
          <w:ilvl w:val="0"/>
          <w:numId w:val="10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line="240" w:lineRule="auto"/>
        <w:rPr>
          <w:rFonts w:cstheme="minorHAnsi"/>
          <w:b/>
          <w:i/>
          <w:iCs/>
          <w:sz w:val="8"/>
        </w:rPr>
      </w:pPr>
      <w:r w:rsidRPr="007C4ABD">
        <w:rPr>
          <w:rFonts w:cstheme="minorHAnsi"/>
          <w:b/>
          <w:i/>
          <w:iCs/>
        </w:rPr>
        <w:t>Australia and Indonesia’s RTOs (public and private):</w:t>
      </w:r>
      <w:r w:rsidRPr="007C4ABD">
        <w:rPr>
          <w:rFonts w:cstheme="minorHAnsi"/>
          <w:iCs/>
        </w:rPr>
        <w:t xml:space="preserve"> Australian RTOs (public and private) and Indonesian training institutes will partner in this activity, subject to the skills and training needs and delivery preferences identified by industry. </w:t>
      </w:r>
    </w:p>
    <w:p w14:paraId="0A622EF9" w14:textId="2D0B50C3" w:rsidR="00E827EF" w:rsidRPr="007C4ABD" w:rsidRDefault="00E827EF" w:rsidP="0037583C">
      <w:pPr>
        <w:pStyle w:val="ListParagraph"/>
        <w:widowControl w:val="0"/>
        <w:numPr>
          <w:ilvl w:val="0"/>
          <w:numId w:val="10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line="240" w:lineRule="auto"/>
        <w:rPr>
          <w:rFonts w:cstheme="minorHAnsi"/>
          <w:iCs/>
        </w:rPr>
      </w:pPr>
      <w:r w:rsidRPr="007C4ABD">
        <w:rPr>
          <w:rFonts w:cstheme="minorHAnsi"/>
          <w:b/>
          <w:i/>
          <w:iCs/>
        </w:rPr>
        <w:t>Industry:</w:t>
      </w:r>
      <w:r w:rsidRPr="007C4ABD">
        <w:rPr>
          <w:rFonts w:cstheme="minorHAnsi"/>
          <w:iCs/>
        </w:rPr>
        <w:t xml:space="preserve"> The Indonesian Industry Committees will involve major employers, industry associations and peak bodies to utilise existing networks and avoid duplication. Examples of Indonesian industry associations and peak bodies are the Indonesian Services Dialogue, </w:t>
      </w:r>
      <w:r w:rsidR="00C805FD">
        <w:rPr>
          <w:rFonts w:cstheme="minorHAnsi"/>
          <w:iCs/>
        </w:rPr>
        <w:t>KADIN</w:t>
      </w:r>
      <w:r w:rsidR="00C805FD" w:rsidRPr="007C4ABD">
        <w:rPr>
          <w:rFonts w:cstheme="minorHAnsi"/>
          <w:iCs/>
        </w:rPr>
        <w:t xml:space="preserve"> </w:t>
      </w:r>
      <w:r w:rsidRPr="007C4ABD">
        <w:rPr>
          <w:rFonts w:cstheme="minorHAnsi"/>
          <w:iCs/>
        </w:rPr>
        <w:t>and the Indonesian Business Coalition for Women Empowerment. Australian industry and peak bodies may include Industry Reference Councils, the TAFE Directors and the Independent Tertiary Education Council</w:t>
      </w:r>
      <w:r w:rsidR="00D74DD2">
        <w:rPr>
          <w:rFonts w:cstheme="minorHAnsi"/>
          <w:iCs/>
        </w:rPr>
        <w:t xml:space="preserve"> of Australia</w:t>
      </w:r>
      <w:r w:rsidRPr="007C4ABD">
        <w:rPr>
          <w:rFonts w:cstheme="minorHAnsi"/>
          <w:iCs/>
        </w:rPr>
        <w:t xml:space="preserve">. </w:t>
      </w:r>
    </w:p>
    <w:p w14:paraId="5E808FFE" w14:textId="4112E211" w:rsidR="00E827EF" w:rsidRPr="007C4ABD" w:rsidRDefault="00E827EF" w:rsidP="0037583C">
      <w:pPr>
        <w:pStyle w:val="ListParagraph"/>
        <w:widowControl w:val="0"/>
        <w:numPr>
          <w:ilvl w:val="0"/>
          <w:numId w:val="10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line="240" w:lineRule="auto"/>
        <w:rPr>
          <w:rFonts w:cstheme="minorHAnsi"/>
          <w:b/>
          <w:bCs/>
        </w:rPr>
      </w:pPr>
      <w:r w:rsidRPr="0037583C">
        <w:rPr>
          <w:rFonts w:cstheme="minorHAnsi"/>
          <w:b/>
          <w:i/>
          <w:iCs/>
        </w:rPr>
        <w:t>Other donors</w:t>
      </w:r>
      <w:r w:rsidRPr="007C4ABD">
        <w:rPr>
          <w:rFonts w:cstheme="minorHAnsi"/>
          <w:iCs/>
        </w:rPr>
        <w:t xml:space="preserve">: The World Bank and GIZ are actively supporting TVET in Indonesia. This activity will coordinate efforts, where appropriate, with other donors to avoid duplication and ensure lessons are shared.  </w:t>
      </w:r>
    </w:p>
    <w:p w14:paraId="542B23E6" w14:textId="77777777" w:rsidR="0087378F" w:rsidRDefault="0087378F" w:rsidP="00E82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rPr>
      </w:pPr>
    </w:p>
    <w:p w14:paraId="3A99D0A3" w14:textId="77777777" w:rsidR="0087378F" w:rsidRDefault="0087378F" w:rsidP="00E82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rPr>
      </w:pPr>
    </w:p>
    <w:p w14:paraId="5C866AE0" w14:textId="77777777" w:rsidR="00F22F46" w:rsidRDefault="00F22F46" w:rsidP="00E82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rPr>
      </w:pPr>
    </w:p>
    <w:p w14:paraId="612619B0" w14:textId="6188EA03" w:rsidR="00E827EF" w:rsidRPr="007C4ABD" w:rsidRDefault="00E827EF" w:rsidP="00E82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
          <w:iCs/>
          <w:highlight w:val="yellow"/>
        </w:rPr>
      </w:pPr>
      <w:r w:rsidRPr="007C4ABD">
        <w:rPr>
          <w:rFonts w:cstheme="minorHAnsi"/>
          <w:b/>
          <w:bCs/>
        </w:rPr>
        <w:t>Activity assessment against investment criteria</w:t>
      </w:r>
    </w:p>
    <w:p w14:paraId="5D2D0CB3" w14:textId="015C2A4F" w:rsidR="00E827EF" w:rsidRPr="007C4ABD" w:rsidRDefault="00E827EF" w:rsidP="00AD5A2C">
      <w:pPr>
        <w:pBdr>
          <w:top w:val="single" w:sz="4" w:space="1" w:color="auto"/>
          <w:left w:val="single" w:sz="4" w:space="4" w:color="auto"/>
          <w:bottom w:val="single" w:sz="4" w:space="1" w:color="auto"/>
          <w:right w:val="single" w:sz="4" w:space="4" w:color="auto"/>
        </w:pBdr>
        <w:jc w:val="both"/>
        <w:outlineLvl w:val="0"/>
        <w:rPr>
          <w:rFonts w:cstheme="minorHAnsi"/>
          <w:b/>
          <w:sz w:val="12"/>
        </w:rPr>
      </w:pPr>
      <w:r w:rsidRPr="007C4ABD">
        <w:rPr>
          <w:rFonts w:cstheme="minorHAnsi"/>
          <w:b/>
        </w:rPr>
        <w:t>INVESTMENT CRITERIA:</w:t>
      </w:r>
    </w:p>
    <w:p w14:paraId="3C98E475" w14:textId="47CFC2BC" w:rsidR="00E827EF" w:rsidRPr="007C4ABD" w:rsidRDefault="00E827EF" w:rsidP="00E827EF">
      <w:pPr>
        <w:pBdr>
          <w:top w:val="single" w:sz="4" w:space="1" w:color="auto"/>
          <w:left w:val="single" w:sz="4" w:space="4" w:color="auto"/>
          <w:bottom w:val="single" w:sz="4" w:space="1" w:color="auto"/>
          <w:right w:val="single" w:sz="4" w:space="4" w:color="auto"/>
        </w:pBdr>
        <w:ind w:left="720" w:hanging="720"/>
        <w:jc w:val="both"/>
        <w:rPr>
          <w:rFonts w:cstheme="minorHAnsi"/>
          <w:b/>
          <w:sz w:val="12"/>
        </w:rPr>
      </w:pPr>
      <w:r w:rsidRPr="007C4ABD">
        <w:rPr>
          <w:rFonts w:cstheme="minorHAnsi"/>
          <w:b/>
        </w:rPr>
        <w:t>(</w:t>
      </w:r>
      <w:proofErr w:type="spellStart"/>
      <w:r w:rsidRPr="007C4ABD">
        <w:rPr>
          <w:rFonts w:cstheme="minorHAnsi"/>
          <w:b/>
        </w:rPr>
        <w:t>i</w:t>
      </w:r>
      <w:proofErr w:type="spellEnd"/>
      <w:r w:rsidRPr="007C4ABD">
        <w:rPr>
          <w:rFonts w:cstheme="minorHAnsi"/>
          <w:b/>
        </w:rPr>
        <w:t>)</w:t>
      </w:r>
      <w:r w:rsidRPr="007C4ABD">
        <w:rPr>
          <w:rFonts w:cstheme="minorHAnsi"/>
          <w:b/>
        </w:rPr>
        <w:tab/>
        <w:t>Maximising the outcomes of IA-CEPA:</w:t>
      </w:r>
      <w:r w:rsidRPr="007C4ABD">
        <w:rPr>
          <w:rFonts w:cstheme="minorHAnsi"/>
        </w:rPr>
        <w:t xml:space="preserve"> Investment restriction were reduced from 100% to 67% for Australian TVET providers as part of IA-CEPA. This activity is designed to support TVET providers and Indonesian industry to take advantage of that change.</w:t>
      </w:r>
    </w:p>
    <w:p w14:paraId="0534807E" w14:textId="086E7C52" w:rsidR="00E827EF" w:rsidRPr="007C4ABD" w:rsidRDefault="00E827EF" w:rsidP="00E827EF">
      <w:pPr>
        <w:pBdr>
          <w:top w:val="single" w:sz="4" w:space="1" w:color="auto"/>
          <w:left w:val="single" w:sz="4" w:space="4" w:color="auto"/>
          <w:bottom w:val="single" w:sz="4" w:space="1" w:color="auto"/>
          <w:right w:val="single" w:sz="4" w:space="4" w:color="auto"/>
        </w:pBdr>
        <w:ind w:left="720" w:hanging="720"/>
        <w:jc w:val="both"/>
        <w:rPr>
          <w:rFonts w:cstheme="minorHAnsi"/>
          <w:b/>
          <w:sz w:val="12"/>
        </w:rPr>
      </w:pPr>
      <w:r w:rsidRPr="007C4ABD">
        <w:rPr>
          <w:rFonts w:cstheme="minorHAnsi"/>
          <w:b/>
        </w:rPr>
        <w:t xml:space="preserve">(ii) </w:t>
      </w:r>
      <w:r w:rsidRPr="007C4ABD">
        <w:rPr>
          <w:rFonts w:cstheme="minorHAnsi"/>
          <w:b/>
        </w:rPr>
        <w:tab/>
        <w:t xml:space="preserve">Aligned to bilateral or regional Interests: </w:t>
      </w:r>
      <w:r w:rsidRPr="007C4ABD">
        <w:rPr>
          <w:rFonts w:cstheme="minorHAnsi"/>
        </w:rPr>
        <w:t>TVET is a major priority contained in IA-CEPA. Both Australian and Indonesia have an interest in improving skills, being critical to productivity and growth.</w:t>
      </w:r>
    </w:p>
    <w:p w14:paraId="7FF877D0" w14:textId="11A40273" w:rsidR="00E827EF" w:rsidRPr="007C4ABD" w:rsidRDefault="00E827EF" w:rsidP="00E827EF">
      <w:pPr>
        <w:pBdr>
          <w:top w:val="single" w:sz="4" w:space="1" w:color="auto"/>
          <w:left w:val="single" w:sz="4" w:space="4" w:color="auto"/>
          <w:bottom w:val="single" w:sz="4" w:space="1" w:color="auto"/>
          <w:right w:val="single" w:sz="4" w:space="4" w:color="auto"/>
        </w:pBdr>
        <w:ind w:left="720" w:hanging="720"/>
        <w:jc w:val="both"/>
        <w:rPr>
          <w:rFonts w:cstheme="minorHAnsi"/>
          <w:b/>
          <w:sz w:val="12"/>
          <w:szCs w:val="16"/>
        </w:rPr>
      </w:pPr>
      <w:r w:rsidRPr="007C4ABD">
        <w:rPr>
          <w:rFonts w:cstheme="minorHAnsi"/>
          <w:b/>
        </w:rPr>
        <w:t xml:space="preserve">(iii) </w:t>
      </w:r>
      <w:r w:rsidRPr="007C4ABD">
        <w:rPr>
          <w:rFonts w:cstheme="minorHAnsi"/>
          <w:b/>
        </w:rPr>
        <w:tab/>
        <w:t>Mutually beneficial opportunities</w:t>
      </w:r>
      <w:r w:rsidRPr="007C4ABD">
        <w:rPr>
          <w:rFonts w:cstheme="minorHAnsi"/>
        </w:rPr>
        <w:t xml:space="preserve">: This activity will meet a priority need of the Indonesian Government for quality skills and training, while supporting growth opportunities for Australia’s TVET sector.    </w:t>
      </w:r>
    </w:p>
    <w:p w14:paraId="3B3D8250" w14:textId="5BFEB324" w:rsidR="00E827EF" w:rsidRPr="007C4ABD" w:rsidRDefault="00E827EF" w:rsidP="00E827EF">
      <w:pPr>
        <w:pBdr>
          <w:top w:val="single" w:sz="4" w:space="1" w:color="auto"/>
          <w:left w:val="single" w:sz="4" w:space="4" w:color="auto"/>
          <w:bottom w:val="single" w:sz="4" w:space="1" w:color="auto"/>
          <w:right w:val="single" w:sz="4" w:space="4" w:color="auto"/>
        </w:pBdr>
        <w:ind w:left="720" w:hanging="720"/>
        <w:jc w:val="both"/>
        <w:rPr>
          <w:rFonts w:cstheme="minorHAnsi"/>
          <w:sz w:val="12"/>
          <w:szCs w:val="16"/>
        </w:rPr>
      </w:pPr>
      <w:r w:rsidRPr="007C4ABD">
        <w:rPr>
          <w:rFonts w:cstheme="minorHAnsi"/>
          <w:b/>
        </w:rPr>
        <w:t>(iv)</w:t>
      </w:r>
      <w:r w:rsidRPr="007C4ABD">
        <w:rPr>
          <w:rFonts w:cstheme="minorHAnsi"/>
          <w:b/>
        </w:rPr>
        <w:tab/>
        <w:t xml:space="preserve">Politically feasible and practical: </w:t>
      </w:r>
      <w:r w:rsidRPr="007C4ABD">
        <w:rPr>
          <w:rFonts w:cstheme="minorHAnsi"/>
        </w:rPr>
        <w:t xml:space="preserve">Skills and training is a priority of the Government of Indonesia who has announced a range of support for skills and made investment in human capital a priority for this term of government. The activity will provide a range of practical responses to boost training in coordination with industry. </w:t>
      </w:r>
    </w:p>
    <w:p w14:paraId="0D0A81EC" w14:textId="552B6337" w:rsidR="00E827EF" w:rsidRPr="007C4ABD" w:rsidRDefault="00E827EF" w:rsidP="00E827EF">
      <w:pPr>
        <w:pBdr>
          <w:top w:val="single" w:sz="4" w:space="1" w:color="auto"/>
          <w:left w:val="single" w:sz="4" w:space="4" w:color="auto"/>
          <w:bottom w:val="single" w:sz="4" w:space="1" w:color="auto"/>
          <w:right w:val="single" w:sz="4" w:space="4" w:color="auto"/>
        </w:pBdr>
        <w:ind w:left="720" w:hanging="720"/>
        <w:jc w:val="both"/>
        <w:rPr>
          <w:rFonts w:cstheme="minorHAnsi"/>
          <w:sz w:val="12"/>
        </w:rPr>
      </w:pPr>
      <w:r w:rsidRPr="007C4ABD">
        <w:rPr>
          <w:rFonts w:cstheme="minorHAnsi"/>
          <w:b/>
        </w:rPr>
        <w:t>(v)</w:t>
      </w:r>
      <w:r w:rsidRPr="007C4ABD">
        <w:rPr>
          <w:rFonts w:cstheme="minorHAnsi"/>
          <w:b/>
        </w:rPr>
        <w:tab/>
        <w:t xml:space="preserve">Reflect Australia and Indonesia’s Comparative Advantages: </w:t>
      </w:r>
      <w:r w:rsidRPr="007C4ABD">
        <w:rPr>
          <w:rFonts w:cstheme="minorHAnsi"/>
        </w:rPr>
        <w:t xml:space="preserve">Australia has a high-quality and globally recognised TVET sector, with education services being one of Australia’s largest exports. Indonesia has rapidly growing Industries providing significant demand for quality skills and training.   </w:t>
      </w:r>
    </w:p>
    <w:p w14:paraId="5B1A6476" w14:textId="7C8A0779" w:rsidR="00E827EF" w:rsidRPr="007C4ABD" w:rsidRDefault="00E827EF" w:rsidP="00E827EF">
      <w:pPr>
        <w:pBdr>
          <w:top w:val="single" w:sz="4" w:space="1" w:color="auto"/>
          <w:left w:val="single" w:sz="4" w:space="4" w:color="auto"/>
          <w:bottom w:val="single" w:sz="4" w:space="1" w:color="auto"/>
          <w:right w:val="single" w:sz="4" w:space="4" w:color="auto"/>
        </w:pBdr>
        <w:ind w:left="720" w:hanging="720"/>
        <w:jc w:val="both"/>
        <w:rPr>
          <w:rFonts w:cstheme="minorHAnsi"/>
          <w:sz w:val="12"/>
        </w:rPr>
      </w:pPr>
      <w:r w:rsidRPr="007C4ABD">
        <w:rPr>
          <w:rFonts w:cstheme="minorHAnsi"/>
          <w:b/>
        </w:rPr>
        <w:t>(vi)</w:t>
      </w:r>
      <w:r w:rsidRPr="007C4ABD">
        <w:rPr>
          <w:rFonts w:cstheme="minorHAnsi"/>
          <w:b/>
        </w:rPr>
        <w:tab/>
        <w:t xml:space="preserve">Prioritise catalytic outcomes: </w:t>
      </w:r>
      <w:r w:rsidRPr="007C4ABD">
        <w:rPr>
          <w:rFonts w:cstheme="minorHAnsi"/>
        </w:rPr>
        <w:t xml:space="preserve">By supporting the skills of Indonesia’s labour market and demonstrating new TVET models, lessons will be available to strengthen Indonesia’s own TVET sector, which will be critical to meeting their large skill requirement. By focusing on skills in priority sectors, this investment also supports productivity, competitiveness and innovation in those industries more generally. </w:t>
      </w:r>
    </w:p>
    <w:p w14:paraId="1E9F8A8C" w14:textId="167141FF" w:rsidR="00E827EF" w:rsidRPr="007C4ABD" w:rsidRDefault="00E827EF" w:rsidP="0037583C">
      <w:pPr>
        <w:pBdr>
          <w:top w:val="single" w:sz="4" w:space="1" w:color="auto"/>
          <w:left w:val="single" w:sz="4" w:space="4" w:color="auto"/>
          <w:bottom w:val="single" w:sz="4" w:space="1" w:color="auto"/>
          <w:right w:val="single" w:sz="4" w:space="4" w:color="auto"/>
        </w:pBdr>
        <w:ind w:left="720" w:hanging="720"/>
        <w:jc w:val="both"/>
        <w:rPr>
          <w:rFonts w:cstheme="minorHAnsi"/>
          <w:b/>
          <w:bCs/>
        </w:rPr>
      </w:pPr>
      <w:r w:rsidRPr="007C4ABD">
        <w:rPr>
          <w:rFonts w:cstheme="minorHAnsi"/>
          <w:b/>
          <w:bCs/>
        </w:rPr>
        <w:t>(viii)</w:t>
      </w:r>
      <w:r w:rsidRPr="007C4ABD">
        <w:rPr>
          <w:rFonts w:cstheme="minorHAnsi"/>
          <w:b/>
          <w:bCs/>
        </w:rPr>
        <w:tab/>
        <w:t xml:space="preserve">Co-contribution: </w:t>
      </w:r>
      <w:r w:rsidRPr="007C4ABD">
        <w:rPr>
          <w:rFonts w:cstheme="minorHAnsi"/>
          <w:bCs/>
        </w:rPr>
        <w:t xml:space="preserve">The Government of Indonesia has committed to contributing to the ECP. Exact support is to be determined, but policies such as the pre-employment card provide new sources of funding for skills and training. Co-contribution will also be sought from employers, employees, the Government of Indonesia and TVET providers as part of the tender process for design and delivery of courses. </w:t>
      </w:r>
    </w:p>
    <w:p w14:paraId="420FB0BD" w14:textId="0F3C9846" w:rsidR="00E827EF" w:rsidRPr="007C4ABD" w:rsidRDefault="00E827EF" w:rsidP="00AD5A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heme="minorHAnsi"/>
          <w:i/>
          <w:iCs/>
          <w:sz w:val="16"/>
        </w:rPr>
      </w:pPr>
      <w:r w:rsidRPr="007C4ABD">
        <w:rPr>
          <w:rFonts w:cstheme="minorHAnsi"/>
          <w:b/>
          <w:bCs/>
        </w:rPr>
        <w:t>Context and rationale</w:t>
      </w:r>
    </w:p>
    <w:p w14:paraId="32C63C79" w14:textId="3A58EB66" w:rsidR="00E827EF" w:rsidRPr="007C4ABD" w:rsidRDefault="00E827EF" w:rsidP="00E82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1"/>
          <w:szCs w:val="21"/>
        </w:rPr>
      </w:pPr>
      <w:r w:rsidRPr="007C4ABD">
        <w:rPr>
          <w:rFonts w:cstheme="minorHAnsi"/>
          <w:sz w:val="21"/>
          <w:szCs w:val="21"/>
        </w:rPr>
        <w:t>McKinsey Global Institute (MGI) estimates that by 2030 Indonesia will need 113 million skilled workers, a significant increase in the 57 million skilled Indonesian workers available in 2016. To fill this skills gap, 3.7 million skilled workers are needed each year. Further, the skills required tend to reflect what is often referred to as “21st century skills”, namely</w:t>
      </w:r>
      <w:r w:rsidR="00964A63">
        <w:rPr>
          <w:rFonts w:cstheme="minorHAnsi"/>
          <w:sz w:val="21"/>
          <w:szCs w:val="21"/>
        </w:rPr>
        <w:t xml:space="preserve"> </w:t>
      </w:r>
      <w:r w:rsidRPr="007C4ABD">
        <w:rPr>
          <w:rFonts w:cstheme="minorHAnsi"/>
          <w:sz w:val="21"/>
          <w:szCs w:val="21"/>
        </w:rPr>
        <w:t xml:space="preserve">critical thinking, problem solving, creativity, etc.  These skills are needed by the workforce and are not generally well addressed in traditional education and training in Indonesia. There is growing evidence that technical skills alone will not provide the workforce skills needed by all countries over the next two decades.  </w:t>
      </w:r>
    </w:p>
    <w:p w14:paraId="09C258BE" w14:textId="4B3C06C2" w:rsidR="00E827EF" w:rsidRPr="007C4ABD" w:rsidRDefault="00E827EF" w:rsidP="00E82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1"/>
          <w:szCs w:val="21"/>
        </w:rPr>
      </w:pPr>
      <w:r w:rsidRPr="007C4ABD">
        <w:rPr>
          <w:rFonts w:cstheme="minorHAnsi"/>
          <w:sz w:val="21"/>
          <w:szCs w:val="21"/>
        </w:rPr>
        <w:t>Skills are needed across all sectors. For instance, the Indonesia tourism industry currently employs 12.8 million people and is expected to grow to 15 million by 2024 (Program Strategies, Indonesia Ministry of Tourism and Creative Economy). In digital industries, Indonesia needs 9 million skilled workers by 2030.</w:t>
      </w:r>
    </w:p>
    <w:p w14:paraId="63AD42D7" w14:textId="77FCB8FC" w:rsidR="00E827EF" w:rsidRPr="007C4ABD" w:rsidRDefault="00E827EF" w:rsidP="00E82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1"/>
          <w:szCs w:val="21"/>
        </w:rPr>
      </w:pPr>
      <w:r w:rsidRPr="007C4ABD">
        <w:rPr>
          <w:rFonts w:cstheme="minorHAnsi"/>
          <w:sz w:val="21"/>
          <w:szCs w:val="21"/>
        </w:rPr>
        <w:t xml:space="preserve">To address this challenge the Government of Indonesia has made human capital, and TVET in particular, a priority of the government. In September 2016, </w:t>
      </w:r>
      <w:r w:rsidR="00D74DD2">
        <w:rPr>
          <w:rFonts w:cstheme="minorHAnsi"/>
          <w:sz w:val="21"/>
          <w:szCs w:val="21"/>
        </w:rPr>
        <w:t xml:space="preserve">the </w:t>
      </w:r>
      <w:r w:rsidRPr="007C4ABD">
        <w:rPr>
          <w:rFonts w:cstheme="minorHAnsi"/>
          <w:sz w:val="21"/>
          <w:szCs w:val="21"/>
        </w:rPr>
        <w:t xml:space="preserve">President of the Republic of Indonesia, Joko Widodo released a special decree on the revitalization of vocational education. Further, President </w:t>
      </w:r>
      <w:proofErr w:type="spellStart"/>
      <w:r w:rsidRPr="007C4ABD">
        <w:rPr>
          <w:rFonts w:cstheme="minorHAnsi"/>
          <w:sz w:val="21"/>
          <w:szCs w:val="21"/>
        </w:rPr>
        <w:t>Jokowi</w:t>
      </w:r>
      <w:proofErr w:type="spellEnd"/>
      <w:r w:rsidRPr="007C4ABD">
        <w:rPr>
          <w:rFonts w:cstheme="minorHAnsi"/>
          <w:sz w:val="21"/>
          <w:szCs w:val="21"/>
        </w:rPr>
        <w:t xml:space="preserve"> recently announced a new pre-employment card (</w:t>
      </w:r>
      <w:proofErr w:type="spellStart"/>
      <w:r w:rsidRPr="007C4ABD">
        <w:rPr>
          <w:rFonts w:cstheme="minorHAnsi"/>
          <w:sz w:val="21"/>
          <w:szCs w:val="21"/>
        </w:rPr>
        <w:t>kartu</w:t>
      </w:r>
      <w:proofErr w:type="spellEnd"/>
      <w:r w:rsidRPr="007C4ABD">
        <w:rPr>
          <w:rFonts w:cstheme="minorHAnsi"/>
          <w:sz w:val="21"/>
          <w:szCs w:val="21"/>
        </w:rPr>
        <w:t xml:space="preserve"> </w:t>
      </w:r>
      <w:proofErr w:type="spellStart"/>
      <w:r w:rsidRPr="007C4ABD">
        <w:rPr>
          <w:rFonts w:cstheme="minorHAnsi"/>
          <w:sz w:val="21"/>
          <w:szCs w:val="21"/>
        </w:rPr>
        <w:t>prakerja</w:t>
      </w:r>
      <w:proofErr w:type="spellEnd"/>
      <w:r w:rsidRPr="007C4ABD">
        <w:rPr>
          <w:rFonts w:cstheme="minorHAnsi"/>
          <w:sz w:val="21"/>
          <w:szCs w:val="21"/>
        </w:rPr>
        <w:t xml:space="preserve">), which will allow people who lost their job to seek subsidised training for up-grading or re-skilling. </w:t>
      </w:r>
    </w:p>
    <w:p w14:paraId="1942ED46" w14:textId="0E241B7D" w:rsidR="00E827EF" w:rsidRPr="007C4ABD" w:rsidRDefault="00E827EF" w:rsidP="00E82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1"/>
          <w:szCs w:val="21"/>
        </w:rPr>
      </w:pPr>
      <w:r w:rsidRPr="007C4ABD">
        <w:rPr>
          <w:rFonts w:cstheme="minorHAnsi"/>
          <w:sz w:val="21"/>
          <w:szCs w:val="21"/>
        </w:rPr>
        <w:t>Indonesia currently provides TVET at 3 different levels: Training Centre (non-formal), SMK or Vocational High School (senior secondary) and Academy, Institute or Polytechnic (Higher Education). Currently there are:</w:t>
      </w:r>
    </w:p>
    <w:p w14:paraId="379556A5" w14:textId="77777777" w:rsidR="00E827EF" w:rsidRPr="007C4ABD" w:rsidRDefault="00E827EF" w:rsidP="00F5504F">
      <w:pPr>
        <w:pStyle w:val="ListParagraph"/>
        <w:widowControl w:val="0"/>
        <w:numPr>
          <w:ilvl w:val="0"/>
          <w:numId w:val="9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line="240" w:lineRule="auto"/>
        <w:ind w:left="993" w:hanging="426"/>
        <w:rPr>
          <w:rFonts w:cstheme="minorHAnsi"/>
          <w:iCs/>
          <w:sz w:val="21"/>
          <w:szCs w:val="21"/>
        </w:rPr>
      </w:pPr>
      <w:r w:rsidRPr="007C4ABD">
        <w:rPr>
          <w:rFonts w:cstheme="minorHAnsi"/>
          <w:iCs/>
          <w:sz w:val="21"/>
          <w:szCs w:val="21"/>
        </w:rPr>
        <w:t xml:space="preserve">14,097 vocational high schools, including 2,017 SMKs providing agribusiness and technology </w:t>
      </w:r>
      <w:r w:rsidRPr="007C4ABD">
        <w:rPr>
          <w:rFonts w:cstheme="minorHAnsi"/>
          <w:iCs/>
          <w:sz w:val="21"/>
          <w:szCs w:val="21"/>
        </w:rPr>
        <w:lastRenderedPageBreak/>
        <w:t xml:space="preserve">programs; 2,111 SMKs providing tourism related programs; 1,515 SMKs providing health related programs, 6,529 providing technology and engineering programs; and 7,873 SMKs providing ITC related program. </w:t>
      </w:r>
    </w:p>
    <w:p w14:paraId="7729C4F7" w14:textId="77777777" w:rsidR="00E827EF" w:rsidRPr="007C4ABD" w:rsidRDefault="00E827EF" w:rsidP="00F5504F">
      <w:pPr>
        <w:pStyle w:val="ListParagraph"/>
        <w:widowControl w:val="0"/>
        <w:numPr>
          <w:ilvl w:val="0"/>
          <w:numId w:val="9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line="240" w:lineRule="auto"/>
        <w:ind w:left="993" w:hanging="426"/>
        <w:rPr>
          <w:rFonts w:cstheme="minorHAnsi"/>
          <w:iCs/>
          <w:sz w:val="21"/>
          <w:szCs w:val="21"/>
        </w:rPr>
      </w:pPr>
      <w:r w:rsidRPr="007C4ABD">
        <w:rPr>
          <w:rFonts w:cstheme="minorHAnsi"/>
          <w:iCs/>
          <w:sz w:val="21"/>
          <w:szCs w:val="21"/>
        </w:rPr>
        <w:t>211 Polytechnics (43 state owned and 168 private). 13 focus on agriculture; 6 focus on tourism; 40 focus on nursing; and 4 focus on manufacturing.</w:t>
      </w:r>
    </w:p>
    <w:p w14:paraId="18762D72" w14:textId="77777777" w:rsidR="00E827EF" w:rsidRPr="007C4ABD" w:rsidRDefault="00E827EF" w:rsidP="00F5504F">
      <w:pPr>
        <w:pStyle w:val="ListParagraph"/>
        <w:widowControl w:val="0"/>
        <w:numPr>
          <w:ilvl w:val="0"/>
          <w:numId w:val="9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line="240" w:lineRule="auto"/>
        <w:ind w:left="993" w:hanging="426"/>
        <w:rPr>
          <w:rFonts w:cstheme="minorHAnsi"/>
          <w:iCs/>
          <w:sz w:val="21"/>
          <w:szCs w:val="21"/>
        </w:rPr>
      </w:pPr>
      <w:r w:rsidRPr="007C4ABD">
        <w:rPr>
          <w:rFonts w:cstheme="minorHAnsi"/>
          <w:iCs/>
          <w:sz w:val="21"/>
          <w:szCs w:val="21"/>
        </w:rPr>
        <w:t>305 public vocational training centres (</w:t>
      </w:r>
      <w:proofErr w:type="spellStart"/>
      <w:r w:rsidRPr="007C4ABD">
        <w:rPr>
          <w:rFonts w:cstheme="minorHAnsi"/>
          <w:iCs/>
          <w:sz w:val="21"/>
          <w:szCs w:val="21"/>
        </w:rPr>
        <w:t>Balai</w:t>
      </w:r>
      <w:proofErr w:type="spellEnd"/>
      <w:r w:rsidRPr="007C4ABD">
        <w:rPr>
          <w:rFonts w:cstheme="minorHAnsi"/>
          <w:iCs/>
          <w:sz w:val="21"/>
          <w:szCs w:val="21"/>
        </w:rPr>
        <w:t xml:space="preserve"> </w:t>
      </w:r>
      <w:proofErr w:type="spellStart"/>
      <w:r w:rsidRPr="007C4ABD">
        <w:rPr>
          <w:rFonts w:cstheme="minorHAnsi"/>
          <w:iCs/>
          <w:sz w:val="21"/>
          <w:szCs w:val="21"/>
        </w:rPr>
        <w:t>Latihan</w:t>
      </w:r>
      <w:proofErr w:type="spellEnd"/>
      <w:r w:rsidRPr="007C4ABD">
        <w:rPr>
          <w:rFonts w:cstheme="minorHAnsi"/>
          <w:iCs/>
          <w:sz w:val="21"/>
          <w:szCs w:val="21"/>
        </w:rPr>
        <w:t xml:space="preserve"> </w:t>
      </w:r>
      <w:proofErr w:type="spellStart"/>
      <w:r w:rsidRPr="007C4ABD">
        <w:rPr>
          <w:rFonts w:cstheme="minorHAnsi"/>
          <w:iCs/>
          <w:sz w:val="21"/>
          <w:szCs w:val="21"/>
        </w:rPr>
        <w:t>Kerja</w:t>
      </w:r>
      <w:proofErr w:type="spellEnd"/>
      <w:r w:rsidRPr="007C4ABD">
        <w:rPr>
          <w:rFonts w:cstheme="minorHAnsi"/>
          <w:iCs/>
          <w:sz w:val="21"/>
          <w:szCs w:val="21"/>
        </w:rPr>
        <w:t xml:space="preserve"> - BLK), 21 of which are managed under the central government (Ministry of Manpower), and 284 of which are managed by local government. The number of private training centres is estimated at around 5000.</w:t>
      </w:r>
    </w:p>
    <w:p w14:paraId="08BA2FAE" w14:textId="004B72C3" w:rsidR="00E827EF" w:rsidRPr="007C4ABD" w:rsidRDefault="00E827EF" w:rsidP="00F5504F">
      <w:pPr>
        <w:pStyle w:val="ListParagraph"/>
        <w:widowControl w:val="0"/>
        <w:numPr>
          <w:ilvl w:val="0"/>
          <w:numId w:val="9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line="240" w:lineRule="auto"/>
        <w:ind w:left="993" w:hanging="426"/>
        <w:rPr>
          <w:rFonts w:cstheme="minorHAnsi"/>
          <w:iCs/>
          <w:sz w:val="21"/>
          <w:szCs w:val="21"/>
        </w:rPr>
      </w:pPr>
      <w:r w:rsidRPr="007C4ABD">
        <w:rPr>
          <w:rFonts w:cstheme="minorHAnsi"/>
          <w:iCs/>
          <w:sz w:val="21"/>
          <w:szCs w:val="21"/>
        </w:rPr>
        <w:t>9,332 non-formal courses and training agencies are supervised by the Ministry of Education and Culture, providing 75 skills training areas. 1,416 of those agencies have been accredited by the National Accredi</w:t>
      </w:r>
      <w:r w:rsidR="00964A63">
        <w:rPr>
          <w:rFonts w:cstheme="minorHAnsi"/>
          <w:iCs/>
          <w:sz w:val="21"/>
          <w:szCs w:val="21"/>
        </w:rPr>
        <w:t>t</w:t>
      </w:r>
      <w:r w:rsidRPr="007C4ABD">
        <w:rPr>
          <w:rFonts w:cstheme="minorHAnsi"/>
          <w:iCs/>
          <w:sz w:val="21"/>
          <w:szCs w:val="21"/>
        </w:rPr>
        <w:t>ation Board for Non-Formal Education.</w:t>
      </w:r>
    </w:p>
    <w:p w14:paraId="1AB698C6" w14:textId="05D050BC" w:rsidR="00E827EF" w:rsidRPr="007C4ABD" w:rsidRDefault="00E827EF" w:rsidP="00F5504F">
      <w:pPr>
        <w:pStyle w:val="ListParagraph"/>
        <w:widowControl w:val="0"/>
        <w:numPr>
          <w:ilvl w:val="0"/>
          <w:numId w:val="9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line="240" w:lineRule="auto"/>
        <w:ind w:left="993" w:hanging="426"/>
        <w:rPr>
          <w:rFonts w:cstheme="minorHAnsi"/>
          <w:iCs/>
          <w:sz w:val="21"/>
          <w:szCs w:val="21"/>
        </w:rPr>
      </w:pPr>
      <w:r w:rsidRPr="007C4ABD">
        <w:rPr>
          <w:rFonts w:cstheme="minorHAnsi"/>
          <w:iCs/>
          <w:sz w:val="21"/>
          <w:szCs w:val="21"/>
        </w:rPr>
        <w:t xml:space="preserve">BLK, SMK and many polytechnics and private training centres are widely considered as low quality, particularly by industry. A major criticism is that Indonesia’s TVET graduates are not being equipped with the skills and competencies required by industries. </w:t>
      </w:r>
    </w:p>
    <w:p w14:paraId="760781BB" w14:textId="23B5E67C" w:rsidR="00E827EF" w:rsidRPr="007C4ABD" w:rsidRDefault="00E827EF" w:rsidP="00E82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1"/>
          <w:szCs w:val="21"/>
        </w:rPr>
      </w:pPr>
      <w:r w:rsidRPr="007C4ABD">
        <w:rPr>
          <w:rFonts w:cstheme="minorHAnsi"/>
          <w:sz w:val="21"/>
          <w:szCs w:val="21"/>
        </w:rPr>
        <w:t xml:space="preserve">Curriculums are designed by government with minimum involvement from industries. Many TVET providers are run by government with assessment, monitoring, evaluation and certification also run or funded by government. Indonesia’s TVET sectors are managed by four different ministries with limited coordination: Coordinating Ministry of Economy, Coordinating Ministry of Human Development and Culture, Ministry of Education and Culture; and Ministry of Manpower. </w:t>
      </w:r>
    </w:p>
    <w:p w14:paraId="03E7B416" w14:textId="5B2123A6" w:rsidR="00E827EF" w:rsidRPr="007C4ABD" w:rsidRDefault="00E827EF" w:rsidP="00E82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1"/>
          <w:szCs w:val="21"/>
        </w:rPr>
      </w:pPr>
      <w:r w:rsidRPr="007C4ABD">
        <w:rPr>
          <w:rFonts w:cstheme="minorHAnsi"/>
          <w:sz w:val="21"/>
          <w:szCs w:val="21"/>
        </w:rPr>
        <w:t xml:space="preserve">The Government of Indonesia is now in the process of formulating the National Strategy on TVET Development. The strategy, among others, will include the establishment of a National TVET Committee, consisting of representatives from the Coordinating Ministry of Economic Affairs, Coordinating Ministry of Human Development and Culture, Ministry of National Development Planning/BAPPENAS, Ministry of Education and Culture, Ministry of Manpower, Ministry of Industry and KADIN. The Committee will be led by the President of Vice President, and will act as a single oversight entity to manage TVET implementation in Indonesia. A number of development partners, such as the World Bank and GIZ are supporting these and other TVET related efforts.  </w:t>
      </w:r>
    </w:p>
    <w:p w14:paraId="3B487366" w14:textId="1457E0A4" w:rsidR="00E827EF" w:rsidRPr="007C4ABD" w:rsidRDefault="00E827EF" w:rsidP="00E82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1"/>
          <w:szCs w:val="21"/>
        </w:rPr>
      </w:pPr>
      <w:r w:rsidRPr="007C4ABD">
        <w:rPr>
          <w:rFonts w:cstheme="minorHAnsi"/>
          <w:sz w:val="21"/>
          <w:szCs w:val="21"/>
        </w:rPr>
        <w:t xml:space="preserve">The Indonesian government is also looking to Australia through IA-CEPA to support higher quality TVET, with Australia TVET institutions able to establish training institutions in Indonesia with Australian ownership up to 67%. </w:t>
      </w:r>
    </w:p>
    <w:p w14:paraId="657FD8F5" w14:textId="77777777" w:rsidR="00E827EF" w:rsidRPr="007C4ABD" w:rsidRDefault="00E827EF" w:rsidP="00E82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1"/>
          <w:szCs w:val="21"/>
        </w:rPr>
      </w:pPr>
      <w:r w:rsidRPr="007C4ABD">
        <w:rPr>
          <w:rFonts w:cstheme="minorHAnsi"/>
          <w:sz w:val="21"/>
          <w:szCs w:val="21"/>
        </w:rPr>
        <w:t xml:space="preserve">Priority areas identified for TVET reform by GOI, with various degrees of ambition, include: </w:t>
      </w:r>
    </w:p>
    <w:p w14:paraId="74B32517" w14:textId="5A944499" w:rsidR="00E827EF" w:rsidRPr="007C4ABD" w:rsidRDefault="00E827EF" w:rsidP="00F5504F">
      <w:pPr>
        <w:pStyle w:val="ListParagraph"/>
        <w:widowControl w:val="0"/>
        <w:numPr>
          <w:ilvl w:val="0"/>
          <w:numId w:val="9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line="240" w:lineRule="auto"/>
        <w:ind w:left="993" w:hanging="426"/>
        <w:rPr>
          <w:rFonts w:cstheme="minorHAnsi"/>
          <w:iCs/>
          <w:sz w:val="21"/>
          <w:szCs w:val="21"/>
        </w:rPr>
      </w:pPr>
      <w:r w:rsidRPr="007C4ABD">
        <w:rPr>
          <w:rFonts w:cstheme="minorHAnsi"/>
          <w:iCs/>
          <w:sz w:val="21"/>
          <w:szCs w:val="21"/>
        </w:rPr>
        <w:t>Consolidating TVET management</w:t>
      </w:r>
      <w:r w:rsidR="002832DF">
        <w:rPr>
          <w:rFonts w:cstheme="minorHAnsi"/>
          <w:iCs/>
          <w:sz w:val="21"/>
          <w:szCs w:val="21"/>
        </w:rPr>
        <w:t xml:space="preserve"> </w:t>
      </w:r>
      <w:r w:rsidRPr="007C4ABD">
        <w:rPr>
          <w:rFonts w:cstheme="minorHAnsi"/>
          <w:iCs/>
          <w:sz w:val="21"/>
          <w:szCs w:val="21"/>
        </w:rPr>
        <w:t>and regulators under the National TVET Committee;</w:t>
      </w:r>
    </w:p>
    <w:p w14:paraId="17A2C763" w14:textId="77777777" w:rsidR="00E827EF" w:rsidRPr="007C4ABD" w:rsidRDefault="00E827EF" w:rsidP="00F5504F">
      <w:pPr>
        <w:pStyle w:val="ListParagraph"/>
        <w:widowControl w:val="0"/>
        <w:numPr>
          <w:ilvl w:val="0"/>
          <w:numId w:val="9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line="240" w:lineRule="auto"/>
        <w:ind w:left="993" w:hanging="426"/>
        <w:rPr>
          <w:rFonts w:cstheme="minorHAnsi"/>
          <w:iCs/>
          <w:sz w:val="21"/>
          <w:szCs w:val="21"/>
        </w:rPr>
      </w:pPr>
      <w:r w:rsidRPr="007C4ABD">
        <w:rPr>
          <w:rFonts w:cstheme="minorHAnsi"/>
          <w:iCs/>
          <w:sz w:val="21"/>
          <w:szCs w:val="21"/>
        </w:rPr>
        <w:t>Reducing government dominance in TVET management;</w:t>
      </w:r>
    </w:p>
    <w:p w14:paraId="5AC7E752" w14:textId="77777777" w:rsidR="00E827EF" w:rsidRPr="007C4ABD" w:rsidRDefault="00E827EF" w:rsidP="00F5504F">
      <w:pPr>
        <w:pStyle w:val="ListParagraph"/>
        <w:widowControl w:val="0"/>
        <w:numPr>
          <w:ilvl w:val="0"/>
          <w:numId w:val="9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line="240" w:lineRule="auto"/>
        <w:ind w:left="993" w:hanging="426"/>
        <w:rPr>
          <w:rFonts w:cstheme="minorHAnsi"/>
          <w:iCs/>
          <w:sz w:val="21"/>
          <w:szCs w:val="21"/>
        </w:rPr>
      </w:pPr>
      <w:r w:rsidRPr="007C4ABD">
        <w:rPr>
          <w:rFonts w:cstheme="minorHAnsi"/>
          <w:iCs/>
          <w:sz w:val="21"/>
          <w:szCs w:val="21"/>
        </w:rPr>
        <w:t>Imposing a moratorium for new SMKs and closing down SMK’s that fail to meet quality standards. This will also involve SMK curriculum reform.</w:t>
      </w:r>
    </w:p>
    <w:p w14:paraId="6731030B" w14:textId="71E8A138" w:rsidR="00E827EF" w:rsidRPr="007C4ABD" w:rsidRDefault="00E827EF" w:rsidP="00F5504F">
      <w:pPr>
        <w:pStyle w:val="ListParagraph"/>
        <w:widowControl w:val="0"/>
        <w:numPr>
          <w:ilvl w:val="0"/>
          <w:numId w:val="9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spacing w:before="0" w:after="0" w:line="240" w:lineRule="auto"/>
        <w:ind w:left="993" w:hanging="426"/>
        <w:rPr>
          <w:rFonts w:cstheme="minorHAnsi"/>
          <w:iCs/>
          <w:sz w:val="21"/>
          <w:szCs w:val="21"/>
        </w:rPr>
      </w:pPr>
      <w:r w:rsidRPr="007C4ABD">
        <w:rPr>
          <w:rFonts w:cstheme="minorHAnsi"/>
          <w:iCs/>
          <w:sz w:val="21"/>
          <w:szCs w:val="21"/>
        </w:rPr>
        <w:t xml:space="preserve">Encouraging and facilitating foreign TVET providers to establish and/or partner in the provision of quality training in Indonesia, working closely with industry. </w:t>
      </w:r>
    </w:p>
    <w:p w14:paraId="2B1A17EA" w14:textId="188911C8" w:rsidR="0087378F" w:rsidRDefault="00E827EF" w:rsidP="00BD749B">
      <w:pPr>
        <w:rPr>
          <w:rFonts w:cstheme="minorHAnsi"/>
          <w:b/>
          <w:bCs/>
        </w:rPr>
      </w:pPr>
      <w:r w:rsidRPr="007C4ABD">
        <w:rPr>
          <w:rFonts w:cstheme="minorHAnsi"/>
          <w:sz w:val="21"/>
          <w:szCs w:val="21"/>
        </w:rPr>
        <w:t>The Australian Government is committed to delivering quality TVET with the launch of the VET International Engagement Strategy 2025. Minister Cash expressed: “By supporting international VET students in Australia and building the capacity of partner countries to develop training systems aligned with industry needs, we will open up market opportunities for Australian training providers while ensuring local employers can access the skilled workers they need, when they need them.”</w:t>
      </w:r>
      <w:r w:rsidRPr="007C4ABD">
        <w:rPr>
          <w:rStyle w:val="FootnoteReference"/>
          <w:rFonts w:cstheme="minorHAnsi"/>
          <w:sz w:val="21"/>
          <w:szCs w:val="21"/>
        </w:rPr>
        <w:footnoteReference w:id="45"/>
      </w:r>
    </w:p>
    <w:p w14:paraId="7914BE33" w14:textId="26B86174" w:rsidR="00E827EF" w:rsidRPr="007C4ABD" w:rsidRDefault="00E827EF" w:rsidP="00E82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12"/>
        </w:rPr>
      </w:pPr>
      <w:r w:rsidRPr="007C4ABD">
        <w:rPr>
          <w:rFonts w:cstheme="minorHAnsi"/>
          <w:b/>
          <w:bCs/>
        </w:rPr>
        <w:t>Activity logic</w:t>
      </w:r>
    </w:p>
    <w:p w14:paraId="26B203A0" w14:textId="660709A6" w:rsidR="00E827EF" w:rsidRPr="007C4ABD" w:rsidRDefault="00E827EF" w:rsidP="00E827EF">
      <w:pPr>
        <w:rPr>
          <w:rFonts w:cstheme="minorHAnsi"/>
          <w:sz w:val="12"/>
          <w:szCs w:val="12"/>
        </w:rPr>
      </w:pPr>
      <w:r w:rsidRPr="007C4ABD">
        <w:rPr>
          <w:rFonts w:cstheme="minorHAnsi"/>
          <w:b/>
        </w:rPr>
        <w:t xml:space="preserve">Goal: </w:t>
      </w:r>
      <w:r w:rsidRPr="007C4ABD">
        <w:rPr>
          <w:rFonts w:cstheme="minorHAnsi"/>
        </w:rPr>
        <w:t>To increase productivity, competitiveness and innovation in Indonesia through skills development of the workforce.</w:t>
      </w:r>
    </w:p>
    <w:p w14:paraId="749BB40E" w14:textId="370A1F5D" w:rsidR="00E827EF" w:rsidRPr="007C4ABD" w:rsidRDefault="00E827EF" w:rsidP="00E827EF">
      <w:pPr>
        <w:rPr>
          <w:rFonts w:cstheme="minorHAnsi"/>
          <w:sz w:val="12"/>
          <w:szCs w:val="12"/>
        </w:rPr>
      </w:pPr>
      <w:r w:rsidRPr="007C4ABD">
        <w:rPr>
          <w:rFonts w:cstheme="minorHAnsi"/>
          <w:b/>
        </w:rPr>
        <w:t xml:space="preserve">Contributes to: </w:t>
      </w:r>
      <w:r w:rsidRPr="007C4ABD">
        <w:rPr>
          <w:rFonts w:cstheme="minorHAnsi"/>
        </w:rPr>
        <w:t>ECP End of Program Outcome 3 – Enhanced Labour Market Skills</w:t>
      </w:r>
    </w:p>
    <w:p w14:paraId="14576517" w14:textId="77777777" w:rsidR="00E827EF" w:rsidRPr="007C4ABD" w:rsidRDefault="00E827EF" w:rsidP="00E827EF">
      <w:pPr>
        <w:rPr>
          <w:rFonts w:cstheme="minorHAnsi"/>
          <w:b/>
        </w:rPr>
      </w:pPr>
      <w:r w:rsidRPr="007C4ABD">
        <w:rPr>
          <w:rFonts w:cstheme="minorHAnsi"/>
          <w:b/>
        </w:rPr>
        <w:t>Objectives</w:t>
      </w:r>
    </w:p>
    <w:p w14:paraId="77CDDB53" w14:textId="77777777" w:rsidR="00E827EF" w:rsidRPr="007C4ABD" w:rsidRDefault="00E827EF" w:rsidP="00F5504F">
      <w:pPr>
        <w:pStyle w:val="ListParagraph"/>
        <w:numPr>
          <w:ilvl w:val="0"/>
          <w:numId w:val="87"/>
        </w:numPr>
        <w:suppressAutoHyphens w:val="0"/>
        <w:spacing w:before="0" w:after="160" w:line="259" w:lineRule="auto"/>
        <w:ind w:left="720"/>
        <w:rPr>
          <w:rFonts w:cstheme="minorHAnsi"/>
        </w:rPr>
      </w:pPr>
      <w:r w:rsidRPr="007C4ABD">
        <w:rPr>
          <w:rFonts w:cstheme="minorHAnsi"/>
        </w:rPr>
        <w:t>To identify skills gaps in priority industries through the Industry Committees.</w:t>
      </w:r>
    </w:p>
    <w:p w14:paraId="2F63F34B" w14:textId="77777777" w:rsidR="00E827EF" w:rsidRPr="007C4ABD" w:rsidRDefault="00E827EF" w:rsidP="00F5504F">
      <w:pPr>
        <w:pStyle w:val="ListParagraph"/>
        <w:numPr>
          <w:ilvl w:val="0"/>
          <w:numId w:val="87"/>
        </w:numPr>
        <w:suppressAutoHyphens w:val="0"/>
        <w:spacing w:before="0" w:after="160" w:line="259" w:lineRule="auto"/>
        <w:ind w:left="720"/>
        <w:rPr>
          <w:rFonts w:cstheme="minorHAnsi"/>
        </w:rPr>
      </w:pPr>
      <w:r w:rsidRPr="007C4ABD">
        <w:rPr>
          <w:rFonts w:cstheme="minorHAnsi"/>
        </w:rPr>
        <w:lastRenderedPageBreak/>
        <w:t>To develop industry-driven delivery models through pilot partnerships.</w:t>
      </w:r>
    </w:p>
    <w:p w14:paraId="28794CB4" w14:textId="77777777" w:rsidR="00E827EF" w:rsidRPr="007C4ABD" w:rsidRDefault="00E827EF" w:rsidP="00F5504F">
      <w:pPr>
        <w:pStyle w:val="ListParagraph"/>
        <w:numPr>
          <w:ilvl w:val="0"/>
          <w:numId w:val="87"/>
        </w:numPr>
        <w:suppressAutoHyphens w:val="0"/>
        <w:spacing w:before="0" w:after="160" w:line="259" w:lineRule="auto"/>
        <w:ind w:left="720"/>
        <w:rPr>
          <w:rFonts w:cstheme="minorHAnsi"/>
        </w:rPr>
      </w:pPr>
      <w:r w:rsidRPr="007C4ABD">
        <w:rPr>
          <w:rFonts w:cstheme="minorHAnsi"/>
        </w:rPr>
        <w:t>To train the Indonesian workforce in priority sectors, consistent with the needs identified by Indonesian industry;</w:t>
      </w:r>
    </w:p>
    <w:p w14:paraId="508061AB" w14:textId="77777777" w:rsidR="00E827EF" w:rsidRPr="007C4ABD" w:rsidRDefault="00E827EF" w:rsidP="00F5504F">
      <w:pPr>
        <w:pStyle w:val="ListParagraph"/>
        <w:numPr>
          <w:ilvl w:val="0"/>
          <w:numId w:val="87"/>
        </w:numPr>
        <w:suppressAutoHyphens w:val="0"/>
        <w:spacing w:before="0" w:after="160" w:line="259" w:lineRule="auto"/>
        <w:ind w:left="720"/>
        <w:rPr>
          <w:rFonts w:cstheme="minorHAnsi"/>
        </w:rPr>
      </w:pPr>
      <w:r w:rsidRPr="007C4ABD">
        <w:rPr>
          <w:rFonts w:cstheme="minorHAnsi"/>
        </w:rPr>
        <w:t>To scale up successful training programs and delivery models.</w:t>
      </w:r>
    </w:p>
    <w:p w14:paraId="682FB383" w14:textId="77777777" w:rsidR="00E827EF" w:rsidRPr="007C4ABD" w:rsidRDefault="00E827EF" w:rsidP="00F5504F">
      <w:pPr>
        <w:pStyle w:val="ListParagraph"/>
        <w:numPr>
          <w:ilvl w:val="0"/>
          <w:numId w:val="87"/>
        </w:numPr>
        <w:suppressAutoHyphens w:val="0"/>
        <w:spacing w:before="0" w:after="160" w:line="259" w:lineRule="auto"/>
        <w:ind w:left="720"/>
        <w:rPr>
          <w:rFonts w:cstheme="minorHAnsi"/>
        </w:rPr>
      </w:pPr>
      <w:r w:rsidRPr="007C4ABD">
        <w:rPr>
          <w:rFonts w:cstheme="minorHAnsi"/>
        </w:rPr>
        <w:t>To increasing the proportion of women completing skills and training courses.</w:t>
      </w:r>
    </w:p>
    <w:p w14:paraId="090692FE" w14:textId="77777777" w:rsidR="00E827EF" w:rsidRPr="007C4ABD" w:rsidRDefault="00E827EF" w:rsidP="00F5504F">
      <w:pPr>
        <w:pStyle w:val="ListParagraph"/>
        <w:numPr>
          <w:ilvl w:val="0"/>
          <w:numId w:val="87"/>
        </w:numPr>
        <w:suppressAutoHyphens w:val="0"/>
        <w:spacing w:before="0" w:after="160" w:line="259" w:lineRule="auto"/>
        <w:ind w:left="720"/>
        <w:rPr>
          <w:rFonts w:cstheme="minorHAnsi"/>
        </w:rPr>
      </w:pPr>
      <w:r w:rsidRPr="007C4ABD">
        <w:rPr>
          <w:rFonts w:cstheme="minorHAnsi"/>
        </w:rPr>
        <w:t>To facilitate partnerships between Australian and Indonesian TVET providers and Industry.</w:t>
      </w:r>
    </w:p>
    <w:p w14:paraId="5C41CB0D" w14:textId="0ABBEF0B" w:rsidR="00E827EF" w:rsidRPr="007C4ABD" w:rsidRDefault="00E827EF" w:rsidP="00D97F34">
      <w:pPr>
        <w:pStyle w:val="ListParagraph"/>
        <w:numPr>
          <w:ilvl w:val="0"/>
          <w:numId w:val="87"/>
        </w:numPr>
        <w:suppressAutoHyphens w:val="0"/>
        <w:spacing w:before="0" w:after="160" w:line="259" w:lineRule="auto"/>
        <w:rPr>
          <w:rFonts w:cstheme="minorHAnsi"/>
        </w:rPr>
      </w:pPr>
      <w:r w:rsidRPr="007C4ABD">
        <w:rPr>
          <w:rFonts w:cstheme="minorHAnsi"/>
        </w:rPr>
        <w:t>Support Indonesia’s TVET sector reform efforts, including through increased foreign investment in skills and training</w:t>
      </w:r>
      <w:r w:rsidR="00D97F34">
        <w:rPr>
          <w:rFonts w:cstheme="minorHAnsi"/>
        </w:rPr>
        <w:t xml:space="preserve">, and </w:t>
      </w:r>
      <w:r w:rsidR="00D97F34" w:rsidRPr="00D97F34">
        <w:rPr>
          <w:rFonts w:cstheme="minorHAnsi"/>
        </w:rPr>
        <w:t>sharing info</w:t>
      </w:r>
      <w:r w:rsidR="00D97F34">
        <w:rPr>
          <w:rFonts w:cstheme="minorHAnsi"/>
        </w:rPr>
        <w:t>rmation on certification models,</w:t>
      </w:r>
      <w:r w:rsidRPr="007C4ABD">
        <w:rPr>
          <w:rFonts w:cstheme="minorHAnsi"/>
        </w:rPr>
        <w:t xml:space="preserve"> to boost quality and availability of skilled workers.</w:t>
      </w:r>
    </w:p>
    <w:p w14:paraId="63179513" w14:textId="77777777" w:rsidR="00E827EF" w:rsidRPr="007C4ABD" w:rsidRDefault="00E827EF" w:rsidP="00E827EF">
      <w:pPr>
        <w:rPr>
          <w:rFonts w:cstheme="minorHAnsi"/>
          <w:b/>
        </w:rPr>
      </w:pPr>
      <w:r w:rsidRPr="007C4ABD">
        <w:rPr>
          <w:rFonts w:cstheme="minorHAnsi"/>
          <w:b/>
        </w:rPr>
        <w:t>Intended outcomes</w:t>
      </w:r>
    </w:p>
    <w:p w14:paraId="1ABEF490" w14:textId="0C778BC8" w:rsidR="00E827EF" w:rsidRPr="007C4ABD" w:rsidRDefault="00E827EF" w:rsidP="00E827EF">
      <w:pPr>
        <w:ind w:left="360"/>
        <w:rPr>
          <w:rFonts w:cstheme="minorHAnsi"/>
          <w:b/>
        </w:rPr>
      </w:pPr>
      <w:r w:rsidRPr="007C4ABD">
        <w:rPr>
          <w:rFonts w:cstheme="minorHAnsi"/>
          <w:b/>
        </w:rPr>
        <w:t xml:space="preserve">End of </w:t>
      </w:r>
      <w:r w:rsidR="00FC73B1" w:rsidRPr="007C4ABD">
        <w:rPr>
          <w:rFonts w:cstheme="minorHAnsi"/>
          <w:b/>
        </w:rPr>
        <w:t xml:space="preserve">Activity </w:t>
      </w:r>
      <w:r w:rsidRPr="007C4ABD">
        <w:rPr>
          <w:rFonts w:cstheme="minorHAnsi"/>
          <w:b/>
        </w:rPr>
        <w:t>Outcomes</w:t>
      </w:r>
    </w:p>
    <w:p w14:paraId="2AB8F90D" w14:textId="20AE37A5" w:rsidR="00E827EF" w:rsidRPr="007C4ABD" w:rsidRDefault="00E827EF" w:rsidP="00F5504F">
      <w:pPr>
        <w:pStyle w:val="ListParagraph"/>
        <w:numPr>
          <w:ilvl w:val="0"/>
          <w:numId w:val="87"/>
        </w:numPr>
        <w:suppressAutoHyphens w:val="0"/>
        <w:spacing w:before="0" w:after="160" w:line="259" w:lineRule="auto"/>
        <w:ind w:left="720"/>
        <w:rPr>
          <w:rFonts w:cstheme="minorHAnsi"/>
        </w:rPr>
      </w:pPr>
      <w:r w:rsidRPr="007C4ABD">
        <w:rPr>
          <w:rFonts w:cstheme="minorHAnsi"/>
        </w:rPr>
        <w:t>Australian TVET providers are commercially active in the Indonesian TVET market</w:t>
      </w:r>
      <w:r w:rsidR="00F018F2">
        <w:rPr>
          <w:rFonts w:cstheme="minorHAnsi"/>
        </w:rPr>
        <w:t xml:space="preserve">, </w:t>
      </w:r>
      <w:r w:rsidR="00D74DD2">
        <w:rPr>
          <w:rFonts w:cstheme="minorHAnsi"/>
        </w:rPr>
        <w:t>addressing</w:t>
      </w:r>
      <w:r w:rsidR="00D74DD2" w:rsidRPr="007C4ABD">
        <w:rPr>
          <w:rFonts w:cstheme="minorHAnsi"/>
        </w:rPr>
        <w:t xml:space="preserve"> </w:t>
      </w:r>
      <w:r w:rsidRPr="007C4ABD">
        <w:rPr>
          <w:rFonts w:cstheme="minorHAnsi"/>
        </w:rPr>
        <w:t xml:space="preserve">the need for skilled workers in tourism, agriculture and digital services (amongst other sectors) increases. </w:t>
      </w:r>
    </w:p>
    <w:p w14:paraId="15373F2B" w14:textId="77777777" w:rsidR="00E827EF" w:rsidRPr="007C4ABD" w:rsidRDefault="00E827EF" w:rsidP="00F5504F">
      <w:pPr>
        <w:pStyle w:val="ListParagraph"/>
        <w:numPr>
          <w:ilvl w:val="0"/>
          <w:numId w:val="87"/>
        </w:numPr>
        <w:suppressAutoHyphens w:val="0"/>
        <w:spacing w:before="0" w:after="160" w:line="259" w:lineRule="auto"/>
        <w:ind w:left="720"/>
        <w:rPr>
          <w:rFonts w:cstheme="minorHAnsi"/>
        </w:rPr>
      </w:pPr>
      <w:r w:rsidRPr="007C4ABD">
        <w:rPr>
          <w:rFonts w:cstheme="minorHAnsi"/>
        </w:rPr>
        <w:t xml:space="preserve">Successful TVET delivery models are scaled up based on </w:t>
      </w:r>
      <w:r w:rsidRPr="007C4ABD">
        <w:rPr>
          <w:rFonts w:cstheme="minorHAnsi"/>
          <w:color w:val="auto"/>
          <w:szCs w:val="24"/>
        </w:rPr>
        <w:t xml:space="preserve">post training outcomes for </w:t>
      </w:r>
      <w:r w:rsidRPr="007C4ABD">
        <w:rPr>
          <w:rFonts w:cstheme="minorHAnsi"/>
        </w:rPr>
        <w:t xml:space="preserve">training </w:t>
      </w:r>
      <w:r w:rsidRPr="007C4ABD">
        <w:rPr>
          <w:rFonts w:cstheme="minorHAnsi"/>
          <w:color w:val="auto"/>
          <w:szCs w:val="24"/>
        </w:rPr>
        <w:t>participants</w:t>
      </w:r>
    </w:p>
    <w:p w14:paraId="037F0720" w14:textId="77777777" w:rsidR="00E827EF" w:rsidRPr="007C4ABD" w:rsidRDefault="00E827EF" w:rsidP="00F5504F">
      <w:pPr>
        <w:pStyle w:val="ListParagraph"/>
        <w:numPr>
          <w:ilvl w:val="0"/>
          <w:numId w:val="87"/>
        </w:numPr>
        <w:suppressAutoHyphens w:val="0"/>
        <w:spacing w:before="0" w:after="160" w:line="259" w:lineRule="auto"/>
        <w:ind w:left="720"/>
        <w:rPr>
          <w:rFonts w:cstheme="minorHAnsi"/>
        </w:rPr>
      </w:pPr>
      <w:r w:rsidRPr="007C4ABD">
        <w:rPr>
          <w:rFonts w:cstheme="minorHAnsi"/>
        </w:rPr>
        <w:t xml:space="preserve">The potential of different TVET models are demonstrated, measured by skills being applied at work and employment outcomes of trainees. </w:t>
      </w:r>
    </w:p>
    <w:p w14:paraId="3B411A70" w14:textId="77777777" w:rsidR="00E827EF" w:rsidRPr="007C4ABD" w:rsidRDefault="00E827EF" w:rsidP="00F5504F">
      <w:pPr>
        <w:pStyle w:val="ListParagraph"/>
        <w:numPr>
          <w:ilvl w:val="0"/>
          <w:numId w:val="87"/>
        </w:numPr>
        <w:suppressAutoHyphens w:val="0"/>
        <w:spacing w:before="0" w:after="160" w:line="259" w:lineRule="auto"/>
        <w:ind w:left="720"/>
        <w:rPr>
          <w:rFonts w:cstheme="minorHAnsi"/>
        </w:rPr>
      </w:pPr>
      <w:r w:rsidRPr="007C4ABD">
        <w:rPr>
          <w:rFonts w:cstheme="minorHAnsi"/>
        </w:rPr>
        <w:t xml:space="preserve">Increasing foreign investment in Indonesian TVET. </w:t>
      </w:r>
    </w:p>
    <w:p w14:paraId="4B9FFCEC" w14:textId="77777777" w:rsidR="00E827EF" w:rsidRPr="007C4ABD" w:rsidRDefault="00E827EF" w:rsidP="00F5504F">
      <w:pPr>
        <w:pStyle w:val="ListParagraph"/>
        <w:numPr>
          <w:ilvl w:val="0"/>
          <w:numId w:val="87"/>
        </w:numPr>
        <w:suppressAutoHyphens w:val="0"/>
        <w:spacing w:before="0" w:after="160" w:line="259" w:lineRule="auto"/>
        <w:ind w:left="720"/>
        <w:rPr>
          <w:rFonts w:cstheme="minorHAnsi"/>
        </w:rPr>
      </w:pPr>
      <w:r w:rsidRPr="007C4ABD">
        <w:rPr>
          <w:rFonts w:cstheme="minorHAnsi"/>
        </w:rPr>
        <w:t>More women are completing TVET courses and participating in the labour force.</w:t>
      </w:r>
    </w:p>
    <w:p w14:paraId="53B6D974" w14:textId="77777777" w:rsidR="00E827EF" w:rsidRPr="007C4ABD" w:rsidRDefault="00E827EF" w:rsidP="00E827EF">
      <w:pPr>
        <w:ind w:left="360"/>
        <w:rPr>
          <w:rFonts w:cstheme="minorHAnsi"/>
          <w:b/>
        </w:rPr>
      </w:pPr>
      <w:r w:rsidRPr="007C4ABD">
        <w:rPr>
          <w:rFonts w:cstheme="minorHAnsi"/>
          <w:b/>
        </w:rPr>
        <w:t>Intermediate outcomes</w:t>
      </w:r>
    </w:p>
    <w:p w14:paraId="28C10A50" w14:textId="77777777" w:rsidR="00E827EF" w:rsidRPr="007C4ABD" w:rsidRDefault="00E827EF" w:rsidP="00F5504F">
      <w:pPr>
        <w:pStyle w:val="ListParagraph"/>
        <w:numPr>
          <w:ilvl w:val="0"/>
          <w:numId w:val="87"/>
        </w:numPr>
        <w:suppressAutoHyphens w:val="0"/>
        <w:spacing w:before="0" w:after="160" w:line="259" w:lineRule="auto"/>
        <w:ind w:left="720"/>
        <w:rPr>
          <w:rFonts w:cstheme="minorHAnsi"/>
        </w:rPr>
      </w:pPr>
      <w:r w:rsidRPr="007C4ABD">
        <w:rPr>
          <w:rFonts w:cstheme="minorHAnsi"/>
        </w:rPr>
        <w:t xml:space="preserve">Train the trainer courses are being delivered in priority sectors, including tourism, agriculture, the digital economy. </w:t>
      </w:r>
    </w:p>
    <w:p w14:paraId="10B56A5E" w14:textId="72877319" w:rsidR="00E827EF" w:rsidRPr="007C4ABD" w:rsidRDefault="00E827EF" w:rsidP="00F5504F">
      <w:pPr>
        <w:pStyle w:val="ListParagraph"/>
        <w:numPr>
          <w:ilvl w:val="0"/>
          <w:numId w:val="87"/>
        </w:numPr>
        <w:suppressAutoHyphens w:val="0"/>
        <w:spacing w:before="0" w:after="160" w:line="259" w:lineRule="auto"/>
        <w:ind w:left="720"/>
        <w:rPr>
          <w:rFonts w:cstheme="minorHAnsi"/>
        </w:rPr>
      </w:pPr>
      <w:r w:rsidRPr="007C4ABD">
        <w:rPr>
          <w:rFonts w:cstheme="minorHAnsi"/>
        </w:rPr>
        <w:t xml:space="preserve">Future opportunities in other sectors, including advanced manufacturing, </w:t>
      </w:r>
      <w:r w:rsidR="00D74DD2">
        <w:rPr>
          <w:rFonts w:cstheme="minorHAnsi"/>
        </w:rPr>
        <w:t xml:space="preserve">healthcare industry and services, </w:t>
      </w:r>
      <w:r w:rsidRPr="007C4ABD">
        <w:rPr>
          <w:rFonts w:cstheme="minorHAnsi"/>
        </w:rPr>
        <w:t>social</w:t>
      </w:r>
      <w:r w:rsidR="00D74DD2">
        <w:rPr>
          <w:rFonts w:cstheme="minorHAnsi"/>
        </w:rPr>
        <w:t xml:space="preserve"> care</w:t>
      </w:r>
      <w:r w:rsidRPr="007C4ABD">
        <w:rPr>
          <w:rFonts w:cstheme="minorHAnsi"/>
        </w:rPr>
        <w:t xml:space="preserve"> services, construction and creative industry are supported over time where Industry engagement and commercial opportunities are identified. </w:t>
      </w:r>
    </w:p>
    <w:p w14:paraId="1ABE60AE" w14:textId="77777777" w:rsidR="00E827EF" w:rsidRPr="007C4ABD" w:rsidRDefault="00E827EF" w:rsidP="00F5504F">
      <w:pPr>
        <w:pStyle w:val="ListParagraph"/>
        <w:numPr>
          <w:ilvl w:val="0"/>
          <w:numId w:val="87"/>
        </w:numPr>
        <w:suppressAutoHyphens w:val="0"/>
        <w:spacing w:before="0" w:after="160" w:line="259" w:lineRule="auto"/>
        <w:ind w:left="720"/>
        <w:rPr>
          <w:rFonts w:cstheme="minorHAnsi"/>
        </w:rPr>
      </w:pPr>
      <w:r w:rsidRPr="007C4ABD">
        <w:rPr>
          <w:rFonts w:cstheme="minorHAnsi"/>
        </w:rPr>
        <w:t xml:space="preserve">A longer-term partnership is established between an Australian RTOs and the Indonesian tourism industry and/or Training centres. </w:t>
      </w:r>
    </w:p>
    <w:p w14:paraId="148FC676" w14:textId="77777777" w:rsidR="00E827EF" w:rsidRPr="007C4ABD" w:rsidRDefault="00E827EF" w:rsidP="00F5504F">
      <w:pPr>
        <w:pStyle w:val="ListParagraph"/>
        <w:numPr>
          <w:ilvl w:val="0"/>
          <w:numId w:val="87"/>
        </w:numPr>
        <w:suppressAutoHyphens w:val="0"/>
        <w:spacing w:before="0" w:after="160" w:line="259" w:lineRule="auto"/>
        <w:ind w:left="720"/>
        <w:rPr>
          <w:rFonts w:cstheme="minorHAnsi"/>
        </w:rPr>
      </w:pPr>
      <w:r w:rsidRPr="007C4ABD">
        <w:rPr>
          <w:rFonts w:cstheme="minorHAnsi"/>
        </w:rPr>
        <w:t xml:space="preserve">Indonesian workers are being trained to a high-quality level with industry-relevant skills in the priority industries of tourism, agriculture and digital services. </w:t>
      </w:r>
    </w:p>
    <w:p w14:paraId="6ABD48C6" w14:textId="77777777" w:rsidR="00E827EF" w:rsidRPr="007C4ABD" w:rsidRDefault="00E827EF" w:rsidP="00F5504F">
      <w:pPr>
        <w:pStyle w:val="ListParagraph"/>
        <w:numPr>
          <w:ilvl w:val="0"/>
          <w:numId w:val="87"/>
        </w:numPr>
        <w:suppressAutoHyphens w:val="0"/>
        <w:spacing w:before="0" w:after="160" w:line="259" w:lineRule="auto"/>
        <w:ind w:left="720"/>
        <w:rPr>
          <w:rFonts w:cstheme="minorHAnsi"/>
        </w:rPr>
      </w:pPr>
      <w:r w:rsidRPr="007C4ABD">
        <w:rPr>
          <w:rFonts w:cstheme="minorHAnsi"/>
        </w:rPr>
        <w:t xml:space="preserve">Women are entering TVET courses at higher numbers. </w:t>
      </w:r>
    </w:p>
    <w:p w14:paraId="7A9DBEB3" w14:textId="77777777" w:rsidR="00E827EF" w:rsidRPr="007C4ABD" w:rsidRDefault="00E827EF" w:rsidP="00E827EF">
      <w:pPr>
        <w:ind w:left="360"/>
        <w:rPr>
          <w:rFonts w:cstheme="minorHAnsi"/>
          <w:b/>
        </w:rPr>
      </w:pPr>
      <w:r w:rsidRPr="007C4ABD">
        <w:rPr>
          <w:rFonts w:cstheme="minorHAnsi"/>
          <w:b/>
        </w:rPr>
        <w:t xml:space="preserve">Immediate outcomes </w:t>
      </w:r>
    </w:p>
    <w:p w14:paraId="10A9D304" w14:textId="77777777" w:rsidR="00E827EF" w:rsidRPr="007C4ABD" w:rsidRDefault="00E827EF" w:rsidP="00F5504F">
      <w:pPr>
        <w:pStyle w:val="ListParagraph"/>
        <w:numPr>
          <w:ilvl w:val="0"/>
          <w:numId w:val="87"/>
        </w:numPr>
        <w:suppressAutoHyphens w:val="0"/>
        <w:spacing w:before="0" w:after="160" w:line="259" w:lineRule="auto"/>
        <w:ind w:left="720"/>
        <w:rPr>
          <w:rFonts w:cstheme="minorHAnsi"/>
        </w:rPr>
      </w:pPr>
      <w:r w:rsidRPr="007C4ABD">
        <w:rPr>
          <w:rFonts w:cstheme="minorHAnsi"/>
        </w:rPr>
        <w:t xml:space="preserve">Lessons are being gained from different TVET delivery models, informing broader structural reform and investment decisions. </w:t>
      </w:r>
    </w:p>
    <w:p w14:paraId="5E10E8D7" w14:textId="77777777" w:rsidR="00E827EF" w:rsidRPr="007C4ABD" w:rsidRDefault="00E827EF" w:rsidP="00F5504F">
      <w:pPr>
        <w:pStyle w:val="ListParagraph"/>
        <w:numPr>
          <w:ilvl w:val="0"/>
          <w:numId w:val="87"/>
        </w:numPr>
        <w:suppressAutoHyphens w:val="0"/>
        <w:spacing w:before="0" w:after="160" w:line="259" w:lineRule="auto"/>
        <w:ind w:left="720"/>
        <w:rPr>
          <w:rFonts w:cstheme="minorHAnsi"/>
        </w:rPr>
      </w:pPr>
      <w:r w:rsidRPr="007C4ABD">
        <w:rPr>
          <w:rFonts w:cstheme="minorHAnsi"/>
        </w:rPr>
        <w:t xml:space="preserve">Industry committees are established and informing TVET models, courses and delivery models, including addressing gender equality and social inclusion. </w:t>
      </w:r>
    </w:p>
    <w:p w14:paraId="49C15646" w14:textId="77777777" w:rsidR="00E827EF" w:rsidRPr="007C4ABD" w:rsidRDefault="00E827EF" w:rsidP="00F5504F">
      <w:pPr>
        <w:pStyle w:val="ListParagraph"/>
        <w:numPr>
          <w:ilvl w:val="0"/>
          <w:numId w:val="87"/>
        </w:numPr>
        <w:suppressAutoHyphens w:val="0"/>
        <w:spacing w:before="0" w:after="160" w:line="259" w:lineRule="auto"/>
        <w:ind w:left="720"/>
        <w:rPr>
          <w:rFonts w:cstheme="minorHAnsi"/>
        </w:rPr>
      </w:pPr>
      <w:r w:rsidRPr="007C4ABD">
        <w:rPr>
          <w:rFonts w:cstheme="minorHAnsi"/>
        </w:rPr>
        <w:t>New TVET partnerships are formed between Australian and Indonesian industry and TVET sector.</w:t>
      </w:r>
    </w:p>
    <w:p w14:paraId="191790ED" w14:textId="77777777" w:rsidR="00E827EF" w:rsidRPr="007C4ABD" w:rsidRDefault="00E827EF" w:rsidP="00E827EF">
      <w:pPr>
        <w:rPr>
          <w:rFonts w:cstheme="minorHAnsi"/>
          <w:b/>
        </w:rPr>
      </w:pPr>
      <w:r w:rsidRPr="007C4ABD">
        <w:rPr>
          <w:rFonts w:cstheme="minorHAnsi"/>
          <w:b/>
        </w:rPr>
        <w:t>Activities and Outputs</w:t>
      </w:r>
    </w:p>
    <w:p w14:paraId="381F913D" w14:textId="1155F4DA" w:rsidR="00E827EF" w:rsidRPr="007C4ABD" w:rsidRDefault="00E827EF" w:rsidP="00F5504F">
      <w:pPr>
        <w:pStyle w:val="ListParagraph"/>
        <w:numPr>
          <w:ilvl w:val="0"/>
          <w:numId w:val="99"/>
        </w:numPr>
        <w:suppressAutoHyphens w:val="0"/>
        <w:spacing w:before="0" w:after="160" w:line="259" w:lineRule="auto"/>
        <w:rPr>
          <w:rFonts w:cstheme="minorHAnsi"/>
        </w:rPr>
      </w:pPr>
      <w:r w:rsidRPr="007C4ABD">
        <w:rPr>
          <w:rFonts w:cstheme="minorHAnsi"/>
        </w:rPr>
        <w:t xml:space="preserve">Establishment of Industry Committees (initially tourism, </w:t>
      </w:r>
      <w:proofErr w:type="spellStart"/>
      <w:r w:rsidRPr="007C4ABD">
        <w:rPr>
          <w:rFonts w:cstheme="minorHAnsi"/>
        </w:rPr>
        <w:t>agrifood</w:t>
      </w:r>
      <w:proofErr w:type="spellEnd"/>
      <w:r w:rsidRPr="007C4ABD">
        <w:rPr>
          <w:rFonts w:cstheme="minorHAnsi"/>
        </w:rPr>
        <w:t xml:space="preserve"> and digital economy).</w:t>
      </w:r>
    </w:p>
    <w:p w14:paraId="2E13B364" w14:textId="299F0B84" w:rsidR="00E827EF" w:rsidRPr="007C4ABD" w:rsidRDefault="00E827EF" w:rsidP="00F5504F">
      <w:pPr>
        <w:pStyle w:val="ListParagraph"/>
        <w:numPr>
          <w:ilvl w:val="0"/>
          <w:numId w:val="99"/>
        </w:numPr>
        <w:suppressAutoHyphens w:val="0"/>
        <w:spacing w:before="0" w:after="160" w:line="259" w:lineRule="auto"/>
        <w:rPr>
          <w:rFonts w:cstheme="minorHAnsi"/>
        </w:rPr>
      </w:pPr>
      <w:r w:rsidRPr="007C4ABD">
        <w:rPr>
          <w:rFonts w:cstheme="minorHAnsi"/>
        </w:rPr>
        <w:t>Use the Industry Committees to identify skill needs and potential delivery models that are commer</w:t>
      </w:r>
      <w:r w:rsidR="008638EE" w:rsidRPr="007C4ABD">
        <w:rPr>
          <w:rFonts w:cstheme="minorHAnsi"/>
        </w:rPr>
        <w:t>ci</w:t>
      </w:r>
      <w:r w:rsidRPr="007C4ABD">
        <w:rPr>
          <w:rFonts w:cstheme="minorHAnsi"/>
        </w:rPr>
        <w:t>ally viable over time.</w:t>
      </w:r>
    </w:p>
    <w:p w14:paraId="44D5E230" w14:textId="77777777" w:rsidR="00E827EF" w:rsidRPr="007C4ABD" w:rsidRDefault="00E827EF" w:rsidP="00F5504F">
      <w:pPr>
        <w:pStyle w:val="ListParagraph"/>
        <w:numPr>
          <w:ilvl w:val="0"/>
          <w:numId w:val="99"/>
        </w:numPr>
        <w:suppressAutoHyphens w:val="0"/>
        <w:spacing w:before="0" w:after="160" w:line="259" w:lineRule="auto"/>
        <w:rPr>
          <w:rFonts w:cstheme="minorHAnsi"/>
        </w:rPr>
      </w:pPr>
      <w:r w:rsidRPr="007C4ABD">
        <w:rPr>
          <w:rFonts w:cstheme="minorHAnsi"/>
        </w:rPr>
        <w:t xml:space="preserve">Engage TVET experts in relevant industries to support training and course development, standards and delivery options. </w:t>
      </w:r>
    </w:p>
    <w:p w14:paraId="5C5323A0" w14:textId="77777777" w:rsidR="00E827EF" w:rsidRPr="007C4ABD" w:rsidRDefault="00E827EF" w:rsidP="00F5504F">
      <w:pPr>
        <w:pStyle w:val="ListParagraph"/>
        <w:numPr>
          <w:ilvl w:val="0"/>
          <w:numId w:val="99"/>
        </w:numPr>
        <w:suppressAutoHyphens w:val="0"/>
        <w:spacing w:before="0" w:after="160" w:line="259" w:lineRule="auto"/>
        <w:rPr>
          <w:rFonts w:cstheme="minorHAnsi"/>
        </w:rPr>
      </w:pPr>
      <w:r w:rsidRPr="007C4ABD">
        <w:rPr>
          <w:rFonts w:cstheme="minorHAnsi"/>
        </w:rPr>
        <w:lastRenderedPageBreak/>
        <w:t xml:space="preserve">Establish a TVET Clearinghouse to facilitate the procurement of RTOs to deliver industry led training courses. </w:t>
      </w:r>
    </w:p>
    <w:p w14:paraId="7C8AA94E" w14:textId="77777777" w:rsidR="00E827EF" w:rsidRPr="007C4ABD" w:rsidRDefault="00E827EF" w:rsidP="00F5504F">
      <w:pPr>
        <w:pStyle w:val="ListParagraph"/>
        <w:numPr>
          <w:ilvl w:val="0"/>
          <w:numId w:val="99"/>
        </w:numPr>
        <w:suppressAutoHyphens w:val="0"/>
        <w:spacing w:before="0" w:after="160" w:line="259" w:lineRule="auto"/>
        <w:rPr>
          <w:rFonts w:cstheme="minorHAnsi"/>
        </w:rPr>
      </w:pPr>
      <w:r w:rsidRPr="007C4ABD">
        <w:rPr>
          <w:rFonts w:cstheme="minorHAnsi"/>
        </w:rPr>
        <w:t>Develop a system to monitor and evaluate delivery models for scale up, including application of skills acquired and improved employment outcomes.</w:t>
      </w:r>
    </w:p>
    <w:p w14:paraId="6E8E2306" w14:textId="77777777" w:rsidR="00E827EF" w:rsidRPr="007C4ABD" w:rsidRDefault="00E827EF" w:rsidP="00F5504F">
      <w:pPr>
        <w:pStyle w:val="ListParagraph"/>
        <w:numPr>
          <w:ilvl w:val="0"/>
          <w:numId w:val="99"/>
        </w:numPr>
        <w:suppressAutoHyphens w:val="0"/>
        <w:spacing w:before="0" w:after="160" w:line="259" w:lineRule="auto"/>
        <w:rPr>
          <w:rFonts w:cstheme="minorHAnsi"/>
        </w:rPr>
      </w:pPr>
      <w:r w:rsidRPr="007C4ABD">
        <w:rPr>
          <w:rFonts w:cstheme="minorHAnsi"/>
        </w:rPr>
        <w:t>Establish the partnership between Australian CEO Women and Indonesian Women in Leadership.</w:t>
      </w:r>
    </w:p>
    <w:p w14:paraId="5DE28999" w14:textId="77777777" w:rsidR="00E827EF" w:rsidRPr="007C4ABD" w:rsidRDefault="00E827EF" w:rsidP="00F5504F">
      <w:pPr>
        <w:pStyle w:val="ListParagraph"/>
        <w:numPr>
          <w:ilvl w:val="0"/>
          <w:numId w:val="99"/>
        </w:numPr>
        <w:suppressAutoHyphens w:val="0"/>
        <w:spacing w:before="0" w:after="160" w:line="259" w:lineRule="auto"/>
        <w:rPr>
          <w:rFonts w:cstheme="minorHAnsi"/>
        </w:rPr>
      </w:pPr>
      <w:r w:rsidRPr="007C4ABD">
        <w:rPr>
          <w:rFonts w:cstheme="minorHAnsi"/>
        </w:rPr>
        <w:t>Based on dialogue with the women’s partnership and groups representing peoples living with disability, develop a gender and social inclusion strategy to support TVET policy and structural reforms.</w:t>
      </w:r>
    </w:p>
    <w:p w14:paraId="56C5AC7D" w14:textId="77777777" w:rsidR="00E827EF" w:rsidRPr="007C4ABD" w:rsidRDefault="00E827EF" w:rsidP="00F5504F">
      <w:pPr>
        <w:pStyle w:val="ListParagraph"/>
        <w:numPr>
          <w:ilvl w:val="0"/>
          <w:numId w:val="99"/>
        </w:numPr>
        <w:suppressAutoHyphens w:val="0"/>
        <w:spacing w:before="0" w:after="160" w:line="259" w:lineRule="auto"/>
        <w:rPr>
          <w:rFonts w:cstheme="minorHAnsi"/>
        </w:rPr>
      </w:pPr>
      <w:r w:rsidRPr="007C4ABD">
        <w:rPr>
          <w:rFonts w:cstheme="minorHAnsi"/>
        </w:rPr>
        <w:t>Engage with Indonesian TVET stakeholders, GIZ and the TVET donor coordination committee to share results of delivery models contribute to broader structural reform efforts, where relevant.</w:t>
      </w:r>
    </w:p>
    <w:p w14:paraId="7552D897" w14:textId="3B233704" w:rsidR="00E827EF" w:rsidRPr="0037583C" w:rsidRDefault="0037583C" w:rsidP="0037583C">
      <w:pPr>
        <w:suppressAutoHyphens w:val="0"/>
        <w:spacing w:before="0" w:after="120" w:line="440" w:lineRule="atLeast"/>
        <w:rPr>
          <w:rFonts w:cstheme="minorHAnsi"/>
          <w:b/>
          <w:bCs/>
          <w:sz w:val="21"/>
          <w:szCs w:val="21"/>
        </w:rPr>
      </w:pPr>
      <w:r w:rsidRPr="0037583C">
        <w:rPr>
          <w:rFonts w:cstheme="minorHAnsi"/>
          <w:b/>
          <w:bCs/>
          <w:sz w:val="21"/>
          <w:szCs w:val="21"/>
        </w:rPr>
        <w:t>How the Activity will be implemented</w:t>
      </w:r>
    </w:p>
    <w:p w14:paraId="2F78B110" w14:textId="782AFA7C" w:rsidR="00E827EF" w:rsidRPr="007C4ABD" w:rsidRDefault="00E827EF" w:rsidP="00E82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heme="minorHAnsi"/>
          <w:bCs/>
        </w:rPr>
      </w:pPr>
      <w:r w:rsidRPr="007C4ABD">
        <w:rPr>
          <w:rFonts w:cstheme="minorHAnsi"/>
          <w:bCs/>
        </w:rPr>
        <w:t xml:space="preserve">The ECP will coordinate with DFAT, the Australian Department of Education and </w:t>
      </w:r>
      <w:proofErr w:type="spellStart"/>
      <w:r w:rsidRPr="007C4ABD">
        <w:rPr>
          <w:rFonts w:cstheme="minorHAnsi"/>
          <w:bCs/>
        </w:rPr>
        <w:t>Aus</w:t>
      </w:r>
      <w:r w:rsidR="00FE39AE">
        <w:rPr>
          <w:rFonts w:cstheme="minorHAnsi"/>
          <w:bCs/>
        </w:rPr>
        <w:t>t</w:t>
      </w:r>
      <w:r w:rsidRPr="007C4ABD">
        <w:rPr>
          <w:rFonts w:cstheme="minorHAnsi"/>
          <w:bCs/>
        </w:rPr>
        <w:t>rade</w:t>
      </w:r>
      <w:proofErr w:type="spellEnd"/>
      <w:r w:rsidRPr="007C4ABD">
        <w:rPr>
          <w:rFonts w:cstheme="minorHAnsi"/>
          <w:bCs/>
        </w:rPr>
        <w:t xml:space="preserve"> to deliver this activity, working with counterparts in </w:t>
      </w:r>
      <w:proofErr w:type="spellStart"/>
      <w:r w:rsidRPr="007C4ABD">
        <w:rPr>
          <w:rFonts w:cstheme="minorHAnsi"/>
          <w:bCs/>
        </w:rPr>
        <w:t>Bappenas</w:t>
      </w:r>
      <w:proofErr w:type="spellEnd"/>
      <w:r w:rsidRPr="007C4ABD">
        <w:rPr>
          <w:rFonts w:cstheme="minorHAnsi"/>
          <w:bCs/>
        </w:rPr>
        <w:t>, the Ministry of Manpower and Indonesia Industry</w:t>
      </w:r>
      <w:r w:rsidR="00F018F2" w:rsidRPr="007C4ABD">
        <w:rPr>
          <w:rFonts w:cstheme="minorHAnsi"/>
          <w:bCs/>
        </w:rPr>
        <w:t>.</w:t>
      </w:r>
      <w:r w:rsidRPr="007C4ABD">
        <w:rPr>
          <w:rFonts w:cstheme="minorHAnsi"/>
          <w:bCs/>
        </w:rPr>
        <w:t xml:space="preserve"> The ECP’s Skills team will engage TVET experts in relevant industries to support the establishment of Industry Committees, identification of skill needs, development of standards and innovative course delivery models. The ECP will also establish the TVET Clearinghouse to facilitate partnerships between Indonesian Industry and Australian RTOs, and support procurement of training needs identified by Indonesian industry from Australian RTOs. </w:t>
      </w:r>
    </w:p>
    <w:p w14:paraId="1DD689C1" w14:textId="1A620881" w:rsidR="00E827EF" w:rsidRPr="007C4ABD" w:rsidRDefault="00E827EF" w:rsidP="00E82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heme="minorHAnsi"/>
          <w:bCs/>
        </w:rPr>
      </w:pPr>
      <w:r w:rsidRPr="007C4ABD">
        <w:rPr>
          <w:rFonts w:cstheme="minorHAnsi"/>
          <w:bCs/>
        </w:rPr>
        <w:t xml:space="preserve">A range of courses will be developed each year over the first three years, reflecting industry need and demands. The number of courses, students, workers, employers and partnerships that are anticipated to be trained, employed and/or established, will be informed by the initial phase of Industry Committee meetings. Clear targets in each of these areas will be established and incorporated into the outcomes framework for the activity within 6 months of the commencement of the ECP. </w:t>
      </w:r>
    </w:p>
    <w:p w14:paraId="307B0F1F" w14:textId="3DED0EE9" w:rsidR="00E827EF" w:rsidRPr="007C4ABD" w:rsidRDefault="00E827EF" w:rsidP="00AD5A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theme="minorHAnsi"/>
          <w:bCs/>
        </w:rPr>
      </w:pPr>
      <w:r w:rsidRPr="007C4ABD">
        <w:rPr>
          <w:rFonts w:cstheme="minorHAnsi"/>
          <w:bCs/>
        </w:rPr>
        <w:t xml:space="preserve">Monitoring, evaluation and learning will be embedded in the design of each course and informing future courses to that they are both scalable and commercially viable. </w:t>
      </w:r>
    </w:p>
    <w:p w14:paraId="2259DF41" w14:textId="056CE674" w:rsidR="00E827EF" w:rsidRPr="007C4ABD" w:rsidRDefault="00E827EF" w:rsidP="00E82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Cs/>
        </w:rPr>
      </w:pPr>
      <w:r w:rsidRPr="007C4ABD">
        <w:rPr>
          <w:rFonts w:cstheme="minorHAnsi"/>
          <w:bCs/>
        </w:rPr>
        <w:t xml:space="preserve">The activity includes funding for a new partnership between Australian Chief Executive Women and the </w:t>
      </w:r>
      <w:r w:rsidRPr="007C4ABD">
        <w:rPr>
          <w:rFonts w:cstheme="minorHAnsi"/>
          <w:iCs/>
        </w:rPr>
        <w:t xml:space="preserve">Indonesian Business Coalition for Women Empowerment. The partnership will support women in business in both countries, including exploring opportunities in the TVET sector and boosting female participation in TVET courses.  This activity will be delivered in partnership with DFAT’s Investing in Women program. </w:t>
      </w:r>
    </w:p>
    <w:p w14:paraId="7A4D26BB" w14:textId="513CE829" w:rsidR="00E827EF" w:rsidRPr="0037583C" w:rsidRDefault="00E827EF" w:rsidP="003758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Cs/>
        </w:rPr>
      </w:pPr>
      <w:r w:rsidRPr="007C4ABD">
        <w:rPr>
          <w:rFonts w:cstheme="minorHAnsi"/>
          <w:iCs/>
        </w:rPr>
        <w:t xml:space="preserve">Funding has also been budgeted to support engagement with the German and Indonesian partnership for TVET structural reform. ECP’s contribution will be guided by the outcomes of the abovementioned courses and gaps identified in existing structural reform efforts being undertaken by the Government of Indonesian, where needed.   </w:t>
      </w:r>
    </w:p>
    <w:p w14:paraId="7CD3D0D6" w14:textId="77777777" w:rsidR="00E827EF" w:rsidRPr="007C4ABD" w:rsidRDefault="00E827EF" w:rsidP="00E82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7C4ABD">
        <w:rPr>
          <w:rFonts w:cstheme="minorHAnsi"/>
          <w:b/>
          <w:bCs/>
        </w:rPr>
        <w:t>Gender equality and social inclusion</w:t>
      </w:r>
    </w:p>
    <w:p w14:paraId="3CC9A01C" w14:textId="0752FB61" w:rsidR="00E827EF" w:rsidRPr="007C4ABD" w:rsidRDefault="00E827EF" w:rsidP="00E82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Cs/>
        </w:rPr>
      </w:pPr>
      <w:r w:rsidRPr="007C4ABD">
        <w:rPr>
          <w:rFonts w:cstheme="minorHAnsi"/>
          <w:iCs/>
        </w:rPr>
        <w:t xml:space="preserve">Gender equality and social inclusion is central to this activity. All piloted courses will require 50 percent female participation, including train the trainer and online learning platforms. </w:t>
      </w:r>
    </w:p>
    <w:p w14:paraId="6F6C4A21" w14:textId="0BD94FB9" w:rsidR="00E827EF" w:rsidRPr="007C4ABD" w:rsidRDefault="00E827EF" w:rsidP="00E827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iCs/>
        </w:rPr>
      </w:pPr>
      <w:r w:rsidRPr="007C4ABD">
        <w:rPr>
          <w:rFonts w:cstheme="minorHAnsi"/>
          <w:iCs/>
        </w:rPr>
        <w:t>A dedicated partnership demonstrating the leadership and skills of women will also be funded as part of this activity. Indonesia has made significant advances investing in female education, however these skills are not translating in higher numbers of women entering and remaining in the workforce.  The ECP will also support a partnership between Australia’s Chief Executive Women and the Indonesian Business Coalition for Women Empowerment. The partnership will support a dialogue between Australia’s Chief Executive Women and Indonesian Business C</w:t>
      </w:r>
      <w:r w:rsidR="00F018F2">
        <w:rPr>
          <w:rFonts w:cstheme="minorHAnsi"/>
          <w:iCs/>
        </w:rPr>
        <w:t xml:space="preserve">oalition for Women Empowerment </w:t>
      </w:r>
      <w:r w:rsidRPr="007C4ABD">
        <w:rPr>
          <w:rFonts w:cstheme="minorHAnsi"/>
          <w:iCs/>
        </w:rPr>
        <w:t xml:space="preserve">(established with the support of DFAT’s Investing in Women program), and support female leadership and increased enrolment of females in the TVET sector. </w:t>
      </w:r>
    </w:p>
    <w:p w14:paraId="2ED93819" w14:textId="77777777" w:rsidR="0037583C" w:rsidRDefault="00E827EF" w:rsidP="0037583C">
      <w:pPr>
        <w:rPr>
          <w:rFonts w:cstheme="minorHAnsi"/>
          <w:b/>
          <w:bCs/>
        </w:rPr>
      </w:pPr>
      <w:r w:rsidRPr="007C4ABD">
        <w:rPr>
          <w:rFonts w:cstheme="minorHAnsi"/>
          <w:iCs/>
        </w:rPr>
        <w:t xml:space="preserve">Bolstering the skills of women is one amongst many barriers to women seeking to enter the workforce, including in non-traditional sectors. These efforts must be complemented by interventions that support </w:t>
      </w:r>
      <w:r w:rsidRPr="007C4ABD">
        <w:rPr>
          <w:rFonts w:cstheme="minorHAnsi"/>
          <w:iCs/>
        </w:rPr>
        <w:lastRenderedPageBreak/>
        <w:t xml:space="preserve">access to finance, work placements, challenging gender norms and workplace gender equality measures that will enable women to contribute in a sustained way. Consequently, it will be important that this activity work with other programs and investments seeking to support women’s economic empowerment. </w:t>
      </w:r>
    </w:p>
    <w:p w14:paraId="3B72BAE7" w14:textId="1DF0AA01" w:rsidR="00CB1C18" w:rsidRPr="00645951" w:rsidRDefault="00CB1C18">
      <w:pPr>
        <w:suppressAutoHyphens w:val="0"/>
        <w:spacing w:before="0" w:after="120" w:line="440" w:lineRule="atLeast"/>
        <w:rPr>
          <w:rFonts w:cstheme="majorHAnsi"/>
          <w:strike/>
          <w:sz w:val="21"/>
          <w:szCs w:val="21"/>
        </w:rPr>
      </w:pPr>
    </w:p>
    <w:p w14:paraId="7DBC8B0F" w14:textId="77777777" w:rsidR="00F71698" w:rsidRDefault="00F71698">
      <w:r>
        <w:rPr>
          <w:bCs/>
        </w:rPr>
        <w:br w:type="page"/>
      </w:r>
    </w:p>
    <w:p w14:paraId="362170DB" w14:textId="5699675E" w:rsidR="00C765D6" w:rsidRPr="006928FE" w:rsidRDefault="00C765D6" w:rsidP="00C765D6">
      <w:pPr>
        <w:pStyle w:val="Heading3"/>
        <w:rPr>
          <w:rFonts w:asciiTheme="minorHAnsi" w:hAnsiTheme="minorHAnsi" w:cstheme="minorHAnsi"/>
          <w:sz w:val="21"/>
          <w:szCs w:val="21"/>
        </w:rPr>
      </w:pPr>
      <w:r w:rsidRPr="006928FE">
        <w:rPr>
          <w:rFonts w:asciiTheme="minorHAnsi" w:hAnsiTheme="minorHAnsi" w:cstheme="minorHAnsi"/>
          <w:sz w:val="38"/>
          <w:szCs w:val="38"/>
        </w:rPr>
        <w:lastRenderedPageBreak/>
        <w:t xml:space="preserve">ANNEX </w:t>
      </w:r>
      <w:r w:rsidR="009A4CAC">
        <w:rPr>
          <w:rFonts w:asciiTheme="minorHAnsi" w:hAnsiTheme="minorHAnsi" w:cstheme="minorHAnsi"/>
          <w:sz w:val="38"/>
          <w:szCs w:val="38"/>
        </w:rPr>
        <w:t>7</w:t>
      </w:r>
      <w:r w:rsidRPr="006928FE">
        <w:rPr>
          <w:rFonts w:asciiTheme="minorHAnsi" w:hAnsiTheme="minorHAnsi" w:cstheme="minorHAnsi"/>
          <w:sz w:val="38"/>
          <w:szCs w:val="38"/>
        </w:rPr>
        <w:t xml:space="preserve">. SUMMARY OF LESSONS FROM </w:t>
      </w:r>
      <w:r w:rsidR="00FC2C76">
        <w:rPr>
          <w:rFonts w:asciiTheme="minorHAnsi" w:hAnsiTheme="minorHAnsi" w:cstheme="minorHAnsi"/>
          <w:sz w:val="38"/>
          <w:szCs w:val="38"/>
        </w:rPr>
        <w:t xml:space="preserve">DFAT’S </w:t>
      </w:r>
      <w:r w:rsidR="009D3124" w:rsidRPr="006928FE">
        <w:rPr>
          <w:rFonts w:asciiTheme="minorHAnsi" w:hAnsiTheme="minorHAnsi" w:cstheme="minorHAnsi"/>
          <w:sz w:val="38"/>
          <w:szCs w:val="38"/>
        </w:rPr>
        <w:t xml:space="preserve">EXISTING </w:t>
      </w:r>
      <w:r w:rsidRPr="006928FE">
        <w:rPr>
          <w:rFonts w:asciiTheme="minorHAnsi" w:hAnsiTheme="minorHAnsi" w:cstheme="minorHAnsi"/>
          <w:sz w:val="38"/>
          <w:szCs w:val="38"/>
        </w:rPr>
        <w:t xml:space="preserve">TRADE AND </w:t>
      </w:r>
      <w:r w:rsidR="00FC2C76">
        <w:rPr>
          <w:rFonts w:asciiTheme="minorHAnsi" w:hAnsiTheme="minorHAnsi" w:cstheme="minorHAnsi"/>
          <w:sz w:val="38"/>
          <w:szCs w:val="38"/>
        </w:rPr>
        <w:t xml:space="preserve">ECONOMIC </w:t>
      </w:r>
      <w:r w:rsidRPr="006928FE">
        <w:rPr>
          <w:rFonts w:asciiTheme="minorHAnsi" w:hAnsiTheme="minorHAnsi" w:cstheme="minorHAnsi"/>
          <w:sz w:val="38"/>
          <w:szCs w:val="38"/>
        </w:rPr>
        <w:t>COOPERATION PROGRAMS</w:t>
      </w:r>
    </w:p>
    <w:p w14:paraId="54563E81" w14:textId="7D10D042" w:rsidR="00C765D6" w:rsidRPr="009D3124" w:rsidRDefault="00C765D6" w:rsidP="009D3124">
      <w:pPr>
        <w:pStyle w:val="ListParagraph"/>
        <w:numPr>
          <w:ilvl w:val="0"/>
          <w:numId w:val="77"/>
        </w:numPr>
        <w:tabs>
          <w:tab w:val="left" w:pos="284"/>
        </w:tabs>
        <w:suppressAutoHyphens w:val="0"/>
        <w:spacing w:before="0" w:line="280" w:lineRule="exact"/>
        <w:jc w:val="both"/>
        <w:rPr>
          <w:rFonts w:eastAsia="Times New Roman" w:cstheme="minorHAnsi"/>
          <w:sz w:val="21"/>
          <w:szCs w:val="21"/>
        </w:rPr>
      </w:pPr>
      <w:r w:rsidRPr="009D3124">
        <w:rPr>
          <w:rFonts w:eastAsia="Times New Roman" w:cstheme="minorHAnsi"/>
          <w:sz w:val="21"/>
          <w:szCs w:val="21"/>
        </w:rPr>
        <w:t xml:space="preserve">A 2016 review of Australia’s support for trade facilitation programs by the Office of Development Effectiveness found that investments </w:t>
      </w:r>
      <w:r w:rsidRPr="009D3124">
        <w:rPr>
          <w:rFonts w:eastAsia="Times New Roman" w:cstheme="minorHAnsi"/>
          <w:b/>
          <w:sz w:val="21"/>
          <w:szCs w:val="21"/>
        </w:rPr>
        <w:t>have been effective in addressing capacity issues</w:t>
      </w:r>
      <w:r w:rsidRPr="009D3124">
        <w:rPr>
          <w:rFonts w:eastAsia="Times New Roman" w:cstheme="minorHAnsi"/>
          <w:sz w:val="21"/>
          <w:szCs w:val="21"/>
        </w:rPr>
        <w:t xml:space="preserve">, and </w:t>
      </w:r>
      <w:r w:rsidRPr="009D3124">
        <w:rPr>
          <w:rFonts w:eastAsia="Times New Roman" w:cstheme="minorHAnsi"/>
          <w:b/>
          <w:sz w:val="21"/>
          <w:szCs w:val="21"/>
        </w:rPr>
        <w:t>have the potential to make an impact to poverty reduction</w:t>
      </w:r>
      <w:r w:rsidRPr="009D3124">
        <w:rPr>
          <w:rFonts w:eastAsia="Times New Roman" w:cstheme="minorHAnsi"/>
          <w:sz w:val="21"/>
          <w:szCs w:val="21"/>
        </w:rPr>
        <w:t>, through programs like the Pacific Horticultural and Agricultural Market Access (PHAMA) and AANZFTA Economic Cooperation Program (AECSP)</w:t>
      </w:r>
      <w:r w:rsidR="00FC2C76">
        <w:rPr>
          <w:rFonts w:eastAsia="Times New Roman" w:cstheme="minorHAnsi"/>
          <w:sz w:val="21"/>
          <w:szCs w:val="21"/>
        </w:rPr>
        <w:t xml:space="preserve">. </w:t>
      </w:r>
      <w:r w:rsidRPr="009D3124">
        <w:rPr>
          <w:rStyle w:val="FootnoteReference"/>
          <w:rFonts w:eastAsia="Times New Roman" w:cstheme="minorHAnsi"/>
          <w:sz w:val="21"/>
          <w:szCs w:val="21"/>
        </w:rPr>
        <w:t xml:space="preserve"> </w:t>
      </w:r>
      <w:r w:rsidRPr="009D3124">
        <w:rPr>
          <w:rStyle w:val="FootnoteReference"/>
          <w:rFonts w:eastAsia="Times New Roman" w:cstheme="minorHAnsi"/>
          <w:sz w:val="21"/>
          <w:szCs w:val="21"/>
        </w:rPr>
        <w:footnoteReference w:id="46"/>
      </w:r>
    </w:p>
    <w:p w14:paraId="0BA8AA84" w14:textId="77777777" w:rsidR="00C765D6" w:rsidRPr="009D3124" w:rsidRDefault="00C765D6" w:rsidP="009D3124">
      <w:pPr>
        <w:pStyle w:val="ListParagraph"/>
        <w:numPr>
          <w:ilvl w:val="0"/>
          <w:numId w:val="77"/>
        </w:numPr>
        <w:tabs>
          <w:tab w:val="left" w:pos="284"/>
        </w:tabs>
        <w:suppressAutoHyphens w:val="0"/>
        <w:spacing w:before="0" w:line="280" w:lineRule="exact"/>
        <w:jc w:val="both"/>
        <w:rPr>
          <w:rFonts w:eastAsia="Times New Roman" w:cstheme="minorHAnsi"/>
          <w:sz w:val="21"/>
          <w:szCs w:val="21"/>
        </w:rPr>
      </w:pPr>
      <w:r w:rsidRPr="009D3124">
        <w:rPr>
          <w:rFonts w:eastAsia="Times New Roman" w:cstheme="minorHAnsi"/>
          <w:b/>
          <w:sz w:val="21"/>
          <w:szCs w:val="21"/>
        </w:rPr>
        <w:t xml:space="preserve">The challenge is to establish causal attribution to the extent that outcomes can be quantified </w:t>
      </w:r>
      <w:r w:rsidRPr="009D3124">
        <w:rPr>
          <w:rFonts w:eastAsia="Times New Roman" w:cstheme="minorHAnsi"/>
          <w:sz w:val="21"/>
          <w:szCs w:val="21"/>
        </w:rPr>
        <w:t xml:space="preserve">and programs can be optimised to deliver maximum impact. Equally important is the need for </w:t>
      </w:r>
      <w:r w:rsidRPr="009D3124">
        <w:rPr>
          <w:rFonts w:eastAsia="Times New Roman" w:cstheme="minorHAnsi"/>
          <w:b/>
          <w:sz w:val="21"/>
          <w:szCs w:val="21"/>
        </w:rPr>
        <w:t>an integrated framework that applies to a trade facilitation investment</w:t>
      </w:r>
      <w:r w:rsidRPr="009D3124">
        <w:rPr>
          <w:rFonts w:eastAsia="Times New Roman" w:cstheme="minorHAnsi"/>
          <w:sz w:val="21"/>
          <w:szCs w:val="21"/>
        </w:rPr>
        <w:t>, which includes a technical and political economy analysis, design and program logic and a performance framework;</w:t>
      </w:r>
    </w:p>
    <w:p w14:paraId="64FBAAEA" w14:textId="4862A6C1" w:rsidR="000A0246" w:rsidRPr="009D3124" w:rsidRDefault="000A0246" w:rsidP="009D3124">
      <w:pPr>
        <w:pStyle w:val="ListParagraph"/>
        <w:numPr>
          <w:ilvl w:val="1"/>
          <w:numId w:val="78"/>
        </w:numPr>
        <w:tabs>
          <w:tab w:val="left" w:pos="284"/>
        </w:tabs>
        <w:suppressAutoHyphens w:val="0"/>
        <w:spacing w:before="0" w:line="280" w:lineRule="exact"/>
        <w:jc w:val="both"/>
        <w:rPr>
          <w:rFonts w:eastAsia="Times New Roman" w:cstheme="minorHAnsi"/>
          <w:sz w:val="21"/>
          <w:szCs w:val="21"/>
        </w:rPr>
      </w:pPr>
      <w:r w:rsidRPr="009D3124">
        <w:rPr>
          <w:rFonts w:eastAsia="Times New Roman" w:cstheme="minorHAnsi"/>
          <w:b/>
          <w:sz w:val="21"/>
          <w:szCs w:val="21"/>
        </w:rPr>
        <w:t>Impact: inclusion of MEL directly related to IA-CEPA utilisation, economic impacts (</w:t>
      </w:r>
      <w:r w:rsidR="00FC2C76" w:rsidRPr="009D3124">
        <w:rPr>
          <w:rFonts w:eastAsia="Times New Roman" w:cstheme="minorHAnsi"/>
          <w:b/>
          <w:sz w:val="21"/>
          <w:szCs w:val="21"/>
        </w:rPr>
        <w:t>i.e.</w:t>
      </w:r>
      <w:r w:rsidRPr="009D3124">
        <w:rPr>
          <w:rFonts w:eastAsia="Times New Roman" w:cstheme="minorHAnsi"/>
          <w:b/>
          <w:sz w:val="21"/>
          <w:szCs w:val="21"/>
        </w:rPr>
        <w:t xml:space="preserve"> trade creation vs. diversion) and broader impacts. </w:t>
      </w:r>
    </w:p>
    <w:p w14:paraId="60A240A6" w14:textId="77777777" w:rsidR="00C765D6" w:rsidRPr="009D3124" w:rsidRDefault="00C765D6" w:rsidP="009D3124">
      <w:pPr>
        <w:pStyle w:val="ListParagraph"/>
        <w:numPr>
          <w:ilvl w:val="0"/>
          <w:numId w:val="77"/>
        </w:numPr>
        <w:tabs>
          <w:tab w:val="left" w:pos="284"/>
        </w:tabs>
        <w:suppressAutoHyphens w:val="0"/>
        <w:spacing w:before="0" w:line="280" w:lineRule="exact"/>
        <w:jc w:val="both"/>
        <w:rPr>
          <w:rFonts w:eastAsia="Times New Roman" w:cstheme="minorHAnsi"/>
          <w:sz w:val="21"/>
          <w:szCs w:val="21"/>
        </w:rPr>
      </w:pPr>
      <w:r w:rsidRPr="009D3124">
        <w:rPr>
          <w:rFonts w:eastAsia="Times New Roman" w:cstheme="minorHAnsi"/>
          <w:sz w:val="21"/>
          <w:szCs w:val="21"/>
        </w:rPr>
        <w:t xml:space="preserve">Trade facilitation interventions require </w:t>
      </w:r>
      <w:r w:rsidRPr="009D3124">
        <w:rPr>
          <w:rFonts w:eastAsia="Times New Roman" w:cstheme="minorHAnsi"/>
          <w:b/>
          <w:sz w:val="21"/>
          <w:szCs w:val="21"/>
        </w:rPr>
        <w:t>flexible approaches, because trade facilitation is a complex long-term process.</w:t>
      </w:r>
      <w:r w:rsidRPr="009D3124">
        <w:rPr>
          <w:rFonts w:eastAsia="Times New Roman" w:cstheme="minorHAnsi"/>
          <w:sz w:val="21"/>
          <w:szCs w:val="21"/>
        </w:rPr>
        <w:t xml:space="preserve"> Lack of capacity, political and economic events, use of different approaches by different countries to address the same trade issues, mean flexibility in the implementation of a program designed to facilitate trade is essential. Capacity building and gender aspects can also take many years to develop and translate into practices and reformed attitudes;</w:t>
      </w:r>
      <w:r w:rsidRPr="009D3124">
        <w:rPr>
          <w:rStyle w:val="FootnoteReference"/>
          <w:rFonts w:eastAsia="Times New Roman" w:cstheme="minorHAnsi"/>
          <w:sz w:val="21"/>
          <w:szCs w:val="21"/>
        </w:rPr>
        <w:footnoteReference w:id="47"/>
      </w:r>
      <w:r w:rsidRPr="009D3124">
        <w:rPr>
          <w:rFonts w:eastAsia="Times New Roman" w:cstheme="minorHAnsi"/>
          <w:sz w:val="21"/>
          <w:szCs w:val="21"/>
        </w:rPr>
        <w:t xml:space="preserve"> </w:t>
      </w:r>
    </w:p>
    <w:p w14:paraId="217A8BDA" w14:textId="16E79318" w:rsidR="000A0246" w:rsidRPr="00241933" w:rsidRDefault="000A0246" w:rsidP="00F5504F">
      <w:pPr>
        <w:pStyle w:val="ListParagraph"/>
        <w:numPr>
          <w:ilvl w:val="1"/>
          <w:numId w:val="95"/>
        </w:numPr>
        <w:tabs>
          <w:tab w:val="left" w:pos="284"/>
        </w:tabs>
        <w:suppressAutoHyphens w:val="0"/>
        <w:spacing w:before="0" w:line="280" w:lineRule="exact"/>
        <w:jc w:val="both"/>
        <w:rPr>
          <w:rFonts w:eastAsia="Times New Roman" w:cstheme="minorHAnsi"/>
        </w:rPr>
      </w:pPr>
      <w:r w:rsidRPr="009D3124">
        <w:rPr>
          <w:rFonts w:eastAsia="Times New Roman" w:cstheme="minorHAnsi"/>
          <w:b/>
          <w:sz w:val="21"/>
          <w:szCs w:val="21"/>
        </w:rPr>
        <w:t>Impact</w:t>
      </w:r>
      <w:r w:rsidRPr="009D3124">
        <w:rPr>
          <w:rFonts w:eastAsia="Times New Roman" w:cstheme="minorHAnsi"/>
          <w:sz w:val="21"/>
          <w:szCs w:val="21"/>
        </w:rPr>
        <w:t xml:space="preserve">: ECP ‘core business’ to commence with a Needs Assessment on IA-CEPA implementation, and select from a range of modalities/tools to assist Indonesia, and a strong and sustained element of ‘socialisation’ of IA-CEPA outcomes over the life of the ECP. </w:t>
      </w:r>
      <w:r w:rsidR="00241933">
        <w:rPr>
          <w:rFonts w:eastAsia="Times New Roman" w:cstheme="minorHAnsi"/>
        </w:rPr>
        <w:t>ECP will ensure flexibility in activity design, by removing multiple layers of governance and approvals, which has been a significant issue in other economic cooperation programs.</w:t>
      </w:r>
    </w:p>
    <w:p w14:paraId="4B971112" w14:textId="77777777" w:rsidR="00C765D6" w:rsidRPr="009D3124" w:rsidRDefault="00C765D6" w:rsidP="009D3124">
      <w:pPr>
        <w:pStyle w:val="ListParagraph"/>
        <w:numPr>
          <w:ilvl w:val="0"/>
          <w:numId w:val="77"/>
        </w:numPr>
        <w:tabs>
          <w:tab w:val="left" w:pos="284"/>
        </w:tabs>
        <w:suppressAutoHyphens w:val="0"/>
        <w:spacing w:before="0" w:line="280" w:lineRule="exact"/>
        <w:jc w:val="both"/>
        <w:rPr>
          <w:rFonts w:eastAsia="Times New Roman" w:cstheme="minorHAnsi"/>
          <w:sz w:val="21"/>
          <w:szCs w:val="21"/>
        </w:rPr>
      </w:pPr>
      <w:r w:rsidRPr="009D3124">
        <w:rPr>
          <w:rFonts w:eastAsia="Times New Roman" w:cstheme="minorHAnsi"/>
          <w:b/>
          <w:sz w:val="21"/>
          <w:szCs w:val="21"/>
        </w:rPr>
        <w:t>Adequate support to strengthen relevant institutions should complement capacity-building efforts</w:t>
      </w:r>
      <w:r w:rsidRPr="009D3124">
        <w:rPr>
          <w:rFonts w:eastAsia="Times New Roman" w:cstheme="minorHAnsi"/>
          <w:sz w:val="21"/>
          <w:szCs w:val="21"/>
        </w:rPr>
        <w:t xml:space="preserve">. A review of the AECSP found less short term individual capacity development activities were needed in preference for a </w:t>
      </w:r>
      <w:r w:rsidRPr="009D3124">
        <w:rPr>
          <w:rFonts w:eastAsia="Times New Roman" w:cstheme="minorHAnsi"/>
          <w:b/>
          <w:sz w:val="21"/>
          <w:szCs w:val="21"/>
        </w:rPr>
        <w:t>longer term programmatic approach</w:t>
      </w:r>
      <w:r w:rsidRPr="009D3124">
        <w:rPr>
          <w:rFonts w:eastAsia="Times New Roman" w:cstheme="minorHAnsi"/>
          <w:sz w:val="21"/>
          <w:szCs w:val="21"/>
        </w:rPr>
        <w:t xml:space="preserve"> with stronger M&amp;E;</w:t>
      </w:r>
      <w:r w:rsidRPr="009D3124">
        <w:rPr>
          <w:rStyle w:val="FootnoteReference"/>
          <w:rFonts w:eastAsia="Times New Roman" w:cstheme="minorHAnsi"/>
          <w:sz w:val="21"/>
          <w:szCs w:val="21"/>
        </w:rPr>
        <w:footnoteReference w:id="48"/>
      </w:r>
    </w:p>
    <w:p w14:paraId="55D9F506" w14:textId="5122F4D5" w:rsidR="000A0246" w:rsidRPr="009D3124" w:rsidRDefault="000A0246" w:rsidP="00F5504F">
      <w:pPr>
        <w:pStyle w:val="ListParagraph"/>
        <w:numPr>
          <w:ilvl w:val="1"/>
          <w:numId w:val="79"/>
        </w:numPr>
        <w:tabs>
          <w:tab w:val="left" w:pos="284"/>
        </w:tabs>
        <w:suppressAutoHyphens w:val="0"/>
        <w:spacing w:before="0" w:line="280" w:lineRule="exact"/>
        <w:jc w:val="both"/>
        <w:rPr>
          <w:rFonts w:eastAsia="Times New Roman" w:cstheme="minorHAnsi"/>
          <w:sz w:val="21"/>
          <w:szCs w:val="21"/>
        </w:rPr>
      </w:pPr>
      <w:r w:rsidRPr="009D3124">
        <w:rPr>
          <w:rFonts w:eastAsia="Times New Roman" w:cstheme="minorHAnsi"/>
          <w:b/>
          <w:sz w:val="21"/>
          <w:szCs w:val="21"/>
        </w:rPr>
        <w:t>Impact</w:t>
      </w:r>
      <w:r w:rsidRPr="009D3124">
        <w:rPr>
          <w:rFonts w:eastAsia="Times New Roman" w:cstheme="minorHAnsi"/>
          <w:sz w:val="21"/>
          <w:szCs w:val="21"/>
        </w:rPr>
        <w:t xml:space="preserve">: ECP activities are structured around three End of Program Outcomes – with the Collaborative Hub to coordinate/shape up activities and provide consistent MEL, as well as a strong ECP ‘narrative’. </w:t>
      </w:r>
    </w:p>
    <w:p w14:paraId="7D76C789" w14:textId="77777777" w:rsidR="00C765D6" w:rsidRPr="009D3124" w:rsidRDefault="00C765D6" w:rsidP="009D3124">
      <w:pPr>
        <w:pStyle w:val="ListParagraph"/>
        <w:numPr>
          <w:ilvl w:val="0"/>
          <w:numId w:val="77"/>
        </w:numPr>
        <w:tabs>
          <w:tab w:val="left" w:pos="284"/>
        </w:tabs>
        <w:suppressAutoHyphens w:val="0"/>
        <w:spacing w:before="0" w:line="280" w:lineRule="exact"/>
        <w:jc w:val="both"/>
        <w:rPr>
          <w:rFonts w:eastAsia="Times New Roman" w:cstheme="minorHAnsi"/>
          <w:sz w:val="21"/>
          <w:szCs w:val="21"/>
        </w:rPr>
      </w:pPr>
      <w:r w:rsidRPr="009D3124">
        <w:rPr>
          <w:rFonts w:eastAsia="Times New Roman" w:cstheme="minorHAnsi"/>
          <w:sz w:val="21"/>
          <w:szCs w:val="21"/>
        </w:rPr>
        <w:t xml:space="preserve">The most effective investments are </w:t>
      </w:r>
      <w:r w:rsidRPr="009D3124">
        <w:rPr>
          <w:rFonts w:eastAsia="Times New Roman" w:cstheme="minorHAnsi"/>
          <w:b/>
          <w:sz w:val="21"/>
          <w:szCs w:val="21"/>
        </w:rPr>
        <w:t xml:space="preserve">responsive to partner government priorities </w:t>
      </w:r>
      <w:r w:rsidRPr="009D3124">
        <w:rPr>
          <w:rFonts w:eastAsia="Times New Roman" w:cstheme="minorHAnsi"/>
          <w:sz w:val="21"/>
          <w:szCs w:val="21"/>
        </w:rPr>
        <w:t>(recognising that trade liberalisation is a complex political and technical process) and address capacity issues across a diverse range of areas;</w:t>
      </w:r>
    </w:p>
    <w:p w14:paraId="45176F4A" w14:textId="1D23AB25" w:rsidR="000A0246" w:rsidRPr="009D3124" w:rsidRDefault="000A0246" w:rsidP="00F5504F">
      <w:pPr>
        <w:pStyle w:val="ListParagraph"/>
        <w:numPr>
          <w:ilvl w:val="1"/>
          <w:numId w:val="80"/>
        </w:numPr>
        <w:tabs>
          <w:tab w:val="left" w:pos="284"/>
        </w:tabs>
        <w:suppressAutoHyphens w:val="0"/>
        <w:spacing w:before="0" w:line="280" w:lineRule="exact"/>
        <w:jc w:val="both"/>
        <w:rPr>
          <w:rFonts w:eastAsia="Times New Roman" w:cstheme="minorHAnsi"/>
          <w:sz w:val="21"/>
          <w:szCs w:val="21"/>
        </w:rPr>
      </w:pPr>
      <w:r w:rsidRPr="009D3124">
        <w:rPr>
          <w:rFonts w:eastAsia="Times New Roman" w:cstheme="minorHAnsi"/>
          <w:b/>
          <w:sz w:val="21"/>
          <w:szCs w:val="21"/>
        </w:rPr>
        <w:t>Impact</w:t>
      </w:r>
      <w:r w:rsidRPr="009D3124">
        <w:rPr>
          <w:rFonts w:eastAsia="Times New Roman" w:cstheme="minorHAnsi"/>
          <w:sz w:val="21"/>
          <w:szCs w:val="21"/>
        </w:rPr>
        <w:t xml:space="preserve">: Collaborative Hub will act as a Secretariat to the Economic Cooperation Committee under the IA-CEPA, providing briefings, analysis and recommendations based on ECP outcomes and priorities, as well as responding to activity requests. </w:t>
      </w:r>
    </w:p>
    <w:p w14:paraId="50D1D778" w14:textId="77777777" w:rsidR="00C765D6" w:rsidRPr="009D3124" w:rsidRDefault="00C765D6" w:rsidP="009D3124">
      <w:pPr>
        <w:pStyle w:val="ListParagraph"/>
        <w:numPr>
          <w:ilvl w:val="0"/>
          <w:numId w:val="77"/>
        </w:numPr>
        <w:tabs>
          <w:tab w:val="left" w:pos="284"/>
        </w:tabs>
        <w:suppressAutoHyphens w:val="0"/>
        <w:spacing w:before="0" w:line="280" w:lineRule="exact"/>
        <w:jc w:val="both"/>
        <w:rPr>
          <w:rFonts w:eastAsia="Times New Roman" w:cstheme="minorHAnsi"/>
          <w:sz w:val="21"/>
          <w:szCs w:val="21"/>
        </w:rPr>
      </w:pPr>
      <w:r w:rsidRPr="009D3124">
        <w:rPr>
          <w:rFonts w:eastAsia="Times New Roman" w:cstheme="minorHAnsi"/>
          <w:sz w:val="21"/>
          <w:szCs w:val="21"/>
        </w:rPr>
        <w:t xml:space="preserve">The most effective programs </w:t>
      </w:r>
      <w:r w:rsidRPr="009D3124">
        <w:rPr>
          <w:rFonts w:eastAsia="Times New Roman" w:cstheme="minorHAnsi"/>
          <w:b/>
          <w:sz w:val="21"/>
          <w:szCs w:val="21"/>
        </w:rPr>
        <w:t>complement and assist developing countries own efforts to boost economic growth</w:t>
      </w:r>
      <w:r w:rsidRPr="009D3124">
        <w:rPr>
          <w:rFonts w:eastAsia="Times New Roman" w:cstheme="minorHAnsi"/>
          <w:sz w:val="21"/>
          <w:szCs w:val="21"/>
        </w:rPr>
        <w:t xml:space="preserve">: political will, commitment and ownership by the partner government is critical to success. Partner governments need to be committed to introduce or continue reforms and ultimately support and sustain trade facilitation projects; </w:t>
      </w:r>
    </w:p>
    <w:p w14:paraId="0874C342" w14:textId="561F645A" w:rsidR="00A6597E" w:rsidRPr="009D3124" w:rsidRDefault="00A6597E" w:rsidP="00F5504F">
      <w:pPr>
        <w:pStyle w:val="ListParagraph"/>
        <w:numPr>
          <w:ilvl w:val="1"/>
          <w:numId w:val="81"/>
        </w:numPr>
        <w:tabs>
          <w:tab w:val="left" w:pos="284"/>
        </w:tabs>
        <w:suppressAutoHyphens w:val="0"/>
        <w:spacing w:before="0" w:line="280" w:lineRule="exact"/>
        <w:jc w:val="both"/>
        <w:rPr>
          <w:rFonts w:eastAsia="Times New Roman" w:cstheme="minorHAnsi"/>
          <w:sz w:val="21"/>
          <w:szCs w:val="21"/>
        </w:rPr>
      </w:pPr>
      <w:r w:rsidRPr="009D3124">
        <w:rPr>
          <w:rFonts w:eastAsia="Times New Roman" w:cstheme="minorHAnsi"/>
          <w:b/>
          <w:sz w:val="21"/>
          <w:szCs w:val="21"/>
        </w:rPr>
        <w:t>Impact</w:t>
      </w:r>
      <w:r w:rsidRPr="009D3124">
        <w:rPr>
          <w:rFonts w:eastAsia="Times New Roman" w:cstheme="minorHAnsi"/>
          <w:sz w:val="21"/>
          <w:szCs w:val="21"/>
        </w:rPr>
        <w:t xml:space="preserve">: the Collaborative Hub will act as a secretariat to the IA-CEPA Economic Cooperation Committee, which has co-chairs from Australia and Indonesia. The Government of Indonesia’s representative agency, </w:t>
      </w:r>
      <w:proofErr w:type="spellStart"/>
      <w:r w:rsidRPr="009D3124">
        <w:rPr>
          <w:rFonts w:eastAsia="Times New Roman" w:cstheme="minorHAnsi"/>
          <w:sz w:val="21"/>
          <w:szCs w:val="21"/>
        </w:rPr>
        <w:t>Bappenas</w:t>
      </w:r>
      <w:proofErr w:type="spellEnd"/>
      <w:r w:rsidRPr="009D3124">
        <w:rPr>
          <w:rFonts w:eastAsia="Times New Roman" w:cstheme="minorHAnsi"/>
          <w:sz w:val="21"/>
          <w:szCs w:val="21"/>
        </w:rPr>
        <w:t>, will receive periodic ECP reports, including on utilisation, economic/trade and broader impacts of IA-CEPA. These will align with relevant Ministries KPIs incorporated into Indonesia’s medium term development plan (RPJMN).</w:t>
      </w:r>
    </w:p>
    <w:p w14:paraId="1D43E472" w14:textId="2A9390C8" w:rsidR="00C765D6" w:rsidRPr="009D3124" w:rsidRDefault="00C765D6" w:rsidP="009D3124">
      <w:pPr>
        <w:pStyle w:val="ListParagraph"/>
        <w:numPr>
          <w:ilvl w:val="0"/>
          <w:numId w:val="77"/>
        </w:numPr>
        <w:tabs>
          <w:tab w:val="left" w:pos="284"/>
        </w:tabs>
        <w:suppressAutoHyphens w:val="0"/>
        <w:spacing w:before="0" w:line="280" w:lineRule="exact"/>
        <w:jc w:val="both"/>
        <w:rPr>
          <w:rFonts w:eastAsia="Times New Roman" w:cstheme="minorHAnsi"/>
          <w:sz w:val="21"/>
          <w:szCs w:val="21"/>
        </w:rPr>
      </w:pPr>
      <w:r w:rsidRPr="009D3124">
        <w:rPr>
          <w:rFonts w:eastAsia="Times New Roman" w:cstheme="minorHAnsi"/>
          <w:sz w:val="21"/>
          <w:szCs w:val="21"/>
        </w:rPr>
        <w:t xml:space="preserve">Design and implementation of trade facilitation activities </w:t>
      </w:r>
      <w:r w:rsidRPr="009D3124">
        <w:rPr>
          <w:rFonts w:eastAsia="Times New Roman" w:cstheme="minorHAnsi"/>
          <w:b/>
          <w:sz w:val="21"/>
          <w:szCs w:val="21"/>
        </w:rPr>
        <w:t>requires strong support within the private sector</w:t>
      </w:r>
      <w:r w:rsidRPr="009D3124">
        <w:rPr>
          <w:rFonts w:eastAsia="Times New Roman" w:cstheme="minorHAnsi"/>
          <w:sz w:val="21"/>
          <w:szCs w:val="21"/>
        </w:rPr>
        <w:t xml:space="preserve">. Governments and the private sector need to work closely together to identify viable opportunities and address </w:t>
      </w:r>
      <w:r w:rsidRPr="009D3124">
        <w:rPr>
          <w:rFonts w:eastAsia="Times New Roman" w:cstheme="minorHAnsi"/>
          <w:sz w:val="21"/>
          <w:szCs w:val="21"/>
        </w:rPr>
        <w:lastRenderedPageBreak/>
        <w:t xml:space="preserve">barriers to trade. </w:t>
      </w:r>
      <w:r w:rsidR="00241933">
        <w:rPr>
          <w:rFonts w:eastAsia="Times New Roman" w:cstheme="minorHAnsi"/>
        </w:rPr>
        <w:t xml:space="preserve">An AESCP review found that engaging industry is key to ensure the economic cooperation would enhance take-up of the trade agreement. </w:t>
      </w:r>
      <w:r w:rsidRPr="009D3124">
        <w:rPr>
          <w:rFonts w:eastAsia="Times New Roman" w:cstheme="minorHAnsi"/>
          <w:sz w:val="21"/>
          <w:szCs w:val="21"/>
        </w:rPr>
        <w:t xml:space="preserve">This is particularly relevant to sanitary and </w:t>
      </w:r>
      <w:proofErr w:type="spellStart"/>
      <w:r w:rsidRPr="009D3124">
        <w:rPr>
          <w:rFonts w:eastAsia="Times New Roman" w:cstheme="minorHAnsi"/>
          <w:sz w:val="21"/>
          <w:szCs w:val="21"/>
        </w:rPr>
        <w:t>phytosanitary</w:t>
      </w:r>
      <w:proofErr w:type="spellEnd"/>
      <w:r w:rsidRPr="009D3124">
        <w:rPr>
          <w:rFonts w:eastAsia="Times New Roman" w:cstheme="minorHAnsi"/>
          <w:sz w:val="21"/>
          <w:szCs w:val="21"/>
        </w:rPr>
        <w:t xml:space="preserve"> (SPS) measures that can restrict market access;</w:t>
      </w:r>
    </w:p>
    <w:p w14:paraId="1839B52F" w14:textId="7C73AD9E" w:rsidR="00A6597E" w:rsidRPr="009D3124" w:rsidRDefault="00A6597E" w:rsidP="00F5504F">
      <w:pPr>
        <w:pStyle w:val="ListParagraph"/>
        <w:numPr>
          <w:ilvl w:val="1"/>
          <w:numId w:val="82"/>
        </w:numPr>
        <w:tabs>
          <w:tab w:val="left" w:pos="284"/>
        </w:tabs>
        <w:suppressAutoHyphens w:val="0"/>
        <w:spacing w:before="0" w:line="280" w:lineRule="exact"/>
        <w:jc w:val="both"/>
        <w:rPr>
          <w:rFonts w:eastAsia="Times New Roman" w:cstheme="minorHAnsi"/>
          <w:sz w:val="21"/>
          <w:szCs w:val="21"/>
        </w:rPr>
      </w:pPr>
      <w:r w:rsidRPr="009D3124">
        <w:rPr>
          <w:rFonts w:eastAsia="Times New Roman" w:cstheme="minorHAnsi"/>
          <w:b/>
          <w:sz w:val="21"/>
          <w:szCs w:val="21"/>
        </w:rPr>
        <w:t>Impact</w:t>
      </w:r>
      <w:r w:rsidRPr="009D3124">
        <w:rPr>
          <w:rFonts w:eastAsia="Times New Roman" w:cstheme="minorHAnsi"/>
          <w:sz w:val="21"/>
          <w:szCs w:val="21"/>
        </w:rPr>
        <w:t xml:space="preserve">: industry engagement is perhaps the most prominent defining feature of the ECP and its proposed activities. An industry engagement advisory group will work with the Collaborative Hub to increase awareness and engagement by industry (including MSMEs) over the life of the ECP. </w:t>
      </w:r>
    </w:p>
    <w:p w14:paraId="509FB8B0" w14:textId="77777777" w:rsidR="00C765D6" w:rsidRPr="009D3124" w:rsidRDefault="00C765D6" w:rsidP="009D3124">
      <w:pPr>
        <w:pStyle w:val="ListParagraph"/>
        <w:numPr>
          <w:ilvl w:val="0"/>
          <w:numId w:val="77"/>
        </w:numPr>
        <w:tabs>
          <w:tab w:val="left" w:pos="284"/>
        </w:tabs>
        <w:suppressAutoHyphens w:val="0"/>
        <w:spacing w:before="0" w:line="280" w:lineRule="exact"/>
        <w:jc w:val="both"/>
        <w:rPr>
          <w:rFonts w:eastAsia="Times New Roman" w:cstheme="minorHAnsi"/>
          <w:sz w:val="21"/>
          <w:szCs w:val="21"/>
        </w:rPr>
      </w:pPr>
      <w:r w:rsidRPr="009D3124">
        <w:rPr>
          <w:rFonts w:eastAsia="Times New Roman" w:cstheme="minorHAnsi"/>
          <w:b/>
          <w:sz w:val="21"/>
          <w:szCs w:val="21"/>
        </w:rPr>
        <w:t>Government to government approaches are critical</w:t>
      </w:r>
      <w:r w:rsidRPr="009D3124">
        <w:rPr>
          <w:rFonts w:eastAsia="Times New Roman" w:cstheme="minorHAnsi"/>
          <w:sz w:val="21"/>
          <w:szCs w:val="21"/>
        </w:rPr>
        <w:t xml:space="preserve"> in maintaining political ownership and continuing economic engagement, while recognising the resource intensive nature of such engagement. </w:t>
      </w:r>
    </w:p>
    <w:p w14:paraId="7CD89103" w14:textId="372F5573" w:rsidR="00A6597E" w:rsidRPr="003B5996" w:rsidRDefault="00A6597E" w:rsidP="00F5504F">
      <w:pPr>
        <w:pStyle w:val="ListParagraph"/>
        <w:numPr>
          <w:ilvl w:val="1"/>
          <w:numId w:val="83"/>
        </w:numPr>
        <w:tabs>
          <w:tab w:val="left" w:pos="284"/>
        </w:tabs>
        <w:suppressAutoHyphens w:val="0"/>
        <w:spacing w:before="0" w:line="280" w:lineRule="exact"/>
        <w:jc w:val="both"/>
        <w:rPr>
          <w:rFonts w:eastAsia="Times New Roman" w:cstheme="minorHAnsi"/>
          <w:sz w:val="21"/>
          <w:szCs w:val="21"/>
        </w:rPr>
      </w:pPr>
      <w:r w:rsidRPr="009D3124">
        <w:rPr>
          <w:rFonts w:eastAsia="Times New Roman" w:cstheme="minorHAnsi"/>
          <w:b/>
          <w:sz w:val="21"/>
          <w:szCs w:val="21"/>
        </w:rPr>
        <w:t xml:space="preserve">Impact: </w:t>
      </w:r>
      <w:r w:rsidRPr="003B5996">
        <w:rPr>
          <w:rFonts w:eastAsia="Times New Roman" w:cstheme="minorHAnsi"/>
          <w:sz w:val="21"/>
          <w:szCs w:val="21"/>
        </w:rPr>
        <w:t xml:space="preserve">the ‘core business’ of the IA-CEPA will make available a range of tools for G2G exchange and technical assistance, following a Needs Assessment. </w:t>
      </w:r>
    </w:p>
    <w:p w14:paraId="1A7D1886" w14:textId="77777777" w:rsidR="00C765D6" w:rsidRPr="009D3124" w:rsidRDefault="00C765D6" w:rsidP="009D3124">
      <w:pPr>
        <w:pStyle w:val="ListParagraph"/>
        <w:numPr>
          <w:ilvl w:val="0"/>
          <w:numId w:val="77"/>
        </w:numPr>
        <w:tabs>
          <w:tab w:val="left" w:pos="284"/>
        </w:tabs>
        <w:suppressAutoHyphens w:val="0"/>
        <w:spacing w:before="0" w:line="280" w:lineRule="exact"/>
        <w:jc w:val="both"/>
        <w:rPr>
          <w:rFonts w:eastAsia="Times New Roman" w:cstheme="minorHAnsi"/>
          <w:sz w:val="21"/>
          <w:szCs w:val="21"/>
        </w:rPr>
      </w:pPr>
      <w:r w:rsidRPr="009D3124">
        <w:rPr>
          <w:rFonts w:eastAsia="Times New Roman" w:cstheme="minorHAnsi"/>
          <w:b/>
          <w:sz w:val="21"/>
          <w:szCs w:val="21"/>
        </w:rPr>
        <w:t xml:space="preserve">Coordination within bilateral, regional and global programs as well as across government bodies </w:t>
      </w:r>
      <w:r w:rsidRPr="009D3124">
        <w:rPr>
          <w:rFonts w:eastAsia="Times New Roman" w:cstheme="minorHAnsi"/>
          <w:sz w:val="21"/>
          <w:szCs w:val="21"/>
        </w:rPr>
        <w:t>(e.g. Australia Centre for International Agricultural Research (ACIAR), Department of Agriculture, Customs)</w:t>
      </w:r>
      <w:r w:rsidRPr="009D3124">
        <w:rPr>
          <w:rFonts w:eastAsia="Times New Roman" w:cstheme="minorHAnsi"/>
          <w:b/>
          <w:sz w:val="21"/>
          <w:szCs w:val="21"/>
        </w:rPr>
        <w:t xml:space="preserve"> </w:t>
      </w:r>
      <w:r w:rsidRPr="009D3124">
        <w:rPr>
          <w:rFonts w:eastAsia="Times New Roman" w:cstheme="minorHAnsi"/>
          <w:sz w:val="21"/>
          <w:szCs w:val="21"/>
        </w:rPr>
        <w:t>is</w:t>
      </w:r>
      <w:r w:rsidRPr="009D3124">
        <w:rPr>
          <w:rFonts w:eastAsia="Times New Roman" w:cstheme="minorHAnsi"/>
          <w:b/>
          <w:sz w:val="21"/>
          <w:szCs w:val="21"/>
        </w:rPr>
        <w:t xml:space="preserve"> </w:t>
      </w:r>
      <w:r w:rsidRPr="009D3124">
        <w:rPr>
          <w:rFonts w:eastAsia="Times New Roman" w:cstheme="minorHAnsi"/>
          <w:sz w:val="21"/>
          <w:szCs w:val="21"/>
        </w:rPr>
        <w:t>crucial to minimise overlap and maximise opportunities for effective cooperation.</w:t>
      </w:r>
    </w:p>
    <w:p w14:paraId="2DEDEF6D" w14:textId="0BC79DB8" w:rsidR="00A6597E" w:rsidRPr="009D3124" w:rsidRDefault="00A6597E" w:rsidP="00F5504F">
      <w:pPr>
        <w:pStyle w:val="ListParagraph"/>
        <w:numPr>
          <w:ilvl w:val="1"/>
          <w:numId w:val="84"/>
        </w:numPr>
        <w:tabs>
          <w:tab w:val="left" w:pos="284"/>
        </w:tabs>
        <w:suppressAutoHyphens w:val="0"/>
        <w:spacing w:before="0" w:line="280" w:lineRule="exact"/>
        <w:jc w:val="both"/>
        <w:rPr>
          <w:rFonts w:eastAsia="Times New Roman" w:cstheme="minorHAnsi"/>
          <w:sz w:val="21"/>
          <w:szCs w:val="21"/>
        </w:rPr>
      </w:pPr>
      <w:r w:rsidRPr="009D3124">
        <w:rPr>
          <w:rFonts w:eastAsia="Times New Roman" w:cstheme="minorHAnsi"/>
          <w:b/>
          <w:sz w:val="21"/>
          <w:szCs w:val="21"/>
        </w:rPr>
        <w:t xml:space="preserve">Impact: </w:t>
      </w:r>
      <w:r w:rsidR="00C82C37" w:rsidRPr="003B5996">
        <w:rPr>
          <w:rFonts w:eastAsia="Times New Roman" w:cstheme="minorHAnsi"/>
          <w:sz w:val="21"/>
          <w:szCs w:val="21"/>
        </w:rPr>
        <w:t>the design of the Collaborative Hub specifically mandates engaging with existing DFAT investments in Indonesia, and other expert partners, to deliver specific sectoral activities.</w:t>
      </w:r>
      <w:r w:rsidR="00C82C37" w:rsidRPr="009D3124">
        <w:rPr>
          <w:rFonts w:eastAsia="Times New Roman" w:cstheme="minorHAnsi"/>
          <w:b/>
          <w:sz w:val="21"/>
          <w:szCs w:val="21"/>
        </w:rPr>
        <w:t xml:space="preserve"> </w:t>
      </w:r>
    </w:p>
    <w:p w14:paraId="4C228553" w14:textId="312CC4F8" w:rsidR="00C765D6" w:rsidRPr="009D3124" w:rsidRDefault="00C765D6" w:rsidP="009D3124">
      <w:pPr>
        <w:pStyle w:val="ListParagraph"/>
        <w:numPr>
          <w:ilvl w:val="0"/>
          <w:numId w:val="77"/>
        </w:numPr>
        <w:tabs>
          <w:tab w:val="left" w:pos="284"/>
        </w:tabs>
        <w:suppressAutoHyphens w:val="0"/>
        <w:spacing w:before="0" w:line="280" w:lineRule="exact"/>
        <w:jc w:val="both"/>
        <w:rPr>
          <w:rFonts w:cstheme="minorHAnsi"/>
          <w:b/>
          <w:sz w:val="21"/>
          <w:szCs w:val="21"/>
        </w:rPr>
      </w:pPr>
      <w:r w:rsidRPr="009D3124">
        <w:rPr>
          <w:rFonts w:eastAsia="Times New Roman" w:cstheme="minorHAnsi"/>
          <w:b/>
          <w:sz w:val="21"/>
          <w:szCs w:val="21"/>
        </w:rPr>
        <w:t>Coordination with other donors and other areas of trade facilitation is also required</w:t>
      </w:r>
      <w:r w:rsidRPr="009D3124">
        <w:rPr>
          <w:rFonts w:eastAsia="Times New Roman" w:cstheme="minorHAnsi"/>
          <w:sz w:val="21"/>
          <w:szCs w:val="21"/>
        </w:rPr>
        <w:t xml:space="preserve"> </w:t>
      </w:r>
      <w:r w:rsidR="00FC2C76">
        <w:rPr>
          <w:rFonts w:eastAsia="Times New Roman" w:cstheme="minorHAnsi"/>
          <w:sz w:val="21"/>
          <w:szCs w:val="21"/>
        </w:rPr>
        <w:t xml:space="preserve">— </w:t>
      </w:r>
      <w:r w:rsidRPr="009D3124">
        <w:rPr>
          <w:rFonts w:eastAsia="Times New Roman" w:cstheme="minorHAnsi"/>
          <w:sz w:val="21"/>
          <w:szCs w:val="21"/>
        </w:rPr>
        <w:t xml:space="preserve">recognising that the binding constraints to increasing trade and economic growth may be deficiencies in productive capacity and economic infrastructure. Specifically, </w:t>
      </w:r>
      <w:r w:rsidRPr="009D3124">
        <w:rPr>
          <w:rFonts w:eastAsia="Times New Roman" w:cstheme="minorHAnsi"/>
          <w:b/>
          <w:sz w:val="21"/>
          <w:szCs w:val="21"/>
        </w:rPr>
        <w:t>linkages between trade facilitation reforms, infrastructure development, and productive capacity</w:t>
      </w:r>
      <w:r w:rsidRPr="009D3124">
        <w:rPr>
          <w:rFonts w:eastAsia="Times New Roman" w:cstheme="minorHAnsi"/>
          <w:sz w:val="21"/>
          <w:szCs w:val="21"/>
        </w:rPr>
        <w:t xml:space="preserve"> need to be strengthened.</w:t>
      </w:r>
    </w:p>
    <w:p w14:paraId="44C16AC8" w14:textId="7EDED415" w:rsidR="00083007" w:rsidRDefault="00083007" w:rsidP="00F5504F">
      <w:pPr>
        <w:pStyle w:val="ListParagraph"/>
        <w:numPr>
          <w:ilvl w:val="1"/>
          <w:numId w:val="85"/>
        </w:numPr>
        <w:tabs>
          <w:tab w:val="left" w:pos="284"/>
        </w:tabs>
        <w:suppressAutoHyphens w:val="0"/>
        <w:spacing w:before="0" w:line="280" w:lineRule="exact"/>
        <w:jc w:val="both"/>
        <w:rPr>
          <w:rFonts w:cstheme="minorHAnsi"/>
          <w:b/>
          <w:sz w:val="21"/>
          <w:szCs w:val="21"/>
        </w:rPr>
      </w:pPr>
      <w:r w:rsidRPr="009D3124">
        <w:rPr>
          <w:rFonts w:eastAsia="Times New Roman" w:cstheme="minorHAnsi"/>
          <w:b/>
          <w:sz w:val="21"/>
          <w:szCs w:val="21"/>
        </w:rPr>
        <w:t>Impact</w:t>
      </w:r>
      <w:r w:rsidRPr="009D3124">
        <w:rPr>
          <w:rFonts w:cstheme="minorHAnsi"/>
          <w:b/>
          <w:sz w:val="21"/>
          <w:szCs w:val="21"/>
        </w:rPr>
        <w:t xml:space="preserve">: </w:t>
      </w:r>
      <w:r w:rsidRPr="003B5996">
        <w:rPr>
          <w:rFonts w:cstheme="minorHAnsi"/>
          <w:sz w:val="21"/>
          <w:szCs w:val="21"/>
        </w:rPr>
        <w:t>the Collaborative Hub will utilise ‘shared services’ including access to expert trade/investment networks to ensure activities are non-duplicative, and aligned with ECP objectives.</w:t>
      </w:r>
      <w:r w:rsidRPr="009D3124">
        <w:rPr>
          <w:rFonts w:cstheme="minorHAnsi"/>
          <w:b/>
          <w:sz w:val="21"/>
          <w:szCs w:val="21"/>
        </w:rPr>
        <w:t xml:space="preserve"> </w:t>
      </w:r>
    </w:p>
    <w:p w14:paraId="34745E2E" w14:textId="77777777" w:rsidR="00241933" w:rsidRPr="00064542" w:rsidRDefault="00241933" w:rsidP="00F5504F">
      <w:pPr>
        <w:pStyle w:val="ListParagraph"/>
        <w:numPr>
          <w:ilvl w:val="0"/>
          <w:numId w:val="85"/>
        </w:numPr>
        <w:tabs>
          <w:tab w:val="left" w:pos="284"/>
        </w:tabs>
        <w:suppressAutoHyphens w:val="0"/>
        <w:spacing w:before="0" w:line="280" w:lineRule="exact"/>
        <w:jc w:val="both"/>
        <w:rPr>
          <w:rFonts w:cstheme="minorHAnsi"/>
          <w:b/>
        </w:rPr>
      </w:pPr>
      <w:r>
        <w:rPr>
          <w:rFonts w:eastAsia="Times New Roman" w:cstheme="minorHAnsi"/>
          <w:b/>
        </w:rPr>
        <w:t>Clear responsibilities for DFAT and implementing partners is vital</w:t>
      </w:r>
      <w:r w:rsidRPr="00064542">
        <w:rPr>
          <w:rFonts w:eastAsia="Times New Roman" w:cstheme="minorHAnsi"/>
        </w:rPr>
        <w:t xml:space="preserve"> to ensure effective delivery of activities and relationships</w:t>
      </w:r>
      <w:r>
        <w:rPr>
          <w:rFonts w:eastAsia="Times New Roman" w:cstheme="minorHAnsi"/>
          <w:b/>
        </w:rPr>
        <w:t>.</w:t>
      </w:r>
    </w:p>
    <w:p w14:paraId="457B305A" w14:textId="02B8317F" w:rsidR="00241933" w:rsidRPr="00241933" w:rsidRDefault="00241933" w:rsidP="00F5504F">
      <w:pPr>
        <w:pStyle w:val="ListParagraph"/>
        <w:numPr>
          <w:ilvl w:val="1"/>
          <w:numId w:val="85"/>
        </w:numPr>
        <w:tabs>
          <w:tab w:val="left" w:pos="284"/>
        </w:tabs>
        <w:suppressAutoHyphens w:val="0"/>
        <w:spacing w:before="0" w:line="280" w:lineRule="exact"/>
        <w:jc w:val="both"/>
        <w:rPr>
          <w:rFonts w:cstheme="minorHAnsi"/>
          <w:b/>
        </w:rPr>
      </w:pPr>
      <w:r>
        <w:rPr>
          <w:rFonts w:cstheme="minorHAnsi"/>
          <w:b/>
        </w:rPr>
        <w:t xml:space="preserve">Impact: </w:t>
      </w:r>
      <w:r w:rsidRPr="00064542">
        <w:rPr>
          <w:rFonts w:cstheme="minorHAnsi"/>
        </w:rPr>
        <w:t xml:space="preserve">the design specifically includes </w:t>
      </w:r>
      <w:r>
        <w:rPr>
          <w:rFonts w:cstheme="minorHAnsi"/>
        </w:rPr>
        <w:t>a recommendation, including summary diagram</w:t>
      </w:r>
      <w:r w:rsidR="00C878DB">
        <w:rPr>
          <w:rFonts w:cstheme="minorHAnsi"/>
        </w:rPr>
        <w:t xml:space="preserve">, </w:t>
      </w:r>
      <w:r w:rsidR="00C878DB" w:rsidRPr="00064542">
        <w:rPr>
          <w:rFonts w:cstheme="minorHAnsi"/>
        </w:rPr>
        <w:t>of</w:t>
      </w:r>
      <w:r w:rsidRPr="00064542">
        <w:rPr>
          <w:rFonts w:cstheme="minorHAnsi"/>
        </w:rPr>
        <w:t xml:space="preserve"> roles and responsibilities for DFAT and the implementing partner.</w:t>
      </w:r>
    </w:p>
    <w:p w14:paraId="6A1EAEB6" w14:textId="3747C152" w:rsidR="0078358D" w:rsidRDefault="0078358D">
      <w:pPr>
        <w:suppressAutoHyphens w:val="0"/>
        <w:spacing w:before="0" w:after="120" w:line="440" w:lineRule="atLeast"/>
      </w:pPr>
      <w:r>
        <w:br w:type="page"/>
      </w:r>
    </w:p>
    <w:p w14:paraId="37EB1954" w14:textId="36D9AA44" w:rsidR="00AF3768" w:rsidRDefault="00AF3768" w:rsidP="00AF3768">
      <w:pPr>
        <w:pStyle w:val="Heading3"/>
        <w:rPr>
          <w:rFonts w:asciiTheme="minorHAnsi" w:hAnsiTheme="minorHAnsi" w:cstheme="minorHAnsi"/>
          <w:sz w:val="38"/>
          <w:szCs w:val="38"/>
        </w:rPr>
      </w:pPr>
      <w:r w:rsidRPr="00594619">
        <w:rPr>
          <w:rFonts w:asciiTheme="minorHAnsi" w:hAnsiTheme="minorHAnsi" w:cstheme="minorHAnsi"/>
          <w:sz w:val="38"/>
          <w:szCs w:val="38"/>
        </w:rPr>
        <w:lastRenderedPageBreak/>
        <w:t xml:space="preserve">ANNEX </w:t>
      </w:r>
      <w:r w:rsidR="009A4CAC">
        <w:rPr>
          <w:rFonts w:asciiTheme="minorHAnsi" w:hAnsiTheme="minorHAnsi" w:cstheme="minorHAnsi"/>
          <w:sz w:val="38"/>
          <w:szCs w:val="38"/>
        </w:rPr>
        <w:t>8</w:t>
      </w:r>
      <w:r w:rsidRPr="00594619">
        <w:rPr>
          <w:rFonts w:asciiTheme="minorHAnsi" w:hAnsiTheme="minorHAnsi" w:cstheme="minorHAnsi"/>
          <w:sz w:val="38"/>
          <w:szCs w:val="38"/>
        </w:rPr>
        <w:t xml:space="preserve">. </w:t>
      </w:r>
      <w:r w:rsidRPr="00AF3768">
        <w:rPr>
          <w:rFonts w:asciiTheme="minorHAnsi" w:hAnsiTheme="minorHAnsi" w:cstheme="minorHAnsi"/>
          <w:sz w:val="38"/>
          <w:szCs w:val="38"/>
        </w:rPr>
        <w:t>NON-ODA FUNDS AND ECP</w:t>
      </w:r>
    </w:p>
    <w:p w14:paraId="75D8233C" w14:textId="0AF16F19" w:rsidR="00AF3768" w:rsidRPr="00AF3768" w:rsidRDefault="00AF3768" w:rsidP="00AF3768">
      <w:pPr>
        <w:rPr>
          <w:rFonts w:cstheme="minorHAnsi"/>
          <w:sz w:val="21"/>
          <w:szCs w:val="21"/>
        </w:rPr>
      </w:pPr>
      <w:r w:rsidRPr="00AF3768">
        <w:rPr>
          <w:rFonts w:cstheme="minorHAnsi"/>
          <w:sz w:val="21"/>
          <w:szCs w:val="21"/>
        </w:rPr>
        <w:t xml:space="preserve">As outlined in the </w:t>
      </w:r>
      <w:r>
        <w:rPr>
          <w:rFonts w:cstheme="minorHAnsi"/>
          <w:sz w:val="21"/>
          <w:szCs w:val="21"/>
        </w:rPr>
        <w:t>E</w:t>
      </w:r>
      <w:r w:rsidRPr="00AF3768">
        <w:rPr>
          <w:rFonts w:cstheme="minorHAnsi"/>
          <w:sz w:val="21"/>
          <w:szCs w:val="21"/>
        </w:rPr>
        <w:t xml:space="preserve">xecutive </w:t>
      </w:r>
      <w:r>
        <w:rPr>
          <w:rFonts w:cstheme="minorHAnsi"/>
          <w:sz w:val="21"/>
          <w:szCs w:val="21"/>
        </w:rPr>
        <w:t>S</w:t>
      </w:r>
      <w:r w:rsidRPr="00AF3768">
        <w:rPr>
          <w:rFonts w:cstheme="minorHAnsi"/>
          <w:sz w:val="21"/>
          <w:szCs w:val="21"/>
        </w:rPr>
        <w:t xml:space="preserve">ummary, </w:t>
      </w:r>
      <w:r>
        <w:rPr>
          <w:rFonts w:cstheme="minorHAnsi"/>
          <w:sz w:val="21"/>
          <w:szCs w:val="21"/>
        </w:rPr>
        <w:t xml:space="preserve">the </w:t>
      </w:r>
      <w:r w:rsidRPr="00AF3768">
        <w:rPr>
          <w:rFonts w:cstheme="minorHAnsi"/>
          <w:sz w:val="21"/>
          <w:szCs w:val="21"/>
        </w:rPr>
        <w:t xml:space="preserve">ECP will be a unique mechanism that includes potential for non-ODA co-contributions to support Australia and Indonesia’s economic and commercial diplomacy agendas. The impact of ECP will be maximised through leveraging knowledge and non-ODA sources of finance. ECP also has the potential to support greater coherence and responsiveness for Australia’s economic and commercial diplomacy agenda. </w:t>
      </w:r>
    </w:p>
    <w:p w14:paraId="7FCCAB98" w14:textId="7B917380" w:rsidR="00AF3768" w:rsidRPr="00AF3768" w:rsidRDefault="00AF3768" w:rsidP="00AF3768">
      <w:pPr>
        <w:rPr>
          <w:rFonts w:cstheme="minorHAnsi"/>
          <w:sz w:val="21"/>
          <w:szCs w:val="21"/>
        </w:rPr>
      </w:pPr>
      <w:r w:rsidRPr="00AF3768">
        <w:rPr>
          <w:rFonts w:cstheme="minorHAnsi"/>
          <w:sz w:val="21"/>
          <w:szCs w:val="21"/>
        </w:rPr>
        <w:t>Design consultations revealed there is potential demand from Australian Government departments (e.g. Department of Agriculture, Industry), the Indonesian Government and Australian</w:t>
      </w:r>
      <w:r>
        <w:rPr>
          <w:rFonts w:cstheme="minorHAnsi"/>
          <w:sz w:val="21"/>
          <w:szCs w:val="21"/>
        </w:rPr>
        <w:t xml:space="preserve"> and</w:t>
      </w:r>
      <w:r w:rsidRPr="00AF3768">
        <w:rPr>
          <w:rFonts w:cstheme="minorHAnsi"/>
          <w:sz w:val="21"/>
          <w:szCs w:val="21"/>
        </w:rPr>
        <w:t xml:space="preserve"> Indonesian private sector entities to provide non-ODA funds to support IA-CEPA and ECP outcomes. </w:t>
      </w:r>
      <w:r>
        <w:rPr>
          <w:rFonts w:cstheme="minorHAnsi"/>
          <w:sz w:val="21"/>
          <w:szCs w:val="21"/>
        </w:rPr>
        <w:t xml:space="preserve">Therefore: </w:t>
      </w:r>
    </w:p>
    <w:p w14:paraId="69DFD2F0" w14:textId="72182B86" w:rsidR="00AF3768" w:rsidRPr="00AF3768" w:rsidRDefault="00AF3768" w:rsidP="00F5504F">
      <w:pPr>
        <w:pStyle w:val="ListParagraph"/>
        <w:numPr>
          <w:ilvl w:val="0"/>
          <w:numId w:val="96"/>
        </w:numPr>
        <w:rPr>
          <w:rFonts w:cstheme="minorHAnsi"/>
          <w:sz w:val="21"/>
          <w:szCs w:val="21"/>
        </w:rPr>
      </w:pPr>
      <w:r w:rsidRPr="00AF3768">
        <w:rPr>
          <w:rFonts w:cstheme="minorHAnsi"/>
          <w:sz w:val="21"/>
          <w:szCs w:val="21"/>
        </w:rPr>
        <w:t>Non-ODA funding will be considered by the ECC on a case by case basis for their ability to deliver development outcomes, and must align with ECP’s development context and overall objectives and align with the core priorities ou</w:t>
      </w:r>
      <w:r w:rsidR="005924CC">
        <w:rPr>
          <w:rFonts w:cstheme="minorHAnsi"/>
          <w:sz w:val="21"/>
          <w:szCs w:val="21"/>
        </w:rPr>
        <w:t xml:space="preserve">tlined at ‘Guiding Principles’. </w:t>
      </w:r>
    </w:p>
    <w:p w14:paraId="4AAC309B" w14:textId="05F0CD3C" w:rsidR="00AF3768" w:rsidRPr="00AF3768" w:rsidRDefault="00AF3768" w:rsidP="00F5504F">
      <w:pPr>
        <w:pStyle w:val="ListParagraph"/>
        <w:numPr>
          <w:ilvl w:val="0"/>
          <w:numId w:val="96"/>
        </w:numPr>
        <w:rPr>
          <w:rFonts w:cstheme="minorHAnsi"/>
          <w:sz w:val="21"/>
          <w:szCs w:val="21"/>
        </w:rPr>
      </w:pPr>
      <w:r w:rsidRPr="00AF3768">
        <w:rPr>
          <w:rFonts w:cstheme="minorHAnsi"/>
          <w:sz w:val="21"/>
          <w:szCs w:val="21"/>
        </w:rPr>
        <w:t>The Collaborative Hub will maintain appropriate accounting and governance arrangements for the handling and acquittal of ODA and non-ODA funding that are implemented by the Hub</w:t>
      </w:r>
      <w:r w:rsidR="005924CC">
        <w:rPr>
          <w:rFonts w:cstheme="minorHAnsi"/>
          <w:sz w:val="21"/>
          <w:szCs w:val="21"/>
        </w:rPr>
        <w:t xml:space="preserve">. </w:t>
      </w:r>
    </w:p>
    <w:p w14:paraId="4AD187F8" w14:textId="453CEC06" w:rsidR="00AF3768" w:rsidRPr="00AF3768" w:rsidRDefault="00AF3768" w:rsidP="00F5504F">
      <w:pPr>
        <w:pStyle w:val="ListParagraph"/>
        <w:numPr>
          <w:ilvl w:val="0"/>
          <w:numId w:val="96"/>
        </w:numPr>
        <w:rPr>
          <w:rFonts w:cstheme="minorHAnsi"/>
          <w:sz w:val="21"/>
          <w:szCs w:val="21"/>
        </w:rPr>
      </w:pPr>
      <w:r w:rsidRPr="00AF3768">
        <w:rPr>
          <w:rFonts w:cstheme="minorHAnsi"/>
          <w:sz w:val="21"/>
          <w:szCs w:val="21"/>
        </w:rPr>
        <w:t>In other instances, partners may choose to provide matched or in-kind contributions directly to ECP partners – the Hub would ensure the funding aligns with ECP objectives</w:t>
      </w:r>
      <w:r w:rsidR="005924CC">
        <w:rPr>
          <w:rFonts w:cstheme="minorHAnsi"/>
          <w:sz w:val="21"/>
          <w:szCs w:val="21"/>
        </w:rPr>
        <w:t xml:space="preserve">. </w:t>
      </w:r>
    </w:p>
    <w:p w14:paraId="635A10E1" w14:textId="74DC11B3" w:rsidR="00AF3768" w:rsidRPr="00AF3768" w:rsidRDefault="00AF3768" w:rsidP="00F5504F">
      <w:pPr>
        <w:pStyle w:val="ListParagraph"/>
        <w:numPr>
          <w:ilvl w:val="0"/>
          <w:numId w:val="96"/>
        </w:numPr>
        <w:rPr>
          <w:rFonts w:cstheme="minorHAnsi"/>
          <w:sz w:val="21"/>
          <w:szCs w:val="21"/>
        </w:rPr>
      </w:pPr>
      <w:r w:rsidRPr="00AF3768">
        <w:rPr>
          <w:rFonts w:cstheme="minorHAnsi"/>
          <w:sz w:val="21"/>
          <w:szCs w:val="21"/>
        </w:rPr>
        <w:t xml:space="preserve">The Hub will also consider as part of activity proposals and the annual </w:t>
      </w:r>
      <w:proofErr w:type="spellStart"/>
      <w:r w:rsidRPr="00AF3768">
        <w:rPr>
          <w:rFonts w:cstheme="minorHAnsi"/>
          <w:sz w:val="21"/>
          <w:szCs w:val="21"/>
        </w:rPr>
        <w:t>workplan</w:t>
      </w:r>
      <w:proofErr w:type="spellEnd"/>
      <w:r w:rsidRPr="00AF3768">
        <w:rPr>
          <w:rFonts w:cstheme="minorHAnsi"/>
          <w:sz w:val="21"/>
          <w:szCs w:val="21"/>
        </w:rPr>
        <w:t xml:space="preserve"> process whether activities have potential for non-ODA elements</w:t>
      </w:r>
      <w:r w:rsidR="005924CC">
        <w:rPr>
          <w:rFonts w:cstheme="minorHAnsi"/>
          <w:sz w:val="21"/>
          <w:szCs w:val="21"/>
        </w:rPr>
        <w:t xml:space="preserve">. </w:t>
      </w:r>
    </w:p>
    <w:p w14:paraId="11467523" w14:textId="02A0F7A6" w:rsidR="00AF3768" w:rsidRPr="00AF3768" w:rsidRDefault="00AF3768" w:rsidP="00F5504F">
      <w:pPr>
        <w:pStyle w:val="ListParagraph"/>
        <w:numPr>
          <w:ilvl w:val="0"/>
          <w:numId w:val="96"/>
        </w:numPr>
        <w:rPr>
          <w:rFonts w:cstheme="minorHAnsi"/>
          <w:sz w:val="21"/>
          <w:szCs w:val="21"/>
        </w:rPr>
      </w:pPr>
      <w:r w:rsidRPr="00AF3768">
        <w:rPr>
          <w:rFonts w:cstheme="minorHAnsi"/>
          <w:sz w:val="21"/>
          <w:szCs w:val="21"/>
        </w:rPr>
        <w:t>ECP activity proposals will need to explicitly address ODA eligibility, including whether the activity supports Indonesia’s economic development as the primary objective, and furthering Australia and Indonesia public diplomacy and/ or economic interests or to provide a platform for high level policy engagement</w:t>
      </w:r>
      <w:r w:rsidR="005924CC">
        <w:rPr>
          <w:rFonts w:cstheme="minorHAnsi"/>
          <w:sz w:val="21"/>
          <w:szCs w:val="21"/>
        </w:rPr>
        <w:t xml:space="preserve">. </w:t>
      </w:r>
    </w:p>
    <w:p w14:paraId="57087AAF" w14:textId="0827049E" w:rsidR="00AF3768" w:rsidRPr="00AF3768" w:rsidRDefault="00AF3768" w:rsidP="00F5504F">
      <w:pPr>
        <w:pStyle w:val="ListParagraph"/>
        <w:numPr>
          <w:ilvl w:val="0"/>
          <w:numId w:val="96"/>
        </w:numPr>
        <w:rPr>
          <w:rFonts w:cstheme="minorHAnsi"/>
          <w:sz w:val="21"/>
          <w:szCs w:val="21"/>
        </w:rPr>
      </w:pPr>
      <w:r w:rsidRPr="00AF3768">
        <w:rPr>
          <w:rFonts w:cstheme="minorHAnsi"/>
          <w:sz w:val="21"/>
          <w:szCs w:val="21"/>
        </w:rPr>
        <w:t>Where an activity is deemed to be ODA-eligible, the Collaborative Hub will have responsibility for working with partner agencies and private sector stakeholders to ensure that activities are developed to comply with ODA eligibility requirements. This will avoid any breaches of the Public Governance, Performance and Accountability (PGPA) Act and ensure Post’s departmental budget will not be required to cover projects assessed as non-compliant with ODA eligibility at the end of the financial year</w:t>
      </w:r>
      <w:r w:rsidR="005924CC">
        <w:rPr>
          <w:rFonts w:cstheme="minorHAnsi"/>
          <w:sz w:val="21"/>
          <w:szCs w:val="21"/>
        </w:rPr>
        <w:t xml:space="preserve">. </w:t>
      </w:r>
    </w:p>
    <w:p w14:paraId="7B576389" w14:textId="05896438" w:rsidR="00AF3768" w:rsidRPr="00AF3768" w:rsidRDefault="00AF3768" w:rsidP="00F5504F">
      <w:pPr>
        <w:pStyle w:val="ListParagraph"/>
        <w:numPr>
          <w:ilvl w:val="0"/>
          <w:numId w:val="96"/>
        </w:numPr>
        <w:rPr>
          <w:rFonts w:cstheme="minorHAnsi"/>
          <w:sz w:val="21"/>
          <w:szCs w:val="21"/>
        </w:rPr>
      </w:pPr>
      <w:r w:rsidRPr="00AF3768">
        <w:rPr>
          <w:rFonts w:cstheme="minorHAnsi"/>
          <w:sz w:val="21"/>
          <w:szCs w:val="21"/>
        </w:rPr>
        <w:t xml:space="preserve">In line with the implementation arrangements outlined in the design, the Hub would manage co-contributions from other agencies and the private sector through a record of understanding with the relevant co-contributor. Where a </w:t>
      </w:r>
      <w:r w:rsidR="005924CC">
        <w:rPr>
          <w:rFonts w:cstheme="minorHAnsi"/>
          <w:sz w:val="21"/>
          <w:szCs w:val="21"/>
        </w:rPr>
        <w:t>H</w:t>
      </w:r>
      <w:r w:rsidRPr="00AF3768">
        <w:rPr>
          <w:rFonts w:cstheme="minorHAnsi"/>
          <w:sz w:val="21"/>
          <w:szCs w:val="21"/>
        </w:rPr>
        <w:t>ead ROU exists, this will be supplemented with an activity schedule which form the basis of transfer of funds. Where ahead ROU does not exist, an Activity ROU will be used to enable the transfer of funds. The ROU would need to clearly articulate common goals</w:t>
      </w:r>
      <w:r w:rsidR="00E34ABB" w:rsidRPr="00AF3768">
        <w:rPr>
          <w:rFonts w:cstheme="minorHAnsi"/>
          <w:sz w:val="21"/>
          <w:szCs w:val="21"/>
        </w:rPr>
        <w:t>, the</w:t>
      </w:r>
      <w:r w:rsidRPr="00AF3768">
        <w:rPr>
          <w:rFonts w:cstheme="minorHAnsi"/>
          <w:sz w:val="21"/>
          <w:szCs w:val="21"/>
        </w:rPr>
        <w:t xml:space="preserve"> expected development and commercial outcomes of the project, assign responsibility for activities and reporting requirements</w:t>
      </w:r>
      <w:r w:rsidR="005924CC">
        <w:rPr>
          <w:rFonts w:cstheme="minorHAnsi"/>
          <w:sz w:val="21"/>
          <w:szCs w:val="21"/>
        </w:rPr>
        <w:t xml:space="preserve">. </w:t>
      </w:r>
    </w:p>
    <w:p w14:paraId="62928869" w14:textId="0CB0F74C" w:rsidR="00AF3768" w:rsidRPr="00AF3768" w:rsidRDefault="00AF3768" w:rsidP="00F5504F">
      <w:pPr>
        <w:pStyle w:val="ListParagraph"/>
        <w:numPr>
          <w:ilvl w:val="0"/>
          <w:numId w:val="96"/>
        </w:numPr>
        <w:rPr>
          <w:rFonts w:cstheme="minorHAnsi"/>
          <w:sz w:val="21"/>
          <w:szCs w:val="21"/>
        </w:rPr>
      </w:pPr>
      <w:r w:rsidRPr="00AF3768">
        <w:rPr>
          <w:rFonts w:cstheme="minorHAnsi"/>
          <w:sz w:val="21"/>
          <w:szCs w:val="21"/>
        </w:rPr>
        <w:t xml:space="preserve">The </w:t>
      </w:r>
      <w:r w:rsidR="005924CC">
        <w:rPr>
          <w:rFonts w:cstheme="minorHAnsi"/>
          <w:sz w:val="21"/>
          <w:szCs w:val="21"/>
        </w:rPr>
        <w:t>H</w:t>
      </w:r>
      <w:r w:rsidRPr="00AF3768">
        <w:rPr>
          <w:rFonts w:cstheme="minorHAnsi"/>
          <w:sz w:val="21"/>
          <w:szCs w:val="21"/>
        </w:rPr>
        <w:t>ub may produce guidelines outlining ODA eligibility requirements.</w:t>
      </w:r>
    </w:p>
    <w:p w14:paraId="56D031F1" w14:textId="77777777" w:rsidR="00C765D6" w:rsidRPr="001E12C7" w:rsidRDefault="00C765D6" w:rsidP="00C765D6">
      <w:pPr>
        <w:rPr>
          <w:rFonts w:cstheme="minorHAnsi"/>
          <w:sz w:val="21"/>
          <w:szCs w:val="21"/>
        </w:rPr>
      </w:pPr>
    </w:p>
    <w:sectPr w:rsidR="00C765D6" w:rsidRPr="001E12C7" w:rsidSect="006466E1">
      <w:headerReference w:type="default" r:id="rId31"/>
      <w:footerReference w:type="default" r:id="rId32"/>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D602D" w14:textId="77777777" w:rsidR="00525A2A" w:rsidRDefault="00525A2A" w:rsidP="00D37B04">
      <w:r>
        <w:separator/>
      </w:r>
    </w:p>
  </w:endnote>
  <w:endnote w:type="continuationSeparator" w:id="0">
    <w:p w14:paraId="5DB91DB2" w14:textId="77777777" w:rsidR="00525A2A" w:rsidRDefault="00525A2A"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737798"/>
      <w:docPartObj>
        <w:docPartGallery w:val="Page Numbers (Bottom of Page)"/>
        <w:docPartUnique/>
      </w:docPartObj>
    </w:sdtPr>
    <w:sdtEndPr>
      <w:rPr>
        <w:noProof/>
      </w:rPr>
    </w:sdtEndPr>
    <w:sdtContent>
      <w:p w14:paraId="6818536E" w14:textId="0E50BB87" w:rsidR="00525A2A" w:rsidRDefault="00525A2A">
        <w:pPr>
          <w:pStyle w:val="Footer"/>
          <w:jc w:val="right"/>
        </w:pPr>
        <w:r>
          <w:fldChar w:fldCharType="begin"/>
        </w:r>
        <w:r>
          <w:instrText xml:space="preserve"> PAGE   \* MERGEFORMAT </w:instrText>
        </w:r>
        <w:r>
          <w:fldChar w:fldCharType="separate"/>
        </w:r>
        <w:r w:rsidR="00530ABE">
          <w:rPr>
            <w:noProof/>
          </w:rPr>
          <w:t>10</w:t>
        </w:r>
        <w:r>
          <w:rPr>
            <w:noProof/>
          </w:rPr>
          <w:fldChar w:fldCharType="end"/>
        </w:r>
      </w:p>
    </w:sdtContent>
  </w:sdt>
  <w:p w14:paraId="08458A97" w14:textId="77777777" w:rsidR="00525A2A" w:rsidRPr="00FC322F" w:rsidRDefault="00525A2A" w:rsidP="00FC322F">
    <w:pPr>
      <w:pStyle w:val="Footer"/>
      <w:rPr>
        <w:b/>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0107962"/>
      <w:docPartObj>
        <w:docPartGallery w:val="Page Numbers (Bottom of Page)"/>
        <w:docPartUnique/>
      </w:docPartObj>
    </w:sdtPr>
    <w:sdtEndPr>
      <w:rPr>
        <w:noProof/>
      </w:rPr>
    </w:sdtEndPr>
    <w:sdtContent>
      <w:p w14:paraId="520358D4" w14:textId="28A877FB" w:rsidR="00525A2A" w:rsidRDefault="00525A2A">
        <w:pPr>
          <w:pStyle w:val="Footer"/>
          <w:jc w:val="right"/>
        </w:pPr>
        <w:r>
          <w:fldChar w:fldCharType="begin"/>
        </w:r>
        <w:r>
          <w:instrText xml:space="preserve"> PAGE   \* MERGEFORMAT </w:instrText>
        </w:r>
        <w:r>
          <w:fldChar w:fldCharType="separate"/>
        </w:r>
        <w:r w:rsidR="00530ABE">
          <w:rPr>
            <w:noProof/>
          </w:rPr>
          <w:t>1</w:t>
        </w:r>
        <w:r>
          <w:rPr>
            <w:noProof/>
          </w:rPr>
          <w:fldChar w:fldCharType="end"/>
        </w:r>
      </w:p>
    </w:sdtContent>
  </w:sdt>
  <w:p w14:paraId="6573A277" w14:textId="77777777" w:rsidR="00525A2A" w:rsidRPr="00FC322F" w:rsidRDefault="00525A2A"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6057359"/>
      <w:docPartObj>
        <w:docPartGallery w:val="Page Numbers (Bottom of Page)"/>
        <w:docPartUnique/>
      </w:docPartObj>
    </w:sdtPr>
    <w:sdtEndPr>
      <w:rPr>
        <w:noProof/>
      </w:rPr>
    </w:sdtEndPr>
    <w:sdtContent>
      <w:p w14:paraId="49A6FAC3" w14:textId="615245AC" w:rsidR="00525A2A" w:rsidRDefault="00525A2A">
        <w:pPr>
          <w:pStyle w:val="Footer"/>
          <w:jc w:val="right"/>
        </w:pPr>
        <w:r>
          <w:fldChar w:fldCharType="begin"/>
        </w:r>
        <w:r>
          <w:instrText xml:space="preserve"> PAGE   \* MERGEFORMAT </w:instrText>
        </w:r>
        <w:r>
          <w:fldChar w:fldCharType="separate"/>
        </w:r>
        <w:r w:rsidR="00530ABE">
          <w:rPr>
            <w:noProof/>
          </w:rPr>
          <w:t>23</w:t>
        </w:r>
        <w:r>
          <w:rPr>
            <w:noProof/>
          </w:rPr>
          <w:fldChar w:fldCharType="end"/>
        </w:r>
      </w:p>
    </w:sdtContent>
  </w:sdt>
  <w:p w14:paraId="25EED41F" w14:textId="77777777" w:rsidR="00525A2A" w:rsidRPr="00FC322F" w:rsidRDefault="00525A2A" w:rsidP="00FC322F">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3593424"/>
      <w:docPartObj>
        <w:docPartGallery w:val="Page Numbers (Bottom of Page)"/>
        <w:docPartUnique/>
      </w:docPartObj>
    </w:sdtPr>
    <w:sdtEndPr/>
    <w:sdtContent>
      <w:sdt>
        <w:sdtPr>
          <w:id w:val="-898127365"/>
          <w:docPartObj>
            <w:docPartGallery w:val="Page Numbers (Top of Page)"/>
            <w:docPartUnique/>
          </w:docPartObj>
        </w:sdtPr>
        <w:sdtEndPr/>
        <w:sdtContent>
          <w:p w14:paraId="4CFF6256" w14:textId="30330443" w:rsidR="00525A2A" w:rsidRDefault="00525A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73</w:t>
            </w:r>
            <w:r>
              <w:rPr>
                <w:b/>
                <w:bCs/>
                <w:sz w:val="24"/>
                <w:szCs w:val="24"/>
              </w:rPr>
              <w:fldChar w:fldCharType="end"/>
            </w:r>
          </w:p>
        </w:sdtContent>
      </w:sdt>
    </w:sdtContent>
  </w:sdt>
  <w:p w14:paraId="0771AFC6" w14:textId="77777777" w:rsidR="00525A2A" w:rsidRPr="00FC322F" w:rsidRDefault="00525A2A" w:rsidP="00FC322F">
    <w:pPr>
      <w:pStyle w:val="Footer"/>
      <w:rPr>
        <w:b/>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227691"/>
      <w:docPartObj>
        <w:docPartGallery w:val="Page Numbers (Bottom of Page)"/>
        <w:docPartUnique/>
      </w:docPartObj>
    </w:sdtPr>
    <w:sdtEndPr>
      <w:rPr>
        <w:color w:val="auto"/>
      </w:rPr>
    </w:sdtEndPr>
    <w:sdtContent>
      <w:sdt>
        <w:sdtPr>
          <w:rPr>
            <w:color w:val="auto"/>
          </w:rPr>
          <w:id w:val="-51234544"/>
          <w:docPartObj>
            <w:docPartGallery w:val="Page Numbers (Top of Page)"/>
            <w:docPartUnique/>
          </w:docPartObj>
        </w:sdtPr>
        <w:sdtEndPr/>
        <w:sdtContent>
          <w:p w14:paraId="38F397A9" w14:textId="5650C48E" w:rsidR="00525A2A" w:rsidRPr="00D15E1E" w:rsidRDefault="00525A2A">
            <w:pPr>
              <w:pStyle w:val="Footer"/>
              <w:jc w:val="right"/>
              <w:rPr>
                <w:color w:val="auto"/>
              </w:rPr>
            </w:pPr>
            <w:r w:rsidRPr="00D15E1E">
              <w:rPr>
                <w:color w:val="auto"/>
              </w:rPr>
              <w:t xml:space="preserve">Page </w:t>
            </w:r>
            <w:r w:rsidRPr="00D15E1E">
              <w:rPr>
                <w:b/>
                <w:bCs/>
                <w:color w:val="auto"/>
                <w:sz w:val="24"/>
                <w:szCs w:val="24"/>
              </w:rPr>
              <w:fldChar w:fldCharType="begin"/>
            </w:r>
            <w:r w:rsidRPr="00D15E1E">
              <w:rPr>
                <w:b/>
                <w:bCs/>
                <w:color w:val="auto"/>
              </w:rPr>
              <w:instrText xml:space="preserve"> PAGE </w:instrText>
            </w:r>
            <w:r w:rsidRPr="00D15E1E">
              <w:rPr>
                <w:b/>
                <w:bCs/>
                <w:color w:val="auto"/>
                <w:sz w:val="24"/>
                <w:szCs w:val="24"/>
              </w:rPr>
              <w:fldChar w:fldCharType="separate"/>
            </w:r>
            <w:r w:rsidR="00530ABE">
              <w:rPr>
                <w:b/>
                <w:bCs/>
                <w:noProof/>
                <w:color w:val="auto"/>
              </w:rPr>
              <w:t>25</w:t>
            </w:r>
            <w:r w:rsidRPr="00D15E1E">
              <w:rPr>
                <w:b/>
                <w:bCs/>
                <w:color w:val="auto"/>
                <w:sz w:val="24"/>
                <w:szCs w:val="24"/>
              </w:rPr>
              <w:fldChar w:fldCharType="end"/>
            </w:r>
            <w:r w:rsidRPr="00D15E1E">
              <w:rPr>
                <w:color w:val="auto"/>
              </w:rPr>
              <w:t xml:space="preserve"> of </w:t>
            </w:r>
            <w:r w:rsidRPr="00D15E1E">
              <w:rPr>
                <w:b/>
                <w:bCs/>
                <w:color w:val="auto"/>
                <w:sz w:val="24"/>
                <w:szCs w:val="24"/>
              </w:rPr>
              <w:fldChar w:fldCharType="begin"/>
            </w:r>
            <w:r w:rsidRPr="00D15E1E">
              <w:rPr>
                <w:b/>
                <w:bCs/>
                <w:color w:val="auto"/>
              </w:rPr>
              <w:instrText xml:space="preserve"> NUMPAGES  </w:instrText>
            </w:r>
            <w:r w:rsidRPr="00D15E1E">
              <w:rPr>
                <w:b/>
                <w:bCs/>
                <w:color w:val="auto"/>
                <w:sz w:val="24"/>
                <w:szCs w:val="24"/>
              </w:rPr>
              <w:fldChar w:fldCharType="separate"/>
            </w:r>
            <w:r w:rsidR="00530ABE">
              <w:rPr>
                <w:b/>
                <w:bCs/>
                <w:noProof/>
                <w:color w:val="auto"/>
              </w:rPr>
              <w:t>73</w:t>
            </w:r>
            <w:r w:rsidRPr="00D15E1E">
              <w:rPr>
                <w:b/>
                <w:bCs/>
                <w:color w:val="auto"/>
                <w:sz w:val="24"/>
                <w:szCs w:val="24"/>
              </w:rPr>
              <w:fldChar w:fldCharType="end"/>
            </w:r>
          </w:p>
        </w:sdtContent>
      </w:sdt>
    </w:sdtContent>
  </w:sdt>
  <w:p w14:paraId="740DF02E" w14:textId="77777777" w:rsidR="00525A2A" w:rsidRPr="00FC322F" w:rsidRDefault="00525A2A" w:rsidP="00FC322F">
    <w:pPr>
      <w:pStyle w:val="Footer"/>
      <w:rPr>
        <w:b/>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618505"/>
      <w:docPartObj>
        <w:docPartGallery w:val="Page Numbers (Bottom of Page)"/>
        <w:docPartUnique/>
      </w:docPartObj>
    </w:sdtPr>
    <w:sdtEndPr>
      <w:rPr>
        <w:color w:val="auto"/>
      </w:rPr>
    </w:sdtEndPr>
    <w:sdtContent>
      <w:sdt>
        <w:sdtPr>
          <w:rPr>
            <w:color w:val="auto"/>
          </w:rPr>
          <w:id w:val="-1545750134"/>
          <w:docPartObj>
            <w:docPartGallery w:val="Page Numbers (Top of Page)"/>
            <w:docPartUnique/>
          </w:docPartObj>
        </w:sdtPr>
        <w:sdtEndPr/>
        <w:sdtContent>
          <w:p w14:paraId="28FE24DA" w14:textId="29A6CEFD" w:rsidR="00525A2A" w:rsidRPr="00D15E1E" w:rsidRDefault="00525A2A">
            <w:pPr>
              <w:pStyle w:val="Footer"/>
              <w:jc w:val="right"/>
              <w:rPr>
                <w:color w:val="auto"/>
              </w:rPr>
            </w:pPr>
            <w:r w:rsidRPr="00D15E1E">
              <w:rPr>
                <w:color w:val="auto"/>
              </w:rPr>
              <w:t xml:space="preserve">Page </w:t>
            </w:r>
            <w:r w:rsidRPr="00D15E1E">
              <w:rPr>
                <w:b/>
                <w:bCs/>
                <w:color w:val="auto"/>
                <w:sz w:val="24"/>
                <w:szCs w:val="24"/>
              </w:rPr>
              <w:fldChar w:fldCharType="begin"/>
            </w:r>
            <w:r w:rsidRPr="00D15E1E">
              <w:rPr>
                <w:b/>
                <w:bCs/>
                <w:color w:val="auto"/>
              </w:rPr>
              <w:instrText xml:space="preserve"> PAGE </w:instrText>
            </w:r>
            <w:r w:rsidRPr="00D15E1E">
              <w:rPr>
                <w:b/>
                <w:bCs/>
                <w:color w:val="auto"/>
                <w:sz w:val="24"/>
                <w:szCs w:val="24"/>
              </w:rPr>
              <w:fldChar w:fldCharType="separate"/>
            </w:r>
            <w:r w:rsidR="00530ABE">
              <w:rPr>
                <w:b/>
                <w:bCs/>
                <w:noProof/>
                <w:color w:val="auto"/>
              </w:rPr>
              <w:t>26</w:t>
            </w:r>
            <w:r w:rsidRPr="00D15E1E">
              <w:rPr>
                <w:b/>
                <w:bCs/>
                <w:color w:val="auto"/>
                <w:sz w:val="24"/>
                <w:szCs w:val="24"/>
              </w:rPr>
              <w:fldChar w:fldCharType="end"/>
            </w:r>
            <w:r w:rsidRPr="00D15E1E">
              <w:rPr>
                <w:color w:val="auto"/>
              </w:rPr>
              <w:t xml:space="preserve"> of </w:t>
            </w:r>
            <w:r w:rsidRPr="00D15E1E">
              <w:rPr>
                <w:b/>
                <w:bCs/>
                <w:color w:val="auto"/>
                <w:sz w:val="24"/>
                <w:szCs w:val="24"/>
              </w:rPr>
              <w:fldChar w:fldCharType="begin"/>
            </w:r>
            <w:r w:rsidRPr="00D15E1E">
              <w:rPr>
                <w:b/>
                <w:bCs/>
                <w:color w:val="auto"/>
              </w:rPr>
              <w:instrText xml:space="preserve"> NUMPAGES  </w:instrText>
            </w:r>
            <w:r w:rsidRPr="00D15E1E">
              <w:rPr>
                <w:b/>
                <w:bCs/>
                <w:color w:val="auto"/>
                <w:sz w:val="24"/>
                <w:szCs w:val="24"/>
              </w:rPr>
              <w:fldChar w:fldCharType="separate"/>
            </w:r>
            <w:r w:rsidR="00530ABE">
              <w:rPr>
                <w:b/>
                <w:bCs/>
                <w:noProof/>
                <w:color w:val="auto"/>
              </w:rPr>
              <w:t>73</w:t>
            </w:r>
            <w:r w:rsidRPr="00D15E1E">
              <w:rPr>
                <w:b/>
                <w:bCs/>
                <w:color w:val="auto"/>
                <w:sz w:val="24"/>
                <w:szCs w:val="24"/>
              </w:rPr>
              <w:fldChar w:fldCharType="end"/>
            </w:r>
          </w:p>
        </w:sdtContent>
      </w:sdt>
    </w:sdtContent>
  </w:sdt>
  <w:p w14:paraId="2FE444D5" w14:textId="77777777" w:rsidR="00525A2A" w:rsidRPr="00FC322F" w:rsidRDefault="00525A2A" w:rsidP="00FC322F">
    <w:pPr>
      <w:pStyle w:val="Footer"/>
      <w:rPr>
        <w:b/>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uto"/>
        <w:sz w:val="20"/>
        <w:szCs w:val="20"/>
      </w:rPr>
      <w:id w:val="-1730299523"/>
      <w:docPartObj>
        <w:docPartGallery w:val="Page Numbers (Bottom of Page)"/>
        <w:docPartUnique/>
      </w:docPartObj>
    </w:sdtPr>
    <w:sdtEndPr/>
    <w:sdtContent>
      <w:sdt>
        <w:sdtPr>
          <w:rPr>
            <w:color w:val="auto"/>
            <w:sz w:val="20"/>
            <w:szCs w:val="20"/>
          </w:rPr>
          <w:id w:val="1217238637"/>
          <w:docPartObj>
            <w:docPartGallery w:val="Page Numbers (Top of Page)"/>
            <w:docPartUnique/>
          </w:docPartObj>
        </w:sdtPr>
        <w:sdtEndPr/>
        <w:sdtContent>
          <w:p w14:paraId="4418EB9B" w14:textId="6C5DF852" w:rsidR="00525A2A" w:rsidRPr="007C4ABD" w:rsidRDefault="00525A2A">
            <w:pPr>
              <w:pStyle w:val="Footer"/>
              <w:jc w:val="right"/>
              <w:rPr>
                <w:color w:val="auto"/>
                <w:sz w:val="20"/>
                <w:szCs w:val="20"/>
              </w:rPr>
            </w:pPr>
            <w:r w:rsidRPr="007C4ABD">
              <w:rPr>
                <w:color w:val="auto"/>
                <w:sz w:val="20"/>
                <w:szCs w:val="20"/>
              </w:rPr>
              <w:t xml:space="preserve">Page </w:t>
            </w:r>
            <w:r w:rsidRPr="007C4ABD">
              <w:rPr>
                <w:b/>
                <w:bCs/>
                <w:color w:val="auto"/>
                <w:sz w:val="20"/>
                <w:szCs w:val="20"/>
              </w:rPr>
              <w:fldChar w:fldCharType="begin"/>
            </w:r>
            <w:r w:rsidRPr="007C4ABD">
              <w:rPr>
                <w:b/>
                <w:bCs/>
                <w:color w:val="auto"/>
                <w:sz w:val="20"/>
                <w:szCs w:val="20"/>
              </w:rPr>
              <w:instrText xml:space="preserve"> PAGE </w:instrText>
            </w:r>
            <w:r w:rsidRPr="007C4ABD">
              <w:rPr>
                <w:b/>
                <w:bCs/>
                <w:color w:val="auto"/>
                <w:sz w:val="20"/>
                <w:szCs w:val="20"/>
              </w:rPr>
              <w:fldChar w:fldCharType="separate"/>
            </w:r>
            <w:r w:rsidR="00530ABE">
              <w:rPr>
                <w:b/>
                <w:bCs/>
                <w:noProof/>
                <w:color w:val="auto"/>
                <w:sz w:val="20"/>
                <w:szCs w:val="20"/>
              </w:rPr>
              <w:t>73</w:t>
            </w:r>
            <w:r w:rsidRPr="007C4ABD">
              <w:rPr>
                <w:b/>
                <w:bCs/>
                <w:color w:val="auto"/>
                <w:sz w:val="20"/>
                <w:szCs w:val="20"/>
              </w:rPr>
              <w:fldChar w:fldCharType="end"/>
            </w:r>
            <w:r w:rsidRPr="007C4ABD">
              <w:rPr>
                <w:color w:val="auto"/>
                <w:sz w:val="20"/>
                <w:szCs w:val="20"/>
              </w:rPr>
              <w:t xml:space="preserve"> of </w:t>
            </w:r>
            <w:r w:rsidRPr="007C4ABD">
              <w:rPr>
                <w:b/>
                <w:bCs/>
                <w:color w:val="auto"/>
                <w:sz w:val="20"/>
                <w:szCs w:val="20"/>
              </w:rPr>
              <w:fldChar w:fldCharType="begin"/>
            </w:r>
            <w:r w:rsidRPr="007C4ABD">
              <w:rPr>
                <w:b/>
                <w:bCs/>
                <w:color w:val="auto"/>
                <w:sz w:val="20"/>
                <w:szCs w:val="20"/>
              </w:rPr>
              <w:instrText xml:space="preserve"> NUMPAGES  </w:instrText>
            </w:r>
            <w:r w:rsidRPr="007C4ABD">
              <w:rPr>
                <w:b/>
                <w:bCs/>
                <w:color w:val="auto"/>
                <w:sz w:val="20"/>
                <w:szCs w:val="20"/>
              </w:rPr>
              <w:fldChar w:fldCharType="separate"/>
            </w:r>
            <w:r w:rsidR="00530ABE">
              <w:rPr>
                <w:b/>
                <w:bCs/>
                <w:noProof/>
                <w:color w:val="auto"/>
                <w:sz w:val="20"/>
                <w:szCs w:val="20"/>
              </w:rPr>
              <w:t>73</w:t>
            </w:r>
            <w:r w:rsidRPr="007C4ABD">
              <w:rPr>
                <w:b/>
                <w:bCs/>
                <w:color w:val="auto"/>
                <w:sz w:val="20"/>
                <w:szCs w:val="20"/>
              </w:rPr>
              <w:fldChar w:fldCharType="end"/>
            </w:r>
          </w:p>
        </w:sdtContent>
      </w:sdt>
    </w:sdtContent>
  </w:sdt>
  <w:p w14:paraId="0B1376E6" w14:textId="77777777" w:rsidR="00525A2A" w:rsidRDefault="00525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58404" w14:textId="77777777" w:rsidR="00525A2A" w:rsidRPr="008C5A0E" w:rsidRDefault="00525A2A" w:rsidP="00D37B04">
      <w:pPr>
        <w:pStyle w:val="Footer"/>
      </w:pPr>
    </w:p>
  </w:footnote>
  <w:footnote w:type="continuationSeparator" w:id="0">
    <w:p w14:paraId="25C874BF" w14:textId="77777777" w:rsidR="00525A2A" w:rsidRDefault="00525A2A" w:rsidP="00D37B04">
      <w:r>
        <w:continuationSeparator/>
      </w:r>
    </w:p>
  </w:footnote>
  <w:footnote w:id="1">
    <w:p w14:paraId="14F39D0A" w14:textId="5B7C3547" w:rsidR="00525A2A" w:rsidRPr="00CA434E" w:rsidRDefault="00525A2A" w:rsidP="00D81CF1">
      <w:pPr>
        <w:pStyle w:val="FootnoteText"/>
        <w:rPr>
          <w:lang w:val="en-AU"/>
        </w:rPr>
      </w:pPr>
      <w:r w:rsidRPr="00CA434E">
        <w:rPr>
          <w:rStyle w:val="FootnoteReference"/>
          <w:sz w:val="18"/>
          <w:szCs w:val="18"/>
        </w:rPr>
        <w:footnoteRef/>
      </w:r>
      <w:r w:rsidRPr="00CA434E">
        <w:t xml:space="preserve"> </w:t>
      </w:r>
      <w:r w:rsidRPr="00CA434E">
        <w:rPr>
          <w:lang w:val="en-AU"/>
        </w:rPr>
        <w:t xml:space="preserve">PWC projects that Indonesia could be the world’s fifth largest economy by 2030, on its way to the fourth largest economy by 2050. </w:t>
      </w:r>
    </w:p>
  </w:footnote>
  <w:footnote w:id="2">
    <w:p w14:paraId="305204FA" w14:textId="2EC681AA" w:rsidR="00525A2A" w:rsidRPr="00CA434E" w:rsidRDefault="00525A2A" w:rsidP="00D81CF1">
      <w:pPr>
        <w:pStyle w:val="FootnoteText"/>
        <w:rPr>
          <w:lang w:val="en-AU"/>
        </w:rPr>
      </w:pPr>
      <w:r w:rsidRPr="00CA434E">
        <w:rPr>
          <w:rStyle w:val="FootnoteReference"/>
          <w:sz w:val="18"/>
          <w:szCs w:val="18"/>
        </w:rPr>
        <w:footnoteRef/>
      </w:r>
      <w:r w:rsidRPr="00CA434E">
        <w:t xml:space="preserve"> </w:t>
      </w:r>
      <w:r w:rsidRPr="00CA434E">
        <w:rPr>
          <w:lang w:val="en-AU"/>
        </w:rPr>
        <w:t>Indonesia's Economy: Between Growth and Stability. Roland Rajah, Lowy Institute, 15 August 2018.</w:t>
      </w:r>
    </w:p>
  </w:footnote>
  <w:footnote w:id="3">
    <w:p w14:paraId="5BFABA88" w14:textId="77777777" w:rsidR="00525A2A" w:rsidRPr="00EC4B13" w:rsidRDefault="00525A2A" w:rsidP="00D81CF1">
      <w:pPr>
        <w:pStyle w:val="FootnoteText"/>
        <w:rPr>
          <w:lang w:val="en-AU"/>
        </w:rPr>
      </w:pPr>
      <w:r w:rsidRPr="00CA434E">
        <w:rPr>
          <w:szCs w:val="12"/>
          <w:vertAlign w:val="superscript"/>
          <w:lang w:val="en-AU"/>
        </w:rPr>
        <w:footnoteRef/>
      </w:r>
      <w:r w:rsidRPr="00CC07B9">
        <w:rPr>
          <w:szCs w:val="12"/>
          <w:lang w:val="en-AU"/>
        </w:rPr>
        <w:t xml:space="preserve"> </w:t>
      </w:r>
      <w:hyperlink r:id="rId1" w:history="1">
        <w:r w:rsidRPr="00CC07B9">
          <w:rPr>
            <w:szCs w:val="12"/>
          </w:rPr>
          <w:t>https://setkab.go.id/en/state-address-of-the-president-of-the-republic-of-indonesia-on-the-occasion-of-the-74th-anniversary-of-the-proclamation-of-independence-of-the-republic-of-indonesia-before-the-joint-session-of-the-r/</w:t>
        </w:r>
      </w:hyperlink>
    </w:p>
  </w:footnote>
  <w:footnote w:id="4">
    <w:p w14:paraId="0CEA0107" w14:textId="77777777" w:rsidR="00525A2A" w:rsidRPr="003E4BC5" w:rsidRDefault="00525A2A" w:rsidP="00D81CF1">
      <w:pPr>
        <w:pStyle w:val="FootnoteText"/>
        <w:rPr>
          <w:lang w:val="en-AU"/>
        </w:rPr>
      </w:pPr>
      <w:r w:rsidRPr="00D9418D">
        <w:rPr>
          <w:rStyle w:val="FootnoteReference"/>
        </w:rPr>
        <w:footnoteRef/>
      </w:r>
      <w:r w:rsidRPr="00D9418D">
        <w:t xml:space="preserve"> Joint Press Statement by the Minister of Trade of the Republic of Indonesia and the Minister of Trade, Tourism and Investment of Australia on the Signing of Indonesia – Australia Comprehensive Economic Partnership Agreement, 4 March 2019</w:t>
      </w:r>
    </w:p>
  </w:footnote>
  <w:footnote w:id="5">
    <w:p w14:paraId="582013F2" w14:textId="297ACBBA" w:rsidR="00525A2A" w:rsidRPr="003E4BC5" w:rsidRDefault="00525A2A" w:rsidP="00D81CF1">
      <w:pPr>
        <w:pStyle w:val="FootnoteText"/>
        <w:rPr>
          <w:lang w:val="en-AU"/>
        </w:rPr>
      </w:pPr>
      <w:r w:rsidRPr="003E4BC5">
        <w:rPr>
          <w:rStyle w:val="FootnoteReference"/>
        </w:rPr>
        <w:footnoteRef/>
      </w:r>
      <w:r w:rsidRPr="003E4BC5">
        <w:t xml:space="preserve"> </w:t>
      </w:r>
      <w:r w:rsidRPr="003E4BC5">
        <w:rPr>
          <w:lang w:val="en-AU"/>
        </w:rPr>
        <w:t>Economic cooperation has been included in a number of ASEAN FTAs, including the ASEAN-ANZ FTA and in Indonesia’s recently concluded bilateral FTA with the Republic of Korea.</w:t>
      </w:r>
    </w:p>
  </w:footnote>
  <w:footnote w:id="6">
    <w:p w14:paraId="1A1F1827" w14:textId="1F016E33" w:rsidR="00525A2A" w:rsidRPr="00B25EDE" w:rsidRDefault="00525A2A" w:rsidP="00D81CF1">
      <w:pPr>
        <w:pStyle w:val="FootnoteText"/>
        <w:rPr>
          <w:lang w:val="en-US"/>
        </w:rPr>
      </w:pPr>
      <w:r w:rsidRPr="00B25EDE">
        <w:rPr>
          <w:rStyle w:val="FootnoteReference"/>
        </w:rPr>
        <w:footnoteRef/>
      </w:r>
      <w:r w:rsidRPr="00B25EDE">
        <w:t xml:space="preserve"> Australian Government, Strategy for Australia’s Aid for Trade Investments – Supporting developing countries to trade and prosper July 2015.</w:t>
      </w:r>
    </w:p>
  </w:footnote>
  <w:footnote w:id="7">
    <w:p w14:paraId="66D3A2B8" w14:textId="075B694F" w:rsidR="00525A2A" w:rsidRPr="00CA434E" w:rsidRDefault="00525A2A" w:rsidP="00D81CF1">
      <w:pPr>
        <w:pStyle w:val="FootnoteText"/>
        <w:rPr>
          <w:lang w:val="en-US"/>
        </w:rPr>
      </w:pPr>
      <w:r w:rsidRPr="00CA434E">
        <w:rPr>
          <w:rStyle w:val="FootnoteReference"/>
        </w:rPr>
        <w:footnoteRef/>
      </w:r>
      <w:r w:rsidRPr="00CA434E">
        <w:t xml:space="preserve">  From the Joint Declaration on the Comprehensive Strategic Partnership between Australia and Indonesia, accessible at https://www.dfat.gov.au/geo/indonesia/Pages/joint-declaration-comprehensive-strategic-partnership-between-the-commonwealth-of-australia-and-republic-of-indonesia.aspx</w:t>
      </w:r>
    </w:p>
  </w:footnote>
  <w:footnote w:id="8">
    <w:p w14:paraId="46DDD405" w14:textId="6EFC40DE" w:rsidR="00525A2A" w:rsidRPr="00CA434E" w:rsidRDefault="00525A2A" w:rsidP="00D81CF1">
      <w:pPr>
        <w:pStyle w:val="FootnoteText"/>
        <w:rPr>
          <w:lang w:val="en-AU"/>
        </w:rPr>
      </w:pPr>
      <w:r w:rsidRPr="00CA434E">
        <w:rPr>
          <w:rStyle w:val="FootnoteReference"/>
        </w:rPr>
        <w:footnoteRef/>
      </w:r>
      <w:r w:rsidRPr="00CA434E">
        <w:t xml:space="preserve"> </w:t>
      </w:r>
      <w:r w:rsidRPr="00CA434E">
        <w:rPr>
          <w:lang w:val="en-AU"/>
        </w:rPr>
        <w:t>The untapped potential in the bilateral economic relationship was underscored in comments by Australia’s Prime Minister during the visit by Indonesian President H.E. Joko Widodo to Australia on 10 February 2020, as follows: “Indonesia is one of Australia's nearest northern neighbours, a growing trillion-dollar economy and the fourth most populous nation, but only our 13th-largest trading partner. Australia is Indonesia's 13th-largest too. There is enormous untapped potential for both nations, which we have recognised, and we are determined to unlock this through the IA-CEPA.”</w:t>
      </w:r>
    </w:p>
  </w:footnote>
  <w:footnote w:id="9">
    <w:p w14:paraId="2D14699F" w14:textId="77777777" w:rsidR="00525A2A" w:rsidRPr="00CA434E" w:rsidRDefault="00525A2A" w:rsidP="00D81CF1">
      <w:pPr>
        <w:pStyle w:val="FootnoteText"/>
        <w:rPr>
          <w:lang w:val="en-AU"/>
        </w:rPr>
      </w:pPr>
      <w:r w:rsidRPr="00CA434E">
        <w:rPr>
          <w:rStyle w:val="FootnoteReference"/>
        </w:rPr>
        <w:footnoteRef/>
      </w:r>
      <w:r w:rsidRPr="00CA434E">
        <w:t xml:space="preserve"> </w:t>
      </w:r>
      <w:r w:rsidRPr="00CA434E">
        <w:rPr>
          <w:lang w:val="en-AU"/>
        </w:rPr>
        <w:t>See, for example, discussion of this ‘underutilised’ characterisation in Paragraph 3.6 of Report 186 of the Joint Standing Committee on Treaties (JSCOT) into the IA-CEPA (October 2019)</w:t>
      </w:r>
    </w:p>
  </w:footnote>
  <w:footnote w:id="10">
    <w:p w14:paraId="273E698D" w14:textId="77777777" w:rsidR="00525A2A" w:rsidRPr="00CA434E" w:rsidRDefault="00525A2A" w:rsidP="00D81CF1">
      <w:pPr>
        <w:pStyle w:val="FootnoteText"/>
        <w:rPr>
          <w:lang w:val="en-AU"/>
        </w:rPr>
      </w:pPr>
      <w:r w:rsidRPr="00CA434E">
        <w:rPr>
          <w:rStyle w:val="FootnoteReference"/>
        </w:rPr>
        <w:footnoteRef/>
      </w:r>
      <w:r w:rsidRPr="00CA434E">
        <w:t xml:space="preserve"> </w:t>
      </w:r>
      <w:r w:rsidRPr="00CA434E">
        <w:rPr>
          <w:lang w:val="en-AU"/>
        </w:rPr>
        <w:t>Adapted from Article 15.4 of the IA-CEPA</w:t>
      </w:r>
    </w:p>
  </w:footnote>
  <w:footnote w:id="11">
    <w:p w14:paraId="72F34C6C" w14:textId="11DC5B3B" w:rsidR="00525A2A" w:rsidRPr="003E4BC5" w:rsidRDefault="00525A2A" w:rsidP="00D81CF1">
      <w:pPr>
        <w:pStyle w:val="FootnoteText"/>
        <w:rPr>
          <w:lang w:val="en-AU"/>
        </w:rPr>
      </w:pPr>
      <w:r w:rsidRPr="003E4BC5">
        <w:rPr>
          <w:rStyle w:val="FootnoteReference"/>
        </w:rPr>
        <w:footnoteRef/>
      </w:r>
      <w:r w:rsidRPr="003E4BC5">
        <w:t xml:space="preserve"> Strengthening Indonesia’s Participation in Global Value Chains”, OECD </w:t>
      </w:r>
      <w:r w:rsidRPr="003E4BC5">
        <w:rPr>
          <w:lang w:val="en-AU"/>
        </w:rPr>
        <w:t>Indonesia Policy Brief, March 2015.</w:t>
      </w:r>
    </w:p>
  </w:footnote>
  <w:footnote w:id="12">
    <w:p w14:paraId="136B426D" w14:textId="2EB19673" w:rsidR="00525A2A" w:rsidRPr="00EC4B13" w:rsidRDefault="00525A2A" w:rsidP="00D81CF1">
      <w:pPr>
        <w:pStyle w:val="FootnoteText"/>
        <w:rPr>
          <w:lang w:val="en-AU"/>
        </w:rPr>
      </w:pPr>
      <w:r w:rsidRPr="00EC4B13">
        <w:rPr>
          <w:rStyle w:val="FootnoteReference"/>
        </w:rPr>
        <w:footnoteRef/>
      </w:r>
      <w:r w:rsidRPr="00EC4B13">
        <w:t xml:space="preserve"> </w:t>
      </w:r>
      <w:r w:rsidRPr="00EC4B13">
        <w:rPr>
          <w:lang w:val="en-AU"/>
        </w:rPr>
        <w:t xml:space="preserve">We acknowledge that a new Australian Aid Investment Plan and Development Policy Review are under development at the time of this design. </w:t>
      </w:r>
    </w:p>
  </w:footnote>
  <w:footnote w:id="13">
    <w:p w14:paraId="208FE0B8" w14:textId="77777777" w:rsidR="00525A2A" w:rsidRPr="00EC4B13" w:rsidRDefault="00525A2A" w:rsidP="00D81CF1">
      <w:pPr>
        <w:pStyle w:val="FootnoteText"/>
        <w:rPr>
          <w:lang w:val="en-US"/>
        </w:rPr>
      </w:pPr>
      <w:r w:rsidRPr="00EC4B13">
        <w:rPr>
          <w:rStyle w:val="FootnoteReference"/>
        </w:rPr>
        <w:footnoteRef/>
      </w:r>
      <w:r w:rsidRPr="00EC4B13">
        <w:t xml:space="preserve"> Australian Government, Foreign Policy White paper, Page 4. https://dfat.gov.au/about-us/publications/Pages/2017-foreign-policy-white-paper.aspx</w:t>
      </w:r>
    </w:p>
  </w:footnote>
  <w:footnote w:id="14">
    <w:p w14:paraId="4AACC052" w14:textId="77777777" w:rsidR="00525A2A" w:rsidRPr="00EC4B13" w:rsidRDefault="00525A2A" w:rsidP="00D81CF1">
      <w:pPr>
        <w:pStyle w:val="FootnoteText"/>
        <w:rPr>
          <w:lang w:val="en-US"/>
        </w:rPr>
      </w:pPr>
      <w:r w:rsidRPr="00EC4B13">
        <w:rPr>
          <w:rStyle w:val="FootnoteReference"/>
        </w:rPr>
        <w:footnoteRef/>
      </w:r>
      <w:r w:rsidRPr="00EC4B13">
        <w:t xml:space="preserve"> Australian Government Foreign Policy White paper, Page 5-8 https://dfat.gov.au/about-us/publications/Pages/2017-foreign-policy-white-paper.aspx</w:t>
      </w:r>
    </w:p>
  </w:footnote>
  <w:footnote w:id="15">
    <w:p w14:paraId="0CE99D7B" w14:textId="4AFD98B9" w:rsidR="00525A2A" w:rsidRPr="00EC4B13" w:rsidRDefault="00525A2A" w:rsidP="00D81CF1">
      <w:pPr>
        <w:pStyle w:val="FootnoteText"/>
        <w:rPr>
          <w:lang w:val="en-AU"/>
        </w:rPr>
      </w:pPr>
      <w:r w:rsidRPr="00EC4B13">
        <w:rPr>
          <w:rStyle w:val="FootnoteReference"/>
        </w:rPr>
        <w:footnoteRef/>
      </w:r>
      <w:r w:rsidRPr="00EC4B13">
        <w:t xml:space="preserve"> </w:t>
      </w:r>
      <w:r w:rsidRPr="00EC4B13">
        <w:rPr>
          <w:lang w:val="en-AU"/>
        </w:rPr>
        <w:t xml:space="preserve">This figure includes bilateral, regional and multilateral funding, and is based on DFAT’s estimate for 2019-20. </w:t>
      </w:r>
    </w:p>
  </w:footnote>
  <w:footnote w:id="16">
    <w:p w14:paraId="6251278C" w14:textId="131A323E" w:rsidR="00525A2A" w:rsidRPr="00EC4B13" w:rsidRDefault="00525A2A" w:rsidP="00D81CF1">
      <w:pPr>
        <w:pStyle w:val="FootnoteText"/>
        <w:rPr>
          <w:lang w:val="en-AU"/>
        </w:rPr>
      </w:pPr>
      <w:r w:rsidRPr="00EC4B13">
        <w:rPr>
          <w:rStyle w:val="FootnoteReference"/>
        </w:rPr>
        <w:footnoteRef/>
      </w:r>
      <w:r w:rsidRPr="00EC4B13">
        <w:t xml:space="preserve"> </w:t>
      </w:r>
      <w:r w:rsidRPr="00EC4B13">
        <w:rPr>
          <w:lang w:val="en-AU"/>
        </w:rPr>
        <w:t xml:space="preserve">Based on Indonesian forecast for 2020 Government expenditure. </w:t>
      </w:r>
    </w:p>
  </w:footnote>
  <w:footnote w:id="17">
    <w:p w14:paraId="605ADC95" w14:textId="77777777" w:rsidR="00525A2A" w:rsidRPr="00955C0F" w:rsidRDefault="00525A2A" w:rsidP="00D81CF1">
      <w:pPr>
        <w:pStyle w:val="FootnoteText"/>
        <w:rPr>
          <w:szCs w:val="18"/>
          <w:lang w:val="en-US"/>
        </w:rPr>
      </w:pPr>
      <w:r w:rsidRPr="00EC4B13">
        <w:rPr>
          <w:rStyle w:val="FootnoteReference"/>
        </w:rPr>
        <w:footnoteRef/>
      </w:r>
      <w:r w:rsidRPr="00EC4B13">
        <w:t xml:space="preserve"> Australian Government, Aid Investment Plan 2015-16 to 2018-19, Page 3 https://dfat.gov.au/about-us/publications/Pages/aid-investment-plan-aip-indonesia-2015-16-to-2018-19.aspx</w:t>
      </w:r>
    </w:p>
  </w:footnote>
  <w:footnote w:id="18">
    <w:p w14:paraId="18CD3552" w14:textId="77777777" w:rsidR="00525A2A" w:rsidRPr="00EC4B13" w:rsidRDefault="00525A2A" w:rsidP="00D81CF1">
      <w:pPr>
        <w:pStyle w:val="FootnoteText"/>
      </w:pPr>
      <w:r w:rsidRPr="00EC4B13">
        <w:rPr>
          <w:rStyle w:val="FootnoteReference"/>
        </w:rPr>
        <w:footnoteRef/>
      </w:r>
      <w:r w:rsidRPr="00EC4B13">
        <w:t xml:space="preserve"> Australian Government, Strategy for Australia’s Aid for Trade Investments – Supporting developing countries to trade and prosper July 2015.</w:t>
      </w:r>
    </w:p>
  </w:footnote>
  <w:footnote w:id="19">
    <w:p w14:paraId="551C3BD3" w14:textId="06277EBE" w:rsidR="00525A2A" w:rsidRPr="00EC4B13" w:rsidRDefault="00525A2A" w:rsidP="00D81CF1">
      <w:pPr>
        <w:pStyle w:val="FootnoteText"/>
        <w:rPr>
          <w:lang w:val="en-AU"/>
        </w:rPr>
      </w:pPr>
      <w:r w:rsidRPr="00EC4B13">
        <w:rPr>
          <w:rStyle w:val="FootnoteReference"/>
        </w:rPr>
        <w:footnoteRef/>
      </w:r>
      <w:r w:rsidRPr="00EC4B13">
        <w:t xml:space="preserve"> </w:t>
      </w:r>
      <w:r w:rsidRPr="00EC4B13">
        <w:rPr>
          <w:lang w:val="en-AU"/>
        </w:rPr>
        <w:t xml:space="preserve">This target was surpassed in 2018 according to DFAT disclosure at </w:t>
      </w:r>
      <w:hyperlink r:id="rId2" w:history="1">
        <w:r w:rsidRPr="00EC4B13">
          <w:rPr>
            <w:rStyle w:val="Hyperlink"/>
          </w:rPr>
          <w:t>https://dfat.gov.au/about-us/publications/Documents/development-cooperation-fact-sheet-aid-for-trade.pdf</w:t>
        </w:r>
      </w:hyperlink>
      <w:r w:rsidRPr="00EC4B13">
        <w:t xml:space="preserve"> </w:t>
      </w:r>
    </w:p>
  </w:footnote>
  <w:footnote w:id="20">
    <w:p w14:paraId="0D696EEF" w14:textId="0B910C97" w:rsidR="00525A2A" w:rsidRPr="00EC4B13" w:rsidRDefault="00525A2A" w:rsidP="00D81CF1">
      <w:pPr>
        <w:pStyle w:val="FootnoteText"/>
        <w:rPr>
          <w:lang w:val="en-AU"/>
        </w:rPr>
      </w:pPr>
      <w:r w:rsidRPr="00EC4B13">
        <w:rPr>
          <w:rStyle w:val="FootnoteReference"/>
        </w:rPr>
        <w:footnoteRef/>
      </w:r>
      <w:r w:rsidRPr="00EC4B13">
        <w:t xml:space="preserve"> </w:t>
      </w:r>
      <w:r w:rsidRPr="00EC4B13">
        <w:rPr>
          <w:lang w:val="en-AU"/>
        </w:rPr>
        <w:t>The Office of Development Effectiv</w:t>
      </w:r>
      <w:r>
        <w:rPr>
          <w:lang w:val="en-AU"/>
        </w:rPr>
        <w:t>e</w:t>
      </w:r>
      <w:r w:rsidRPr="00EC4B13">
        <w:rPr>
          <w:lang w:val="en-AU"/>
        </w:rPr>
        <w:t xml:space="preserve">ness’ “Positioning the Aid Program to support Australia’s economic partnership in Asia” (October 2018) noted that Australia’s trade agreements with economic cooperation pledges “offer an opportunity to use Australian aid to promote reforms that will deepen trade and investment ties, with benefits to firms in both countries.” </w:t>
      </w:r>
    </w:p>
  </w:footnote>
  <w:footnote w:id="21">
    <w:p w14:paraId="13834191" w14:textId="77777777" w:rsidR="00525A2A" w:rsidRPr="00EC4B13" w:rsidRDefault="00525A2A" w:rsidP="00D81CF1">
      <w:pPr>
        <w:pStyle w:val="FootnoteText"/>
        <w:rPr>
          <w:lang w:val="en-US"/>
        </w:rPr>
      </w:pPr>
      <w:r w:rsidRPr="00EC4B13">
        <w:rPr>
          <w:rStyle w:val="FootnoteReference"/>
        </w:rPr>
        <w:footnoteRef/>
      </w:r>
      <w:r w:rsidRPr="00EC4B13">
        <w:t xml:space="preserve"> Australian Government, Strategy for Australia’s aid investments in private sector development, October 2015. </w:t>
      </w:r>
      <w:r w:rsidRPr="00EC4B13">
        <w:rPr>
          <w:lang w:val="en-US"/>
        </w:rPr>
        <w:t>Page 6. https://dfat.gov.au/about-us/publications/Pages/strategy-for-australias-aid-investments-in-private-sector-development.aspx</w:t>
      </w:r>
    </w:p>
  </w:footnote>
  <w:footnote w:id="22">
    <w:p w14:paraId="36815630" w14:textId="3C6B2556" w:rsidR="00525A2A" w:rsidRPr="00FE1BA2" w:rsidRDefault="00525A2A" w:rsidP="00CA434E">
      <w:pPr>
        <w:tabs>
          <w:tab w:val="left" w:pos="0"/>
          <w:tab w:val="left" w:pos="284"/>
        </w:tabs>
        <w:suppressAutoHyphens w:val="0"/>
        <w:spacing w:before="0" w:after="0" w:line="240" w:lineRule="auto"/>
        <w:rPr>
          <w:lang w:val="en-US"/>
        </w:rPr>
      </w:pPr>
      <w:r w:rsidRPr="00EC4B13">
        <w:rPr>
          <w:rStyle w:val="FootnoteReference"/>
          <w:szCs w:val="16"/>
        </w:rPr>
        <w:footnoteRef/>
      </w:r>
      <w:r w:rsidRPr="00EC4B13">
        <w:rPr>
          <w:sz w:val="16"/>
          <w:szCs w:val="16"/>
        </w:rPr>
        <w:t xml:space="preserve"> </w:t>
      </w:r>
      <w:r w:rsidRPr="00EC4B13">
        <w:rPr>
          <w:sz w:val="16"/>
          <w:szCs w:val="16"/>
          <w:lang w:val="en-US"/>
        </w:rPr>
        <w:t xml:space="preserve"> Australian Government, </w:t>
      </w:r>
      <w:r w:rsidRPr="00EC4B13">
        <w:rPr>
          <w:rFonts w:eastAsia="Times New Roman" w:cs="Arial"/>
          <w:sz w:val="16"/>
          <w:szCs w:val="16"/>
          <w:lang w:val="en-AU" w:eastAsia="en-AU"/>
        </w:rPr>
        <w:t>Gender equality and women’s empowerment strategy, February 2016. Page 10</w:t>
      </w:r>
      <w:r>
        <w:rPr>
          <w:rFonts w:eastAsia="Times New Roman" w:cs="Arial"/>
          <w:sz w:val="16"/>
          <w:szCs w:val="16"/>
          <w:lang w:val="en-AU" w:eastAsia="en-AU"/>
        </w:rPr>
        <w:t xml:space="preserve">, </w:t>
      </w:r>
      <w:r w:rsidRPr="00EC4B13">
        <w:rPr>
          <w:rFonts w:eastAsia="Times New Roman" w:cs="Arial"/>
          <w:sz w:val="16"/>
          <w:szCs w:val="16"/>
          <w:lang w:val="en-AU" w:eastAsia="en-AU"/>
        </w:rPr>
        <w:t>13.</w:t>
      </w:r>
    </w:p>
  </w:footnote>
  <w:footnote w:id="23">
    <w:p w14:paraId="3463294A" w14:textId="77777777" w:rsidR="00525A2A" w:rsidRPr="00C051CE" w:rsidRDefault="00525A2A" w:rsidP="00D81CF1">
      <w:pPr>
        <w:pStyle w:val="FootnoteText"/>
        <w:rPr>
          <w:lang w:val="en-AU"/>
        </w:rPr>
      </w:pPr>
      <w:r w:rsidRPr="00AA3988">
        <w:rPr>
          <w:rStyle w:val="FootnoteReference"/>
        </w:rPr>
        <w:footnoteRef/>
      </w:r>
      <w:r w:rsidRPr="00AA3988">
        <w:t xml:space="preserve"> </w:t>
      </w:r>
      <w:r w:rsidRPr="00AA3988">
        <w:rPr>
          <w:lang w:val="en-AU"/>
        </w:rPr>
        <w:t xml:space="preserve">Austrade have referenced between 400-500 Australian companies operating in </w:t>
      </w:r>
      <w:r w:rsidRPr="00EC4B13">
        <w:rPr>
          <w:lang w:val="en-AU"/>
        </w:rPr>
        <w:t xml:space="preserve">Indonesia, </w:t>
      </w:r>
      <w:r>
        <w:rPr>
          <w:lang w:val="en-AU"/>
        </w:rPr>
        <w:t>being</w:t>
      </w:r>
      <w:r w:rsidRPr="00EC4B13">
        <w:rPr>
          <w:lang w:val="en-AU"/>
        </w:rPr>
        <w:t xml:space="preserve"> fairly stagnant over the last decade.</w:t>
      </w:r>
      <w:r>
        <w:rPr>
          <w:lang w:val="en-AU"/>
        </w:rPr>
        <w:t xml:space="preserve"> </w:t>
      </w:r>
    </w:p>
  </w:footnote>
  <w:footnote w:id="24">
    <w:p w14:paraId="13E27D48" w14:textId="12DBA14E" w:rsidR="00525A2A" w:rsidRPr="002E3EBE" w:rsidRDefault="00525A2A" w:rsidP="00D81CF1">
      <w:pPr>
        <w:pStyle w:val="FootnoteText"/>
        <w:rPr>
          <w:lang w:val="en-AU"/>
        </w:rPr>
      </w:pPr>
      <w:r w:rsidRPr="00EC4B13">
        <w:rPr>
          <w:rStyle w:val="FootnoteReference"/>
        </w:rPr>
        <w:footnoteRef/>
      </w:r>
      <w:r w:rsidRPr="00EC4B13">
        <w:t xml:space="preserve"> The Australia-Indonesia ‘powerhouse’ refers to activities in which Australian and Indonesian inputs lead to trade outcomes in global markets.</w:t>
      </w:r>
    </w:p>
  </w:footnote>
  <w:footnote w:id="25">
    <w:p w14:paraId="69EFE529" w14:textId="6535BBF5" w:rsidR="00525A2A" w:rsidRPr="00DD1502" w:rsidRDefault="00525A2A" w:rsidP="00D81CF1">
      <w:pPr>
        <w:pStyle w:val="FootnoteText"/>
        <w:rPr>
          <w:lang w:val="en-AU"/>
        </w:rPr>
      </w:pPr>
      <w:r>
        <w:rPr>
          <w:rStyle w:val="FootnoteReference"/>
        </w:rPr>
        <w:footnoteRef/>
      </w:r>
      <w:r>
        <w:t xml:space="preserve"> </w:t>
      </w:r>
      <w:r w:rsidRPr="005018C0">
        <w:rPr>
          <w:i/>
        </w:rPr>
        <w:t xml:space="preserve">Program </w:t>
      </w:r>
      <w:proofErr w:type="spellStart"/>
      <w:r w:rsidRPr="005018C0">
        <w:rPr>
          <w:i/>
        </w:rPr>
        <w:t>Strategis</w:t>
      </w:r>
      <w:proofErr w:type="spellEnd"/>
      <w:r w:rsidRPr="00DD1502">
        <w:t xml:space="preserve">, Indonesia Ministry </w:t>
      </w:r>
      <w:r>
        <w:t xml:space="preserve">of Tourism and Creative Economy. </w:t>
      </w:r>
    </w:p>
  </w:footnote>
  <w:footnote w:id="26">
    <w:p w14:paraId="1FFE8395" w14:textId="50B79596" w:rsidR="00525A2A" w:rsidRPr="00EC4B13" w:rsidRDefault="00525A2A" w:rsidP="00D81CF1">
      <w:pPr>
        <w:pStyle w:val="FootnoteText"/>
        <w:rPr>
          <w:lang w:val="en-AU"/>
        </w:rPr>
      </w:pPr>
      <w:r w:rsidRPr="00EC4B13">
        <w:rPr>
          <w:rStyle w:val="FootnoteReference"/>
        </w:rPr>
        <w:footnoteRef/>
      </w:r>
      <w:r w:rsidRPr="00EC4B13">
        <w:t xml:space="preserve"> Delegates (Post: DHOM, Canberra: FAS SED) approved the Collaborative Hub Model in October 2019</w:t>
      </w:r>
    </w:p>
  </w:footnote>
  <w:footnote w:id="27">
    <w:p w14:paraId="59845012" w14:textId="1DB83DA9" w:rsidR="00525A2A" w:rsidRPr="00134827" w:rsidRDefault="00525A2A" w:rsidP="00D81CF1">
      <w:pPr>
        <w:pStyle w:val="FootnoteText"/>
        <w:rPr>
          <w:lang w:val="en-AU"/>
        </w:rPr>
      </w:pPr>
      <w:r w:rsidRPr="00EC4B13">
        <w:rPr>
          <w:rStyle w:val="FootnoteReference"/>
        </w:rPr>
        <w:footnoteRef/>
      </w:r>
      <w:r w:rsidRPr="00EC4B13">
        <w:t xml:space="preserve"> </w:t>
      </w:r>
      <w:r w:rsidRPr="00EC4B13">
        <w:rPr>
          <w:lang w:val="en-AU"/>
        </w:rPr>
        <w:t xml:space="preserve">Approach to market for preliminary feedback on the Investment Concept appeared on </w:t>
      </w:r>
      <w:hyperlink r:id="rId3" w:history="1">
        <w:r w:rsidRPr="00EC4B13">
          <w:rPr>
            <w:rStyle w:val="Hyperlink"/>
          </w:rPr>
          <w:t>https://dfat.gov.au/about-us/business-opportunities/Pages/proposed-program-in-indonesia-ia-cepa-ecp-investment-concept.aspx</w:t>
        </w:r>
      </w:hyperlink>
      <w:r w:rsidRPr="00EC4B13">
        <w:t xml:space="preserve"> from 1 October 2019.</w:t>
      </w:r>
    </w:p>
  </w:footnote>
  <w:footnote w:id="28">
    <w:p w14:paraId="1C0D3983" w14:textId="6BBCC5C8" w:rsidR="00525A2A" w:rsidRPr="004F0CBD" w:rsidRDefault="00525A2A" w:rsidP="00D81CF1">
      <w:pPr>
        <w:pStyle w:val="FootnoteText"/>
        <w:rPr>
          <w:lang w:val="en-US"/>
        </w:rPr>
      </w:pPr>
      <w:r w:rsidRPr="004F0CBD">
        <w:rPr>
          <w:rStyle w:val="FootnoteReference"/>
        </w:rPr>
        <w:footnoteRef/>
      </w:r>
      <w:r w:rsidRPr="004F0CBD">
        <w:t xml:space="preserve"> </w:t>
      </w:r>
      <w:r w:rsidRPr="004F0CBD">
        <w:rPr>
          <w:lang w:val="en-AU"/>
        </w:rPr>
        <w:t>As provided in the IA-CEPA Economic Cooperation Chapter text, Article 15.3.</w:t>
      </w:r>
    </w:p>
  </w:footnote>
  <w:footnote w:id="29">
    <w:p w14:paraId="326B144B" w14:textId="247584CF" w:rsidR="00525A2A" w:rsidRPr="004F0CBD" w:rsidRDefault="00525A2A" w:rsidP="00D81CF1">
      <w:pPr>
        <w:pStyle w:val="FootnoteText"/>
        <w:rPr>
          <w:lang w:val="en-US"/>
        </w:rPr>
      </w:pPr>
      <w:r w:rsidRPr="004F0CBD">
        <w:rPr>
          <w:rStyle w:val="FootnoteReference"/>
        </w:rPr>
        <w:footnoteRef/>
      </w:r>
      <w:r w:rsidRPr="004F0CBD">
        <w:t xml:space="preserve"> </w:t>
      </w:r>
      <w:r w:rsidRPr="004F0CBD">
        <w:rPr>
          <w:lang w:val="en-AU"/>
        </w:rPr>
        <w:t xml:space="preserve">The first Annual Work Program will be developed by the design team. </w:t>
      </w:r>
    </w:p>
  </w:footnote>
  <w:footnote w:id="30">
    <w:p w14:paraId="1B4EC27F" w14:textId="77777777" w:rsidR="00525A2A" w:rsidRPr="006E6B76" w:rsidRDefault="00525A2A" w:rsidP="00D81CF1">
      <w:pPr>
        <w:pStyle w:val="FootnoteText"/>
        <w:rPr>
          <w:lang w:val="en-AU"/>
        </w:rPr>
      </w:pPr>
      <w:r w:rsidRPr="006E6B76">
        <w:rPr>
          <w:rStyle w:val="FootnoteReference"/>
        </w:rPr>
        <w:footnoteRef/>
      </w:r>
      <w:r w:rsidRPr="006E6B76">
        <w:t xml:space="preserve"> </w:t>
      </w:r>
      <w:r w:rsidRPr="006E6B76">
        <w:rPr>
          <w:lang w:val="en-AU"/>
        </w:rPr>
        <w:t xml:space="preserve">See, for example, </w:t>
      </w:r>
      <w:hyperlink r:id="rId4" w:history="1">
        <w:r w:rsidRPr="006E6B76">
          <w:rPr>
            <w:rStyle w:val="Hyperlink"/>
          </w:rPr>
          <w:t>https://trademinister.gov.au/speeches/Pages/2019/sb_sp_190304.aspx</w:t>
        </w:r>
      </w:hyperlink>
    </w:p>
  </w:footnote>
  <w:footnote w:id="31">
    <w:p w14:paraId="3A8BA96D" w14:textId="4D9904A9" w:rsidR="00525A2A" w:rsidRPr="006E6B76" w:rsidRDefault="00525A2A" w:rsidP="00D81CF1">
      <w:pPr>
        <w:pStyle w:val="FootnoteText"/>
        <w:rPr>
          <w:lang w:val="en-US"/>
        </w:rPr>
      </w:pPr>
      <w:r w:rsidRPr="006E6B76">
        <w:rPr>
          <w:rStyle w:val="FootnoteReference"/>
        </w:rPr>
        <w:footnoteRef/>
      </w:r>
      <w:r w:rsidRPr="006E6B76">
        <w:t xml:space="preserve"> </w:t>
      </w:r>
      <w:r w:rsidRPr="006E6B76">
        <w:rPr>
          <w:lang w:val="en-AU"/>
        </w:rPr>
        <w:t>Consistent with Article 15.4 of the IA-CEPA Economic Cooperation Chapter.</w:t>
      </w:r>
    </w:p>
  </w:footnote>
  <w:footnote w:id="32">
    <w:p w14:paraId="5205581B" w14:textId="77777777" w:rsidR="00525A2A" w:rsidRPr="0070586B" w:rsidRDefault="00525A2A" w:rsidP="00D81CF1">
      <w:pPr>
        <w:pStyle w:val="FootnoteText"/>
        <w:rPr>
          <w:lang w:val="en-US"/>
        </w:rPr>
      </w:pPr>
      <w:r w:rsidRPr="0070586B">
        <w:rPr>
          <w:rStyle w:val="FootnoteReference"/>
        </w:rPr>
        <w:footnoteRef/>
      </w:r>
      <w:r w:rsidRPr="0070586B">
        <w:t xml:space="preserve"> https://ministers.employment.gov.au/cash/australia-takes-lead-training-and-skilling-global-workforce</w:t>
      </w:r>
    </w:p>
  </w:footnote>
  <w:footnote w:id="33">
    <w:p w14:paraId="15DD35DF" w14:textId="2A17B4EC" w:rsidR="00525A2A" w:rsidRPr="007C4ABD" w:rsidRDefault="00525A2A">
      <w:pPr>
        <w:pStyle w:val="FootnoteText"/>
        <w:rPr>
          <w:lang w:val="en-AU"/>
        </w:rPr>
      </w:pPr>
      <w:r>
        <w:rPr>
          <w:rStyle w:val="FootnoteReference"/>
        </w:rPr>
        <w:footnoteRef/>
      </w:r>
      <w:r>
        <w:t xml:space="preserve"> </w:t>
      </w:r>
      <w:hyperlink r:id="rId5" w:history="1">
        <w:r>
          <w:rPr>
            <w:rStyle w:val="Hyperlink"/>
          </w:rPr>
          <w:t>https://www.wto.org/english/news_e/pres20_e/pr855_e.htm</w:t>
        </w:r>
      </w:hyperlink>
    </w:p>
  </w:footnote>
  <w:footnote w:id="34">
    <w:p w14:paraId="655E6ADB" w14:textId="77777777" w:rsidR="00530ABE" w:rsidRPr="00475BF4" w:rsidRDefault="00530ABE" w:rsidP="00530ABE">
      <w:pPr>
        <w:pStyle w:val="FootnoteText"/>
        <w:rPr>
          <w:lang w:val="en-AU"/>
        </w:rPr>
      </w:pPr>
      <w:r>
        <w:rPr>
          <w:rStyle w:val="FootnoteReference"/>
        </w:rPr>
        <w:footnoteRef/>
      </w:r>
      <w:r>
        <w:t xml:space="preserve"> </w:t>
      </w:r>
      <w:hyperlink r:id="rId6" w:history="1">
        <w:r>
          <w:rPr>
            <w:rStyle w:val="Hyperlink"/>
          </w:rPr>
          <w:t>https://dfat.gov.au/about-us/publications/Pages/investment-design-quality-scoring-matrix.aspx</w:t>
        </w:r>
      </w:hyperlink>
      <w:r>
        <w:t xml:space="preserve"> </w:t>
      </w:r>
    </w:p>
  </w:footnote>
  <w:footnote w:id="35">
    <w:p w14:paraId="2677FDDB" w14:textId="77777777" w:rsidR="00525A2A" w:rsidRPr="00673B8A" w:rsidRDefault="00525A2A" w:rsidP="00D81CF1">
      <w:pPr>
        <w:pStyle w:val="FootnoteText"/>
        <w:rPr>
          <w:lang w:val="en-AU"/>
        </w:rPr>
      </w:pPr>
      <w:r>
        <w:rPr>
          <w:rStyle w:val="FootnoteReference"/>
        </w:rPr>
        <w:footnoteRef/>
      </w:r>
      <w:r>
        <w:t xml:space="preserve"> </w:t>
      </w:r>
      <w:r>
        <w:rPr>
          <w:lang w:val="en-AU"/>
        </w:rPr>
        <w:t>Targets will be agreed in the first year of implementation based on an analysis of baseline indicators and historical rate of change data.</w:t>
      </w:r>
    </w:p>
  </w:footnote>
  <w:footnote w:id="36">
    <w:p w14:paraId="349E4E0D" w14:textId="212C4AB7" w:rsidR="00525A2A" w:rsidRPr="004037BC" w:rsidRDefault="00525A2A" w:rsidP="00D81CF1">
      <w:pPr>
        <w:pStyle w:val="FootnoteText"/>
        <w:rPr>
          <w:lang w:val="en-AU"/>
        </w:rPr>
      </w:pPr>
      <w:r>
        <w:rPr>
          <w:rStyle w:val="FootnoteReference"/>
        </w:rPr>
        <w:footnoteRef/>
      </w:r>
      <w:r>
        <w:t xml:space="preserve"> </w:t>
      </w:r>
      <w:r>
        <w:rPr>
          <w:lang w:val="en-AU"/>
        </w:rPr>
        <w:t>The level of trust will be described using a rubric scale for each of the partnerships that develop. Rubrics are commonly used to quantify subjective concepts such as trust along a scale.</w:t>
      </w:r>
    </w:p>
  </w:footnote>
  <w:footnote w:id="37">
    <w:p w14:paraId="2F838CE3" w14:textId="0A70D829" w:rsidR="00525A2A" w:rsidRPr="004037BC" w:rsidRDefault="00525A2A" w:rsidP="00D81CF1">
      <w:pPr>
        <w:pStyle w:val="FootnoteText"/>
        <w:rPr>
          <w:lang w:val="en-AU"/>
        </w:rPr>
      </w:pPr>
      <w:r>
        <w:rPr>
          <w:rStyle w:val="FootnoteReference"/>
        </w:rPr>
        <w:footnoteRef/>
      </w:r>
      <w:r>
        <w:t xml:space="preserve"> We would use a combination of available statistics collected through normal administrative processes, case studies and interviews with industry leaders to draw conclusions about industry trade flows and progress towards outcomes. In some circumstances we may be able to request a special collection from the national statistics agency. </w:t>
      </w:r>
    </w:p>
  </w:footnote>
  <w:footnote w:id="38">
    <w:p w14:paraId="0217D618" w14:textId="77777777" w:rsidR="00525A2A" w:rsidRDefault="00525A2A" w:rsidP="00D81CF1">
      <w:pPr>
        <w:pStyle w:val="FootnoteText"/>
      </w:pPr>
      <w:r>
        <w:rPr>
          <w:rStyle w:val="FootnoteReference"/>
        </w:rPr>
        <w:footnoteRef/>
      </w:r>
      <w:r>
        <w:t xml:space="preserve"> Studies by the Asian Development Bank and UNESCAP have shown utilisation rates for FTAs in the Asian region are typically below 50% (</w:t>
      </w:r>
      <w:hyperlink r:id="rId7" w:history="1">
        <w:r>
          <w:rPr>
            <w:rStyle w:val="Hyperlink"/>
          </w:rPr>
          <w:t>https://www.unescap.org/sites/default/files/polbrief45.pdf</w:t>
        </w:r>
      </w:hyperlink>
      <w:r>
        <w:t xml:space="preserve">) while a study by PWC for DFAT has shown utilisation on merchandise trade under North Asian FTAs in the 80%-90% range. </w:t>
      </w:r>
    </w:p>
  </w:footnote>
  <w:footnote w:id="39">
    <w:p w14:paraId="677D1030" w14:textId="77777777" w:rsidR="00525A2A" w:rsidRPr="00D81CF1" w:rsidRDefault="00525A2A" w:rsidP="00D81CF1">
      <w:pPr>
        <w:pStyle w:val="FootnoteText"/>
      </w:pPr>
      <w:r w:rsidRPr="00D81CF1">
        <w:rPr>
          <w:rStyle w:val="FootnoteReference"/>
        </w:rPr>
        <w:footnoteRef/>
      </w:r>
      <w:r w:rsidRPr="00D81CF1">
        <w:t xml:space="preserve"> “Succeeding Together”, accessed at </w:t>
      </w:r>
      <w:hyperlink r:id="rId8" w:history="1">
        <w:r w:rsidRPr="00D81CF1">
          <w:rPr>
            <w:rStyle w:val="Hyperlink"/>
          </w:rPr>
          <w:t>https://figshare.com/articles/Succeeding_Together_Maximising_the_potential_for_joint_opportunities_between_Australia_and_Indonesia/4625890</w:t>
        </w:r>
      </w:hyperlink>
      <w:r w:rsidRPr="00D81CF1">
        <w:t>, the Australia-Indonesia Centre, February 2017.</w:t>
      </w:r>
    </w:p>
  </w:footnote>
  <w:footnote w:id="40">
    <w:p w14:paraId="0D12BCD9" w14:textId="1CEF953D" w:rsidR="00525A2A" w:rsidRPr="007C4ABD" w:rsidRDefault="00525A2A">
      <w:pPr>
        <w:pStyle w:val="FootnoteText"/>
        <w:rPr>
          <w:lang w:val="en-AU"/>
        </w:rPr>
      </w:pPr>
      <w:r>
        <w:rPr>
          <w:rStyle w:val="FootnoteReference"/>
        </w:rPr>
        <w:footnoteRef/>
      </w:r>
      <w:r>
        <w:t xml:space="preserve"> An initial focus on grains does not detract from other key </w:t>
      </w:r>
      <w:proofErr w:type="spellStart"/>
      <w:r>
        <w:t>agrifood</w:t>
      </w:r>
      <w:proofErr w:type="spellEnd"/>
      <w:r>
        <w:t xml:space="preserve"> sectors in the bilateral relationship, such as meat, live cattle, horticulture, dairy. These may be the focus of other existing programs or, at the discretion of the ECC, future innovation partnerships under this activity.  </w:t>
      </w:r>
    </w:p>
  </w:footnote>
  <w:footnote w:id="41">
    <w:p w14:paraId="221F67C1" w14:textId="77777777" w:rsidR="00525A2A" w:rsidRPr="00A44370" w:rsidRDefault="00525A2A" w:rsidP="00D81CF1">
      <w:pPr>
        <w:pStyle w:val="FootnoteText"/>
        <w:rPr>
          <w:lang w:val="en-US"/>
        </w:rPr>
      </w:pPr>
      <w:r w:rsidRPr="00A44370">
        <w:rPr>
          <w:rStyle w:val="FootnoteReference"/>
        </w:rPr>
        <w:footnoteRef/>
      </w:r>
      <w:r w:rsidRPr="00A44370">
        <w:t xml:space="preserve"> </w:t>
      </w:r>
      <w:hyperlink r:id="rId9">
        <w:r w:rsidRPr="00A44370">
          <w:rPr>
            <w:rStyle w:val="Hyperlink"/>
            <w:u w:val="none"/>
          </w:rPr>
          <w:t>https://www.aegic.org.au/wp-content/uploads/2019/12/AEGIC-Bread-and-baked-goods-in-Indonesia.pdf</w:t>
        </w:r>
      </w:hyperlink>
    </w:p>
  </w:footnote>
  <w:footnote w:id="42">
    <w:p w14:paraId="29DC09EB" w14:textId="77777777" w:rsidR="00525A2A" w:rsidRPr="005017E6" w:rsidRDefault="00525A2A" w:rsidP="00D81CF1">
      <w:pPr>
        <w:pStyle w:val="FootnoteText"/>
        <w:rPr>
          <w:rFonts w:asciiTheme="majorHAnsi" w:hAnsiTheme="majorHAnsi"/>
          <w:lang w:val="en-US"/>
        </w:rPr>
      </w:pPr>
      <w:r w:rsidRPr="005017E6">
        <w:rPr>
          <w:rStyle w:val="FootnoteReference"/>
          <w:rFonts w:asciiTheme="majorHAnsi" w:hAnsiTheme="majorHAnsi"/>
        </w:rPr>
        <w:footnoteRef/>
      </w:r>
      <w:hyperlink r:id="rId10">
        <w:r w:rsidRPr="005017E6">
          <w:rPr>
            <w:rStyle w:val="Hyperlink"/>
            <w:rFonts w:asciiTheme="majorHAnsi" w:hAnsiTheme="majorHAnsi"/>
          </w:rPr>
          <w:t>https://apps.fas.usda.gov/newgainapi/api/report/downloadreportbyfilename?filename=Grain%20and%20Feed%20Annual_Jakarta_Indonesia_3-26-2019.pdf</w:t>
        </w:r>
      </w:hyperlink>
    </w:p>
  </w:footnote>
  <w:footnote w:id="43">
    <w:p w14:paraId="185F6859" w14:textId="77777777" w:rsidR="00525A2A" w:rsidRPr="006F5B16" w:rsidRDefault="00525A2A" w:rsidP="00D81CF1">
      <w:pPr>
        <w:pStyle w:val="FootnoteText"/>
        <w:rPr>
          <w:lang w:val="en-US"/>
        </w:rPr>
      </w:pPr>
      <w:r w:rsidRPr="006F5B16">
        <w:rPr>
          <w:rStyle w:val="FootnoteReference"/>
        </w:rPr>
        <w:footnoteRef/>
      </w:r>
      <w:r w:rsidRPr="006F5B16">
        <w:t xml:space="preserve"> </w:t>
      </w:r>
      <w:hyperlink r:id="rId11" w:history="1">
        <w:r w:rsidRPr="006F5B16">
          <w:rPr>
            <w:rStyle w:val="Hyperlink"/>
          </w:rPr>
          <w:t>http://www3.weforum.org/docs/WP_Shaping_ASEAN_Future_Readiness_report_2018.pdf</w:t>
        </w:r>
      </w:hyperlink>
    </w:p>
  </w:footnote>
  <w:footnote w:id="44">
    <w:p w14:paraId="556C5C87" w14:textId="77777777" w:rsidR="00525A2A" w:rsidRPr="00AD5A2C" w:rsidRDefault="00525A2A" w:rsidP="00D81CF1">
      <w:pPr>
        <w:pStyle w:val="FootnoteText"/>
        <w:rPr>
          <w:lang w:val="en-US"/>
        </w:rPr>
      </w:pPr>
      <w:r w:rsidRPr="00AD5A2C">
        <w:rPr>
          <w:rStyle w:val="FootnoteReference"/>
        </w:rPr>
        <w:footnoteRef/>
      </w:r>
      <w:r w:rsidRPr="00AD5A2C">
        <w:t xml:space="preserve"> https://www.ncbi.nlm.nih.gov/pmc/articles/PMC1524804/</w:t>
      </w:r>
    </w:p>
  </w:footnote>
  <w:footnote w:id="45">
    <w:p w14:paraId="39268B00" w14:textId="77777777" w:rsidR="00525A2A" w:rsidRPr="00CC4489" w:rsidRDefault="00525A2A" w:rsidP="00D81CF1">
      <w:pPr>
        <w:pStyle w:val="FootnoteText"/>
        <w:rPr>
          <w:lang w:val="en-US"/>
        </w:rPr>
      </w:pPr>
      <w:r w:rsidRPr="00CC4489">
        <w:rPr>
          <w:rStyle w:val="FootnoteReference"/>
        </w:rPr>
        <w:footnoteRef/>
      </w:r>
      <w:r w:rsidRPr="00CC4489">
        <w:t xml:space="preserve"> https://ministers.employment.gov.au/cash/australia-takes-lead-training-and-skilling-global-workforce</w:t>
      </w:r>
    </w:p>
  </w:footnote>
  <w:footnote w:id="46">
    <w:p w14:paraId="6361A747" w14:textId="77777777" w:rsidR="00525A2A" w:rsidRPr="00A05509" w:rsidRDefault="00525A2A" w:rsidP="00D81CF1">
      <w:pPr>
        <w:pStyle w:val="FootnoteText"/>
      </w:pPr>
      <w:r w:rsidRPr="00A05509">
        <w:rPr>
          <w:rStyle w:val="FootnoteReference"/>
        </w:rPr>
        <w:footnoteRef/>
      </w:r>
      <w:r w:rsidRPr="00A05509">
        <w:t xml:space="preserve"> ODE evaluation of trade facilitation in Southeast Asia and the Pacific. ODE, April 2016.</w:t>
      </w:r>
    </w:p>
  </w:footnote>
  <w:footnote w:id="47">
    <w:p w14:paraId="345B3EBD" w14:textId="77777777" w:rsidR="00525A2A" w:rsidRPr="00A05509" w:rsidRDefault="00525A2A" w:rsidP="00D81CF1">
      <w:pPr>
        <w:pStyle w:val="FootnoteText"/>
      </w:pPr>
      <w:r w:rsidRPr="00A05509">
        <w:rPr>
          <w:rStyle w:val="FootnoteReference"/>
        </w:rPr>
        <w:footnoteRef/>
      </w:r>
      <w:r w:rsidRPr="00A05509">
        <w:t xml:space="preserve"> ODE evaluation of trade facilitation in Southeast Asia and the Pacific. ODE, April 2016.</w:t>
      </w:r>
    </w:p>
  </w:footnote>
  <w:footnote w:id="48">
    <w:p w14:paraId="2B829A60" w14:textId="77777777" w:rsidR="00525A2A" w:rsidRPr="00A05509" w:rsidRDefault="00525A2A" w:rsidP="00F80795">
      <w:pPr>
        <w:pStyle w:val="FootnoteText"/>
      </w:pPr>
      <w:r w:rsidRPr="00A05509">
        <w:rPr>
          <w:rStyle w:val="FootnoteReference"/>
        </w:rPr>
        <w:footnoteRef/>
      </w:r>
      <w:r w:rsidRPr="00A05509">
        <w:t xml:space="preserve"> AANZFTA Economic Cooperation Support Program (AECSP) Assessment. FTA Joint Committee, July 2015.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B6606" w14:textId="77777777" w:rsidR="00525A2A" w:rsidRPr="000854FD" w:rsidRDefault="00525A2A" w:rsidP="002D5B25">
    <w:pPr>
      <w:pStyle w:val="Header"/>
    </w:pPr>
    <w:r w:rsidRPr="00943730">
      <w:rPr>
        <w:noProof/>
        <w:lang w:val="en-AU" w:eastAsia="en-AU"/>
      </w:rPr>
      <w:drawing>
        <wp:anchor distT="0" distB="0" distL="114300" distR="114300" simplePos="0" relativeHeight="251657728" behindDoc="1" locked="1" layoutInCell="1" allowOverlap="1" wp14:anchorId="4C9C4DCE" wp14:editId="309C7015">
          <wp:simplePos x="0" y="0"/>
          <wp:positionH relativeFrom="page">
            <wp:align>left</wp:align>
          </wp:positionH>
          <wp:positionV relativeFrom="page">
            <wp:align>top</wp:align>
          </wp:positionV>
          <wp:extent cx="7555865" cy="10915650"/>
          <wp:effectExtent l="0" t="0" r="6985" b="0"/>
          <wp:wrapNone/>
          <wp:docPr id="272" name="Picture 27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5865" cy="109156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5FEB8" w14:textId="744531E3" w:rsidR="00525A2A" w:rsidRPr="00943730" w:rsidRDefault="00525A2A" w:rsidP="00943730">
    <w:pPr>
      <w:pStyle w:val="Header"/>
    </w:pPr>
    <w:r w:rsidRPr="00943730">
      <w:fldChar w:fldCharType="begin"/>
    </w:r>
    <w:r w:rsidRPr="00943730">
      <w:instrText xml:space="preserve"> DATE  \@ "MMMM yyyy"  \* MERGEFORMAT </w:instrText>
    </w:r>
    <w:r w:rsidRPr="00943730">
      <w:fldChar w:fldCharType="separate"/>
    </w:r>
    <w:r w:rsidR="00530ABE">
      <w:rPr>
        <w:noProof/>
      </w:rPr>
      <w:t>May 2020</w:t>
    </w:r>
    <w:r w:rsidRPr="00943730">
      <w:fldChar w:fldCharType="end"/>
    </w:r>
    <w:r w:rsidRPr="00252C04">
      <w:rPr>
        <w:noProof/>
        <w:lang w:val="en-AU" w:eastAsia="en-AU"/>
      </w:rPr>
      <w:drawing>
        <wp:anchor distT="0" distB="0" distL="114300" distR="114300" simplePos="0" relativeHeight="251658752" behindDoc="1" locked="1" layoutInCell="1" allowOverlap="1" wp14:anchorId="76CD214D" wp14:editId="7D709400">
          <wp:simplePos x="0" y="0"/>
          <wp:positionH relativeFrom="page">
            <wp:posOffset>11541760</wp:posOffset>
          </wp:positionH>
          <wp:positionV relativeFrom="page">
            <wp:posOffset>928370</wp:posOffset>
          </wp:positionV>
          <wp:extent cx="1115060" cy="512445"/>
          <wp:effectExtent l="0" t="0" r="8890" b="1905"/>
          <wp:wrapNone/>
          <wp:docPr id="273" name="Picture 273"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704" behindDoc="1" locked="1" layoutInCell="1" allowOverlap="1" wp14:anchorId="656D23EC" wp14:editId="6DE093EA">
          <wp:simplePos x="0" y="0"/>
          <wp:positionH relativeFrom="page">
            <wp:posOffset>-687705</wp:posOffset>
          </wp:positionH>
          <wp:positionV relativeFrom="page">
            <wp:posOffset>78105</wp:posOffset>
          </wp:positionV>
          <wp:extent cx="14582775" cy="10692130"/>
          <wp:effectExtent l="0" t="0" r="9525" b="0"/>
          <wp:wrapNone/>
          <wp:docPr id="274" name="Picture 27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2">
                    <a:extLst>
                      <a:ext uri="{28A0092B-C50C-407E-A947-70E740481C1C}">
                        <a14:useLocalDpi xmlns:a14="http://schemas.microsoft.com/office/drawing/2010/main" val="0"/>
                      </a:ext>
                    </a:extLst>
                  </a:blip>
                  <a:stretch>
                    <a:fillRect/>
                  </a:stretch>
                </pic:blipFill>
                <pic:spPr>
                  <a:xfrm>
                    <a:off x="0" y="0"/>
                    <a:ext cx="14582775"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325A7" w14:textId="5F471972" w:rsidR="00525A2A" w:rsidRPr="00943730" w:rsidRDefault="00525A2A" w:rsidP="003F7453">
    <w:pPr>
      <w:pStyle w:val="Header"/>
      <w:tabs>
        <w:tab w:val="clear" w:pos="4513"/>
        <w:tab w:val="clear" w:pos="9026"/>
        <w:tab w:val="left" w:pos="4080"/>
      </w:tabs>
    </w:pPr>
    <w:r w:rsidRPr="00943730">
      <w:fldChar w:fldCharType="begin"/>
    </w:r>
    <w:r w:rsidRPr="00943730">
      <w:instrText xml:space="preserve"> DATE  \@ "MMMM yyyy"  \* MERGEFORMAT </w:instrText>
    </w:r>
    <w:r w:rsidRPr="00943730">
      <w:fldChar w:fldCharType="separate"/>
    </w:r>
    <w:r w:rsidR="00530ABE">
      <w:rPr>
        <w:noProof/>
      </w:rPr>
      <w:t>May 2020</w:t>
    </w:r>
    <w:r w:rsidRPr="00943730">
      <w:fldChar w:fldCharType="end"/>
    </w:r>
    <w:r w:rsidRPr="00252C04">
      <w:rPr>
        <w:noProof/>
        <w:lang w:val="en-AU" w:eastAsia="en-AU"/>
      </w:rPr>
      <w:drawing>
        <wp:anchor distT="0" distB="0" distL="114300" distR="114300" simplePos="0" relativeHeight="251655680" behindDoc="1" locked="1" layoutInCell="1" allowOverlap="1" wp14:anchorId="7D959671" wp14:editId="653BFC34">
          <wp:simplePos x="0" y="0"/>
          <wp:positionH relativeFrom="page">
            <wp:posOffset>12472035</wp:posOffset>
          </wp:positionH>
          <wp:positionV relativeFrom="page">
            <wp:posOffset>928370</wp:posOffset>
          </wp:positionV>
          <wp:extent cx="1115060" cy="512445"/>
          <wp:effectExtent l="0" t="0" r="8890" b="1905"/>
          <wp:wrapNone/>
          <wp:docPr id="292" name="Picture 292"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854CE" w14:textId="35791330" w:rsidR="00525A2A" w:rsidRPr="000854FD" w:rsidRDefault="00525A2A" w:rsidP="002D5B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B2A6E" w14:textId="4EC688C3" w:rsidR="00525A2A" w:rsidRPr="00943730" w:rsidRDefault="00525A2A" w:rsidP="003F7453">
    <w:pPr>
      <w:pStyle w:val="Header"/>
      <w:tabs>
        <w:tab w:val="clear" w:pos="4513"/>
        <w:tab w:val="clear" w:pos="9026"/>
        <w:tab w:val="left" w:pos="4080"/>
      </w:tabs>
    </w:pPr>
    <w:r w:rsidRPr="00943730">
      <w:fldChar w:fldCharType="begin"/>
    </w:r>
    <w:r w:rsidRPr="00943730">
      <w:instrText xml:space="preserve"> DATE  \@ "MMMM yyyy"  \* MERGEFORMAT </w:instrText>
    </w:r>
    <w:r w:rsidRPr="00943730">
      <w:fldChar w:fldCharType="separate"/>
    </w:r>
    <w:r w:rsidR="00530ABE">
      <w:rPr>
        <w:noProof/>
      </w:rPr>
      <w:t>May 2020</w:t>
    </w:r>
    <w:r w:rsidRPr="00943730">
      <w:fldChar w:fldCharType="end"/>
    </w:r>
    <w:r w:rsidRPr="00252C04">
      <w:rPr>
        <w:noProof/>
        <w:lang w:val="en-AU" w:eastAsia="en-AU"/>
      </w:rPr>
      <w:drawing>
        <wp:anchor distT="0" distB="0" distL="114300" distR="114300" simplePos="0" relativeHeight="251659776" behindDoc="1" locked="1" layoutInCell="1" allowOverlap="1" wp14:anchorId="6A179088" wp14:editId="4947384C">
          <wp:simplePos x="0" y="0"/>
          <wp:positionH relativeFrom="page">
            <wp:posOffset>12472035</wp:posOffset>
          </wp:positionH>
          <wp:positionV relativeFrom="page">
            <wp:posOffset>928370</wp:posOffset>
          </wp:positionV>
          <wp:extent cx="1115060" cy="512445"/>
          <wp:effectExtent l="0" t="0" r="8890" b="1905"/>
          <wp:wrapNone/>
          <wp:docPr id="2" name="Picture 2"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04749" w14:textId="77777777" w:rsidR="00525A2A" w:rsidRDefault="00525A2A" w:rsidP="005E1817">
    <w:pPr>
      <w:pStyle w:val="Header"/>
      <w:jc w:val="center"/>
    </w:pPr>
    <w:r>
      <w:t>For-Official-Use-Only</w:t>
    </w:r>
  </w:p>
  <w:p w14:paraId="295B7212" w14:textId="77777777" w:rsidR="00525A2A" w:rsidRDefault="00525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B76E19C"/>
    <w:lvl w:ilvl="0">
      <w:start w:val="1"/>
      <w:numFmt w:val="decimal"/>
      <w:pStyle w:val="ListNumber2"/>
      <w:lvlText w:val="%1."/>
      <w:lvlJc w:val="left"/>
      <w:pPr>
        <w:tabs>
          <w:tab w:val="num" w:pos="643"/>
        </w:tabs>
        <w:ind w:left="643" w:hanging="360"/>
      </w:pPr>
    </w:lvl>
  </w:abstractNum>
  <w:abstractNum w:abstractNumId="1" w15:restartNumberingAfterBreak="0">
    <w:nsid w:val="005619D2"/>
    <w:multiLevelType w:val="hybridMultilevel"/>
    <w:tmpl w:val="A9327BA8"/>
    <w:lvl w:ilvl="0" w:tplc="0C09001B">
      <w:start w:val="1"/>
      <w:numFmt w:val="lowerRoman"/>
      <w:lvlText w:val="%1."/>
      <w:lvlJc w:val="righ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5549B3"/>
    <w:multiLevelType w:val="hybridMultilevel"/>
    <w:tmpl w:val="FE26AF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4A0928"/>
    <w:multiLevelType w:val="hybridMultilevel"/>
    <w:tmpl w:val="ED1030C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3213891"/>
    <w:multiLevelType w:val="hybridMultilevel"/>
    <w:tmpl w:val="9522C2AE"/>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456063A"/>
    <w:multiLevelType w:val="hybridMultilevel"/>
    <w:tmpl w:val="B4B0587A"/>
    <w:lvl w:ilvl="0" w:tplc="60062DAE">
      <w:start w:val="1"/>
      <w:numFmt w:val="lowerRoman"/>
      <w:lvlText w:val="(%1)"/>
      <w:lvlJc w:val="left"/>
      <w:pPr>
        <w:ind w:left="366" w:hanging="720"/>
      </w:pPr>
      <w:rPr>
        <w:rFonts w:cs="Times New Roman" w:hint="default"/>
      </w:r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6" w15:restartNumberingAfterBreak="0">
    <w:nsid w:val="04711234"/>
    <w:multiLevelType w:val="hybridMultilevel"/>
    <w:tmpl w:val="7AEA0868"/>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 w15:restartNumberingAfterBreak="0">
    <w:nsid w:val="058D265B"/>
    <w:multiLevelType w:val="hybridMultilevel"/>
    <w:tmpl w:val="39A6FAF4"/>
    <w:lvl w:ilvl="0" w:tplc="B574BAB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5BD5E19"/>
    <w:multiLevelType w:val="hybridMultilevel"/>
    <w:tmpl w:val="3D240C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7546428"/>
    <w:multiLevelType w:val="hybridMultilevel"/>
    <w:tmpl w:val="76B435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89270E7"/>
    <w:multiLevelType w:val="hybridMultilevel"/>
    <w:tmpl w:val="21A417A2"/>
    <w:lvl w:ilvl="0" w:tplc="0C09000F">
      <w:start w:val="1"/>
      <w:numFmt w:val="decimal"/>
      <w:lvlText w:val="%1."/>
      <w:lvlJc w:val="left"/>
      <w:pPr>
        <w:ind w:left="360" w:hanging="360"/>
      </w:pPr>
    </w:lvl>
    <w:lvl w:ilvl="1" w:tplc="0C09001B">
      <w:start w:val="1"/>
      <w:numFmt w:val="lowerRoman"/>
      <w:lvlText w:val="%2."/>
      <w:lvlJc w:val="righ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1" w15:restartNumberingAfterBreak="0">
    <w:nsid w:val="08CA6ACE"/>
    <w:multiLevelType w:val="hybridMultilevel"/>
    <w:tmpl w:val="4FB683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90D5795"/>
    <w:multiLevelType w:val="multilevel"/>
    <w:tmpl w:val="E6887AB2"/>
    <w:lvl w:ilvl="0">
      <w:start w:val="1"/>
      <w:numFmt w:val="upperRoman"/>
      <w:lvlText w:val="%1."/>
      <w:lvlJc w:val="right"/>
      <w:pPr>
        <w:ind w:left="720" w:hanging="360"/>
      </w:pPr>
      <w:rPr>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09B8056A"/>
    <w:multiLevelType w:val="hybridMultilevel"/>
    <w:tmpl w:val="2C3A37F4"/>
    <w:lvl w:ilvl="0" w:tplc="0C090001">
      <w:start w:val="1"/>
      <w:numFmt w:val="bullet"/>
      <w:lvlText w:val=""/>
      <w:lvlJc w:val="left"/>
      <w:pPr>
        <w:ind w:left="360" w:hanging="360"/>
      </w:pPr>
      <w:rPr>
        <w:rFonts w:ascii="Symbol" w:hAnsi="Symbol" w:hint="default"/>
      </w:rPr>
    </w:lvl>
    <w:lvl w:ilvl="1" w:tplc="B574BAB0">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5" w15:restartNumberingAfterBreak="0">
    <w:nsid w:val="0AB739BE"/>
    <w:multiLevelType w:val="hybridMultilevel"/>
    <w:tmpl w:val="7AEA0868"/>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6" w15:restartNumberingAfterBreak="0">
    <w:nsid w:val="0B1263E7"/>
    <w:multiLevelType w:val="hybridMultilevel"/>
    <w:tmpl w:val="BDB439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0D76287E"/>
    <w:multiLevelType w:val="hybridMultilevel"/>
    <w:tmpl w:val="A15836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04439E8"/>
    <w:multiLevelType w:val="hybridMultilevel"/>
    <w:tmpl w:val="546AF6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106528C"/>
    <w:multiLevelType w:val="hybridMultilevel"/>
    <w:tmpl w:val="34A4E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B505C7"/>
    <w:multiLevelType w:val="hybridMultilevel"/>
    <w:tmpl w:val="B0B6CF3E"/>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828" w:hanging="360"/>
      </w:pPr>
      <w:rPr>
        <w:rFonts w:ascii="Courier New" w:hAnsi="Courier New" w:hint="default"/>
      </w:rPr>
    </w:lvl>
    <w:lvl w:ilvl="2" w:tplc="04090005" w:tentative="1">
      <w:start w:val="1"/>
      <w:numFmt w:val="bullet"/>
      <w:lvlText w:val=""/>
      <w:lvlJc w:val="left"/>
      <w:pPr>
        <w:ind w:left="-108" w:hanging="360"/>
      </w:pPr>
      <w:rPr>
        <w:rFonts w:ascii="Wingdings" w:hAnsi="Wingdings" w:hint="default"/>
      </w:rPr>
    </w:lvl>
    <w:lvl w:ilvl="3" w:tplc="04090001" w:tentative="1">
      <w:start w:val="1"/>
      <w:numFmt w:val="bullet"/>
      <w:lvlText w:val=""/>
      <w:lvlJc w:val="left"/>
      <w:pPr>
        <w:ind w:left="612" w:hanging="360"/>
      </w:pPr>
      <w:rPr>
        <w:rFonts w:ascii="Symbol" w:hAnsi="Symbol" w:hint="default"/>
      </w:rPr>
    </w:lvl>
    <w:lvl w:ilvl="4" w:tplc="04090003" w:tentative="1">
      <w:start w:val="1"/>
      <w:numFmt w:val="bullet"/>
      <w:lvlText w:val="o"/>
      <w:lvlJc w:val="left"/>
      <w:pPr>
        <w:ind w:left="1332" w:hanging="360"/>
      </w:pPr>
      <w:rPr>
        <w:rFonts w:ascii="Courier New" w:hAnsi="Courier New" w:hint="default"/>
      </w:rPr>
    </w:lvl>
    <w:lvl w:ilvl="5" w:tplc="04090005" w:tentative="1">
      <w:start w:val="1"/>
      <w:numFmt w:val="bullet"/>
      <w:lvlText w:val=""/>
      <w:lvlJc w:val="left"/>
      <w:pPr>
        <w:ind w:left="2052" w:hanging="360"/>
      </w:pPr>
      <w:rPr>
        <w:rFonts w:ascii="Wingdings" w:hAnsi="Wingdings" w:hint="default"/>
      </w:rPr>
    </w:lvl>
    <w:lvl w:ilvl="6" w:tplc="04090001" w:tentative="1">
      <w:start w:val="1"/>
      <w:numFmt w:val="bullet"/>
      <w:lvlText w:val=""/>
      <w:lvlJc w:val="left"/>
      <w:pPr>
        <w:ind w:left="2772" w:hanging="360"/>
      </w:pPr>
      <w:rPr>
        <w:rFonts w:ascii="Symbol" w:hAnsi="Symbol" w:hint="default"/>
      </w:rPr>
    </w:lvl>
    <w:lvl w:ilvl="7" w:tplc="04090003" w:tentative="1">
      <w:start w:val="1"/>
      <w:numFmt w:val="bullet"/>
      <w:lvlText w:val="o"/>
      <w:lvlJc w:val="left"/>
      <w:pPr>
        <w:ind w:left="3492" w:hanging="360"/>
      </w:pPr>
      <w:rPr>
        <w:rFonts w:ascii="Courier New" w:hAnsi="Courier New" w:hint="default"/>
      </w:rPr>
    </w:lvl>
    <w:lvl w:ilvl="8" w:tplc="04090005" w:tentative="1">
      <w:start w:val="1"/>
      <w:numFmt w:val="bullet"/>
      <w:lvlText w:val=""/>
      <w:lvlJc w:val="left"/>
      <w:pPr>
        <w:ind w:left="4212" w:hanging="360"/>
      </w:pPr>
      <w:rPr>
        <w:rFonts w:ascii="Wingdings" w:hAnsi="Wingdings" w:hint="default"/>
      </w:rPr>
    </w:lvl>
  </w:abstractNum>
  <w:abstractNum w:abstractNumId="21"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22" w15:restartNumberingAfterBreak="0">
    <w:nsid w:val="177E602D"/>
    <w:multiLevelType w:val="hybridMultilevel"/>
    <w:tmpl w:val="C56EB2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82E607A"/>
    <w:multiLevelType w:val="hybridMultilevel"/>
    <w:tmpl w:val="EEEA2DE6"/>
    <w:lvl w:ilvl="0" w:tplc="B574BAB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18D54BC8"/>
    <w:multiLevelType w:val="hybridMultilevel"/>
    <w:tmpl w:val="8FDC7C38"/>
    <w:lvl w:ilvl="0" w:tplc="134E1310">
      <w:start w:val="1"/>
      <w:numFmt w:val="decimal"/>
      <w:lvlText w:val="%1."/>
      <w:lvlJc w:val="left"/>
      <w:pPr>
        <w:ind w:left="360" w:hanging="360"/>
      </w:pPr>
      <w:rPr>
        <w:rFonts w:eastAsia="Calibr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A682BF2"/>
    <w:multiLevelType w:val="hybridMultilevel"/>
    <w:tmpl w:val="5C3E2BDA"/>
    <w:lvl w:ilvl="0" w:tplc="0C090001">
      <w:start w:val="1"/>
      <w:numFmt w:val="bullet"/>
      <w:lvlText w:val=""/>
      <w:lvlJc w:val="left"/>
      <w:pPr>
        <w:ind w:left="360" w:hanging="360"/>
      </w:pPr>
      <w:rPr>
        <w:rFonts w:ascii="Symbol" w:hAnsi="Symbol" w:hint="default"/>
      </w:rPr>
    </w:lvl>
    <w:lvl w:ilvl="1" w:tplc="B574BAB0">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1A7F29E6"/>
    <w:multiLevelType w:val="hybridMultilevel"/>
    <w:tmpl w:val="3D82ED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1B595AFA"/>
    <w:multiLevelType w:val="hybridMultilevel"/>
    <w:tmpl w:val="85E4ECA8"/>
    <w:lvl w:ilvl="0" w:tplc="0C09000F">
      <w:start w:val="1"/>
      <w:numFmt w:val="decimal"/>
      <w:lvlText w:val="%1."/>
      <w:lvlJc w:val="left"/>
      <w:pPr>
        <w:ind w:left="360" w:hanging="360"/>
      </w:pPr>
    </w:lvl>
    <w:lvl w:ilvl="1" w:tplc="B574BAB0">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8" w15:restartNumberingAfterBreak="0">
    <w:nsid w:val="1D196C86"/>
    <w:multiLevelType w:val="hybridMultilevel"/>
    <w:tmpl w:val="52EE0422"/>
    <w:lvl w:ilvl="0" w:tplc="0C090001">
      <w:start w:val="1"/>
      <w:numFmt w:val="bullet"/>
      <w:lvlText w:val=""/>
      <w:lvlJc w:val="left"/>
      <w:pPr>
        <w:ind w:left="360" w:hanging="360"/>
      </w:pPr>
      <w:rPr>
        <w:rFonts w:ascii="Symbol" w:hAnsi="Symbol" w:hint="default"/>
      </w:rPr>
    </w:lvl>
    <w:lvl w:ilvl="1" w:tplc="B574BAB0">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1D7F522D"/>
    <w:multiLevelType w:val="hybridMultilevel"/>
    <w:tmpl w:val="DF94AE3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0FE5B6F"/>
    <w:multiLevelType w:val="hybridMultilevel"/>
    <w:tmpl w:val="94F60E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2B11F7A"/>
    <w:multiLevelType w:val="hybridMultilevel"/>
    <w:tmpl w:val="62665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3496D2A"/>
    <w:multiLevelType w:val="hybridMultilevel"/>
    <w:tmpl w:val="54F2446E"/>
    <w:lvl w:ilvl="0" w:tplc="0C090001">
      <w:start w:val="1"/>
      <w:numFmt w:val="bullet"/>
      <w:lvlText w:val=""/>
      <w:lvlJc w:val="left"/>
      <w:pPr>
        <w:ind w:left="306" w:hanging="360"/>
      </w:pPr>
      <w:rPr>
        <w:rFonts w:ascii="Symbol" w:hAnsi="Symbol" w:hint="default"/>
      </w:rPr>
    </w:lvl>
    <w:lvl w:ilvl="1" w:tplc="04090003" w:tentative="1">
      <w:start w:val="1"/>
      <w:numFmt w:val="bullet"/>
      <w:lvlText w:val="o"/>
      <w:lvlJc w:val="left"/>
      <w:pPr>
        <w:ind w:left="1026" w:hanging="360"/>
      </w:pPr>
      <w:rPr>
        <w:rFonts w:ascii="Courier New" w:hAnsi="Courier New" w:hint="default"/>
      </w:rPr>
    </w:lvl>
    <w:lvl w:ilvl="2" w:tplc="04090005" w:tentative="1">
      <w:start w:val="1"/>
      <w:numFmt w:val="bullet"/>
      <w:lvlText w:val=""/>
      <w:lvlJc w:val="left"/>
      <w:pPr>
        <w:ind w:left="1746" w:hanging="360"/>
      </w:pPr>
      <w:rPr>
        <w:rFonts w:ascii="Wingdings" w:hAnsi="Wingdings" w:hint="default"/>
      </w:rPr>
    </w:lvl>
    <w:lvl w:ilvl="3" w:tplc="04090001" w:tentative="1">
      <w:start w:val="1"/>
      <w:numFmt w:val="bullet"/>
      <w:lvlText w:val=""/>
      <w:lvlJc w:val="left"/>
      <w:pPr>
        <w:ind w:left="2466" w:hanging="360"/>
      </w:pPr>
      <w:rPr>
        <w:rFonts w:ascii="Symbol" w:hAnsi="Symbol" w:hint="default"/>
      </w:rPr>
    </w:lvl>
    <w:lvl w:ilvl="4" w:tplc="04090003" w:tentative="1">
      <w:start w:val="1"/>
      <w:numFmt w:val="bullet"/>
      <w:lvlText w:val="o"/>
      <w:lvlJc w:val="left"/>
      <w:pPr>
        <w:ind w:left="3186" w:hanging="360"/>
      </w:pPr>
      <w:rPr>
        <w:rFonts w:ascii="Courier New" w:hAnsi="Courier New" w:hint="default"/>
      </w:rPr>
    </w:lvl>
    <w:lvl w:ilvl="5" w:tplc="04090005" w:tentative="1">
      <w:start w:val="1"/>
      <w:numFmt w:val="bullet"/>
      <w:lvlText w:val=""/>
      <w:lvlJc w:val="left"/>
      <w:pPr>
        <w:ind w:left="3906" w:hanging="360"/>
      </w:pPr>
      <w:rPr>
        <w:rFonts w:ascii="Wingdings" w:hAnsi="Wingdings" w:hint="default"/>
      </w:rPr>
    </w:lvl>
    <w:lvl w:ilvl="6" w:tplc="04090001" w:tentative="1">
      <w:start w:val="1"/>
      <w:numFmt w:val="bullet"/>
      <w:lvlText w:val=""/>
      <w:lvlJc w:val="left"/>
      <w:pPr>
        <w:ind w:left="4626" w:hanging="360"/>
      </w:pPr>
      <w:rPr>
        <w:rFonts w:ascii="Symbol" w:hAnsi="Symbol" w:hint="default"/>
      </w:rPr>
    </w:lvl>
    <w:lvl w:ilvl="7" w:tplc="04090003" w:tentative="1">
      <w:start w:val="1"/>
      <w:numFmt w:val="bullet"/>
      <w:lvlText w:val="o"/>
      <w:lvlJc w:val="left"/>
      <w:pPr>
        <w:ind w:left="5346" w:hanging="360"/>
      </w:pPr>
      <w:rPr>
        <w:rFonts w:ascii="Courier New" w:hAnsi="Courier New" w:hint="default"/>
      </w:rPr>
    </w:lvl>
    <w:lvl w:ilvl="8" w:tplc="04090005" w:tentative="1">
      <w:start w:val="1"/>
      <w:numFmt w:val="bullet"/>
      <w:lvlText w:val=""/>
      <w:lvlJc w:val="left"/>
      <w:pPr>
        <w:ind w:left="6066" w:hanging="360"/>
      </w:pPr>
      <w:rPr>
        <w:rFonts w:ascii="Wingdings" w:hAnsi="Wingdings" w:hint="default"/>
      </w:rPr>
    </w:lvl>
  </w:abstractNum>
  <w:abstractNum w:abstractNumId="33" w15:restartNumberingAfterBreak="0">
    <w:nsid w:val="256C5EE6"/>
    <w:multiLevelType w:val="hybridMultilevel"/>
    <w:tmpl w:val="B37419DC"/>
    <w:lvl w:ilvl="0" w:tplc="0C090001">
      <w:start w:val="1"/>
      <w:numFmt w:val="bullet"/>
      <w:lvlText w:val=""/>
      <w:lvlJc w:val="left"/>
      <w:pPr>
        <w:ind w:left="360" w:hanging="360"/>
      </w:pPr>
      <w:rPr>
        <w:rFonts w:ascii="Symbol" w:hAnsi="Symbol" w:hint="default"/>
      </w:rPr>
    </w:lvl>
    <w:lvl w:ilvl="1" w:tplc="B574BAB0">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25FD0CE2"/>
    <w:multiLevelType w:val="hybridMultilevel"/>
    <w:tmpl w:val="B6C2A544"/>
    <w:lvl w:ilvl="0" w:tplc="B574BAB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266E740B"/>
    <w:multiLevelType w:val="hybridMultilevel"/>
    <w:tmpl w:val="284EBA44"/>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7" w15:restartNumberingAfterBreak="0">
    <w:nsid w:val="2BCF5307"/>
    <w:multiLevelType w:val="multilevel"/>
    <w:tmpl w:val="F8E4CD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2CCF4801"/>
    <w:multiLevelType w:val="hybridMultilevel"/>
    <w:tmpl w:val="DB76F9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2CE22693"/>
    <w:multiLevelType w:val="hybridMultilevel"/>
    <w:tmpl w:val="FA7AA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2DB95E33"/>
    <w:multiLevelType w:val="multilevel"/>
    <w:tmpl w:val="8E34EE24"/>
    <w:lvl w:ilvl="0">
      <w:start w:val="4"/>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DEC7413"/>
    <w:multiLevelType w:val="hybridMultilevel"/>
    <w:tmpl w:val="B4301F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2EC44F8F"/>
    <w:multiLevelType w:val="hybridMultilevel"/>
    <w:tmpl w:val="DA28E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11814AC"/>
    <w:multiLevelType w:val="hybridMultilevel"/>
    <w:tmpl w:val="7BEEBB1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31E25FCC"/>
    <w:multiLevelType w:val="hybridMultilevel"/>
    <w:tmpl w:val="903003A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33451BEB"/>
    <w:multiLevelType w:val="hybridMultilevel"/>
    <w:tmpl w:val="95508504"/>
    <w:lvl w:ilvl="0" w:tplc="0C09000F">
      <w:start w:val="1"/>
      <w:numFmt w:val="decimal"/>
      <w:lvlText w:val="%1."/>
      <w:lvlJc w:val="left"/>
      <w:pPr>
        <w:ind w:left="360" w:hanging="360"/>
      </w:pPr>
    </w:lvl>
    <w:lvl w:ilvl="1" w:tplc="B574BAB0">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6" w15:restartNumberingAfterBreak="0">
    <w:nsid w:val="34876964"/>
    <w:multiLevelType w:val="hybridMultilevel"/>
    <w:tmpl w:val="11069A28"/>
    <w:lvl w:ilvl="0" w:tplc="8D20A9EE">
      <w:start w:val="1"/>
      <w:numFmt w:val="upperLetter"/>
      <w:lvlText w:val="%1."/>
      <w:lvlJc w:val="left"/>
      <w:pPr>
        <w:ind w:left="720" w:hanging="360"/>
      </w:pPr>
      <w:rPr>
        <w:b/>
        <w:color w:val="495965" w:themeColor="text2"/>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4CF2A1B"/>
    <w:multiLevelType w:val="hybridMultilevel"/>
    <w:tmpl w:val="351A8CFE"/>
    <w:lvl w:ilvl="0" w:tplc="0C09000F">
      <w:start w:val="1"/>
      <w:numFmt w:val="decimal"/>
      <w:lvlText w:val="%1."/>
      <w:lvlJc w:val="left"/>
      <w:pPr>
        <w:ind w:left="360" w:hanging="360"/>
      </w:pPr>
    </w:lvl>
    <w:lvl w:ilvl="1" w:tplc="0C09001B">
      <w:start w:val="1"/>
      <w:numFmt w:val="lowerRoman"/>
      <w:lvlText w:val="%2."/>
      <w:lvlJc w:val="righ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8" w15:restartNumberingAfterBreak="0">
    <w:nsid w:val="36C3282B"/>
    <w:multiLevelType w:val="hybridMultilevel"/>
    <w:tmpl w:val="8990C8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7EE660E"/>
    <w:multiLevelType w:val="hybridMultilevel"/>
    <w:tmpl w:val="076AB68A"/>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0" w15:restartNumberingAfterBreak="0">
    <w:nsid w:val="38251EAA"/>
    <w:multiLevelType w:val="hybridMultilevel"/>
    <w:tmpl w:val="342867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1" w15:restartNumberingAfterBreak="0">
    <w:nsid w:val="38E27BB5"/>
    <w:multiLevelType w:val="hybridMultilevel"/>
    <w:tmpl w:val="68BA2B90"/>
    <w:lvl w:ilvl="0" w:tplc="0C090001">
      <w:start w:val="1"/>
      <w:numFmt w:val="bullet"/>
      <w:lvlText w:val=""/>
      <w:lvlJc w:val="left"/>
      <w:pPr>
        <w:ind w:left="360" w:hanging="360"/>
      </w:pPr>
      <w:rPr>
        <w:rFonts w:ascii="Symbol" w:hAnsi="Symbol" w:hint="default"/>
      </w:rPr>
    </w:lvl>
    <w:lvl w:ilvl="1" w:tplc="B574BAB0">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2" w15:restartNumberingAfterBreak="0">
    <w:nsid w:val="3AC83923"/>
    <w:multiLevelType w:val="hybridMultilevel"/>
    <w:tmpl w:val="7AEA0868"/>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3" w15:restartNumberingAfterBreak="0">
    <w:nsid w:val="3B1F45EB"/>
    <w:multiLevelType w:val="multilevel"/>
    <w:tmpl w:val="B78E63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3BB973EB"/>
    <w:multiLevelType w:val="hybridMultilevel"/>
    <w:tmpl w:val="8B18A65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3E132745"/>
    <w:multiLevelType w:val="hybridMultilevel"/>
    <w:tmpl w:val="7AEA0868"/>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6" w15:restartNumberingAfterBreak="0">
    <w:nsid w:val="3FEB5370"/>
    <w:multiLevelType w:val="hybridMultilevel"/>
    <w:tmpl w:val="70585AC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40605656"/>
    <w:multiLevelType w:val="hybridMultilevel"/>
    <w:tmpl w:val="D148602A"/>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13F432A"/>
    <w:multiLevelType w:val="hybridMultilevel"/>
    <w:tmpl w:val="AAB686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15E079B"/>
    <w:multiLevelType w:val="hybridMultilevel"/>
    <w:tmpl w:val="EC0084C6"/>
    <w:lvl w:ilvl="0" w:tplc="0C090001">
      <w:start w:val="1"/>
      <w:numFmt w:val="bullet"/>
      <w:lvlText w:val=""/>
      <w:lvlJc w:val="left"/>
      <w:pPr>
        <w:ind w:left="360" w:hanging="360"/>
      </w:pPr>
      <w:rPr>
        <w:rFonts w:ascii="Symbol" w:hAnsi="Symbol" w:hint="default"/>
      </w:rPr>
    </w:lvl>
    <w:lvl w:ilvl="1" w:tplc="B574BAB0">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449B2A4D"/>
    <w:multiLevelType w:val="hybridMultilevel"/>
    <w:tmpl w:val="33468890"/>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4759612A"/>
    <w:multiLevelType w:val="hybridMultilevel"/>
    <w:tmpl w:val="C18EFA9A"/>
    <w:lvl w:ilvl="0" w:tplc="0C090001">
      <w:start w:val="1"/>
      <w:numFmt w:val="bullet"/>
      <w:lvlText w:val=""/>
      <w:lvlJc w:val="left"/>
      <w:pPr>
        <w:ind w:left="360" w:hanging="360"/>
      </w:pPr>
      <w:rPr>
        <w:rFonts w:ascii="Symbol" w:hAnsi="Symbol" w:hint="default"/>
      </w:rPr>
    </w:lvl>
    <w:lvl w:ilvl="1" w:tplc="B574BAB0">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476F2280"/>
    <w:multiLevelType w:val="hybridMultilevel"/>
    <w:tmpl w:val="60A4E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48337FD8"/>
    <w:multiLevelType w:val="hybridMultilevel"/>
    <w:tmpl w:val="90323F48"/>
    <w:lvl w:ilvl="0" w:tplc="0C090001">
      <w:start w:val="1"/>
      <w:numFmt w:val="bullet"/>
      <w:lvlText w:val=""/>
      <w:lvlJc w:val="left"/>
      <w:pPr>
        <w:ind w:left="360" w:hanging="360"/>
      </w:pPr>
      <w:rPr>
        <w:rFonts w:ascii="Symbol" w:hAnsi="Symbol" w:hint="default"/>
      </w:rPr>
    </w:lvl>
    <w:lvl w:ilvl="1" w:tplc="B574BAB0">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484B1DF1"/>
    <w:multiLevelType w:val="hybridMultilevel"/>
    <w:tmpl w:val="B8B4473A"/>
    <w:lvl w:ilvl="0" w:tplc="0C09000F">
      <w:start w:val="1"/>
      <w:numFmt w:val="decimal"/>
      <w:lvlText w:val="%1."/>
      <w:lvlJc w:val="left"/>
      <w:pPr>
        <w:ind w:left="360" w:hanging="360"/>
      </w:pPr>
    </w:lvl>
    <w:lvl w:ilvl="1" w:tplc="0C09001B">
      <w:start w:val="1"/>
      <w:numFmt w:val="lowerRoman"/>
      <w:lvlText w:val="%2."/>
      <w:lvlJc w:val="righ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5" w15:restartNumberingAfterBreak="0">
    <w:nsid w:val="4A8C22CC"/>
    <w:multiLevelType w:val="hybridMultilevel"/>
    <w:tmpl w:val="9C2A8B2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4C2D1AA4"/>
    <w:multiLevelType w:val="multilevel"/>
    <w:tmpl w:val="C65EA2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4C6B5A1F"/>
    <w:multiLevelType w:val="hybridMultilevel"/>
    <w:tmpl w:val="1B888D06"/>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D242A72"/>
    <w:multiLevelType w:val="hybridMultilevel"/>
    <w:tmpl w:val="362EE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4E7A58EB"/>
    <w:multiLevelType w:val="hybridMultilevel"/>
    <w:tmpl w:val="215E9A1E"/>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0" w15:restartNumberingAfterBreak="0">
    <w:nsid w:val="4FF8121F"/>
    <w:multiLevelType w:val="hybridMultilevel"/>
    <w:tmpl w:val="EB48DF56"/>
    <w:lvl w:ilvl="0" w:tplc="0C090001">
      <w:start w:val="1"/>
      <w:numFmt w:val="bullet"/>
      <w:lvlText w:val=""/>
      <w:lvlJc w:val="left"/>
      <w:pPr>
        <w:ind w:left="360" w:hanging="360"/>
      </w:pPr>
      <w:rPr>
        <w:rFonts w:ascii="Symbol" w:hAnsi="Symbol" w:hint="default"/>
      </w:rPr>
    </w:lvl>
    <w:lvl w:ilvl="1" w:tplc="B574BAB0">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50C97A89"/>
    <w:multiLevelType w:val="hybridMultilevel"/>
    <w:tmpl w:val="AD1A4F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52553D9F"/>
    <w:multiLevelType w:val="multilevel"/>
    <w:tmpl w:val="A6FA45D0"/>
    <w:numStyleLink w:val="BulletsList"/>
  </w:abstractNum>
  <w:abstractNum w:abstractNumId="73" w15:restartNumberingAfterBreak="0">
    <w:nsid w:val="54ED4294"/>
    <w:multiLevelType w:val="hybridMultilevel"/>
    <w:tmpl w:val="BDB44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6B816F2"/>
    <w:multiLevelType w:val="hybridMultilevel"/>
    <w:tmpl w:val="AD762F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5739612F"/>
    <w:multiLevelType w:val="hybridMultilevel"/>
    <w:tmpl w:val="1706C8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573A1E52"/>
    <w:multiLevelType w:val="hybridMultilevel"/>
    <w:tmpl w:val="C902FE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7D7271B"/>
    <w:multiLevelType w:val="hybridMultilevel"/>
    <w:tmpl w:val="65049EF4"/>
    <w:lvl w:ilvl="0" w:tplc="0C09000F">
      <w:start w:val="1"/>
      <w:numFmt w:val="decimal"/>
      <w:lvlText w:val="%1."/>
      <w:lvlJc w:val="left"/>
      <w:pPr>
        <w:ind w:left="360" w:hanging="360"/>
      </w:pPr>
    </w:lvl>
    <w:lvl w:ilvl="1" w:tplc="0C09001B">
      <w:start w:val="1"/>
      <w:numFmt w:val="lowerRoman"/>
      <w:lvlText w:val="%2."/>
      <w:lvlJc w:val="righ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78" w15:restartNumberingAfterBreak="0">
    <w:nsid w:val="593930AB"/>
    <w:multiLevelType w:val="hybridMultilevel"/>
    <w:tmpl w:val="B802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1" w15:restartNumberingAfterBreak="0">
    <w:nsid w:val="63877A6E"/>
    <w:multiLevelType w:val="hybridMultilevel"/>
    <w:tmpl w:val="7AEA0868"/>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2" w15:restartNumberingAfterBreak="0">
    <w:nsid w:val="666743B7"/>
    <w:multiLevelType w:val="hybridMultilevel"/>
    <w:tmpl w:val="F830D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15:restartNumberingAfterBreak="0">
    <w:nsid w:val="679346A4"/>
    <w:multiLevelType w:val="hybridMultilevel"/>
    <w:tmpl w:val="65B4439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7D23B11"/>
    <w:multiLevelType w:val="hybridMultilevel"/>
    <w:tmpl w:val="7FF2C606"/>
    <w:lvl w:ilvl="0" w:tplc="85CE9F02">
      <w:start w:val="1"/>
      <w:numFmt w:val="decimal"/>
      <w:lvlText w:val="%1."/>
      <w:lvlJc w:val="left"/>
      <w:pPr>
        <w:ind w:left="394"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85" w15:restartNumberingAfterBreak="0">
    <w:nsid w:val="696F0DF8"/>
    <w:multiLevelType w:val="hybridMultilevel"/>
    <w:tmpl w:val="65049EF4"/>
    <w:lvl w:ilvl="0" w:tplc="0C09000F">
      <w:start w:val="1"/>
      <w:numFmt w:val="decimal"/>
      <w:lvlText w:val="%1."/>
      <w:lvlJc w:val="left"/>
      <w:pPr>
        <w:ind w:left="360" w:hanging="360"/>
      </w:pPr>
    </w:lvl>
    <w:lvl w:ilvl="1" w:tplc="0C09001B">
      <w:start w:val="1"/>
      <w:numFmt w:val="lowerRoman"/>
      <w:lvlText w:val="%2."/>
      <w:lvlJc w:val="right"/>
      <w:pPr>
        <w:ind w:left="1080" w:hanging="360"/>
      </w:pPr>
      <w:rPr>
        <w:rFonts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6" w15:restartNumberingAfterBreak="0">
    <w:nsid w:val="69EE1D0B"/>
    <w:multiLevelType w:val="hybridMultilevel"/>
    <w:tmpl w:val="B9547882"/>
    <w:lvl w:ilvl="0" w:tplc="0C090001">
      <w:start w:val="1"/>
      <w:numFmt w:val="bullet"/>
      <w:lvlText w:val=""/>
      <w:lvlJc w:val="left"/>
      <w:pPr>
        <w:ind w:left="1126" w:hanging="360"/>
      </w:pPr>
      <w:rPr>
        <w:rFonts w:ascii="Symbol" w:hAnsi="Symbol" w:hint="default"/>
      </w:rPr>
    </w:lvl>
    <w:lvl w:ilvl="1" w:tplc="0C090003">
      <w:start w:val="1"/>
      <w:numFmt w:val="bullet"/>
      <w:lvlText w:val="o"/>
      <w:lvlJc w:val="left"/>
      <w:pPr>
        <w:ind w:left="1846" w:hanging="360"/>
      </w:pPr>
      <w:rPr>
        <w:rFonts w:ascii="Courier New" w:hAnsi="Courier New" w:cs="Courier New" w:hint="default"/>
      </w:rPr>
    </w:lvl>
    <w:lvl w:ilvl="2" w:tplc="0C090005" w:tentative="1">
      <w:start w:val="1"/>
      <w:numFmt w:val="bullet"/>
      <w:lvlText w:val=""/>
      <w:lvlJc w:val="left"/>
      <w:pPr>
        <w:ind w:left="2566" w:hanging="360"/>
      </w:pPr>
      <w:rPr>
        <w:rFonts w:ascii="Wingdings" w:hAnsi="Wingdings" w:hint="default"/>
      </w:rPr>
    </w:lvl>
    <w:lvl w:ilvl="3" w:tplc="0C090001" w:tentative="1">
      <w:start w:val="1"/>
      <w:numFmt w:val="bullet"/>
      <w:lvlText w:val=""/>
      <w:lvlJc w:val="left"/>
      <w:pPr>
        <w:ind w:left="3286" w:hanging="360"/>
      </w:pPr>
      <w:rPr>
        <w:rFonts w:ascii="Symbol" w:hAnsi="Symbol" w:hint="default"/>
      </w:rPr>
    </w:lvl>
    <w:lvl w:ilvl="4" w:tplc="0C090003" w:tentative="1">
      <w:start w:val="1"/>
      <w:numFmt w:val="bullet"/>
      <w:lvlText w:val="o"/>
      <w:lvlJc w:val="left"/>
      <w:pPr>
        <w:ind w:left="4006" w:hanging="360"/>
      </w:pPr>
      <w:rPr>
        <w:rFonts w:ascii="Courier New" w:hAnsi="Courier New" w:cs="Courier New" w:hint="default"/>
      </w:rPr>
    </w:lvl>
    <w:lvl w:ilvl="5" w:tplc="0C090005" w:tentative="1">
      <w:start w:val="1"/>
      <w:numFmt w:val="bullet"/>
      <w:lvlText w:val=""/>
      <w:lvlJc w:val="left"/>
      <w:pPr>
        <w:ind w:left="4726" w:hanging="360"/>
      </w:pPr>
      <w:rPr>
        <w:rFonts w:ascii="Wingdings" w:hAnsi="Wingdings" w:hint="default"/>
      </w:rPr>
    </w:lvl>
    <w:lvl w:ilvl="6" w:tplc="0C090001" w:tentative="1">
      <w:start w:val="1"/>
      <w:numFmt w:val="bullet"/>
      <w:lvlText w:val=""/>
      <w:lvlJc w:val="left"/>
      <w:pPr>
        <w:ind w:left="5446" w:hanging="360"/>
      </w:pPr>
      <w:rPr>
        <w:rFonts w:ascii="Symbol" w:hAnsi="Symbol" w:hint="default"/>
      </w:rPr>
    </w:lvl>
    <w:lvl w:ilvl="7" w:tplc="0C090003" w:tentative="1">
      <w:start w:val="1"/>
      <w:numFmt w:val="bullet"/>
      <w:lvlText w:val="o"/>
      <w:lvlJc w:val="left"/>
      <w:pPr>
        <w:ind w:left="6166" w:hanging="360"/>
      </w:pPr>
      <w:rPr>
        <w:rFonts w:ascii="Courier New" w:hAnsi="Courier New" w:cs="Courier New" w:hint="default"/>
      </w:rPr>
    </w:lvl>
    <w:lvl w:ilvl="8" w:tplc="0C090005" w:tentative="1">
      <w:start w:val="1"/>
      <w:numFmt w:val="bullet"/>
      <w:lvlText w:val=""/>
      <w:lvlJc w:val="left"/>
      <w:pPr>
        <w:ind w:left="6886" w:hanging="360"/>
      </w:pPr>
      <w:rPr>
        <w:rFonts w:ascii="Wingdings" w:hAnsi="Wingdings" w:hint="default"/>
      </w:rPr>
    </w:lvl>
  </w:abstractNum>
  <w:abstractNum w:abstractNumId="87" w15:restartNumberingAfterBreak="0">
    <w:nsid w:val="6C607810"/>
    <w:multiLevelType w:val="hybridMultilevel"/>
    <w:tmpl w:val="97BEBCCE"/>
    <w:lvl w:ilvl="0" w:tplc="0C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D42506C"/>
    <w:multiLevelType w:val="hybridMultilevel"/>
    <w:tmpl w:val="2D64DD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E3D697F"/>
    <w:multiLevelType w:val="hybridMultilevel"/>
    <w:tmpl w:val="95508504"/>
    <w:lvl w:ilvl="0" w:tplc="0C09000F">
      <w:start w:val="1"/>
      <w:numFmt w:val="decimal"/>
      <w:lvlText w:val="%1."/>
      <w:lvlJc w:val="left"/>
      <w:pPr>
        <w:ind w:left="360" w:hanging="360"/>
      </w:pPr>
    </w:lvl>
    <w:lvl w:ilvl="1" w:tplc="B574BAB0">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0" w15:restartNumberingAfterBreak="0">
    <w:nsid w:val="6F5272AD"/>
    <w:multiLevelType w:val="hybridMultilevel"/>
    <w:tmpl w:val="37ECB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6FC529E7"/>
    <w:multiLevelType w:val="hybridMultilevel"/>
    <w:tmpl w:val="9000D7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2" w15:restartNumberingAfterBreak="0">
    <w:nsid w:val="72685F96"/>
    <w:multiLevelType w:val="hybridMultilevel"/>
    <w:tmpl w:val="B400F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4" w15:restartNumberingAfterBreak="0">
    <w:nsid w:val="754239A2"/>
    <w:multiLevelType w:val="hybridMultilevel"/>
    <w:tmpl w:val="95CE71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6" w15:restartNumberingAfterBreak="0">
    <w:nsid w:val="79754C0F"/>
    <w:multiLevelType w:val="hybridMultilevel"/>
    <w:tmpl w:val="7AEA0868"/>
    <w:lvl w:ilvl="0" w:tplc="0C09000F">
      <w:start w:val="1"/>
      <w:numFmt w:val="decimal"/>
      <w:lvlText w:val="%1."/>
      <w:lvlJc w:val="left"/>
      <w:pPr>
        <w:ind w:left="360" w:hanging="360"/>
      </w:p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7" w15:restartNumberingAfterBreak="0">
    <w:nsid w:val="7B0A08DB"/>
    <w:multiLevelType w:val="hybridMultilevel"/>
    <w:tmpl w:val="E2C8D0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CB0471F"/>
    <w:multiLevelType w:val="hybridMultilevel"/>
    <w:tmpl w:val="4448CC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7F6B05A3"/>
    <w:multiLevelType w:val="hybridMultilevel"/>
    <w:tmpl w:val="C180F842"/>
    <w:lvl w:ilvl="0" w:tplc="0C090001">
      <w:start w:val="1"/>
      <w:numFmt w:val="bullet"/>
      <w:lvlText w:val=""/>
      <w:lvlJc w:val="left"/>
      <w:pPr>
        <w:ind w:left="360" w:hanging="360"/>
      </w:pPr>
      <w:rPr>
        <w:rFonts w:ascii="Symbol" w:hAnsi="Symbol" w:hint="default"/>
      </w:rPr>
    </w:lvl>
    <w:lvl w:ilvl="1" w:tplc="B574BAB0">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7F7A528B"/>
    <w:multiLevelType w:val="hybridMultilevel"/>
    <w:tmpl w:val="A39658C0"/>
    <w:lvl w:ilvl="0" w:tplc="7B640FF6">
      <w:start w:val="1"/>
      <w:numFmt w:val="bullet"/>
      <w:pStyle w:val="ListBullet"/>
      <w:lvlText w:val="›"/>
      <w:lvlJc w:val="left"/>
      <w:pPr>
        <w:ind w:left="786" w:hanging="360"/>
      </w:pPr>
      <w:rPr>
        <w:rFonts w:ascii="Times New Roman" w:hAnsi="Times New Roman" w:cs="Times New Roman" w:hint="default"/>
        <w:color w:val="auto"/>
        <w:position w:val="3"/>
      </w:rPr>
    </w:lvl>
    <w:lvl w:ilvl="1" w:tplc="FFFFFFFF">
      <w:start w:val="1"/>
      <w:numFmt w:val="bullet"/>
      <w:lvlText w:val="o"/>
      <w:lvlJc w:val="left"/>
      <w:pPr>
        <w:tabs>
          <w:tab w:val="num" w:pos="2150"/>
        </w:tabs>
        <w:ind w:left="2150" w:hanging="360"/>
      </w:pPr>
      <w:rPr>
        <w:rFonts w:ascii="Courier New" w:hAnsi="Courier New" w:cs="Courier New" w:hint="default"/>
      </w:rPr>
    </w:lvl>
    <w:lvl w:ilvl="2" w:tplc="FFFFFFFF" w:tentative="1">
      <w:start w:val="1"/>
      <w:numFmt w:val="bullet"/>
      <w:lvlText w:val=""/>
      <w:lvlJc w:val="left"/>
      <w:pPr>
        <w:tabs>
          <w:tab w:val="num" w:pos="2870"/>
        </w:tabs>
        <w:ind w:left="2870" w:hanging="360"/>
      </w:pPr>
      <w:rPr>
        <w:rFonts w:ascii="Wingdings" w:hAnsi="Wingdings" w:hint="default"/>
      </w:rPr>
    </w:lvl>
    <w:lvl w:ilvl="3" w:tplc="FFFFFFFF" w:tentative="1">
      <w:start w:val="1"/>
      <w:numFmt w:val="bullet"/>
      <w:lvlText w:val=""/>
      <w:lvlJc w:val="left"/>
      <w:pPr>
        <w:tabs>
          <w:tab w:val="num" w:pos="3590"/>
        </w:tabs>
        <w:ind w:left="3590" w:hanging="360"/>
      </w:pPr>
      <w:rPr>
        <w:rFonts w:ascii="Symbol" w:hAnsi="Symbol" w:hint="default"/>
      </w:rPr>
    </w:lvl>
    <w:lvl w:ilvl="4" w:tplc="FFFFFFFF" w:tentative="1">
      <w:start w:val="1"/>
      <w:numFmt w:val="bullet"/>
      <w:lvlText w:val="o"/>
      <w:lvlJc w:val="left"/>
      <w:pPr>
        <w:tabs>
          <w:tab w:val="num" w:pos="4310"/>
        </w:tabs>
        <w:ind w:left="4310" w:hanging="360"/>
      </w:pPr>
      <w:rPr>
        <w:rFonts w:ascii="Courier New" w:hAnsi="Courier New" w:cs="Courier New" w:hint="default"/>
      </w:rPr>
    </w:lvl>
    <w:lvl w:ilvl="5" w:tplc="FFFFFFFF" w:tentative="1">
      <w:start w:val="1"/>
      <w:numFmt w:val="bullet"/>
      <w:lvlText w:val=""/>
      <w:lvlJc w:val="left"/>
      <w:pPr>
        <w:tabs>
          <w:tab w:val="num" w:pos="5030"/>
        </w:tabs>
        <w:ind w:left="5030" w:hanging="360"/>
      </w:pPr>
      <w:rPr>
        <w:rFonts w:ascii="Wingdings" w:hAnsi="Wingdings" w:hint="default"/>
      </w:rPr>
    </w:lvl>
    <w:lvl w:ilvl="6" w:tplc="FFFFFFFF" w:tentative="1">
      <w:start w:val="1"/>
      <w:numFmt w:val="bullet"/>
      <w:lvlText w:val=""/>
      <w:lvlJc w:val="left"/>
      <w:pPr>
        <w:tabs>
          <w:tab w:val="num" w:pos="5750"/>
        </w:tabs>
        <w:ind w:left="5750" w:hanging="360"/>
      </w:pPr>
      <w:rPr>
        <w:rFonts w:ascii="Symbol" w:hAnsi="Symbol" w:hint="default"/>
      </w:rPr>
    </w:lvl>
    <w:lvl w:ilvl="7" w:tplc="FFFFFFFF" w:tentative="1">
      <w:start w:val="1"/>
      <w:numFmt w:val="bullet"/>
      <w:lvlText w:val="o"/>
      <w:lvlJc w:val="left"/>
      <w:pPr>
        <w:tabs>
          <w:tab w:val="num" w:pos="6470"/>
        </w:tabs>
        <w:ind w:left="6470" w:hanging="360"/>
      </w:pPr>
      <w:rPr>
        <w:rFonts w:ascii="Courier New" w:hAnsi="Courier New" w:cs="Courier New" w:hint="default"/>
      </w:rPr>
    </w:lvl>
    <w:lvl w:ilvl="8" w:tplc="FFFFFFFF" w:tentative="1">
      <w:start w:val="1"/>
      <w:numFmt w:val="bullet"/>
      <w:lvlText w:val=""/>
      <w:lvlJc w:val="left"/>
      <w:pPr>
        <w:tabs>
          <w:tab w:val="num" w:pos="7190"/>
        </w:tabs>
        <w:ind w:left="7190" w:hanging="360"/>
      </w:pPr>
      <w:rPr>
        <w:rFonts w:ascii="Wingdings" w:hAnsi="Wingdings" w:hint="default"/>
      </w:rPr>
    </w:lvl>
  </w:abstractNum>
  <w:num w:numId="1">
    <w:abstractNumId w:val="93"/>
  </w:num>
  <w:num w:numId="2">
    <w:abstractNumId w:val="14"/>
  </w:num>
  <w:num w:numId="3">
    <w:abstractNumId w:val="36"/>
  </w:num>
  <w:num w:numId="4">
    <w:abstractNumId w:val="79"/>
  </w:num>
  <w:num w:numId="5">
    <w:abstractNumId w:val="80"/>
  </w:num>
  <w:num w:numId="6">
    <w:abstractNumId w:val="36"/>
  </w:num>
  <w:num w:numId="7">
    <w:abstractNumId w:val="14"/>
  </w:num>
  <w:num w:numId="8">
    <w:abstractNumId w:val="21"/>
  </w:num>
  <w:num w:numId="9">
    <w:abstractNumId w:val="95"/>
  </w:num>
  <w:num w:numId="10">
    <w:abstractNumId w:val="72"/>
  </w:num>
  <w:num w:numId="11">
    <w:abstractNumId w:val="46"/>
  </w:num>
  <w:num w:numId="12">
    <w:abstractNumId w:val="100"/>
  </w:num>
  <w:num w:numId="13">
    <w:abstractNumId w:val="31"/>
  </w:num>
  <w:num w:numId="14">
    <w:abstractNumId w:val="98"/>
  </w:num>
  <w:num w:numId="15">
    <w:abstractNumId w:val="41"/>
  </w:num>
  <w:num w:numId="16">
    <w:abstractNumId w:val="3"/>
  </w:num>
  <w:num w:numId="17">
    <w:abstractNumId w:val="8"/>
  </w:num>
  <w:num w:numId="18">
    <w:abstractNumId w:val="22"/>
  </w:num>
  <w:num w:numId="19">
    <w:abstractNumId w:val="60"/>
  </w:num>
  <w:num w:numId="20">
    <w:abstractNumId w:val="5"/>
  </w:num>
  <w:num w:numId="21">
    <w:abstractNumId w:val="83"/>
  </w:num>
  <w:num w:numId="22">
    <w:abstractNumId w:val="48"/>
  </w:num>
  <w:num w:numId="23">
    <w:abstractNumId w:val="42"/>
  </w:num>
  <w:num w:numId="24">
    <w:abstractNumId w:val="35"/>
  </w:num>
  <w:num w:numId="25">
    <w:abstractNumId w:val="67"/>
  </w:num>
  <w:num w:numId="26">
    <w:abstractNumId w:val="19"/>
  </w:num>
  <w:num w:numId="27">
    <w:abstractNumId w:val="26"/>
  </w:num>
  <w:num w:numId="28">
    <w:abstractNumId w:val="24"/>
  </w:num>
  <w:num w:numId="29">
    <w:abstractNumId w:val="75"/>
  </w:num>
  <w:num w:numId="30">
    <w:abstractNumId w:val="73"/>
  </w:num>
  <w:num w:numId="31">
    <w:abstractNumId w:val="92"/>
  </w:num>
  <w:num w:numId="32">
    <w:abstractNumId w:val="29"/>
  </w:num>
  <w:num w:numId="33">
    <w:abstractNumId w:val="12"/>
  </w:num>
  <w:num w:numId="34">
    <w:abstractNumId w:val="76"/>
  </w:num>
  <w:num w:numId="35">
    <w:abstractNumId w:val="40"/>
  </w:num>
  <w:num w:numId="36">
    <w:abstractNumId w:val="37"/>
  </w:num>
  <w:num w:numId="37">
    <w:abstractNumId w:val="53"/>
  </w:num>
  <w:num w:numId="38">
    <w:abstractNumId w:val="66"/>
  </w:num>
  <w:num w:numId="39">
    <w:abstractNumId w:val="86"/>
  </w:num>
  <w:num w:numId="40">
    <w:abstractNumId w:val="84"/>
  </w:num>
  <w:num w:numId="41">
    <w:abstractNumId w:val="68"/>
  </w:num>
  <w:num w:numId="42">
    <w:abstractNumId w:val="88"/>
  </w:num>
  <w:num w:numId="43">
    <w:abstractNumId w:val="71"/>
  </w:num>
  <w:num w:numId="44">
    <w:abstractNumId w:val="11"/>
  </w:num>
  <w:num w:numId="45">
    <w:abstractNumId w:val="17"/>
  </w:num>
  <w:num w:numId="46">
    <w:abstractNumId w:val="2"/>
  </w:num>
  <w:num w:numId="47">
    <w:abstractNumId w:val="0"/>
  </w:num>
  <w:num w:numId="48">
    <w:abstractNumId w:val="85"/>
  </w:num>
  <w:num w:numId="49">
    <w:abstractNumId w:val="6"/>
    <w:lvlOverride w:ilvl="0">
      <w:startOverride w:val="1"/>
    </w:lvlOverride>
    <w:lvlOverride w:ilvl="1"/>
    <w:lvlOverride w:ilvl="2"/>
    <w:lvlOverride w:ilvl="3"/>
    <w:lvlOverride w:ilvl="4"/>
    <w:lvlOverride w:ilvl="5"/>
    <w:lvlOverride w:ilvl="6"/>
    <w:lvlOverride w:ilvl="7"/>
    <w:lvlOverride w:ilvl="8"/>
  </w:num>
  <w:num w:numId="50">
    <w:abstractNumId w:val="56"/>
  </w:num>
  <w:num w:numId="51">
    <w:abstractNumId w:val="27"/>
  </w:num>
  <w:num w:numId="52">
    <w:abstractNumId w:val="96"/>
  </w:num>
  <w:num w:numId="53">
    <w:abstractNumId w:val="81"/>
  </w:num>
  <w:num w:numId="54">
    <w:abstractNumId w:val="45"/>
  </w:num>
  <w:num w:numId="55">
    <w:abstractNumId w:val="55"/>
  </w:num>
  <w:num w:numId="56">
    <w:abstractNumId w:val="52"/>
  </w:num>
  <w:num w:numId="57">
    <w:abstractNumId w:val="69"/>
  </w:num>
  <w:num w:numId="58">
    <w:abstractNumId w:val="89"/>
  </w:num>
  <w:num w:numId="59">
    <w:abstractNumId w:val="15"/>
  </w:num>
  <w:num w:numId="60">
    <w:abstractNumId w:val="47"/>
  </w:num>
  <w:num w:numId="61">
    <w:abstractNumId w:val="64"/>
  </w:num>
  <w:num w:numId="62">
    <w:abstractNumId w:val="1"/>
  </w:num>
  <w:num w:numId="63">
    <w:abstractNumId w:val="10"/>
  </w:num>
  <w:num w:numId="64">
    <w:abstractNumId w:val="77"/>
  </w:num>
  <w:num w:numId="65">
    <w:abstractNumId w:val="38"/>
  </w:num>
  <w:num w:numId="66">
    <w:abstractNumId w:val="94"/>
  </w:num>
  <w:num w:numId="67">
    <w:abstractNumId w:val="9"/>
  </w:num>
  <w:num w:numId="68">
    <w:abstractNumId w:val="74"/>
  </w:num>
  <w:num w:numId="69">
    <w:abstractNumId w:val="62"/>
  </w:num>
  <w:num w:numId="70">
    <w:abstractNumId w:val="13"/>
  </w:num>
  <w:num w:numId="71">
    <w:abstractNumId w:val="58"/>
  </w:num>
  <w:num w:numId="72">
    <w:abstractNumId w:val="51"/>
  </w:num>
  <w:num w:numId="73">
    <w:abstractNumId w:val="54"/>
  </w:num>
  <w:num w:numId="74">
    <w:abstractNumId w:val="34"/>
  </w:num>
  <w:num w:numId="75">
    <w:abstractNumId w:val="23"/>
  </w:num>
  <w:num w:numId="76">
    <w:abstractNumId w:val="7"/>
  </w:num>
  <w:num w:numId="77">
    <w:abstractNumId w:val="18"/>
  </w:num>
  <w:num w:numId="78">
    <w:abstractNumId w:val="63"/>
  </w:num>
  <w:num w:numId="79">
    <w:abstractNumId w:val="59"/>
  </w:num>
  <w:num w:numId="80">
    <w:abstractNumId w:val="99"/>
  </w:num>
  <w:num w:numId="81">
    <w:abstractNumId w:val="33"/>
  </w:num>
  <w:num w:numId="82">
    <w:abstractNumId w:val="28"/>
  </w:num>
  <w:num w:numId="83">
    <w:abstractNumId w:val="25"/>
  </w:num>
  <w:num w:numId="84">
    <w:abstractNumId w:val="70"/>
  </w:num>
  <w:num w:numId="85">
    <w:abstractNumId w:val="61"/>
  </w:num>
  <w:num w:numId="86">
    <w:abstractNumId w:val="39"/>
  </w:num>
  <w:num w:numId="87">
    <w:abstractNumId w:val="16"/>
  </w:num>
  <w:num w:numId="88">
    <w:abstractNumId w:val="30"/>
  </w:num>
  <w:num w:numId="89">
    <w:abstractNumId w:val="91"/>
  </w:num>
  <w:num w:numId="90">
    <w:abstractNumId w:val="44"/>
  </w:num>
  <w:num w:numId="91">
    <w:abstractNumId w:val="32"/>
  </w:num>
  <w:num w:numId="92">
    <w:abstractNumId w:val="4"/>
  </w:num>
  <w:num w:numId="93">
    <w:abstractNumId w:val="43"/>
  </w:num>
  <w:num w:numId="94">
    <w:abstractNumId w:val="50"/>
  </w:num>
  <w:num w:numId="95">
    <w:abstractNumId w:val="49"/>
  </w:num>
  <w:num w:numId="96">
    <w:abstractNumId w:val="82"/>
  </w:num>
  <w:num w:numId="97">
    <w:abstractNumId w:val="20"/>
  </w:num>
  <w:num w:numId="98">
    <w:abstractNumId w:val="78"/>
  </w:num>
  <w:num w:numId="99">
    <w:abstractNumId w:val="97"/>
  </w:num>
  <w:num w:numId="100">
    <w:abstractNumId w:val="90"/>
  </w:num>
  <w:num w:numId="101">
    <w:abstractNumId w:val="65"/>
  </w:num>
  <w:num w:numId="102">
    <w:abstractNumId w:val="57"/>
  </w:num>
  <w:num w:numId="103">
    <w:abstractNumId w:val="87"/>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AAF"/>
    <w:rsid w:val="00001DA8"/>
    <w:rsid w:val="000020C1"/>
    <w:rsid w:val="00002B15"/>
    <w:rsid w:val="00002F36"/>
    <w:rsid w:val="00004AC6"/>
    <w:rsid w:val="00004D65"/>
    <w:rsid w:val="0000566D"/>
    <w:rsid w:val="00005914"/>
    <w:rsid w:val="00007464"/>
    <w:rsid w:val="0001101E"/>
    <w:rsid w:val="0001122D"/>
    <w:rsid w:val="00011822"/>
    <w:rsid w:val="000135D2"/>
    <w:rsid w:val="00013F67"/>
    <w:rsid w:val="0001436A"/>
    <w:rsid w:val="00014FA8"/>
    <w:rsid w:val="0001555F"/>
    <w:rsid w:val="00017B48"/>
    <w:rsid w:val="00020265"/>
    <w:rsid w:val="0002080A"/>
    <w:rsid w:val="00020E3C"/>
    <w:rsid w:val="00023E79"/>
    <w:rsid w:val="000246AB"/>
    <w:rsid w:val="00024AD2"/>
    <w:rsid w:val="0002782F"/>
    <w:rsid w:val="00032074"/>
    <w:rsid w:val="000323AC"/>
    <w:rsid w:val="00032790"/>
    <w:rsid w:val="000356EC"/>
    <w:rsid w:val="00035BBF"/>
    <w:rsid w:val="00036A8A"/>
    <w:rsid w:val="000419AF"/>
    <w:rsid w:val="00044897"/>
    <w:rsid w:val="00045632"/>
    <w:rsid w:val="00045D57"/>
    <w:rsid w:val="00046742"/>
    <w:rsid w:val="00050806"/>
    <w:rsid w:val="00051E07"/>
    <w:rsid w:val="000530E6"/>
    <w:rsid w:val="0005402F"/>
    <w:rsid w:val="000544FA"/>
    <w:rsid w:val="000545C3"/>
    <w:rsid w:val="000546D9"/>
    <w:rsid w:val="00054E4D"/>
    <w:rsid w:val="00055443"/>
    <w:rsid w:val="00060073"/>
    <w:rsid w:val="0006075D"/>
    <w:rsid w:val="00060F82"/>
    <w:rsid w:val="000615A6"/>
    <w:rsid w:val="000616C6"/>
    <w:rsid w:val="000617AE"/>
    <w:rsid w:val="000632B4"/>
    <w:rsid w:val="00065266"/>
    <w:rsid w:val="00067049"/>
    <w:rsid w:val="00067255"/>
    <w:rsid w:val="00070451"/>
    <w:rsid w:val="000713E9"/>
    <w:rsid w:val="00072633"/>
    <w:rsid w:val="00072677"/>
    <w:rsid w:val="00072802"/>
    <w:rsid w:val="000746F3"/>
    <w:rsid w:val="000762FC"/>
    <w:rsid w:val="000767F4"/>
    <w:rsid w:val="00083007"/>
    <w:rsid w:val="000843AB"/>
    <w:rsid w:val="000851D8"/>
    <w:rsid w:val="000854FD"/>
    <w:rsid w:val="00087429"/>
    <w:rsid w:val="00091E91"/>
    <w:rsid w:val="00092650"/>
    <w:rsid w:val="00092C18"/>
    <w:rsid w:val="00093CCB"/>
    <w:rsid w:val="00093FBA"/>
    <w:rsid w:val="00095345"/>
    <w:rsid w:val="00095EED"/>
    <w:rsid w:val="000A0246"/>
    <w:rsid w:val="000A228B"/>
    <w:rsid w:val="000A27E7"/>
    <w:rsid w:val="000A54B7"/>
    <w:rsid w:val="000A5965"/>
    <w:rsid w:val="000A5B39"/>
    <w:rsid w:val="000B37F5"/>
    <w:rsid w:val="000B50BA"/>
    <w:rsid w:val="000B53C2"/>
    <w:rsid w:val="000B55B0"/>
    <w:rsid w:val="000B55E8"/>
    <w:rsid w:val="000B5C98"/>
    <w:rsid w:val="000B5D62"/>
    <w:rsid w:val="000C0347"/>
    <w:rsid w:val="000C346B"/>
    <w:rsid w:val="000C45F6"/>
    <w:rsid w:val="000C4676"/>
    <w:rsid w:val="000C5DDD"/>
    <w:rsid w:val="000C603D"/>
    <w:rsid w:val="000C617C"/>
    <w:rsid w:val="000D66D6"/>
    <w:rsid w:val="000D73AB"/>
    <w:rsid w:val="000D760A"/>
    <w:rsid w:val="000D7938"/>
    <w:rsid w:val="000E13EA"/>
    <w:rsid w:val="000E2363"/>
    <w:rsid w:val="000E34F7"/>
    <w:rsid w:val="000E444B"/>
    <w:rsid w:val="000E5A10"/>
    <w:rsid w:val="000E7A5C"/>
    <w:rsid w:val="000E7A9D"/>
    <w:rsid w:val="000F1217"/>
    <w:rsid w:val="000F30B3"/>
    <w:rsid w:val="000F4E14"/>
    <w:rsid w:val="000F5586"/>
    <w:rsid w:val="000F7C74"/>
    <w:rsid w:val="00100E29"/>
    <w:rsid w:val="00100EFA"/>
    <w:rsid w:val="00101404"/>
    <w:rsid w:val="00104E94"/>
    <w:rsid w:val="0010542F"/>
    <w:rsid w:val="00105BBF"/>
    <w:rsid w:val="00105EF8"/>
    <w:rsid w:val="0010658A"/>
    <w:rsid w:val="00107DE9"/>
    <w:rsid w:val="00110112"/>
    <w:rsid w:val="00110944"/>
    <w:rsid w:val="0011132D"/>
    <w:rsid w:val="00113288"/>
    <w:rsid w:val="0011380B"/>
    <w:rsid w:val="00114091"/>
    <w:rsid w:val="00114D0F"/>
    <w:rsid w:val="00115884"/>
    <w:rsid w:val="00115B13"/>
    <w:rsid w:val="001168E7"/>
    <w:rsid w:val="00120608"/>
    <w:rsid w:val="001214BE"/>
    <w:rsid w:val="001215C0"/>
    <w:rsid w:val="00121F1E"/>
    <w:rsid w:val="00125470"/>
    <w:rsid w:val="00126349"/>
    <w:rsid w:val="00126D06"/>
    <w:rsid w:val="0012726C"/>
    <w:rsid w:val="0013101C"/>
    <w:rsid w:val="0013247C"/>
    <w:rsid w:val="00133D41"/>
    <w:rsid w:val="00134827"/>
    <w:rsid w:val="00137EBC"/>
    <w:rsid w:val="001420CF"/>
    <w:rsid w:val="00143907"/>
    <w:rsid w:val="0014446F"/>
    <w:rsid w:val="001446E5"/>
    <w:rsid w:val="00144AA6"/>
    <w:rsid w:val="001461D6"/>
    <w:rsid w:val="001466ED"/>
    <w:rsid w:val="001469E1"/>
    <w:rsid w:val="0014705E"/>
    <w:rsid w:val="0014790F"/>
    <w:rsid w:val="00153549"/>
    <w:rsid w:val="001540F1"/>
    <w:rsid w:val="001541EA"/>
    <w:rsid w:val="00154518"/>
    <w:rsid w:val="00157CCF"/>
    <w:rsid w:val="00161E94"/>
    <w:rsid w:val="00163185"/>
    <w:rsid w:val="00165183"/>
    <w:rsid w:val="001653CE"/>
    <w:rsid w:val="00167931"/>
    <w:rsid w:val="00170223"/>
    <w:rsid w:val="00170D28"/>
    <w:rsid w:val="00172D3A"/>
    <w:rsid w:val="001803BC"/>
    <w:rsid w:val="001808C4"/>
    <w:rsid w:val="00180F6D"/>
    <w:rsid w:val="00182FAF"/>
    <w:rsid w:val="0018380C"/>
    <w:rsid w:val="0018508E"/>
    <w:rsid w:val="00187095"/>
    <w:rsid w:val="0019023F"/>
    <w:rsid w:val="00190787"/>
    <w:rsid w:val="00192E7D"/>
    <w:rsid w:val="00194099"/>
    <w:rsid w:val="00197AE8"/>
    <w:rsid w:val="001A09AF"/>
    <w:rsid w:val="001A5FCC"/>
    <w:rsid w:val="001A6214"/>
    <w:rsid w:val="001A718F"/>
    <w:rsid w:val="001A74D5"/>
    <w:rsid w:val="001B04CD"/>
    <w:rsid w:val="001B1A2F"/>
    <w:rsid w:val="001B408C"/>
    <w:rsid w:val="001B4A95"/>
    <w:rsid w:val="001B5DE9"/>
    <w:rsid w:val="001B66A4"/>
    <w:rsid w:val="001C0C18"/>
    <w:rsid w:val="001C0FB2"/>
    <w:rsid w:val="001C19DC"/>
    <w:rsid w:val="001C251C"/>
    <w:rsid w:val="001C2B18"/>
    <w:rsid w:val="001C383A"/>
    <w:rsid w:val="001D1BB9"/>
    <w:rsid w:val="001D202A"/>
    <w:rsid w:val="001D4D64"/>
    <w:rsid w:val="001D5474"/>
    <w:rsid w:val="001D5BE3"/>
    <w:rsid w:val="001D663E"/>
    <w:rsid w:val="001D67E6"/>
    <w:rsid w:val="001D797C"/>
    <w:rsid w:val="001E017A"/>
    <w:rsid w:val="001E12C7"/>
    <w:rsid w:val="001E1DC0"/>
    <w:rsid w:val="001E2008"/>
    <w:rsid w:val="001E2701"/>
    <w:rsid w:val="001E3B85"/>
    <w:rsid w:val="001E46E9"/>
    <w:rsid w:val="001E5161"/>
    <w:rsid w:val="001F114A"/>
    <w:rsid w:val="001F287D"/>
    <w:rsid w:val="001F3302"/>
    <w:rsid w:val="001F52C1"/>
    <w:rsid w:val="00201326"/>
    <w:rsid w:val="00203277"/>
    <w:rsid w:val="0020497F"/>
    <w:rsid w:val="0020573E"/>
    <w:rsid w:val="00205B2E"/>
    <w:rsid w:val="00205ED1"/>
    <w:rsid w:val="002102FE"/>
    <w:rsid w:val="00213CF1"/>
    <w:rsid w:val="00215B80"/>
    <w:rsid w:val="00217F9A"/>
    <w:rsid w:val="002217F0"/>
    <w:rsid w:val="00230551"/>
    <w:rsid w:val="00231B00"/>
    <w:rsid w:val="00232237"/>
    <w:rsid w:val="00232CC0"/>
    <w:rsid w:val="00233A9D"/>
    <w:rsid w:val="00234BAD"/>
    <w:rsid w:val="00236462"/>
    <w:rsid w:val="00241933"/>
    <w:rsid w:val="00241A6A"/>
    <w:rsid w:val="002420B1"/>
    <w:rsid w:val="00247C79"/>
    <w:rsid w:val="00250176"/>
    <w:rsid w:val="00252C04"/>
    <w:rsid w:val="00252DF3"/>
    <w:rsid w:val="00253683"/>
    <w:rsid w:val="002539E3"/>
    <w:rsid w:val="00253A13"/>
    <w:rsid w:val="00253BBB"/>
    <w:rsid w:val="00254FCA"/>
    <w:rsid w:val="002552FE"/>
    <w:rsid w:val="00255947"/>
    <w:rsid w:val="00256EAE"/>
    <w:rsid w:val="002571CD"/>
    <w:rsid w:val="0025734E"/>
    <w:rsid w:val="00257670"/>
    <w:rsid w:val="002605FE"/>
    <w:rsid w:val="00263FB0"/>
    <w:rsid w:val="00270347"/>
    <w:rsid w:val="00270B2C"/>
    <w:rsid w:val="00271D9E"/>
    <w:rsid w:val="00272C43"/>
    <w:rsid w:val="00274BF5"/>
    <w:rsid w:val="00274F52"/>
    <w:rsid w:val="002755A4"/>
    <w:rsid w:val="00275F39"/>
    <w:rsid w:val="002773B2"/>
    <w:rsid w:val="00280550"/>
    <w:rsid w:val="00280564"/>
    <w:rsid w:val="00280A40"/>
    <w:rsid w:val="0028172A"/>
    <w:rsid w:val="00282CED"/>
    <w:rsid w:val="002832DF"/>
    <w:rsid w:val="00285101"/>
    <w:rsid w:val="002858B7"/>
    <w:rsid w:val="0028602A"/>
    <w:rsid w:val="0028654F"/>
    <w:rsid w:val="00287EA0"/>
    <w:rsid w:val="00291316"/>
    <w:rsid w:val="00296365"/>
    <w:rsid w:val="00296CF8"/>
    <w:rsid w:val="002A0623"/>
    <w:rsid w:val="002A068A"/>
    <w:rsid w:val="002A1FA6"/>
    <w:rsid w:val="002A2DA4"/>
    <w:rsid w:val="002A7030"/>
    <w:rsid w:val="002B01C4"/>
    <w:rsid w:val="002B1372"/>
    <w:rsid w:val="002B22A9"/>
    <w:rsid w:val="002B33B8"/>
    <w:rsid w:val="002B3C00"/>
    <w:rsid w:val="002B5A51"/>
    <w:rsid w:val="002B5BB1"/>
    <w:rsid w:val="002B5E10"/>
    <w:rsid w:val="002B6C5A"/>
    <w:rsid w:val="002B72FF"/>
    <w:rsid w:val="002C06D4"/>
    <w:rsid w:val="002C0C37"/>
    <w:rsid w:val="002C1D46"/>
    <w:rsid w:val="002C2BBB"/>
    <w:rsid w:val="002C2D80"/>
    <w:rsid w:val="002C3AC8"/>
    <w:rsid w:val="002C5058"/>
    <w:rsid w:val="002C793D"/>
    <w:rsid w:val="002D1CCE"/>
    <w:rsid w:val="002D1FB9"/>
    <w:rsid w:val="002D2766"/>
    <w:rsid w:val="002D2807"/>
    <w:rsid w:val="002D3BDC"/>
    <w:rsid w:val="002D4DE7"/>
    <w:rsid w:val="002D5B25"/>
    <w:rsid w:val="002E173E"/>
    <w:rsid w:val="002E28EB"/>
    <w:rsid w:val="002E3B8D"/>
    <w:rsid w:val="002E3EBE"/>
    <w:rsid w:val="002F07FF"/>
    <w:rsid w:val="002F4F2B"/>
    <w:rsid w:val="002F5AB3"/>
    <w:rsid w:val="003002C0"/>
    <w:rsid w:val="00301144"/>
    <w:rsid w:val="00302D1E"/>
    <w:rsid w:val="003031C6"/>
    <w:rsid w:val="003032BD"/>
    <w:rsid w:val="00303FE2"/>
    <w:rsid w:val="00304340"/>
    <w:rsid w:val="00304984"/>
    <w:rsid w:val="00307B38"/>
    <w:rsid w:val="00310620"/>
    <w:rsid w:val="00310C57"/>
    <w:rsid w:val="00312BF8"/>
    <w:rsid w:val="00313254"/>
    <w:rsid w:val="0031419A"/>
    <w:rsid w:val="003148B7"/>
    <w:rsid w:val="00314A3E"/>
    <w:rsid w:val="003150C2"/>
    <w:rsid w:val="003158C3"/>
    <w:rsid w:val="00315F73"/>
    <w:rsid w:val="003165C9"/>
    <w:rsid w:val="0031664E"/>
    <w:rsid w:val="0031732E"/>
    <w:rsid w:val="00317469"/>
    <w:rsid w:val="00321AD5"/>
    <w:rsid w:val="00321B3C"/>
    <w:rsid w:val="003238DE"/>
    <w:rsid w:val="00324268"/>
    <w:rsid w:val="003274CD"/>
    <w:rsid w:val="003300EE"/>
    <w:rsid w:val="00330FA1"/>
    <w:rsid w:val="003324DA"/>
    <w:rsid w:val="00333501"/>
    <w:rsid w:val="003356D8"/>
    <w:rsid w:val="00335E7B"/>
    <w:rsid w:val="003405FB"/>
    <w:rsid w:val="00342502"/>
    <w:rsid w:val="003451D7"/>
    <w:rsid w:val="003457C4"/>
    <w:rsid w:val="00347955"/>
    <w:rsid w:val="0035119D"/>
    <w:rsid w:val="00352DF7"/>
    <w:rsid w:val="00353308"/>
    <w:rsid w:val="00354BEF"/>
    <w:rsid w:val="00360DE8"/>
    <w:rsid w:val="0037333B"/>
    <w:rsid w:val="0037583C"/>
    <w:rsid w:val="00375C7F"/>
    <w:rsid w:val="003767FB"/>
    <w:rsid w:val="00376F18"/>
    <w:rsid w:val="00377D3F"/>
    <w:rsid w:val="00380B6A"/>
    <w:rsid w:val="0038259E"/>
    <w:rsid w:val="00383F0B"/>
    <w:rsid w:val="00384D40"/>
    <w:rsid w:val="003900EA"/>
    <w:rsid w:val="00390169"/>
    <w:rsid w:val="0039100A"/>
    <w:rsid w:val="0039112C"/>
    <w:rsid w:val="0039235A"/>
    <w:rsid w:val="00393285"/>
    <w:rsid w:val="0039344A"/>
    <w:rsid w:val="0039411A"/>
    <w:rsid w:val="003942C6"/>
    <w:rsid w:val="00394F1C"/>
    <w:rsid w:val="00395163"/>
    <w:rsid w:val="00395C2E"/>
    <w:rsid w:val="003A087E"/>
    <w:rsid w:val="003A3881"/>
    <w:rsid w:val="003A5C0E"/>
    <w:rsid w:val="003A75AE"/>
    <w:rsid w:val="003B0B39"/>
    <w:rsid w:val="003B3CA7"/>
    <w:rsid w:val="003B487D"/>
    <w:rsid w:val="003B4F12"/>
    <w:rsid w:val="003B5481"/>
    <w:rsid w:val="003B5996"/>
    <w:rsid w:val="003B6054"/>
    <w:rsid w:val="003B6AA1"/>
    <w:rsid w:val="003B726C"/>
    <w:rsid w:val="003C029C"/>
    <w:rsid w:val="003C1AF9"/>
    <w:rsid w:val="003C2111"/>
    <w:rsid w:val="003C2FFB"/>
    <w:rsid w:val="003C477B"/>
    <w:rsid w:val="003C4EA5"/>
    <w:rsid w:val="003C5FD3"/>
    <w:rsid w:val="003D274E"/>
    <w:rsid w:val="003D3567"/>
    <w:rsid w:val="003D3620"/>
    <w:rsid w:val="003D3624"/>
    <w:rsid w:val="003D400E"/>
    <w:rsid w:val="003D60B3"/>
    <w:rsid w:val="003D675C"/>
    <w:rsid w:val="003D73E6"/>
    <w:rsid w:val="003E431A"/>
    <w:rsid w:val="003E4BC5"/>
    <w:rsid w:val="003E5AD1"/>
    <w:rsid w:val="003E601A"/>
    <w:rsid w:val="003E61FA"/>
    <w:rsid w:val="003E693A"/>
    <w:rsid w:val="003E732F"/>
    <w:rsid w:val="003E773F"/>
    <w:rsid w:val="003F0E7E"/>
    <w:rsid w:val="003F14A5"/>
    <w:rsid w:val="003F1DAE"/>
    <w:rsid w:val="003F2041"/>
    <w:rsid w:val="003F3818"/>
    <w:rsid w:val="003F7453"/>
    <w:rsid w:val="00402ACC"/>
    <w:rsid w:val="004037BC"/>
    <w:rsid w:val="00406903"/>
    <w:rsid w:val="00407BBC"/>
    <w:rsid w:val="00407E63"/>
    <w:rsid w:val="00410F35"/>
    <w:rsid w:val="00410FE4"/>
    <w:rsid w:val="004120EC"/>
    <w:rsid w:val="00412290"/>
    <w:rsid w:val="0041287D"/>
    <w:rsid w:val="004134F1"/>
    <w:rsid w:val="004137E5"/>
    <w:rsid w:val="00420217"/>
    <w:rsid w:val="004204BA"/>
    <w:rsid w:val="00423603"/>
    <w:rsid w:val="00423F31"/>
    <w:rsid w:val="004257B3"/>
    <w:rsid w:val="00426AA4"/>
    <w:rsid w:val="004307A7"/>
    <w:rsid w:val="00430905"/>
    <w:rsid w:val="00431899"/>
    <w:rsid w:val="00432451"/>
    <w:rsid w:val="00433706"/>
    <w:rsid w:val="0044084B"/>
    <w:rsid w:val="00441982"/>
    <w:rsid w:val="00442055"/>
    <w:rsid w:val="00442724"/>
    <w:rsid w:val="00442B45"/>
    <w:rsid w:val="00442C24"/>
    <w:rsid w:val="00444797"/>
    <w:rsid w:val="004449FA"/>
    <w:rsid w:val="00445B37"/>
    <w:rsid w:val="00445B9F"/>
    <w:rsid w:val="0044635E"/>
    <w:rsid w:val="0044684F"/>
    <w:rsid w:val="004475CA"/>
    <w:rsid w:val="00451110"/>
    <w:rsid w:val="00451440"/>
    <w:rsid w:val="004519E9"/>
    <w:rsid w:val="00453888"/>
    <w:rsid w:val="00456C4B"/>
    <w:rsid w:val="00457A76"/>
    <w:rsid w:val="00457B65"/>
    <w:rsid w:val="00457E94"/>
    <w:rsid w:val="0046001A"/>
    <w:rsid w:val="00460450"/>
    <w:rsid w:val="004608A2"/>
    <w:rsid w:val="00463C5C"/>
    <w:rsid w:val="004660E9"/>
    <w:rsid w:val="00473574"/>
    <w:rsid w:val="00473B66"/>
    <w:rsid w:val="00475BF4"/>
    <w:rsid w:val="0047783D"/>
    <w:rsid w:val="00477DA9"/>
    <w:rsid w:val="004800F7"/>
    <w:rsid w:val="00480E5E"/>
    <w:rsid w:val="00481C51"/>
    <w:rsid w:val="00482AE8"/>
    <w:rsid w:val="00482E29"/>
    <w:rsid w:val="0048492D"/>
    <w:rsid w:val="0048565D"/>
    <w:rsid w:val="004861CD"/>
    <w:rsid w:val="00486804"/>
    <w:rsid w:val="00490CDB"/>
    <w:rsid w:val="00492FCB"/>
    <w:rsid w:val="00493191"/>
    <w:rsid w:val="004939C4"/>
    <w:rsid w:val="00493E59"/>
    <w:rsid w:val="0049473E"/>
    <w:rsid w:val="00494B79"/>
    <w:rsid w:val="004956D3"/>
    <w:rsid w:val="004959EF"/>
    <w:rsid w:val="00496821"/>
    <w:rsid w:val="004A2B7D"/>
    <w:rsid w:val="004A38E7"/>
    <w:rsid w:val="004A4877"/>
    <w:rsid w:val="004A611C"/>
    <w:rsid w:val="004B19BE"/>
    <w:rsid w:val="004B2620"/>
    <w:rsid w:val="004B3775"/>
    <w:rsid w:val="004B3993"/>
    <w:rsid w:val="004B3A25"/>
    <w:rsid w:val="004B3CB3"/>
    <w:rsid w:val="004B74D5"/>
    <w:rsid w:val="004B7939"/>
    <w:rsid w:val="004C0F35"/>
    <w:rsid w:val="004C4B0D"/>
    <w:rsid w:val="004C6242"/>
    <w:rsid w:val="004C6342"/>
    <w:rsid w:val="004C63ED"/>
    <w:rsid w:val="004C7418"/>
    <w:rsid w:val="004D0200"/>
    <w:rsid w:val="004D0463"/>
    <w:rsid w:val="004D0BA0"/>
    <w:rsid w:val="004D1C54"/>
    <w:rsid w:val="004D1E60"/>
    <w:rsid w:val="004D1ED0"/>
    <w:rsid w:val="004D336C"/>
    <w:rsid w:val="004E058F"/>
    <w:rsid w:val="004E21B9"/>
    <w:rsid w:val="004E3B87"/>
    <w:rsid w:val="004E7713"/>
    <w:rsid w:val="004F0CBD"/>
    <w:rsid w:val="004F2AF9"/>
    <w:rsid w:val="004F5C4F"/>
    <w:rsid w:val="004F7EC8"/>
    <w:rsid w:val="00500532"/>
    <w:rsid w:val="00500543"/>
    <w:rsid w:val="00500ED7"/>
    <w:rsid w:val="005018C0"/>
    <w:rsid w:val="00501AB3"/>
    <w:rsid w:val="00502CC8"/>
    <w:rsid w:val="00503C99"/>
    <w:rsid w:val="00503E97"/>
    <w:rsid w:val="00505F72"/>
    <w:rsid w:val="005077F2"/>
    <w:rsid w:val="00510921"/>
    <w:rsid w:val="00510AD3"/>
    <w:rsid w:val="005119C2"/>
    <w:rsid w:val="00513348"/>
    <w:rsid w:val="005136BC"/>
    <w:rsid w:val="00513A79"/>
    <w:rsid w:val="00513AD8"/>
    <w:rsid w:val="00514736"/>
    <w:rsid w:val="00515F30"/>
    <w:rsid w:val="005161F5"/>
    <w:rsid w:val="005204D2"/>
    <w:rsid w:val="00522396"/>
    <w:rsid w:val="00522469"/>
    <w:rsid w:val="00523232"/>
    <w:rsid w:val="005248BF"/>
    <w:rsid w:val="00525A2A"/>
    <w:rsid w:val="00527689"/>
    <w:rsid w:val="005277F3"/>
    <w:rsid w:val="00530ABE"/>
    <w:rsid w:val="00532715"/>
    <w:rsid w:val="00532F1E"/>
    <w:rsid w:val="005331B6"/>
    <w:rsid w:val="00533B5D"/>
    <w:rsid w:val="005350B2"/>
    <w:rsid w:val="005357A4"/>
    <w:rsid w:val="005357B1"/>
    <w:rsid w:val="005379F6"/>
    <w:rsid w:val="00537B0B"/>
    <w:rsid w:val="005402B6"/>
    <w:rsid w:val="00540618"/>
    <w:rsid w:val="00542ECB"/>
    <w:rsid w:val="0055131F"/>
    <w:rsid w:val="005525F5"/>
    <w:rsid w:val="00554767"/>
    <w:rsid w:val="00554AFD"/>
    <w:rsid w:val="00561010"/>
    <w:rsid w:val="00562216"/>
    <w:rsid w:val="00562B6D"/>
    <w:rsid w:val="005636D9"/>
    <w:rsid w:val="005639DC"/>
    <w:rsid w:val="00563C3D"/>
    <w:rsid w:val="00564499"/>
    <w:rsid w:val="0056514E"/>
    <w:rsid w:val="00565E36"/>
    <w:rsid w:val="00571DFF"/>
    <w:rsid w:val="00572F16"/>
    <w:rsid w:val="005731BF"/>
    <w:rsid w:val="005735F6"/>
    <w:rsid w:val="00574C8E"/>
    <w:rsid w:val="005755B7"/>
    <w:rsid w:val="00575729"/>
    <w:rsid w:val="005761AB"/>
    <w:rsid w:val="00577426"/>
    <w:rsid w:val="00580081"/>
    <w:rsid w:val="0058041D"/>
    <w:rsid w:val="005819F4"/>
    <w:rsid w:val="00585C2C"/>
    <w:rsid w:val="005918CA"/>
    <w:rsid w:val="005924CC"/>
    <w:rsid w:val="00592EFE"/>
    <w:rsid w:val="00594619"/>
    <w:rsid w:val="00595AE6"/>
    <w:rsid w:val="005963DE"/>
    <w:rsid w:val="00597BD0"/>
    <w:rsid w:val="005A1FE4"/>
    <w:rsid w:val="005A20F6"/>
    <w:rsid w:val="005A2CE8"/>
    <w:rsid w:val="005A2F07"/>
    <w:rsid w:val="005A308D"/>
    <w:rsid w:val="005A4E59"/>
    <w:rsid w:val="005A7439"/>
    <w:rsid w:val="005A798E"/>
    <w:rsid w:val="005B0B67"/>
    <w:rsid w:val="005B0F3E"/>
    <w:rsid w:val="005B27ED"/>
    <w:rsid w:val="005B28D2"/>
    <w:rsid w:val="005B3044"/>
    <w:rsid w:val="005B36B9"/>
    <w:rsid w:val="005B55E8"/>
    <w:rsid w:val="005B63AC"/>
    <w:rsid w:val="005B70F9"/>
    <w:rsid w:val="005C0937"/>
    <w:rsid w:val="005C0E82"/>
    <w:rsid w:val="005C174A"/>
    <w:rsid w:val="005C58C0"/>
    <w:rsid w:val="005C6A86"/>
    <w:rsid w:val="005C7630"/>
    <w:rsid w:val="005C7998"/>
    <w:rsid w:val="005D1289"/>
    <w:rsid w:val="005D21E6"/>
    <w:rsid w:val="005D2A42"/>
    <w:rsid w:val="005D3655"/>
    <w:rsid w:val="005D4D3F"/>
    <w:rsid w:val="005D689F"/>
    <w:rsid w:val="005D7D5A"/>
    <w:rsid w:val="005E1817"/>
    <w:rsid w:val="005E20B7"/>
    <w:rsid w:val="005E4830"/>
    <w:rsid w:val="005E5CFC"/>
    <w:rsid w:val="005E685E"/>
    <w:rsid w:val="005E7B57"/>
    <w:rsid w:val="005F0EBA"/>
    <w:rsid w:val="005F2DFD"/>
    <w:rsid w:val="006008CE"/>
    <w:rsid w:val="00602B97"/>
    <w:rsid w:val="006035DB"/>
    <w:rsid w:val="00611370"/>
    <w:rsid w:val="006129FE"/>
    <w:rsid w:val="00613876"/>
    <w:rsid w:val="006145B9"/>
    <w:rsid w:val="0061582E"/>
    <w:rsid w:val="00615C1E"/>
    <w:rsid w:val="00617276"/>
    <w:rsid w:val="00622562"/>
    <w:rsid w:val="006229DA"/>
    <w:rsid w:val="00622B86"/>
    <w:rsid w:val="00622D99"/>
    <w:rsid w:val="00623BA1"/>
    <w:rsid w:val="00624D81"/>
    <w:rsid w:val="006265BA"/>
    <w:rsid w:val="0062786A"/>
    <w:rsid w:val="006279F4"/>
    <w:rsid w:val="0063202D"/>
    <w:rsid w:val="00633855"/>
    <w:rsid w:val="006346BC"/>
    <w:rsid w:val="0063504E"/>
    <w:rsid w:val="0063566D"/>
    <w:rsid w:val="00635976"/>
    <w:rsid w:val="006367D1"/>
    <w:rsid w:val="00637F18"/>
    <w:rsid w:val="00640354"/>
    <w:rsid w:val="00641518"/>
    <w:rsid w:val="00642096"/>
    <w:rsid w:val="0064246C"/>
    <w:rsid w:val="00642486"/>
    <w:rsid w:val="00642B87"/>
    <w:rsid w:val="00645840"/>
    <w:rsid w:val="00645951"/>
    <w:rsid w:val="006466E1"/>
    <w:rsid w:val="00651884"/>
    <w:rsid w:val="00654A0E"/>
    <w:rsid w:val="00655B88"/>
    <w:rsid w:val="006570AF"/>
    <w:rsid w:val="006601A9"/>
    <w:rsid w:val="0066201E"/>
    <w:rsid w:val="0066652A"/>
    <w:rsid w:val="006668D1"/>
    <w:rsid w:val="006674B4"/>
    <w:rsid w:val="006679E6"/>
    <w:rsid w:val="00670109"/>
    <w:rsid w:val="006701C0"/>
    <w:rsid w:val="006719C3"/>
    <w:rsid w:val="0067317B"/>
    <w:rsid w:val="00674F9E"/>
    <w:rsid w:val="00677A0B"/>
    <w:rsid w:val="00680522"/>
    <w:rsid w:val="00680EAE"/>
    <w:rsid w:val="006812B1"/>
    <w:rsid w:val="00682167"/>
    <w:rsid w:val="00683E31"/>
    <w:rsid w:val="00685781"/>
    <w:rsid w:val="00691BB9"/>
    <w:rsid w:val="006928FE"/>
    <w:rsid w:val="00694E44"/>
    <w:rsid w:val="00696C55"/>
    <w:rsid w:val="00696FA4"/>
    <w:rsid w:val="006972DE"/>
    <w:rsid w:val="006A0D63"/>
    <w:rsid w:val="006A47F2"/>
    <w:rsid w:val="006B055F"/>
    <w:rsid w:val="006B12B4"/>
    <w:rsid w:val="006B427E"/>
    <w:rsid w:val="006B6DD4"/>
    <w:rsid w:val="006C2CCD"/>
    <w:rsid w:val="006C39E4"/>
    <w:rsid w:val="006C42AF"/>
    <w:rsid w:val="006C6E64"/>
    <w:rsid w:val="006C6FA7"/>
    <w:rsid w:val="006C7C7F"/>
    <w:rsid w:val="006D20C6"/>
    <w:rsid w:val="006D3D12"/>
    <w:rsid w:val="006D50C3"/>
    <w:rsid w:val="006D55A8"/>
    <w:rsid w:val="006D7297"/>
    <w:rsid w:val="006D782D"/>
    <w:rsid w:val="006D7E27"/>
    <w:rsid w:val="006E0FAF"/>
    <w:rsid w:val="006E3097"/>
    <w:rsid w:val="006E3379"/>
    <w:rsid w:val="006E54D5"/>
    <w:rsid w:val="006E697D"/>
    <w:rsid w:val="006E6B0E"/>
    <w:rsid w:val="006E6B76"/>
    <w:rsid w:val="006E7E4B"/>
    <w:rsid w:val="006F098B"/>
    <w:rsid w:val="006F116F"/>
    <w:rsid w:val="006F523F"/>
    <w:rsid w:val="006F6B47"/>
    <w:rsid w:val="00700507"/>
    <w:rsid w:val="007020C6"/>
    <w:rsid w:val="0070586B"/>
    <w:rsid w:val="0070729D"/>
    <w:rsid w:val="00710C2D"/>
    <w:rsid w:val="00711D8E"/>
    <w:rsid w:val="00712502"/>
    <w:rsid w:val="00712672"/>
    <w:rsid w:val="00714B46"/>
    <w:rsid w:val="00716473"/>
    <w:rsid w:val="00716654"/>
    <w:rsid w:val="007173C9"/>
    <w:rsid w:val="00717C46"/>
    <w:rsid w:val="00720889"/>
    <w:rsid w:val="00721505"/>
    <w:rsid w:val="00723FF3"/>
    <w:rsid w:val="007240D1"/>
    <w:rsid w:val="00724169"/>
    <w:rsid w:val="0072474C"/>
    <w:rsid w:val="007277A1"/>
    <w:rsid w:val="007305DC"/>
    <w:rsid w:val="00731FB5"/>
    <w:rsid w:val="00732345"/>
    <w:rsid w:val="00734E3F"/>
    <w:rsid w:val="007361BA"/>
    <w:rsid w:val="00736985"/>
    <w:rsid w:val="00736D96"/>
    <w:rsid w:val="00737BC5"/>
    <w:rsid w:val="00740DBF"/>
    <w:rsid w:val="0074394D"/>
    <w:rsid w:val="00745DF5"/>
    <w:rsid w:val="0074741D"/>
    <w:rsid w:val="0075111C"/>
    <w:rsid w:val="007513CD"/>
    <w:rsid w:val="007518F3"/>
    <w:rsid w:val="007523F2"/>
    <w:rsid w:val="0075533F"/>
    <w:rsid w:val="00757D4E"/>
    <w:rsid w:val="0076250F"/>
    <w:rsid w:val="00763EBE"/>
    <w:rsid w:val="00763F2A"/>
    <w:rsid w:val="00766714"/>
    <w:rsid w:val="007706B8"/>
    <w:rsid w:val="0077116A"/>
    <w:rsid w:val="00772F00"/>
    <w:rsid w:val="00774B24"/>
    <w:rsid w:val="00774EE4"/>
    <w:rsid w:val="00777175"/>
    <w:rsid w:val="00777C36"/>
    <w:rsid w:val="00780BBB"/>
    <w:rsid w:val="00780FA5"/>
    <w:rsid w:val="007821C0"/>
    <w:rsid w:val="00782614"/>
    <w:rsid w:val="0078358D"/>
    <w:rsid w:val="00785F2F"/>
    <w:rsid w:val="00787E72"/>
    <w:rsid w:val="00787ED9"/>
    <w:rsid w:val="0079148A"/>
    <w:rsid w:val="00792258"/>
    <w:rsid w:val="007925CE"/>
    <w:rsid w:val="00794A7F"/>
    <w:rsid w:val="00795BAA"/>
    <w:rsid w:val="00796422"/>
    <w:rsid w:val="007A0106"/>
    <w:rsid w:val="007A1AAB"/>
    <w:rsid w:val="007A1B91"/>
    <w:rsid w:val="007A3796"/>
    <w:rsid w:val="007A3A1A"/>
    <w:rsid w:val="007A46B3"/>
    <w:rsid w:val="007A5BF2"/>
    <w:rsid w:val="007A637F"/>
    <w:rsid w:val="007A6C85"/>
    <w:rsid w:val="007B275B"/>
    <w:rsid w:val="007B2ADD"/>
    <w:rsid w:val="007B3074"/>
    <w:rsid w:val="007B39FA"/>
    <w:rsid w:val="007B5F15"/>
    <w:rsid w:val="007B6200"/>
    <w:rsid w:val="007C0238"/>
    <w:rsid w:val="007C4ABD"/>
    <w:rsid w:val="007C672E"/>
    <w:rsid w:val="007C69F0"/>
    <w:rsid w:val="007D0381"/>
    <w:rsid w:val="007D1817"/>
    <w:rsid w:val="007D18FA"/>
    <w:rsid w:val="007D2134"/>
    <w:rsid w:val="007D565B"/>
    <w:rsid w:val="007D6C25"/>
    <w:rsid w:val="007D7C90"/>
    <w:rsid w:val="007E0B98"/>
    <w:rsid w:val="007E0D64"/>
    <w:rsid w:val="007E19DB"/>
    <w:rsid w:val="007E20EF"/>
    <w:rsid w:val="007E4521"/>
    <w:rsid w:val="007E5048"/>
    <w:rsid w:val="007E639A"/>
    <w:rsid w:val="007F03F2"/>
    <w:rsid w:val="007F09E7"/>
    <w:rsid w:val="007F2C92"/>
    <w:rsid w:val="007F3395"/>
    <w:rsid w:val="007F40E9"/>
    <w:rsid w:val="007F4308"/>
    <w:rsid w:val="007F49B4"/>
    <w:rsid w:val="007F5E86"/>
    <w:rsid w:val="007F7440"/>
    <w:rsid w:val="00801603"/>
    <w:rsid w:val="00801B9F"/>
    <w:rsid w:val="0080204D"/>
    <w:rsid w:val="00802ACA"/>
    <w:rsid w:val="008040AE"/>
    <w:rsid w:val="00805B9C"/>
    <w:rsid w:val="008115CB"/>
    <w:rsid w:val="008116D7"/>
    <w:rsid w:val="00811BBD"/>
    <w:rsid w:val="0081202C"/>
    <w:rsid w:val="00812AA6"/>
    <w:rsid w:val="008130F8"/>
    <w:rsid w:val="0081472F"/>
    <w:rsid w:val="00815071"/>
    <w:rsid w:val="0082403E"/>
    <w:rsid w:val="008241BE"/>
    <w:rsid w:val="00824628"/>
    <w:rsid w:val="0082480B"/>
    <w:rsid w:val="00826075"/>
    <w:rsid w:val="0082663B"/>
    <w:rsid w:val="0083052F"/>
    <w:rsid w:val="008337D9"/>
    <w:rsid w:val="00836CAF"/>
    <w:rsid w:val="0083795D"/>
    <w:rsid w:val="008400EF"/>
    <w:rsid w:val="008410D9"/>
    <w:rsid w:val="0084118C"/>
    <w:rsid w:val="00841235"/>
    <w:rsid w:val="008423EC"/>
    <w:rsid w:val="00842DC6"/>
    <w:rsid w:val="008434CE"/>
    <w:rsid w:val="0084625C"/>
    <w:rsid w:val="00846F70"/>
    <w:rsid w:val="008472E2"/>
    <w:rsid w:val="008475F0"/>
    <w:rsid w:val="00850811"/>
    <w:rsid w:val="00853098"/>
    <w:rsid w:val="0085377E"/>
    <w:rsid w:val="00854356"/>
    <w:rsid w:val="008557A7"/>
    <w:rsid w:val="00855D2F"/>
    <w:rsid w:val="00855F24"/>
    <w:rsid w:val="00855F5C"/>
    <w:rsid w:val="00856784"/>
    <w:rsid w:val="0085767A"/>
    <w:rsid w:val="00857A9D"/>
    <w:rsid w:val="00860F73"/>
    <w:rsid w:val="00861186"/>
    <w:rsid w:val="008619C7"/>
    <w:rsid w:val="00861D2D"/>
    <w:rsid w:val="008638EE"/>
    <w:rsid w:val="00864D2C"/>
    <w:rsid w:val="00865BC0"/>
    <w:rsid w:val="00866C5A"/>
    <w:rsid w:val="0086792D"/>
    <w:rsid w:val="00870173"/>
    <w:rsid w:val="00870928"/>
    <w:rsid w:val="008709EF"/>
    <w:rsid w:val="00870B9C"/>
    <w:rsid w:val="00872B6A"/>
    <w:rsid w:val="0087378F"/>
    <w:rsid w:val="00876ED2"/>
    <w:rsid w:val="00877569"/>
    <w:rsid w:val="0088241A"/>
    <w:rsid w:val="008826E2"/>
    <w:rsid w:val="00883939"/>
    <w:rsid w:val="00883D04"/>
    <w:rsid w:val="00885A62"/>
    <w:rsid w:val="0089115F"/>
    <w:rsid w:val="00891AF4"/>
    <w:rsid w:val="00892358"/>
    <w:rsid w:val="00892CBE"/>
    <w:rsid w:val="00893D32"/>
    <w:rsid w:val="0089405C"/>
    <w:rsid w:val="00896F1E"/>
    <w:rsid w:val="00897605"/>
    <w:rsid w:val="00897FA2"/>
    <w:rsid w:val="008A1766"/>
    <w:rsid w:val="008A226B"/>
    <w:rsid w:val="008A2302"/>
    <w:rsid w:val="008A2ECD"/>
    <w:rsid w:val="008A3724"/>
    <w:rsid w:val="008A403A"/>
    <w:rsid w:val="008A5AE6"/>
    <w:rsid w:val="008A5AFE"/>
    <w:rsid w:val="008A6C73"/>
    <w:rsid w:val="008A6D77"/>
    <w:rsid w:val="008B03D8"/>
    <w:rsid w:val="008B062C"/>
    <w:rsid w:val="008B0A07"/>
    <w:rsid w:val="008B3508"/>
    <w:rsid w:val="008B413E"/>
    <w:rsid w:val="008B5705"/>
    <w:rsid w:val="008B69F4"/>
    <w:rsid w:val="008C08A4"/>
    <w:rsid w:val="008C1C99"/>
    <w:rsid w:val="008C407F"/>
    <w:rsid w:val="008C48D6"/>
    <w:rsid w:val="008C4A2A"/>
    <w:rsid w:val="008C5A0E"/>
    <w:rsid w:val="008C5DE0"/>
    <w:rsid w:val="008C6301"/>
    <w:rsid w:val="008D1FF6"/>
    <w:rsid w:val="008D24A7"/>
    <w:rsid w:val="008D3F8D"/>
    <w:rsid w:val="008D4941"/>
    <w:rsid w:val="008D55BC"/>
    <w:rsid w:val="008D563A"/>
    <w:rsid w:val="008D6A1A"/>
    <w:rsid w:val="008D7553"/>
    <w:rsid w:val="008E008C"/>
    <w:rsid w:val="008E4707"/>
    <w:rsid w:val="008E4E36"/>
    <w:rsid w:val="008F0ABC"/>
    <w:rsid w:val="008F0F88"/>
    <w:rsid w:val="008F25FD"/>
    <w:rsid w:val="008F3F06"/>
    <w:rsid w:val="008F59AA"/>
    <w:rsid w:val="008F65B4"/>
    <w:rsid w:val="008F6B9C"/>
    <w:rsid w:val="008F7D7C"/>
    <w:rsid w:val="00900AD1"/>
    <w:rsid w:val="009016E4"/>
    <w:rsid w:val="00904AE0"/>
    <w:rsid w:val="00910181"/>
    <w:rsid w:val="0091142C"/>
    <w:rsid w:val="00912D4E"/>
    <w:rsid w:val="0091495D"/>
    <w:rsid w:val="009157F7"/>
    <w:rsid w:val="009169A6"/>
    <w:rsid w:val="0092021F"/>
    <w:rsid w:val="00920B87"/>
    <w:rsid w:val="00920BDD"/>
    <w:rsid w:val="00922409"/>
    <w:rsid w:val="00922548"/>
    <w:rsid w:val="009230C8"/>
    <w:rsid w:val="00924F0B"/>
    <w:rsid w:val="009254A4"/>
    <w:rsid w:val="00925EBB"/>
    <w:rsid w:val="00932E17"/>
    <w:rsid w:val="0093410F"/>
    <w:rsid w:val="009344D4"/>
    <w:rsid w:val="00935AE2"/>
    <w:rsid w:val="00937651"/>
    <w:rsid w:val="0093790D"/>
    <w:rsid w:val="0094037B"/>
    <w:rsid w:val="00943730"/>
    <w:rsid w:val="00944961"/>
    <w:rsid w:val="00946622"/>
    <w:rsid w:val="009535E4"/>
    <w:rsid w:val="00955C0F"/>
    <w:rsid w:val="009575F8"/>
    <w:rsid w:val="00961E72"/>
    <w:rsid w:val="009620A7"/>
    <w:rsid w:val="0096338E"/>
    <w:rsid w:val="00964A63"/>
    <w:rsid w:val="00966001"/>
    <w:rsid w:val="00967072"/>
    <w:rsid w:val="0097036B"/>
    <w:rsid w:val="00972B86"/>
    <w:rsid w:val="00974173"/>
    <w:rsid w:val="00974932"/>
    <w:rsid w:val="009749F4"/>
    <w:rsid w:val="00975801"/>
    <w:rsid w:val="00975CA5"/>
    <w:rsid w:val="00976056"/>
    <w:rsid w:val="009766FA"/>
    <w:rsid w:val="00976C25"/>
    <w:rsid w:val="00976DF9"/>
    <w:rsid w:val="009778DF"/>
    <w:rsid w:val="00980A60"/>
    <w:rsid w:val="00981F7F"/>
    <w:rsid w:val="00982A6A"/>
    <w:rsid w:val="00983AED"/>
    <w:rsid w:val="00986018"/>
    <w:rsid w:val="00986590"/>
    <w:rsid w:val="00987D06"/>
    <w:rsid w:val="0099076E"/>
    <w:rsid w:val="00990EEE"/>
    <w:rsid w:val="00991A77"/>
    <w:rsid w:val="00992C76"/>
    <w:rsid w:val="00994AED"/>
    <w:rsid w:val="00994D1E"/>
    <w:rsid w:val="00995466"/>
    <w:rsid w:val="009969D6"/>
    <w:rsid w:val="009A07A6"/>
    <w:rsid w:val="009A178F"/>
    <w:rsid w:val="009A2BC6"/>
    <w:rsid w:val="009A34D3"/>
    <w:rsid w:val="009A387D"/>
    <w:rsid w:val="009A3C0A"/>
    <w:rsid w:val="009A3DD2"/>
    <w:rsid w:val="009A4461"/>
    <w:rsid w:val="009A4CAC"/>
    <w:rsid w:val="009A75BD"/>
    <w:rsid w:val="009A7F2C"/>
    <w:rsid w:val="009B3421"/>
    <w:rsid w:val="009B4644"/>
    <w:rsid w:val="009B49EB"/>
    <w:rsid w:val="009B4D3B"/>
    <w:rsid w:val="009B4DA6"/>
    <w:rsid w:val="009B5454"/>
    <w:rsid w:val="009B6C66"/>
    <w:rsid w:val="009B7942"/>
    <w:rsid w:val="009C1A4E"/>
    <w:rsid w:val="009C2DE6"/>
    <w:rsid w:val="009C35AB"/>
    <w:rsid w:val="009C5EC7"/>
    <w:rsid w:val="009C6B27"/>
    <w:rsid w:val="009C750B"/>
    <w:rsid w:val="009D01DF"/>
    <w:rsid w:val="009D0E21"/>
    <w:rsid w:val="009D3124"/>
    <w:rsid w:val="009D3FF1"/>
    <w:rsid w:val="009D41AF"/>
    <w:rsid w:val="009D46A3"/>
    <w:rsid w:val="009D5CCA"/>
    <w:rsid w:val="009D65FA"/>
    <w:rsid w:val="009D7012"/>
    <w:rsid w:val="009D7407"/>
    <w:rsid w:val="009D7478"/>
    <w:rsid w:val="009E0866"/>
    <w:rsid w:val="009E1DD8"/>
    <w:rsid w:val="009E273C"/>
    <w:rsid w:val="009E27F7"/>
    <w:rsid w:val="009E2BFA"/>
    <w:rsid w:val="009E4B4F"/>
    <w:rsid w:val="009F082E"/>
    <w:rsid w:val="009F0964"/>
    <w:rsid w:val="009F0AE9"/>
    <w:rsid w:val="009F1350"/>
    <w:rsid w:val="009F30CB"/>
    <w:rsid w:val="009F3789"/>
    <w:rsid w:val="009F44E7"/>
    <w:rsid w:val="009F58F5"/>
    <w:rsid w:val="009F592D"/>
    <w:rsid w:val="009F6423"/>
    <w:rsid w:val="009F64FF"/>
    <w:rsid w:val="009F68EF"/>
    <w:rsid w:val="009F70BD"/>
    <w:rsid w:val="00A031C3"/>
    <w:rsid w:val="00A04A80"/>
    <w:rsid w:val="00A053BB"/>
    <w:rsid w:val="00A05509"/>
    <w:rsid w:val="00A05A14"/>
    <w:rsid w:val="00A072F9"/>
    <w:rsid w:val="00A076B2"/>
    <w:rsid w:val="00A10145"/>
    <w:rsid w:val="00A10998"/>
    <w:rsid w:val="00A127B5"/>
    <w:rsid w:val="00A12806"/>
    <w:rsid w:val="00A13A21"/>
    <w:rsid w:val="00A13A68"/>
    <w:rsid w:val="00A13E3E"/>
    <w:rsid w:val="00A13F48"/>
    <w:rsid w:val="00A16EC2"/>
    <w:rsid w:val="00A17054"/>
    <w:rsid w:val="00A17296"/>
    <w:rsid w:val="00A175B3"/>
    <w:rsid w:val="00A24519"/>
    <w:rsid w:val="00A24584"/>
    <w:rsid w:val="00A24A62"/>
    <w:rsid w:val="00A25287"/>
    <w:rsid w:val="00A30F76"/>
    <w:rsid w:val="00A31C9F"/>
    <w:rsid w:val="00A32858"/>
    <w:rsid w:val="00A32E09"/>
    <w:rsid w:val="00A3432B"/>
    <w:rsid w:val="00A3719C"/>
    <w:rsid w:val="00A40237"/>
    <w:rsid w:val="00A4144F"/>
    <w:rsid w:val="00A440F7"/>
    <w:rsid w:val="00A44370"/>
    <w:rsid w:val="00A52EBB"/>
    <w:rsid w:val="00A56DCF"/>
    <w:rsid w:val="00A6123B"/>
    <w:rsid w:val="00A61B4D"/>
    <w:rsid w:val="00A62B2C"/>
    <w:rsid w:val="00A6479F"/>
    <w:rsid w:val="00A6597E"/>
    <w:rsid w:val="00A72C5D"/>
    <w:rsid w:val="00A73B15"/>
    <w:rsid w:val="00A74D7A"/>
    <w:rsid w:val="00A77E58"/>
    <w:rsid w:val="00A80F95"/>
    <w:rsid w:val="00A83067"/>
    <w:rsid w:val="00A84F38"/>
    <w:rsid w:val="00A87681"/>
    <w:rsid w:val="00A87E6E"/>
    <w:rsid w:val="00A91795"/>
    <w:rsid w:val="00A91AF2"/>
    <w:rsid w:val="00A92587"/>
    <w:rsid w:val="00A93B6E"/>
    <w:rsid w:val="00A96C90"/>
    <w:rsid w:val="00A97BF1"/>
    <w:rsid w:val="00AA0170"/>
    <w:rsid w:val="00AA0EBC"/>
    <w:rsid w:val="00AA16CD"/>
    <w:rsid w:val="00AA298A"/>
    <w:rsid w:val="00AA315B"/>
    <w:rsid w:val="00AA3925"/>
    <w:rsid w:val="00AA538B"/>
    <w:rsid w:val="00AA681B"/>
    <w:rsid w:val="00AB153D"/>
    <w:rsid w:val="00AB565D"/>
    <w:rsid w:val="00AB631A"/>
    <w:rsid w:val="00AB7100"/>
    <w:rsid w:val="00AB766B"/>
    <w:rsid w:val="00AC00C1"/>
    <w:rsid w:val="00AC164A"/>
    <w:rsid w:val="00AC16BD"/>
    <w:rsid w:val="00AC2161"/>
    <w:rsid w:val="00AC256B"/>
    <w:rsid w:val="00AC363D"/>
    <w:rsid w:val="00AC3DB4"/>
    <w:rsid w:val="00AC4A5F"/>
    <w:rsid w:val="00AC7247"/>
    <w:rsid w:val="00AD10EB"/>
    <w:rsid w:val="00AD1561"/>
    <w:rsid w:val="00AD17DC"/>
    <w:rsid w:val="00AD2990"/>
    <w:rsid w:val="00AD2EBB"/>
    <w:rsid w:val="00AD3BDF"/>
    <w:rsid w:val="00AD48D7"/>
    <w:rsid w:val="00AD4D81"/>
    <w:rsid w:val="00AD5A2C"/>
    <w:rsid w:val="00AD5D2D"/>
    <w:rsid w:val="00AD7C29"/>
    <w:rsid w:val="00AE32C7"/>
    <w:rsid w:val="00AE3C59"/>
    <w:rsid w:val="00AE448A"/>
    <w:rsid w:val="00AE67E4"/>
    <w:rsid w:val="00AF2050"/>
    <w:rsid w:val="00AF3768"/>
    <w:rsid w:val="00B018E7"/>
    <w:rsid w:val="00B03CA8"/>
    <w:rsid w:val="00B04ED1"/>
    <w:rsid w:val="00B13DB4"/>
    <w:rsid w:val="00B13EC7"/>
    <w:rsid w:val="00B16730"/>
    <w:rsid w:val="00B200E5"/>
    <w:rsid w:val="00B20856"/>
    <w:rsid w:val="00B21A52"/>
    <w:rsid w:val="00B22928"/>
    <w:rsid w:val="00B24B65"/>
    <w:rsid w:val="00B25EDE"/>
    <w:rsid w:val="00B26625"/>
    <w:rsid w:val="00B27B1D"/>
    <w:rsid w:val="00B300DE"/>
    <w:rsid w:val="00B30EFA"/>
    <w:rsid w:val="00B317F2"/>
    <w:rsid w:val="00B33C0A"/>
    <w:rsid w:val="00B33DCB"/>
    <w:rsid w:val="00B35FB7"/>
    <w:rsid w:val="00B36D7B"/>
    <w:rsid w:val="00B37F8E"/>
    <w:rsid w:val="00B41332"/>
    <w:rsid w:val="00B455F4"/>
    <w:rsid w:val="00B524CE"/>
    <w:rsid w:val="00B53188"/>
    <w:rsid w:val="00B53ADD"/>
    <w:rsid w:val="00B541D1"/>
    <w:rsid w:val="00B54CF3"/>
    <w:rsid w:val="00B5575D"/>
    <w:rsid w:val="00B55E19"/>
    <w:rsid w:val="00B56942"/>
    <w:rsid w:val="00B56BFC"/>
    <w:rsid w:val="00B57755"/>
    <w:rsid w:val="00B57C1A"/>
    <w:rsid w:val="00B57EE5"/>
    <w:rsid w:val="00B612AB"/>
    <w:rsid w:val="00B61838"/>
    <w:rsid w:val="00B622F2"/>
    <w:rsid w:val="00B64708"/>
    <w:rsid w:val="00B64D4D"/>
    <w:rsid w:val="00B665BA"/>
    <w:rsid w:val="00B67164"/>
    <w:rsid w:val="00B762CB"/>
    <w:rsid w:val="00B7708D"/>
    <w:rsid w:val="00B77266"/>
    <w:rsid w:val="00B80E51"/>
    <w:rsid w:val="00B81264"/>
    <w:rsid w:val="00B8178E"/>
    <w:rsid w:val="00B82A5E"/>
    <w:rsid w:val="00B83018"/>
    <w:rsid w:val="00B83514"/>
    <w:rsid w:val="00B8499B"/>
    <w:rsid w:val="00B86490"/>
    <w:rsid w:val="00B86D4D"/>
    <w:rsid w:val="00B87243"/>
    <w:rsid w:val="00B90AF7"/>
    <w:rsid w:val="00B90E5D"/>
    <w:rsid w:val="00B92CF4"/>
    <w:rsid w:val="00B94758"/>
    <w:rsid w:val="00B956BA"/>
    <w:rsid w:val="00B95C5C"/>
    <w:rsid w:val="00BA06A2"/>
    <w:rsid w:val="00BA0EEA"/>
    <w:rsid w:val="00BA4453"/>
    <w:rsid w:val="00BA4B6D"/>
    <w:rsid w:val="00BB06FC"/>
    <w:rsid w:val="00BB26C5"/>
    <w:rsid w:val="00BB2859"/>
    <w:rsid w:val="00BB5DD2"/>
    <w:rsid w:val="00BC0AB9"/>
    <w:rsid w:val="00BC31BD"/>
    <w:rsid w:val="00BC35BB"/>
    <w:rsid w:val="00BC4CA3"/>
    <w:rsid w:val="00BC6190"/>
    <w:rsid w:val="00BC714A"/>
    <w:rsid w:val="00BD0820"/>
    <w:rsid w:val="00BD1826"/>
    <w:rsid w:val="00BD3124"/>
    <w:rsid w:val="00BD36CD"/>
    <w:rsid w:val="00BD39CF"/>
    <w:rsid w:val="00BD3AAE"/>
    <w:rsid w:val="00BD749B"/>
    <w:rsid w:val="00BE2A06"/>
    <w:rsid w:val="00BE2CF0"/>
    <w:rsid w:val="00BE2E69"/>
    <w:rsid w:val="00BE3A49"/>
    <w:rsid w:val="00BE7F3C"/>
    <w:rsid w:val="00BF1C5D"/>
    <w:rsid w:val="00BF3560"/>
    <w:rsid w:val="00BF3894"/>
    <w:rsid w:val="00BF4DE6"/>
    <w:rsid w:val="00BF51B4"/>
    <w:rsid w:val="00BF7278"/>
    <w:rsid w:val="00BF727E"/>
    <w:rsid w:val="00BF7B32"/>
    <w:rsid w:val="00C01DB1"/>
    <w:rsid w:val="00C051CE"/>
    <w:rsid w:val="00C06B13"/>
    <w:rsid w:val="00C10E90"/>
    <w:rsid w:val="00C11B8E"/>
    <w:rsid w:val="00C11D26"/>
    <w:rsid w:val="00C13374"/>
    <w:rsid w:val="00C231FF"/>
    <w:rsid w:val="00C26939"/>
    <w:rsid w:val="00C27542"/>
    <w:rsid w:val="00C27D25"/>
    <w:rsid w:val="00C30664"/>
    <w:rsid w:val="00C31532"/>
    <w:rsid w:val="00C33433"/>
    <w:rsid w:val="00C35774"/>
    <w:rsid w:val="00C36B66"/>
    <w:rsid w:val="00C3748B"/>
    <w:rsid w:val="00C37745"/>
    <w:rsid w:val="00C4125A"/>
    <w:rsid w:val="00C418F9"/>
    <w:rsid w:val="00C42541"/>
    <w:rsid w:val="00C42CDE"/>
    <w:rsid w:val="00C43539"/>
    <w:rsid w:val="00C43FCF"/>
    <w:rsid w:val="00C45AB7"/>
    <w:rsid w:val="00C509A8"/>
    <w:rsid w:val="00C5182A"/>
    <w:rsid w:val="00C5596E"/>
    <w:rsid w:val="00C57B3C"/>
    <w:rsid w:val="00C63EE9"/>
    <w:rsid w:val="00C64690"/>
    <w:rsid w:val="00C64C54"/>
    <w:rsid w:val="00C65AB5"/>
    <w:rsid w:val="00C677AD"/>
    <w:rsid w:val="00C703E5"/>
    <w:rsid w:val="00C70AEC"/>
    <w:rsid w:val="00C70E11"/>
    <w:rsid w:val="00C75696"/>
    <w:rsid w:val="00C765D6"/>
    <w:rsid w:val="00C805FD"/>
    <w:rsid w:val="00C82C37"/>
    <w:rsid w:val="00C82C93"/>
    <w:rsid w:val="00C833B7"/>
    <w:rsid w:val="00C83755"/>
    <w:rsid w:val="00C83A3B"/>
    <w:rsid w:val="00C83C7E"/>
    <w:rsid w:val="00C858C5"/>
    <w:rsid w:val="00C8622A"/>
    <w:rsid w:val="00C87047"/>
    <w:rsid w:val="00C878DB"/>
    <w:rsid w:val="00C87B9C"/>
    <w:rsid w:val="00C908E5"/>
    <w:rsid w:val="00C91464"/>
    <w:rsid w:val="00C93D96"/>
    <w:rsid w:val="00C94CBB"/>
    <w:rsid w:val="00C96950"/>
    <w:rsid w:val="00C96D05"/>
    <w:rsid w:val="00C970C8"/>
    <w:rsid w:val="00CA02E9"/>
    <w:rsid w:val="00CA16F3"/>
    <w:rsid w:val="00CA21CC"/>
    <w:rsid w:val="00CA32F6"/>
    <w:rsid w:val="00CA37B1"/>
    <w:rsid w:val="00CA434E"/>
    <w:rsid w:val="00CA4867"/>
    <w:rsid w:val="00CA4F0C"/>
    <w:rsid w:val="00CA7F92"/>
    <w:rsid w:val="00CB1959"/>
    <w:rsid w:val="00CB1C18"/>
    <w:rsid w:val="00CB20EF"/>
    <w:rsid w:val="00CB4384"/>
    <w:rsid w:val="00CC07B9"/>
    <w:rsid w:val="00CC2BDC"/>
    <w:rsid w:val="00CC46DB"/>
    <w:rsid w:val="00CC5EF5"/>
    <w:rsid w:val="00CC683A"/>
    <w:rsid w:val="00CC741B"/>
    <w:rsid w:val="00CC77A0"/>
    <w:rsid w:val="00CD0E4B"/>
    <w:rsid w:val="00CD1615"/>
    <w:rsid w:val="00CD185D"/>
    <w:rsid w:val="00CD3187"/>
    <w:rsid w:val="00CD7620"/>
    <w:rsid w:val="00CD7721"/>
    <w:rsid w:val="00CE09E2"/>
    <w:rsid w:val="00CE1059"/>
    <w:rsid w:val="00CE3294"/>
    <w:rsid w:val="00CE3638"/>
    <w:rsid w:val="00CE3CD9"/>
    <w:rsid w:val="00CE4C89"/>
    <w:rsid w:val="00CE5AAF"/>
    <w:rsid w:val="00CE6227"/>
    <w:rsid w:val="00CE6441"/>
    <w:rsid w:val="00CF07BA"/>
    <w:rsid w:val="00CF14E4"/>
    <w:rsid w:val="00CF2D21"/>
    <w:rsid w:val="00CF2FDA"/>
    <w:rsid w:val="00D00ADC"/>
    <w:rsid w:val="00D0296C"/>
    <w:rsid w:val="00D04ACB"/>
    <w:rsid w:val="00D07C6A"/>
    <w:rsid w:val="00D1020C"/>
    <w:rsid w:val="00D1075A"/>
    <w:rsid w:val="00D10CEB"/>
    <w:rsid w:val="00D11A59"/>
    <w:rsid w:val="00D11EAC"/>
    <w:rsid w:val="00D12C27"/>
    <w:rsid w:val="00D13DCF"/>
    <w:rsid w:val="00D147E2"/>
    <w:rsid w:val="00D15E1E"/>
    <w:rsid w:val="00D167AA"/>
    <w:rsid w:val="00D21B6D"/>
    <w:rsid w:val="00D23F19"/>
    <w:rsid w:val="00D26D04"/>
    <w:rsid w:val="00D30F27"/>
    <w:rsid w:val="00D32D6F"/>
    <w:rsid w:val="00D32EDD"/>
    <w:rsid w:val="00D34B6F"/>
    <w:rsid w:val="00D35001"/>
    <w:rsid w:val="00D35C40"/>
    <w:rsid w:val="00D35F00"/>
    <w:rsid w:val="00D35F9A"/>
    <w:rsid w:val="00D37B04"/>
    <w:rsid w:val="00D4011D"/>
    <w:rsid w:val="00D409A6"/>
    <w:rsid w:val="00D40A6A"/>
    <w:rsid w:val="00D43153"/>
    <w:rsid w:val="00D47171"/>
    <w:rsid w:val="00D51495"/>
    <w:rsid w:val="00D51EFB"/>
    <w:rsid w:val="00D53C2D"/>
    <w:rsid w:val="00D53E6B"/>
    <w:rsid w:val="00D540C6"/>
    <w:rsid w:val="00D56EF0"/>
    <w:rsid w:val="00D5747C"/>
    <w:rsid w:val="00D5781E"/>
    <w:rsid w:val="00D6076B"/>
    <w:rsid w:val="00D615B9"/>
    <w:rsid w:val="00D62015"/>
    <w:rsid w:val="00D64BD1"/>
    <w:rsid w:val="00D65179"/>
    <w:rsid w:val="00D657C9"/>
    <w:rsid w:val="00D71A71"/>
    <w:rsid w:val="00D7368F"/>
    <w:rsid w:val="00D74246"/>
    <w:rsid w:val="00D74354"/>
    <w:rsid w:val="00D74DD2"/>
    <w:rsid w:val="00D76CB9"/>
    <w:rsid w:val="00D804E2"/>
    <w:rsid w:val="00D80AC9"/>
    <w:rsid w:val="00D814D3"/>
    <w:rsid w:val="00D81CF1"/>
    <w:rsid w:val="00D81F57"/>
    <w:rsid w:val="00D821C2"/>
    <w:rsid w:val="00D85206"/>
    <w:rsid w:val="00D8528D"/>
    <w:rsid w:val="00D90128"/>
    <w:rsid w:val="00D90707"/>
    <w:rsid w:val="00D916C7"/>
    <w:rsid w:val="00D91D7C"/>
    <w:rsid w:val="00D92254"/>
    <w:rsid w:val="00D92C2A"/>
    <w:rsid w:val="00D9418D"/>
    <w:rsid w:val="00D94EF4"/>
    <w:rsid w:val="00D97F34"/>
    <w:rsid w:val="00DA1653"/>
    <w:rsid w:val="00DA1CDA"/>
    <w:rsid w:val="00DA2812"/>
    <w:rsid w:val="00DA438C"/>
    <w:rsid w:val="00DA5E2C"/>
    <w:rsid w:val="00DA724B"/>
    <w:rsid w:val="00DA7465"/>
    <w:rsid w:val="00DB18B5"/>
    <w:rsid w:val="00DB2067"/>
    <w:rsid w:val="00DB3614"/>
    <w:rsid w:val="00DB6A0D"/>
    <w:rsid w:val="00DC166E"/>
    <w:rsid w:val="00DC1866"/>
    <w:rsid w:val="00DC18FE"/>
    <w:rsid w:val="00DC242E"/>
    <w:rsid w:val="00DC2E47"/>
    <w:rsid w:val="00DC57E5"/>
    <w:rsid w:val="00DC5AB3"/>
    <w:rsid w:val="00DC722B"/>
    <w:rsid w:val="00DD1502"/>
    <w:rsid w:val="00DD2D82"/>
    <w:rsid w:val="00DD2F7A"/>
    <w:rsid w:val="00DD3780"/>
    <w:rsid w:val="00DD49B1"/>
    <w:rsid w:val="00DD6CB4"/>
    <w:rsid w:val="00DE0040"/>
    <w:rsid w:val="00DE084C"/>
    <w:rsid w:val="00DE3499"/>
    <w:rsid w:val="00DE683E"/>
    <w:rsid w:val="00DF09CD"/>
    <w:rsid w:val="00DF28D1"/>
    <w:rsid w:val="00DF2DBA"/>
    <w:rsid w:val="00DF553B"/>
    <w:rsid w:val="00DF6F51"/>
    <w:rsid w:val="00E00130"/>
    <w:rsid w:val="00E0224E"/>
    <w:rsid w:val="00E04F94"/>
    <w:rsid w:val="00E0518A"/>
    <w:rsid w:val="00E069D5"/>
    <w:rsid w:val="00E06AF0"/>
    <w:rsid w:val="00E06B12"/>
    <w:rsid w:val="00E07442"/>
    <w:rsid w:val="00E10A07"/>
    <w:rsid w:val="00E12249"/>
    <w:rsid w:val="00E14D2D"/>
    <w:rsid w:val="00E14F51"/>
    <w:rsid w:val="00E17E81"/>
    <w:rsid w:val="00E20799"/>
    <w:rsid w:val="00E25A18"/>
    <w:rsid w:val="00E26EDE"/>
    <w:rsid w:val="00E2710C"/>
    <w:rsid w:val="00E30CCB"/>
    <w:rsid w:val="00E30F23"/>
    <w:rsid w:val="00E34ABB"/>
    <w:rsid w:val="00E34BCC"/>
    <w:rsid w:val="00E357B7"/>
    <w:rsid w:val="00E42918"/>
    <w:rsid w:val="00E43282"/>
    <w:rsid w:val="00E43435"/>
    <w:rsid w:val="00E4539E"/>
    <w:rsid w:val="00E45B4F"/>
    <w:rsid w:val="00E4610E"/>
    <w:rsid w:val="00E46EEC"/>
    <w:rsid w:val="00E51B5D"/>
    <w:rsid w:val="00E52640"/>
    <w:rsid w:val="00E53800"/>
    <w:rsid w:val="00E53903"/>
    <w:rsid w:val="00E5410D"/>
    <w:rsid w:val="00E5491B"/>
    <w:rsid w:val="00E555F7"/>
    <w:rsid w:val="00E5695E"/>
    <w:rsid w:val="00E57457"/>
    <w:rsid w:val="00E6081F"/>
    <w:rsid w:val="00E66186"/>
    <w:rsid w:val="00E66A2A"/>
    <w:rsid w:val="00E736A5"/>
    <w:rsid w:val="00E75C07"/>
    <w:rsid w:val="00E75F2B"/>
    <w:rsid w:val="00E81994"/>
    <w:rsid w:val="00E81C75"/>
    <w:rsid w:val="00E827EF"/>
    <w:rsid w:val="00E8296D"/>
    <w:rsid w:val="00E82F5A"/>
    <w:rsid w:val="00E8457B"/>
    <w:rsid w:val="00E869FD"/>
    <w:rsid w:val="00E901E3"/>
    <w:rsid w:val="00E928A6"/>
    <w:rsid w:val="00E9380A"/>
    <w:rsid w:val="00E9556F"/>
    <w:rsid w:val="00EA04B2"/>
    <w:rsid w:val="00EA09DD"/>
    <w:rsid w:val="00EA0F25"/>
    <w:rsid w:val="00EA1BA0"/>
    <w:rsid w:val="00EA20F3"/>
    <w:rsid w:val="00EA26CF"/>
    <w:rsid w:val="00EA3964"/>
    <w:rsid w:val="00EA4776"/>
    <w:rsid w:val="00EA4878"/>
    <w:rsid w:val="00EA6671"/>
    <w:rsid w:val="00EA75EB"/>
    <w:rsid w:val="00EB0026"/>
    <w:rsid w:val="00EB07ED"/>
    <w:rsid w:val="00EB13EB"/>
    <w:rsid w:val="00EB45BE"/>
    <w:rsid w:val="00EB533B"/>
    <w:rsid w:val="00EB5D08"/>
    <w:rsid w:val="00EB6542"/>
    <w:rsid w:val="00EB6C4F"/>
    <w:rsid w:val="00EC0548"/>
    <w:rsid w:val="00EC11CE"/>
    <w:rsid w:val="00EC216F"/>
    <w:rsid w:val="00EC4B13"/>
    <w:rsid w:val="00EC5141"/>
    <w:rsid w:val="00EC79AE"/>
    <w:rsid w:val="00EC7C81"/>
    <w:rsid w:val="00ED276F"/>
    <w:rsid w:val="00ED2831"/>
    <w:rsid w:val="00ED33A7"/>
    <w:rsid w:val="00ED43D1"/>
    <w:rsid w:val="00ED44FB"/>
    <w:rsid w:val="00ED66B4"/>
    <w:rsid w:val="00EE25F4"/>
    <w:rsid w:val="00EE2882"/>
    <w:rsid w:val="00EE2E81"/>
    <w:rsid w:val="00EE36C6"/>
    <w:rsid w:val="00EE48F2"/>
    <w:rsid w:val="00EE4EE1"/>
    <w:rsid w:val="00EE5BD2"/>
    <w:rsid w:val="00EE686A"/>
    <w:rsid w:val="00EE6C2F"/>
    <w:rsid w:val="00EE7B77"/>
    <w:rsid w:val="00EF21F4"/>
    <w:rsid w:val="00EF3297"/>
    <w:rsid w:val="00EF4574"/>
    <w:rsid w:val="00EF58A3"/>
    <w:rsid w:val="00EF5B66"/>
    <w:rsid w:val="00EF5FB3"/>
    <w:rsid w:val="00F015D2"/>
    <w:rsid w:val="00F018F2"/>
    <w:rsid w:val="00F039F3"/>
    <w:rsid w:val="00F104E1"/>
    <w:rsid w:val="00F12F2D"/>
    <w:rsid w:val="00F1389A"/>
    <w:rsid w:val="00F13C80"/>
    <w:rsid w:val="00F16E56"/>
    <w:rsid w:val="00F170EA"/>
    <w:rsid w:val="00F20608"/>
    <w:rsid w:val="00F22CD9"/>
    <w:rsid w:val="00F22F46"/>
    <w:rsid w:val="00F25A93"/>
    <w:rsid w:val="00F2684E"/>
    <w:rsid w:val="00F26BBB"/>
    <w:rsid w:val="00F26FD8"/>
    <w:rsid w:val="00F276E9"/>
    <w:rsid w:val="00F31563"/>
    <w:rsid w:val="00F31FA6"/>
    <w:rsid w:val="00F33E66"/>
    <w:rsid w:val="00F3448D"/>
    <w:rsid w:val="00F44CD9"/>
    <w:rsid w:val="00F46375"/>
    <w:rsid w:val="00F473F6"/>
    <w:rsid w:val="00F50F07"/>
    <w:rsid w:val="00F51D8F"/>
    <w:rsid w:val="00F52186"/>
    <w:rsid w:val="00F52247"/>
    <w:rsid w:val="00F5404C"/>
    <w:rsid w:val="00F54DEE"/>
    <w:rsid w:val="00F5504F"/>
    <w:rsid w:val="00F5524E"/>
    <w:rsid w:val="00F566C0"/>
    <w:rsid w:val="00F61228"/>
    <w:rsid w:val="00F6240B"/>
    <w:rsid w:val="00F62759"/>
    <w:rsid w:val="00F64006"/>
    <w:rsid w:val="00F71698"/>
    <w:rsid w:val="00F729EF"/>
    <w:rsid w:val="00F74393"/>
    <w:rsid w:val="00F744A2"/>
    <w:rsid w:val="00F77CAE"/>
    <w:rsid w:val="00F8073E"/>
    <w:rsid w:val="00F80795"/>
    <w:rsid w:val="00F808E2"/>
    <w:rsid w:val="00F819C7"/>
    <w:rsid w:val="00F82271"/>
    <w:rsid w:val="00F829D8"/>
    <w:rsid w:val="00F83428"/>
    <w:rsid w:val="00F84B29"/>
    <w:rsid w:val="00F86A49"/>
    <w:rsid w:val="00F91468"/>
    <w:rsid w:val="00F9178E"/>
    <w:rsid w:val="00F9414E"/>
    <w:rsid w:val="00F96BB9"/>
    <w:rsid w:val="00F96C9A"/>
    <w:rsid w:val="00F97916"/>
    <w:rsid w:val="00FA3366"/>
    <w:rsid w:val="00FA3963"/>
    <w:rsid w:val="00FA41D9"/>
    <w:rsid w:val="00FA4D6C"/>
    <w:rsid w:val="00FA6A9B"/>
    <w:rsid w:val="00FB0AAF"/>
    <w:rsid w:val="00FB0E2D"/>
    <w:rsid w:val="00FB1553"/>
    <w:rsid w:val="00FB203B"/>
    <w:rsid w:val="00FB2C38"/>
    <w:rsid w:val="00FB2CE5"/>
    <w:rsid w:val="00FB426D"/>
    <w:rsid w:val="00FB6F53"/>
    <w:rsid w:val="00FB713D"/>
    <w:rsid w:val="00FC0CAA"/>
    <w:rsid w:val="00FC1466"/>
    <w:rsid w:val="00FC2C76"/>
    <w:rsid w:val="00FC322F"/>
    <w:rsid w:val="00FC4538"/>
    <w:rsid w:val="00FC71B8"/>
    <w:rsid w:val="00FC73B1"/>
    <w:rsid w:val="00FD045F"/>
    <w:rsid w:val="00FD219C"/>
    <w:rsid w:val="00FD2AFE"/>
    <w:rsid w:val="00FD2EF9"/>
    <w:rsid w:val="00FD401F"/>
    <w:rsid w:val="00FD50C0"/>
    <w:rsid w:val="00FE040D"/>
    <w:rsid w:val="00FE0618"/>
    <w:rsid w:val="00FE12D2"/>
    <w:rsid w:val="00FE14D8"/>
    <w:rsid w:val="00FE1BA2"/>
    <w:rsid w:val="00FE2970"/>
    <w:rsid w:val="00FE39AE"/>
    <w:rsid w:val="00FE6D51"/>
    <w:rsid w:val="00FE6F2A"/>
    <w:rsid w:val="00FE7787"/>
    <w:rsid w:val="00FF0B0F"/>
    <w:rsid w:val="00FF0FE7"/>
    <w:rsid w:val="00FF581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3"/>
    <o:shapelayout v:ext="edit">
      <o:idmap v:ext="edit" data="1"/>
    </o:shapelayout>
  </w:shapeDefaults>
  <w:decimalSymbol w:val="."/>
  <w:listSeparator w:val=","/>
  <w14:docId w14:val="49D6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CC07B9"/>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link w:val="CaptionChar"/>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autoRedefine/>
    <w:uiPriority w:val="99"/>
    <w:unhideWhenUsed/>
    <w:qFormat/>
    <w:rsid w:val="00D81CF1"/>
    <w:pPr>
      <w:spacing w:before="0" w:after="0" w:line="240" w:lineRule="auto"/>
      <w:ind w:left="170" w:hanging="170"/>
    </w:pPr>
    <w:rPr>
      <w:color w:val="auto"/>
      <w:sz w:val="16"/>
      <w:szCs w:val="16"/>
    </w:rPr>
  </w:style>
  <w:style w:type="character" w:customStyle="1" w:styleId="FootnoteTextChar">
    <w:name w:val="Footnote Text Char"/>
    <w:basedOn w:val="DefaultParagraphFont"/>
    <w:link w:val="FootnoteText"/>
    <w:uiPriority w:val="99"/>
    <w:rsid w:val="00D81CF1"/>
    <w:rPr>
      <w:sz w:val="16"/>
      <w:szCs w:val="16"/>
      <w:lang w:val="en-GB"/>
    </w:rPr>
  </w:style>
  <w:style w:type="character" w:styleId="FootnoteReference">
    <w:name w:val="footnote reference"/>
    <w:aliases w:val="Normal + Font:9 Point,Superscript 3 Point Times,ftref,(NECG) Footnote Reference,16 Point,BVI fnr,FnR-ANZDEC,Footnote Ref in FtNote,Footnote text,Fußnotenzeichen DISS,Ref,SUPERS,Superscript 6 Point,de nota al pie,footnote ref,fr"/>
    <w:basedOn w:val="DefaultParagraphFont"/>
    <w:uiPriority w:val="99"/>
    <w:unhideWhenUsed/>
    <w:qFormat/>
    <w:rsid w:val="00CC07B9"/>
    <w:rPr>
      <w:rFonts w:asciiTheme="minorHAnsi" w:hAnsiTheme="minorHAnsi"/>
      <w:sz w:val="16"/>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unhideWhenUsed/>
    <w:rsid w:val="005204D2"/>
    <w:rPr>
      <w:sz w:val="16"/>
      <w:szCs w:val="16"/>
    </w:rPr>
  </w:style>
  <w:style w:type="paragraph" w:styleId="CommentText">
    <w:name w:val="annotation text"/>
    <w:basedOn w:val="Normal"/>
    <w:link w:val="CommentTextChar"/>
    <w:uiPriority w:val="99"/>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Rec para,List Paragraph1,Recommendation,List Paragraph11,Dot pt,F5 List Paragraph,No Spacing1,List Paragraph Char Char Char,Indicator Text,Numbered Para 1,Colorful List - Accent 11,MAIN CONTENT,List Paragraph12,List Paragraph2,L,CV text"/>
    <w:basedOn w:val="Normal"/>
    <w:link w:val="ListParagraphChar"/>
    <w:uiPriority w:val="34"/>
    <w:qFormat/>
    <w:locked/>
    <w:rsid w:val="00A32858"/>
    <w:pPr>
      <w:ind w:left="720"/>
      <w:contextualSpacing/>
    </w:pPr>
  </w:style>
  <w:style w:type="paragraph" w:styleId="ListBullet">
    <w:name w:val="List Bullet"/>
    <w:basedOn w:val="BodyText"/>
    <w:qFormat/>
    <w:locked/>
    <w:rsid w:val="00A32858"/>
    <w:pPr>
      <w:numPr>
        <w:numId w:val="12"/>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table" w:customStyle="1" w:styleId="TableGrid1">
    <w:name w:val="Table Grid1"/>
    <w:basedOn w:val="TableNormal"/>
    <w:next w:val="TableGrid"/>
    <w:uiPriority w:val="39"/>
    <w:locked/>
    <w:rsid w:val="000F4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aliases w:val="Table/Chart Title"/>
    <w:basedOn w:val="Heading2Char"/>
    <w:uiPriority w:val="33"/>
    <w:qFormat/>
    <w:locked/>
    <w:rsid w:val="006F116F"/>
    <w:rPr>
      <w:rFonts w:ascii="Calibri" w:eastAsiaTheme="majorEastAsia" w:hAnsi="Calibri" w:cstheme="majorBidi"/>
      <w:b/>
      <w:caps w:val="0"/>
      <w:color w:val="7C8C88"/>
      <w:sz w:val="26"/>
      <w:szCs w:val="26"/>
      <w:lang w:val="en-GB"/>
    </w:rPr>
  </w:style>
  <w:style w:type="paragraph" w:customStyle="1" w:styleId="Tablecolumnheading">
    <w:name w:val="Table column heading"/>
    <w:basedOn w:val="Normal"/>
    <w:qFormat/>
    <w:rsid w:val="006F116F"/>
    <w:pPr>
      <w:keepNext/>
      <w:suppressAutoHyphens w:val="0"/>
      <w:spacing w:before="57" w:after="57" w:line="220" w:lineRule="atLeast"/>
      <w:ind w:left="96" w:right="96"/>
      <w:jc w:val="center"/>
    </w:pPr>
    <w:rPr>
      <w:rFonts w:eastAsia="Times New Roman" w:cs="Times New Roman"/>
      <w:b/>
      <w:color w:val="FFFFFF" w:themeColor="background1"/>
      <w:sz w:val="20"/>
      <w:szCs w:val="20"/>
      <w:lang w:val="en-AU"/>
    </w:rPr>
  </w:style>
  <w:style w:type="paragraph" w:customStyle="1" w:styleId="BodyTextHanging">
    <w:name w:val="Body Text Hanging"/>
    <w:basedOn w:val="BodyText"/>
    <w:link w:val="BodyTextHangingChar"/>
    <w:qFormat/>
    <w:rsid w:val="006F116F"/>
    <w:pPr>
      <w:spacing w:before="0" w:after="120" w:line="240" w:lineRule="auto"/>
    </w:pPr>
    <w:rPr>
      <w:rFonts w:ascii="Calibri" w:hAnsi="Calibri"/>
      <w:color w:val="000000" w:themeColor="text1"/>
      <w:lang w:eastAsia="en-AU"/>
    </w:rPr>
  </w:style>
  <w:style w:type="character" w:customStyle="1" w:styleId="BodyTextHangingChar">
    <w:name w:val="Body Text Hanging Char"/>
    <w:basedOn w:val="BodyTextChar"/>
    <w:link w:val="BodyTextHanging"/>
    <w:rsid w:val="006F116F"/>
    <w:rPr>
      <w:rFonts w:ascii="Calibri" w:hAnsi="Calibri"/>
      <w:color w:val="000000" w:themeColor="text1"/>
      <w:lang w:val="en-GB" w:eastAsia="en-AU"/>
    </w:rPr>
  </w:style>
  <w:style w:type="paragraph" w:styleId="Revision">
    <w:name w:val="Revision"/>
    <w:hidden/>
    <w:uiPriority w:val="99"/>
    <w:semiHidden/>
    <w:rsid w:val="0083795D"/>
    <w:pPr>
      <w:spacing w:after="0" w:line="240" w:lineRule="auto"/>
    </w:pPr>
    <w:rPr>
      <w:color w:val="495965" w:themeColor="text2"/>
      <w:lang w:val="en-GB"/>
    </w:rPr>
  </w:style>
  <w:style w:type="table" w:customStyle="1" w:styleId="GridTable1Light1">
    <w:name w:val="Grid Table 1 Light1"/>
    <w:basedOn w:val="TableNormal"/>
    <w:uiPriority w:val="46"/>
    <w:locked/>
    <w:rsid w:val="0011588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AD2EBB"/>
    <w:pPr>
      <w:suppressAutoHyphens w:val="0"/>
      <w:spacing w:before="100" w:beforeAutospacing="1" w:after="100" w:afterAutospacing="1" w:line="240" w:lineRule="auto"/>
    </w:pPr>
    <w:rPr>
      <w:rFonts w:ascii="Times" w:hAnsi="Times" w:cs="Times New Roman"/>
      <w:color w:val="auto"/>
      <w:sz w:val="20"/>
      <w:szCs w:val="20"/>
      <w:lang w:val="en-US"/>
    </w:rPr>
  </w:style>
  <w:style w:type="character" w:customStyle="1" w:styleId="ListParagraphChar">
    <w:name w:val="List Paragraph Char"/>
    <w:aliases w:val="Rec para Char,List Paragraph1 Char,Recommendation Char,List Paragraph11 Char,Dot pt Char,F5 List Paragraph Char,No Spacing1 Char,List Paragraph Char Char Char Char,Indicator Text Char,Numbered Para 1 Char,MAIN CONTENT Char,L Char"/>
    <w:basedOn w:val="DefaultParagraphFont"/>
    <w:link w:val="ListParagraph"/>
    <w:uiPriority w:val="1"/>
    <w:qFormat/>
    <w:rsid w:val="0088241A"/>
    <w:rPr>
      <w:color w:val="495965" w:themeColor="text2"/>
      <w:lang w:val="en-GB"/>
    </w:rPr>
  </w:style>
  <w:style w:type="paragraph" w:styleId="PlainText">
    <w:name w:val="Plain Text"/>
    <w:basedOn w:val="Normal"/>
    <w:link w:val="PlainTextChar"/>
    <w:uiPriority w:val="99"/>
    <w:semiHidden/>
    <w:unhideWhenUsed/>
    <w:locked/>
    <w:rsid w:val="00EA1BA0"/>
    <w:pPr>
      <w:spacing w:before="0"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A1BA0"/>
    <w:rPr>
      <w:rFonts w:ascii="Consolas" w:hAnsi="Consolas"/>
      <w:color w:val="495965" w:themeColor="text2"/>
      <w:sz w:val="21"/>
      <w:szCs w:val="21"/>
      <w:lang w:val="en-GB"/>
    </w:rPr>
  </w:style>
  <w:style w:type="character" w:customStyle="1" w:styleId="UnresolvedMention1">
    <w:name w:val="Unresolved Mention1"/>
    <w:basedOn w:val="DefaultParagraphFont"/>
    <w:uiPriority w:val="99"/>
    <w:semiHidden/>
    <w:unhideWhenUsed/>
    <w:rsid w:val="00EA1BA0"/>
    <w:rPr>
      <w:color w:val="605E5C"/>
      <w:shd w:val="clear" w:color="auto" w:fill="E1DFDD"/>
    </w:rPr>
  </w:style>
  <w:style w:type="paragraph" w:customStyle="1" w:styleId="Boldtext">
    <w:name w:val="Bold text"/>
    <w:basedOn w:val="Normal"/>
    <w:qFormat/>
    <w:rsid w:val="00F22CD9"/>
    <w:pPr>
      <w:suppressAutoHyphens w:val="0"/>
      <w:spacing w:before="280" w:after="140" w:line="228" w:lineRule="auto"/>
    </w:pPr>
    <w:rPr>
      <w:rFonts w:ascii="Calibri" w:hAnsi="Calibri"/>
      <w:b/>
      <w:color w:val="5D6770"/>
      <w:spacing w:val="2"/>
      <w:sz w:val="24"/>
      <w:lang w:val="en-AU"/>
    </w:rPr>
  </w:style>
  <w:style w:type="table" w:customStyle="1" w:styleId="Table-Style3">
    <w:name w:val="Table-Style3"/>
    <w:basedOn w:val="TableNormal"/>
    <w:rsid w:val="00F22CD9"/>
    <w:pPr>
      <w:spacing w:after="0" w:line="240" w:lineRule="auto"/>
    </w:pPr>
    <w:rPr>
      <w:rFonts w:ascii="Arial" w:eastAsia="Times New Roman" w:hAnsi="Arial" w:cs="Times New Roman"/>
      <w:sz w:val="20"/>
      <w:szCs w:val="20"/>
      <w:lang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top w:val="nil"/>
          <w:left w:val="nil"/>
          <w:bottom w:val="nil"/>
          <w:right w:val="nil"/>
          <w:insideH w:val="nil"/>
          <w:insideV w:val="single" w:sz="6" w:space="0" w:color="FFFFFF"/>
        </w:tcBorders>
        <w:shd w:val="clear" w:color="auto" w:fill="0065A4"/>
      </w:tcPr>
    </w:tblStylePr>
  </w:style>
  <w:style w:type="table" w:customStyle="1" w:styleId="GridTable1Light-Accent11">
    <w:name w:val="Grid Table 1 Light - Accent 11"/>
    <w:basedOn w:val="TableNormal"/>
    <w:uiPriority w:val="46"/>
    <w:rsid w:val="006E0FAF"/>
    <w:pPr>
      <w:spacing w:after="0" w:line="240" w:lineRule="auto"/>
    </w:p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locked/>
    <w:rsid w:val="006E0FAF"/>
    <w:rPr>
      <w:color w:val="808080"/>
    </w:rPr>
  </w:style>
  <w:style w:type="character" w:customStyle="1" w:styleId="Style6">
    <w:name w:val="Style6"/>
    <w:basedOn w:val="DefaultParagraphFont"/>
    <w:uiPriority w:val="1"/>
    <w:rsid w:val="006E0FAF"/>
    <w:rPr>
      <w:rFonts w:ascii="Franklin Gothic Book" w:hAnsi="Franklin Gothic Book"/>
      <w:sz w:val="22"/>
    </w:rPr>
  </w:style>
  <w:style w:type="character" w:customStyle="1" w:styleId="Style9">
    <w:name w:val="Style9"/>
    <w:basedOn w:val="DefaultParagraphFont"/>
    <w:uiPriority w:val="1"/>
    <w:rsid w:val="006E0FAF"/>
    <w:rPr>
      <w:rFonts w:asciiTheme="minorHAnsi" w:hAnsiTheme="minorHAnsi"/>
      <w:sz w:val="22"/>
    </w:rPr>
  </w:style>
  <w:style w:type="character" w:customStyle="1" w:styleId="Style10">
    <w:name w:val="Style10"/>
    <w:basedOn w:val="DefaultParagraphFont"/>
    <w:uiPriority w:val="1"/>
    <w:rsid w:val="006E0FAF"/>
    <w:rPr>
      <w:rFonts w:asciiTheme="minorHAnsi" w:hAnsiTheme="minorHAnsi"/>
      <w:sz w:val="20"/>
    </w:rPr>
  </w:style>
  <w:style w:type="character" w:customStyle="1" w:styleId="Style11">
    <w:name w:val="Style11"/>
    <w:basedOn w:val="DefaultParagraphFont"/>
    <w:uiPriority w:val="1"/>
    <w:rsid w:val="006E0FAF"/>
    <w:rPr>
      <w:rFonts w:asciiTheme="minorHAnsi" w:hAnsiTheme="minorHAnsi"/>
      <w:sz w:val="20"/>
    </w:rPr>
  </w:style>
  <w:style w:type="character" w:customStyle="1" w:styleId="Style12">
    <w:name w:val="Style12"/>
    <w:basedOn w:val="DefaultParagraphFont"/>
    <w:uiPriority w:val="1"/>
    <w:rsid w:val="006E0FAF"/>
    <w:rPr>
      <w:rFonts w:asciiTheme="minorHAnsi" w:hAnsiTheme="minorHAnsi"/>
      <w:sz w:val="20"/>
    </w:rPr>
  </w:style>
  <w:style w:type="character" w:customStyle="1" w:styleId="CaptionChar">
    <w:name w:val="Caption Char"/>
    <w:link w:val="Caption"/>
    <w:uiPriority w:val="35"/>
    <w:locked/>
    <w:rsid w:val="006E0FAF"/>
    <w:rPr>
      <w:b/>
      <w:iCs/>
      <w:color w:val="495965" w:themeColor="text2"/>
      <w:sz w:val="20"/>
      <w:szCs w:val="18"/>
      <w:lang w:val="en-GB"/>
    </w:rPr>
  </w:style>
  <w:style w:type="character" w:customStyle="1" w:styleId="Style5">
    <w:name w:val="Style5"/>
    <w:basedOn w:val="DefaultParagraphFont"/>
    <w:uiPriority w:val="1"/>
    <w:rsid w:val="006E0FAF"/>
    <w:rPr>
      <w:rFonts w:ascii="Franklin Gothic Book" w:hAnsi="Franklin Gothic Book"/>
      <w:sz w:val="22"/>
    </w:rPr>
  </w:style>
  <w:style w:type="paragraph" w:styleId="ListNumber2">
    <w:name w:val="List Number 2"/>
    <w:basedOn w:val="Normal"/>
    <w:uiPriority w:val="99"/>
    <w:semiHidden/>
    <w:unhideWhenUsed/>
    <w:locked/>
    <w:rsid w:val="00731FB5"/>
    <w:pPr>
      <w:numPr>
        <w:numId w:val="47"/>
      </w:numPr>
      <w:contextualSpacing/>
    </w:pPr>
  </w:style>
  <w:style w:type="character" w:customStyle="1" w:styleId="Style">
    <w:name w:val="Style"/>
    <w:basedOn w:val="FootnoteReference"/>
    <w:rsid w:val="004037BC"/>
    <w:rPr>
      <w:rFonts w:ascii="Calibri Light" w:hAnsi="Calibri Light"/>
      <w:b w:val="0"/>
      <w:i w:val="0"/>
      <w:sz w:val="16"/>
      <w:vertAlign w:val="superscript"/>
    </w:rPr>
  </w:style>
  <w:style w:type="table" w:styleId="MediumGrid3-Accent6">
    <w:name w:val="Medium Grid 3 Accent 6"/>
    <w:basedOn w:val="TableNormal"/>
    <w:uiPriority w:val="69"/>
    <w:locked/>
    <w:rsid w:val="00CB1C18"/>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5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C8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C8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C8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C8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5EC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5ECFF" w:themeFill="accent6" w:themeFillTint="7F"/>
      </w:tcPr>
    </w:tblStylePr>
  </w:style>
  <w:style w:type="table" w:styleId="MediumGrid3-Accent3">
    <w:name w:val="Medium Grid 3 Accent 3"/>
    <w:basedOn w:val="TableNormal"/>
    <w:uiPriority w:val="69"/>
    <w:locked/>
    <w:rsid w:val="00CB1C18"/>
    <w:pPr>
      <w:spacing w:after="0" w:line="240" w:lineRule="auto"/>
    </w:pPr>
    <w:rPr>
      <w:rFonts w:eastAsiaTheme="minorEastAsia"/>
      <w:sz w:val="24"/>
      <w:szCs w:val="24"/>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E1D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875F"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875F"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875F"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875F"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C2A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C2AF"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43435">
      <w:bodyDiv w:val="1"/>
      <w:marLeft w:val="0"/>
      <w:marRight w:val="0"/>
      <w:marTop w:val="0"/>
      <w:marBottom w:val="0"/>
      <w:divBdr>
        <w:top w:val="none" w:sz="0" w:space="0" w:color="auto"/>
        <w:left w:val="none" w:sz="0" w:space="0" w:color="auto"/>
        <w:bottom w:val="none" w:sz="0" w:space="0" w:color="auto"/>
        <w:right w:val="none" w:sz="0" w:space="0" w:color="auto"/>
      </w:divBdr>
    </w:div>
    <w:div w:id="85271815">
      <w:bodyDiv w:val="1"/>
      <w:marLeft w:val="0"/>
      <w:marRight w:val="0"/>
      <w:marTop w:val="0"/>
      <w:marBottom w:val="0"/>
      <w:divBdr>
        <w:top w:val="none" w:sz="0" w:space="0" w:color="auto"/>
        <w:left w:val="none" w:sz="0" w:space="0" w:color="auto"/>
        <w:bottom w:val="none" w:sz="0" w:space="0" w:color="auto"/>
        <w:right w:val="none" w:sz="0" w:space="0" w:color="auto"/>
      </w:divBdr>
    </w:div>
    <w:div w:id="150221331">
      <w:bodyDiv w:val="1"/>
      <w:marLeft w:val="0"/>
      <w:marRight w:val="120"/>
      <w:marTop w:val="0"/>
      <w:marBottom w:val="0"/>
      <w:divBdr>
        <w:top w:val="none" w:sz="0" w:space="0" w:color="auto"/>
        <w:left w:val="none" w:sz="0" w:space="0" w:color="auto"/>
        <w:bottom w:val="none" w:sz="0" w:space="0" w:color="auto"/>
        <w:right w:val="none" w:sz="0" w:space="0" w:color="auto"/>
      </w:divBdr>
      <w:divsChild>
        <w:div w:id="1461338143">
          <w:marLeft w:val="0"/>
          <w:marRight w:val="0"/>
          <w:marTop w:val="0"/>
          <w:marBottom w:val="0"/>
          <w:divBdr>
            <w:top w:val="none" w:sz="0" w:space="0" w:color="auto"/>
            <w:left w:val="none" w:sz="0" w:space="0" w:color="auto"/>
            <w:bottom w:val="none" w:sz="0" w:space="0" w:color="auto"/>
            <w:right w:val="none" w:sz="0" w:space="0" w:color="auto"/>
          </w:divBdr>
        </w:div>
      </w:divsChild>
    </w:div>
    <w:div w:id="152453250">
      <w:bodyDiv w:val="1"/>
      <w:marLeft w:val="0"/>
      <w:marRight w:val="0"/>
      <w:marTop w:val="0"/>
      <w:marBottom w:val="0"/>
      <w:divBdr>
        <w:top w:val="none" w:sz="0" w:space="0" w:color="auto"/>
        <w:left w:val="none" w:sz="0" w:space="0" w:color="auto"/>
        <w:bottom w:val="none" w:sz="0" w:space="0" w:color="auto"/>
        <w:right w:val="none" w:sz="0" w:space="0" w:color="auto"/>
      </w:divBdr>
    </w:div>
    <w:div w:id="259026877">
      <w:bodyDiv w:val="1"/>
      <w:marLeft w:val="0"/>
      <w:marRight w:val="0"/>
      <w:marTop w:val="0"/>
      <w:marBottom w:val="0"/>
      <w:divBdr>
        <w:top w:val="none" w:sz="0" w:space="0" w:color="auto"/>
        <w:left w:val="none" w:sz="0" w:space="0" w:color="auto"/>
        <w:bottom w:val="none" w:sz="0" w:space="0" w:color="auto"/>
        <w:right w:val="none" w:sz="0" w:space="0" w:color="auto"/>
      </w:divBdr>
    </w:div>
    <w:div w:id="287902735">
      <w:bodyDiv w:val="1"/>
      <w:marLeft w:val="0"/>
      <w:marRight w:val="0"/>
      <w:marTop w:val="0"/>
      <w:marBottom w:val="0"/>
      <w:divBdr>
        <w:top w:val="none" w:sz="0" w:space="0" w:color="auto"/>
        <w:left w:val="none" w:sz="0" w:space="0" w:color="auto"/>
        <w:bottom w:val="none" w:sz="0" w:space="0" w:color="auto"/>
        <w:right w:val="none" w:sz="0" w:space="0" w:color="auto"/>
      </w:divBdr>
    </w:div>
    <w:div w:id="399719653">
      <w:bodyDiv w:val="1"/>
      <w:marLeft w:val="0"/>
      <w:marRight w:val="0"/>
      <w:marTop w:val="0"/>
      <w:marBottom w:val="0"/>
      <w:divBdr>
        <w:top w:val="none" w:sz="0" w:space="0" w:color="auto"/>
        <w:left w:val="none" w:sz="0" w:space="0" w:color="auto"/>
        <w:bottom w:val="none" w:sz="0" w:space="0" w:color="auto"/>
        <w:right w:val="none" w:sz="0" w:space="0" w:color="auto"/>
      </w:divBdr>
    </w:div>
    <w:div w:id="454448935">
      <w:bodyDiv w:val="1"/>
      <w:marLeft w:val="0"/>
      <w:marRight w:val="0"/>
      <w:marTop w:val="0"/>
      <w:marBottom w:val="0"/>
      <w:divBdr>
        <w:top w:val="none" w:sz="0" w:space="0" w:color="auto"/>
        <w:left w:val="none" w:sz="0" w:space="0" w:color="auto"/>
        <w:bottom w:val="none" w:sz="0" w:space="0" w:color="auto"/>
        <w:right w:val="none" w:sz="0" w:space="0" w:color="auto"/>
      </w:divBdr>
    </w:div>
    <w:div w:id="479347480">
      <w:bodyDiv w:val="1"/>
      <w:marLeft w:val="0"/>
      <w:marRight w:val="0"/>
      <w:marTop w:val="0"/>
      <w:marBottom w:val="0"/>
      <w:divBdr>
        <w:top w:val="none" w:sz="0" w:space="0" w:color="auto"/>
        <w:left w:val="none" w:sz="0" w:space="0" w:color="auto"/>
        <w:bottom w:val="none" w:sz="0" w:space="0" w:color="auto"/>
        <w:right w:val="none" w:sz="0" w:space="0" w:color="auto"/>
      </w:divBdr>
    </w:div>
    <w:div w:id="544679972">
      <w:bodyDiv w:val="1"/>
      <w:marLeft w:val="0"/>
      <w:marRight w:val="0"/>
      <w:marTop w:val="0"/>
      <w:marBottom w:val="0"/>
      <w:divBdr>
        <w:top w:val="none" w:sz="0" w:space="0" w:color="auto"/>
        <w:left w:val="none" w:sz="0" w:space="0" w:color="auto"/>
        <w:bottom w:val="none" w:sz="0" w:space="0" w:color="auto"/>
        <w:right w:val="none" w:sz="0" w:space="0" w:color="auto"/>
      </w:divBdr>
    </w:div>
    <w:div w:id="565991510">
      <w:bodyDiv w:val="1"/>
      <w:marLeft w:val="0"/>
      <w:marRight w:val="0"/>
      <w:marTop w:val="0"/>
      <w:marBottom w:val="0"/>
      <w:divBdr>
        <w:top w:val="none" w:sz="0" w:space="0" w:color="auto"/>
        <w:left w:val="none" w:sz="0" w:space="0" w:color="auto"/>
        <w:bottom w:val="none" w:sz="0" w:space="0" w:color="auto"/>
        <w:right w:val="none" w:sz="0" w:space="0" w:color="auto"/>
      </w:divBdr>
    </w:div>
    <w:div w:id="587034223">
      <w:bodyDiv w:val="1"/>
      <w:marLeft w:val="0"/>
      <w:marRight w:val="0"/>
      <w:marTop w:val="0"/>
      <w:marBottom w:val="0"/>
      <w:divBdr>
        <w:top w:val="none" w:sz="0" w:space="0" w:color="auto"/>
        <w:left w:val="none" w:sz="0" w:space="0" w:color="auto"/>
        <w:bottom w:val="none" w:sz="0" w:space="0" w:color="auto"/>
        <w:right w:val="none" w:sz="0" w:space="0" w:color="auto"/>
      </w:divBdr>
    </w:div>
    <w:div w:id="619804861">
      <w:bodyDiv w:val="1"/>
      <w:marLeft w:val="0"/>
      <w:marRight w:val="0"/>
      <w:marTop w:val="0"/>
      <w:marBottom w:val="0"/>
      <w:divBdr>
        <w:top w:val="none" w:sz="0" w:space="0" w:color="auto"/>
        <w:left w:val="none" w:sz="0" w:space="0" w:color="auto"/>
        <w:bottom w:val="none" w:sz="0" w:space="0" w:color="auto"/>
        <w:right w:val="none" w:sz="0" w:space="0" w:color="auto"/>
      </w:divBdr>
    </w:div>
    <w:div w:id="630475350">
      <w:bodyDiv w:val="1"/>
      <w:marLeft w:val="0"/>
      <w:marRight w:val="0"/>
      <w:marTop w:val="0"/>
      <w:marBottom w:val="0"/>
      <w:divBdr>
        <w:top w:val="none" w:sz="0" w:space="0" w:color="auto"/>
        <w:left w:val="none" w:sz="0" w:space="0" w:color="auto"/>
        <w:bottom w:val="none" w:sz="0" w:space="0" w:color="auto"/>
        <w:right w:val="none" w:sz="0" w:space="0" w:color="auto"/>
      </w:divBdr>
    </w:div>
    <w:div w:id="637077377">
      <w:bodyDiv w:val="1"/>
      <w:marLeft w:val="0"/>
      <w:marRight w:val="0"/>
      <w:marTop w:val="0"/>
      <w:marBottom w:val="0"/>
      <w:divBdr>
        <w:top w:val="none" w:sz="0" w:space="0" w:color="auto"/>
        <w:left w:val="none" w:sz="0" w:space="0" w:color="auto"/>
        <w:bottom w:val="none" w:sz="0" w:space="0" w:color="auto"/>
        <w:right w:val="none" w:sz="0" w:space="0" w:color="auto"/>
      </w:divBdr>
    </w:div>
    <w:div w:id="641732771">
      <w:bodyDiv w:val="1"/>
      <w:marLeft w:val="0"/>
      <w:marRight w:val="0"/>
      <w:marTop w:val="0"/>
      <w:marBottom w:val="0"/>
      <w:divBdr>
        <w:top w:val="none" w:sz="0" w:space="0" w:color="auto"/>
        <w:left w:val="none" w:sz="0" w:space="0" w:color="auto"/>
        <w:bottom w:val="none" w:sz="0" w:space="0" w:color="auto"/>
        <w:right w:val="none" w:sz="0" w:space="0" w:color="auto"/>
      </w:divBdr>
    </w:div>
    <w:div w:id="656614563">
      <w:bodyDiv w:val="1"/>
      <w:marLeft w:val="0"/>
      <w:marRight w:val="0"/>
      <w:marTop w:val="0"/>
      <w:marBottom w:val="0"/>
      <w:divBdr>
        <w:top w:val="none" w:sz="0" w:space="0" w:color="auto"/>
        <w:left w:val="none" w:sz="0" w:space="0" w:color="auto"/>
        <w:bottom w:val="none" w:sz="0" w:space="0" w:color="auto"/>
        <w:right w:val="none" w:sz="0" w:space="0" w:color="auto"/>
      </w:divBdr>
    </w:div>
    <w:div w:id="660013288">
      <w:bodyDiv w:val="1"/>
      <w:marLeft w:val="0"/>
      <w:marRight w:val="0"/>
      <w:marTop w:val="0"/>
      <w:marBottom w:val="0"/>
      <w:divBdr>
        <w:top w:val="none" w:sz="0" w:space="0" w:color="auto"/>
        <w:left w:val="none" w:sz="0" w:space="0" w:color="auto"/>
        <w:bottom w:val="none" w:sz="0" w:space="0" w:color="auto"/>
        <w:right w:val="none" w:sz="0" w:space="0" w:color="auto"/>
      </w:divBdr>
    </w:div>
    <w:div w:id="713850694">
      <w:bodyDiv w:val="1"/>
      <w:marLeft w:val="0"/>
      <w:marRight w:val="0"/>
      <w:marTop w:val="0"/>
      <w:marBottom w:val="0"/>
      <w:divBdr>
        <w:top w:val="none" w:sz="0" w:space="0" w:color="auto"/>
        <w:left w:val="none" w:sz="0" w:space="0" w:color="auto"/>
        <w:bottom w:val="none" w:sz="0" w:space="0" w:color="auto"/>
        <w:right w:val="none" w:sz="0" w:space="0" w:color="auto"/>
      </w:divBdr>
    </w:div>
    <w:div w:id="753016779">
      <w:bodyDiv w:val="1"/>
      <w:marLeft w:val="0"/>
      <w:marRight w:val="0"/>
      <w:marTop w:val="0"/>
      <w:marBottom w:val="0"/>
      <w:divBdr>
        <w:top w:val="none" w:sz="0" w:space="0" w:color="auto"/>
        <w:left w:val="none" w:sz="0" w:space="0" w:color="auto"/>
        <w:bottom w:val="none" w:sz="0" w:space="0" w:color="auto"/>
        <w:right w:val="none" w:sz="0" w:space="0" w:color="auto"/>
      </w:divBdr>
    </w:div>
    <w:div w:id="759184139">
      <w:bodyDiv w:val="1"/>
      <w:marLeft w:val="0"/>
      <w:marRight w:val="0"/>
      <w:marTop w:val="0"/>
      <w:marBottom w:val="0"/>
      <w:divBdr>
        <w:top w:val="none" w:sz="0" w:space="0" w:color="auto"/>
        <w:left w:val="none" w:sz="0" w:space="0" w:color="auto"/>
        <w:bottom w:val="none" w:sz="0" w:space="0" w:color="auto"/>
        <w:right w:val="none" w:sz="0" w:space="0" w:color="auto"/>
      </w:divBdr>
    </w:div>
    <w:div w:id="781730330">
      <w:bodyDiv w:val="1"/>
      <w:marLeft w:val="0"/>
      <w:marRight w:val="0"/>
      <w:marTop w:val="0"/>
      <w:marBottom w:val="0"/>
      <w:divBdr>
        <w:top w:val="none" w:sz="0" w:space="0" w:color="auto"/>
        <w:left w:val="none" w:sz="0" w:space="0" w:color="auto"/>
        <w:bottom w:val="none" w:sz="0" w:space="0" w:color="auto"/>
        <w:right w:val="none" w:sz="0" w:space="0" w:color="auto"/>
      </w:divBdr>
    </w:div>
    <w:div w:id="782723365">
      <w:bodyDiv w:val="1"/>
      <w:marLeft w:val="0"/>
      <w:marRight w:val="0"/>
      <w:marTop w:val="0"/>
      <w:marBottom w:val="0"/>
      <w:divBdr>
        <w:top w:val="none" w:sz="0" w:space="0" w:color="auto"/>
        <w:left w:val="none" w:sz="0" w:space="0" w:color="auto"/>
        <w:bottom w:val="none" w:sz="0" w:space="0" w:color="auto"/>
        <w:right w:val="none" w:sz="0" w:space="0" w:color="auto"/>
      </w:divBdr>
    </w:div>
    <w:div w:id="815495713">
      <w:bodyDiv w:val="1"/>
      <w:marLeft w:val="0"/>
      <w:marRight w:val="0"/>
      <w:marTop w:val="0"/>
      <w:marBottom w:val="0"/>
      <w:divBdr>
        <w:top w:val="none" w:sz="0" w:space="0" w:color="auto"/>
        <w:left w:val="none" w:sz="0" w:space="0" w:color="auto"/>
        <w:bottom w:val="none" w:sz="0" w:space="0" w:color="auto"/>
        <w:right w:val="none" w:sz="0" w:space="0" w:color="auto"/>
      </w:divBdr>
    </w:div>
    <w:div w:id="836262520">
      <w:bodyDiv w:val="1"/>
      <w:marLeft w:val="0"/>
      <w:marRight w:val="0"/>
      <w:marTop w:val="0"/>
      <w:marBottom w:val="0"/>
      <w:divBdr>
        <w:top w:val="none" w:sz="0" w:space="0" w:color="auto"/>
        <w:left w:val="none" w:sz="0" w:space="0" w:color="auto"/>
        <w:bottom w:val="none" w:sz="0" w:space="0" w:color="auto"/>
        <w:right w:val="none" w:sz="0" w:space="0" w:color="auto"/>
      </w:divBdr>
    </w:div>
    <w:div w:id="896286319">
      <w:bodyDiv w:val="1"/>
      <w:marLeft w:val="0"/>
      <w:marRight w:val="0"/>
      <w:marTop w:val="0"/>
      <w:marBottom w:val="0"/>
      <w:divBdr>
        <w:top w:val="none" w:sz="0" w:space="0" w:color="auto"/>
        <w:left w:val="none" w:sz="0" w:space="0" w:color="auto"/>
        <w:bottom w:val="none" w:sz="0" w:space="0" w:color="auto"/>
        <w:right w:val="none" w:sz="0" w:space="0" w:color="auto"/>
      </w:divBdr>
    </w:div>
    <w:div w:id="906721920">
      <w:bodyDiv w:val="1"/>
      <w:marLeft w:val="0"/>
      <w:marRight w:val="0"/>
      <w:marTop w:val="0"/>
      <w:marBottom w:val="0"/>
      <w:divBdr>
        <w:top w:val="none" w:sz="0" w:space="0" w:color="auto"/>
        <w:left w:val="none" w:sz="0" w:space="0" w:color="auto"/>
        <w:bottom w:val="none" w:sz="0" w:space="0" w:color="auto"/>
        <w:right w:val="none" w:sz="0" w:space="0" w:color="auto"/>
      </w:divBdr>
    </w:div>
    <w:div w:id="907812221">
      <w:bodyDiv w:val="1"/>
      <w:marLeft w:val="0"/>
      <w:marRight w:val="0"/>
      <w:marTop w:val="0"/>
      <w:marBottom w:val="0"/>
      <w:divBdr>
        <w:top w:val="none" w:sz="0" w:space="0" w:color="auto"/>
        <w:left w:val="none" w:sz="0" w:space="0" w:color="auto"/>
        <w:bottom w:val="none" w:sz="0" w:space="0" w:color="auto"/>
        <w:right w:val="none" w:sz="0" w:space="0" w:color="auto"/>
      </w:divBdr>
    </w:div>
    <w:div w:id="946086481">
      <w:bodyDiv w:val="1"/>
      <w:marLeft w:val="0"/>
      <w:marRight w:val="0"/>
      <w:marTop w:val="0"/>
      <w:marBottom w:val="0"/>
      <w:divBdr>
        <w:top w:val="none" w:sz="0" w:space="0" w:color="auto"/>
        <w:left w:val="none" w:sz="0" w:space="0" w:color="auto"/>
        <w:bottom w:val="none" w:sz="0" w:space="0" w:color="auto"/>
        <w:right w:val="none" w:sz="0" w:space="0" w:color="auto"/>
      </w:divBdr>
    </w:div>
    <w:div w:id="955798625">
      <w:bodyDiv w:val="1"/>
      <w:marLeft w:val="0"/>
      <w:marRight w:val="0"/>
      <w:marTop w:val="0"/>
      <w:marBottom w:val="0"/>
      <w:divBdr>
        <w:top w:val="none" w:sz="0" w:space="0" w:color="auto"/>
        <w:left w:val="none" w:sz="0" w:space="0" w:color="auto"/>
        <w:bottom w:val="none" w:sz="0" w:space="0" w:color="auto"/>
        <w:right w:val="none" w:sz="0" w:space="0" w:color="auto"/>
      </w:divBdr>
    </w:div>
    <w:div w:id="1023361191">
      <w:bodyDiv w:val="1"/>
      <w:marLeft w:val="0"/>
      <w:marRight w:val="0"/>
      <w:marTop w:val="0"/>
      <w:marBottom w:val="0"/>
      <w:divBdr>
        <w:top w:val="none" w:sz="0" w:space="0" w:color="auto"/>
        <w:left w:val="none" w:sz="0" w:space="0" w:color="auto"/>
        <w:bottom w:val="none" w:sz="0" w:space="0" w:color="auto"/>
        <w:right w:val="none" w:sz="0" w:space="0" w:color="auto"/>
      </w:divBdr>
    </w:div>
    <w:div w:id="1083604144">
      <w:bodyDiv w:val="1"/>
      <w:marLeft w:val="0"/>
      <w:marRight w:val="0"/>
      <w:marTop w:val="0"/>
      <w:marBottom w:val="0"/>
      <w:divBdr>
        <w:top w:val="none" w:sz="0" w:space="0" w:color="auto"/>
        <w:left w:val="none" w:sz="0" w:space="0" w:color="auto"/>
        <w:bottom w:val="none" w:sz="0" w:space="0" w:color="auto"/>
        <w:right w:val="none" w:sz="0" w:space="0" w:color="auto"/>
      </w:divBdr>
    </w:div>
    <w:div w:id="1101876381">
      <w:bodyDiv w:val="1"/>
      <w:marLeft w:val="0"/>
      <w:marRight w:val="0"/>
      <w:marTop w:val="0"/>
      <w:marBottom w:val="0"/>
      <w:divBdr>
        <w:top w:val="none" w:sz="0" w:space="0" w:color="auto"/>
        <w:left w:val="none" w:sz="0" w:space="0" w:color="auto"/>
        <w:bottom w:val="none" w:sz="0" w:space="0" w:color="auto"/>
        <w:right w:val="none" w:sz="0" w:space="0" w:color="auto"/>
      </w:divBdr>
    </w:div>
    <w:div w:id="1104112072">
      <w:bodyDiv w:val="1"/>
      <w:marLeft w:val="0"/>
      <w:marRight w:val="0"/>
      <w:marTop w:val="0"/>
      <w:marBottom w:val="0"/>
      <w:divBdr>
        <w:top w:val="none" w:sz="0" w:space="0" w:color="auto"/>
        <w:left w:val="none" w:sz="0" w:space="0" w:color="auto"/>
        <w:bottom w:val="none" w:sz="0" w:space="0" w:color="auto"/>
        <w:right w:val="none" w:sz="0" w:space="0" w:color="auto"/>
      </w:divBdr>
    </w:div>
    <w:div w:id="1105424249">
      <w:bodyDiv w:val="1"/>
      <w:marLeft w:val="0"/>
      <w:marRight w:val="0"/>
      <w:marTop w:val="0"/>
      <w:marBottom w:val="0"/>
      <w:divBdr>
        <w:top w:val="none" w:sz="0" w:space="0" w:color="auto"/>
        <w:left w:val="none" w:sz="0" w:space="0" w:color="auto"/>
        <w:bottom w:val="none" w:sz="0" w:space="0" w:color="auto"/>
        <w:right w:val="none" w:sz="0" w:space="0" w:color="auto"/>
      </w:divBdr>
    </w:div>
    <w:div w:id="1186750988">
      <w:bodyDiv w:val="1"/>
      <w:marLeft w:val="0"/>
      <w:marRight w:val="0"/>
      <w:marTop w:val="0"/>
      <w:marBottom w:val="0"/>
      <w:divBdr>
        <w:top w:val="none" w:sz="0" w:space="0" w:color="auto"/>
        <w:left w:val="none" w:sz="0" w:space="0" w:color="auto"/>
        <w:bottom w:val="none" w:sz="0" w:space="0" w:color="auto"/>
        <w:right w:val="none" w:sz="0" w:space="0" w:color="auto"/>
      </w:divBdr>
    </w:div>
    <w:div w:id="1284460000">
      <w:bodyDiv w:val="1"/>
      <w:marLeft w:val="0"/>
      <w:marRight w:val="0"/>
      <w:marTop w:val="0"/>
      <w:marBottom w:val="0"/>
      <w:divBdr>
        <w:top w:val="none" w:sz="0" w:space="0" w:color="auto"/>
        <w:left w:val="none" w:sz="0" w:space="0" w:color="auto"/>
        <w:bottom w:val="none" w:sz="0" w:space="0" w:color="auto"/>
        <w:right w:val="none" w:sz="0" w:space="0" w:color="auto"/>
      </w:divBdr>
    </w:div>
    <w:div w:id="1287390250">
      <w:bodyDiv w:val="1"/>
      <w:marLeft w:val="0"/>
      <w:marRight w:val="0"/>
      <w:marTop w:val="0"/>
      <w:marBottom w:val="0"/>
      <w:divBdr>
        <w:top w:val="none" w:sz="0" w:space="0" w:color="auto"/>
        <w:left w:val="none" w:sz="0" w:space="0" w:color="auto"/>
        <w:bottom w:val="none" w:sz="0" w:space="0" w:color="auto"/>
        <w:right w:val="none" w:sz="0" w:space="0" w:color="auto"/>
      </w:divBdr>
    </w:div>
    <w:div w:id="1441680389">
      <w:bodyDiv w:val="1"/>
      <w:marLeft w:val="0"/>
      <w:marRight w:val="0"/>
      <w:marTop w:val="0"/>
      <w:marBottom w:val="0"/>
      <w:divBdr>
        <w:top w:val="none" w:sz="0" w:space="0" w:color="auto"/>
        <w:left w:val="none" w:sz="0" w:space="0" w:color="auto"/>
        <w:bottom w:val="none" w:sz="0" w:space="0" w:color="auto"/>
        <w:right w:val="none" w:sz="0" w:space="0" w:color="auto"/>
      </w:divBdr>
    </w:div>
    <w:div w:id="1449550393">
      <w:bodyDiv w:val="1"/>
      <w:marLeft w:val="0"/>
      <w:marRight w:val="0"/>
      <w:marTop w:val="0"/>
      <w:marBottom w:val="0"/>
      <w:divBdr>
        <w:top w:val="none" w:sz="0" w:space="0" w:color="auto"/>
        <w:left w:val="none" w:sz="0" w:space="0" w:color="auto"/>
        <w:bottom w:val="none" w:sz="0" w:space="0" w:color="auto"/>
        <w:right w:val="none" w:sz="0" w:space="0" w:color="auto"/>
      </w:divBdr>
    </w:div>
    <w:div w:id="1451628308">
      <w:bodyDiv w:val="1"/>
      <w:marLeft w:val="0"/>
      <w:marRight w:val="0"/>
      <w:marTop w:val="0"/>
      <w:marBottom w:val="0"/>
      <w:divBdr>
        <w:top w:val="none" w:sz="0" w:space="0" w:color="auto"/>
        <w:left w:val="none" w:sz="0" w:space="0" w:color="auto"/>
        <w:bottom w:val="none" w:sz="0" w:space="0" w:color="auto"/>
        <w:right w:val="none" w:sz="0" w:space="0" w:color="auto"/>
      </w:divBdr>
    </w:div>
    <w:div w:id="1485001381">
      <w:bodyDiv w:val="1"/>
      <w:marLeft w:val="0"/>
      <w:marRight w:val="0"/>
      <w:marTop w:val="0"/>
      <w:marBottom w:val="0"/>
      <w:divBdr>
        <w:top w:val="none" w:sz="0" w:space="0" w:color="auto"/>
        <w:left w:val="none" w:sz="0" w:space="0" w:color="auto"/>
        <w:bottom w:val="none" w:sz="0" w:space="0" w:color="auto"/>
        <w:right w:val="none" w:sz="0" w:space="0" w:color="auto"/>
      </w:divBdr>
    </w:div>
    <w:div w:id="1560241779">
      <w:bodyDiv w:val="1"/>
      <w:marLeft w:val="0"/>
      <w:marRight w:val="0"/>
      <w:marTop w:val="0"/>
      <w:marBottom w:val="0"/>
      <w:divBdr>
        <w:top w:val="none" w:sz="0" w:space="0" w:color="auto"/>
        <w:left w:val="none" w:sz="0" w:space="0" w:color="auto"/>
        <w:bottom w:val="none" w:sz="0" w:space="0" w:color="auto"/>
        <w:right w:val="none" w:sz="0" w:space="0" w:color="auto"/>
      </w:divBdr>
    </w:div>
    <w:div w:id="1622685236">
      <w:bodyDiv w:val="1"/>
      <w:marLeft w:val="0"/>
      <w:marRight w:val="0"/>
      <w:marTop w:val="0"/>
      <w:marBottom w:val="0"/>
      <w:divBdr>
        <w:top w:val="none" w:sz="0" w:space="0" w:color="auto"/>
        <w:left w:val="none" w:sz="0" w:space="0" w:color="auto"/>
        <w:bottom w:val="none" w:sz="0" w:space="0" w:color="auto"/>
        <w:right w:val="none" w:sz="0" w:space="0" w:color="auto"/>
      </w:divBdr>
    </w:div>
    <w:div w:id="1688100520">
      <w:bodyDiv w:val="1"/>
      <w:marLeft w:val="0"/>
      <w:marRight w:val="0"/>
      <w:marTop w:val="0"/>
      <w:marBottom w:val="0"/>
      <w:divBdr>
        <w:top w:val="none" w:sz="0" w:space="0" w:color="auto"/>
        <w:left w:val="none" w:sz="0" w:space="0" w:color="auto"/>
        <w:bottom w:val="none" w:sz="0" w:space="0" w:color="auto"/>
        <w:right w:val="none" w:sz="0" w:space="0" w:color="auto"/>
      </w:divBdr>
    </w:div>
    <w:div w:id="1759907625">
      <w:bodyDiv w:val="1"/>
      <w:marLeft w:val="0"/>
      <w:marRight w:val="0"/>
      <w:marTop w:val="0"/>
      <w:marBottom w:val="0"/>
      <w:divBdr>
        <w:top w:val="none" w:sz="0" w:space="0" w:color="auto"/>
        <w:left w:val="none" w:sz="0" w:space="0" w:color="auto"/>
        <w:bottom w:val="none" w:sz="0" w:space="0" w:color="auto"/>
        <w:right w:val="none" w:sz="0" w:space="0" w:color="auto"/>
      </w:divBdr>
    </w:div>
    <w:div w:id="1763836269">
      <w:bodyDiv w:val="1"/>
      <w:marLeft w:val="0"/>
      <w:marRight w:val="0"/>
      <w:marTop w:val="0"/>
      <w:marBottom w:val="0"/>
      <w:divBdr>
        <w:top w:val="none" w:sz="0" w:space="0" w:color="auto"/>
        <w:left w:val="none" w:sz="0" w:space="0" w:color="auto"/>
        <w:bottom w:val="none" w:sz="0" w:space="0" w:color="auto"/>
        <w:right w:val="none" w:sz="0" w:space="0" w:color="auto"/>
      </w:divBdr>
    </w:div>
    <w:div w:id="1834763293">
      <w:bodyDiv w:val="1"/>
      <w:marLeft w:val="0"/>
      <w:marRight w:val="0"/>
      <w:marTop w:val="0"/>
      <w:marBottom w:val="0"/>
      <w:divBdr>
        <w:top w:val="none" w:sz="0" w:space="0" w:color="auto"/>
        <w:left w:val="none" w:sz="0" w:space="0" w:color="auto"/>
        <w:bottom w:val="none" w:sz="0" w:space="0" w:color="auto"/>
        <w:right w:val="none" w:sz="0" w:space="0" w:color="auto"/>
      </w:divBdr>
    </w:div>
    <w:div w:id="1851606107">
      <w:bodyDiv w:val="1"/>
      <w:marLeft w:val="0"/>
      <w:marRight w:val="0"/>
      <w:marTop w:val="0"/>
      <w:marBottom w:val="0"/>
      <w:divBdr>
        <w:top w:val="none" w:sz="0" w:space="0" w:color="auto"/>
        <w:left w:val="none" w:sz="0" w:space="0" w:color="auto"/>
        <w:bottom w:val="none" w:sz="0" w:space="0" w:color="auto"/>
        <w:right w:val="none" w:sz="0" w:space="0" w:color="auto"/>
      </w:divBdr>
    </w:div>
    <w:div w:id="1875119543">
      <w:bodyDiv w:val="1"/>
      <w:marLeft w:val="0"/>
      <w:marRight w:val="0"/>
      <w:marTop w:val="0"/>
      <w:marBottom w:val="0"/>
      <w:divBdr>
        <w:top w:val="none" w:sz="0" w:space="0" w:color="auto"/>
        <w:left w:val="none" w:sz="0" w:space="0" w:color="auto"/>
        <w:bottom w:val="none" w:sz="0" w:space="0" w:color="auto"/>
        <w:right w:val="none" w:sz="0" w:space="0" w:color="auto"/>
      </w:divBdr>
    </w:div>
    <w:div w:id="1882936027">
      <w:bodyDiv w:val="1"/>
      <w:marLeft w:val="0"/>
      <w:marRight w:val="0"/>
      <w:marTop w:val="0"/>
      <w:marBottom w:val="0"/>
      <w:divBdr>
        <w:top w:val="none" w:sz="0" w:space="0" w:color="auto"/>
        <w:left w:val="none" w:sz="0" w:space="0" w:color="auto"/>
        <w:bottom w:val="none" w:sz="0" w:space="0" w:color="auto"/>
        <w:right w:val="none" w:sz="0" w:space="0" w:color="auto"/>
      </w:divBdr>
    </w:div>
    <w:div w:id="1976526735">
      <w:bodyDiv w:val="1"/>
      <w:marLeft w:val="0"/>
      <w:marRight w:val="0"/>
      <w:marTop w:val="0"/>
      <w:marBottom w:val="0"/>
      <w:divBdr>
        <w:top w:val="none" w:sz="0" w:space="0" w:color="auto"/>
        <w:left w:val="none" w:sz="0" w:space="0" w:color="auto"/>
        <w:bottom w:val="none" w:sz="0" w:space="0" w:color="auto"/>
        <w:right w:val="none" w:sz="0" w:space="0" w:color="auto"/>
      </w:divBdr>
    </w:div>
    <w:div w:id="2072117982">
      <w:bodyDiv w:val="1"/>
      <w:marLeft w:val="0"/>
      <w:marRight w:val="0"/>
      <w:marTop w:val="0"/>
      <w:marBottom w:val="0"/>
      <w:divBdr>
        <w:top w:val="none" w:sz="0" w:space="0" w:color="auto"/>
        <w:left w:val="none" w:sz="0" w:space="0" w:color="auto"/>
        <w:bottom w:val="none" w:sz="0" w:space="0" w:color="auto"/>
        <w:right w:val="none" w:sz="0" w:space="0" w:color="auto"/>
      </w:divBdr>
    </w:div>
    <w:div w:id="2080440737">
      <w:bodyDiv w:val="1"/>
      <w:marLeft w:val="0"/>
      <w:marRight w:val="0"/>
      <w:marTop w:val="0"/>
      <w:marBottom w:val="0"/>
      <w:divBdr>
        <w:top w:val="none" w:sz="0" w:space="0" w:color="auto"/>
        <w:left w:val="none" w:sz="0" w:space="0" w:color="auto"/>
        <w:bottom w:val="none" w:sz="0" w:space="0" w:color="auto"/>
        <w:right w:val="none" w:sz="0" w:space="0" w:color="auto"/>
      </w:divBdr>
    </w:div>
    <w:div w:id="209296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diagramLayout" Target="diagrams/layout1.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diagramData" Target="diagrams/data1.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4.xml"/><Relationship Id="rId29"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eader" Target="header5.xm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diagramQuickStyle" Target="diagrams/quickStyle1.xml"/><Relationship Id="rId30" Type="http://schemas.openxmlformats.org/officeDocument/2006/relationships/image" Target="media/image6.emf"/></Relationships>
</file>

<file path=word/_rels/footnotes.xml.rels><?xml version="1.0" encoding="UTF-8" standalone="yes"?>
<Relationships xmlns="http://schemas.openxmlformats.org/package/2006/relationships"><Relationship Id="rId8" Type="http://schemas.openxmlformats.org/officeDocument/2006/relationships/hyperlink" Target="https://figshare.com/articles/Succeeding_Together_Maximising_the_potential_for_joint_opportunities_between_Australia_and_Indonesia/4625890" TargetMode="External"/><Relationship Id="rId3" Type="http://schemas.openxmlformats.org/officeDocument/2006/relationships/hyperlink" Target="https://dfat.gov.au/about-us/business-opportunities/Pages/proposed-program-in-indonesia-ia-cepa-ecp-investment-concept.aspx" TargetMode="External"/><Relationship Id="rId7" Type="http://schemas.openxmlformats.org/officeDocument/2006/relationships/hyperlink" Target="https://www.unescap.org/sites/default/files/polbrief45.pdf" TargetMode="External"/><Relationship Id="rId2" Type="http://schemas.openxmlformats.org/officeDocument/2006/relationships/hyperlink" Target="https://dfat.gov.au/about-us/publications/Documents/development-cooperation-fact-sheet-aid-for-trade.pdf" TargetMode="External"/><Relationship Id="rId1" Type="http://schemas.openxmlformats.org/officeDocument/2006/relationships/hyperlink" Target="https://setkab.go.id/en/state-address-of-the-president-of-the-republic-of-indonesia-on-the-occasion-of-the-74th-anniversary-of-the-proclamation-of-independence-of-the-republic-of-indonesia-before-the-joint-session-of-the-r/" TargetMode="External"/><Relationship Id="rId6" Type="http://schemas.openxmlformats.org/officeDocument/2006/relationships/hyperlink" Target="https://dfat.gov.au/about-us/publications/Pages/investment-design-quality-scoring-matrix.aspx" TargetMode="External"/><Relationship Id="rId11" Type="http://schemas.openxmlformats.org/officeDocument/2006/relationships/hyperlink" Target="http://www3.weforum.org/docs/WP_Shaping_ASEAN_Future_Readiness_report_2018.pdf" TargetMode="External"/><Relationship Id="rId5" Type="http://schemas.openxmlformats.org/officeDocument/2006/relationships/hyperlink" Target="https://www.wto.org/english/news_e/pres20_e/pr855_e.htm" TargetMode="External"/><Relationship Id="rId10" Type="http://schemas.openxmlformats.org/officeDocument/2006/relationships/hyperlink" Target="https://apps.fas.usda.gov/newgainapi/api/report/downloadreportbyfilename?filename=Grain%20and%20Feed%20Annual_Jakarta_Indonesia_3-26-2019.pdf" TargetMode="External"/><Relationship Id="rId4" Type="http://schemas.openxmlformats.org/officeDocument/2006/relationships/hyperlink" Target="https://trademinister.gov.au/speeches/Pages/2019/sb_sp_190304.aspx" TargetMode="External"/><Relationship Id="rId9" Type="http://schemas.openxmlformats.org/officeDocument/2006/relationships/hyperlink" Target="https://www.aegic.org.au/wp-content/uploads/2019/12/AEGIC-Bread-and-baked-goods-in-Indonesi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40C523-BB19-4287-9A24-980385B1EE35}" type="doc">
      <dgm:prSet loTypeId="urn:microsoft.com/office/officeart/2005/8/layout/venn1" loCatId="relationship" qsTypeId="urn:microsoft.com/office/officeart/2005/8/quickstyle/simple1" qsCatId="simple" csTypeId="urn:microsoft.com/office/officeart/2005/8/colors/accent1_2" csCatId="accent1" phldr="1"/>
      <dgm:spPr/>
    </dgm:pt>
    <dgm:pt modelId="{FC0CB0D7-6DC2-4AA4-A540-81DFCF3DABCF}">
      <dgm:prSet phldrT="[Text]" custT="1"/>
      <dgm:spPr>
        <a:xfrm>
          <a:off x="1985268" y="27082"/>
          <a:ext cx="1299962" cy="1299962"/>
        </a:xfr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AU"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Grains Value Chain Leadership</a:t>
          </a:r>
        </a:p>
      </dgm:t>
    </dgm:pt>
    <dgm:pt modelId="{21B868B8-FE85-4E05-BB7A-A0B8F46221C3}" type="parTrans" cxnId="{F4DC1FD7-A168-4AD0-841D-54237A5A3849}">
      <dgm:prSet/>
      <dgm:spPr/>
      <dgm:t>
        <a:bodyPr/>
        <a:lstStyle/>
        <a:p>
          <a:endParaRPr lang="en-AU" sz="900">
            <a:latin typeface="Arial" panose="020B0604020202020204" pitchFamily="34" charset="0"/>
            <a:cs typeface="Arial" panose="020B0604020202020204" pitchFamily="34" charset="0"/>
          </a:endParaRPr>
        </a:p>
      </dgm:t>
    </dgm:pt>
    <dgm:pt modelId="{649A26B8-8259-44C5-B185-421CD4E23DA0}" type="sibTrans" cxnId="{F4DC1FD7-A168-4AD0-841D-54237A5A3849}">
      <dgm:prSet/>
      <dgm:spPr/>
      <dgm:t>
        <a:bodyPr/>
        <a:lstStyle/>
        <a:p>
          <a:endParaRPr lang="en-AU" sz="900">
            <a:latin typeface="Arial" panose="020B0604020202020204" pitchFamily="34" charset="0"/>
            <a:cs typeface="Arial" panose="020B0604020202020204" pitchFamily="34" charset="0"/>
          </a:endParaRPr>
        </a:p>
      </dgm:t>
    </dgm:pt>
    <dgm:pt modelId="{9A6573F4-9BCC-412F-AF83-5AA77A334F30}">
      <dgm:prSet phldrT="[Text]" custT="1"/>
      <dgm:spPr>
        <a:xfrm>
          <a:off x="2454338" y="839559"/>
          <a:ext cx="1299962" cy="1299962"/>
        </a:xfr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AU"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Optimised Feed Grain</a:t>
          </a:r>
        </a:p>
      </dgm:t>
    </dgm:pt>
    <dgm:pt modelId="{4A8AE3D2-6591-480C-B310-7B8C2901174D}" type="parTrans" cxnId="{5031DDAD-30AF-4542-8D5F-6C37DCEFB8CC}">
      <dgm:prSet/>
      <dgm:spPr/>
      <dgm:t>
        <a:bodyPr/>
        <a:lstStyle/>
        <a:p>
          <a:endParaRPr lang="en-AU" sz="900">
            <a:latin typeface="Arial" panose="020B0604020202020204" pitchFamily="34" charset="0"/>
            <a:cs typeface="Arial" panose="020B0604020202020204" pitchFamily="34" charset="0"/>
          </a:endParaRPr>
        </a:p>
      </dgm:t>
    </dgm:pt>
    <dgm:pt modelId="{7C263D3C-4A33-43A8-A5D5-ABBC79EFE54E}" type="sibTrans" cxnId="{5031DDAD-30AF-4542-8D5F-6C37DCEFB8CC}">
      <dgm:prSet/>
      <dgm:spPr/>
      <dgm:t>
        <a:bodyPr/>
        <a:lstStyle/>
        <a:p>
          <a:endParaRPr lang="en-AU" sz="900">
            <a:latin typeface="Arial" panose="020B0604020202020204" pitchFamily="34" charset="0"/>
            <a:cs typeface="Arial" panose="020B0604020202020204" pitchFamily="34" charset="0"/>
          </a:endParaRPr>
        </a:p>
      </dgm:t>
    </dgm:pt>
    <dgm:pt modelId="{EB17A244-8D9A-49FC-9F3E-097386ACD9E6}">
      <dgm:prSet phldrT="[Text]" custT="1"/>
      <dgm:spPr>
        <a:xfrm>
          <a:off x="1516199" y="839559"/>
          <a:ext cx="1299962" cy="1299962"/>
        </a:xfr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AU" sz="9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Food Advantage</a:t>
          </a:r>
        </a:p>
      </dgm:t>
    </dgm:pt>
    <dgm:pt modelId="{8C5F9B7C-BC36-4BD3-8256-5FF6AD8D8A0C}" type="parTrans" cxnId="{E1470EA1-480B-4222-8D87-37E4AAAC2307}">
      <dgm:prSet/>
      <dgm:spPr/>
      <dgm:t>
        <a:bodyPr/>
        <a:lstStyle/>
        <a:p>
          <a:endParaRPr lang="en-AU" sz="900">
            <a:latin typeface="Arial" panose="020B0604020202020204" pitchFamily="34" charset="0"/>
            <a:cs typeface="Arial" panose="020B0604020202020204" pitchFamily="34" charset="0"/>
          </a:endParaRPr>
        </a:p>
      </dgm:t>
    </dgm:pt>
    <dgm:pt modelId="{0DD97A8E-CCDE-4212-BBC4-C3D81EC21F12}" type="sibTrans" cxnId="{E1470EA1-480B-4222-8D87-37E4AAAC2307}">
      <dgm:prSet/>
      <dgm:spPr/>
      <dgm:t>
        <a:bodyPr/>
        <a:lstStyle/>
        <a:p>
          <a:endParaRPr lang="en-AU" sz="900">
            <a:latin typeface="Arial" panose="020B0604020202020204" pitchFamily="34" charset="0"/>
            <a:cs typeface="Arial" panose="020B0604020202020204" pitchFamily="34" charset="0"/>
          </a:endParaRPr>
        </a:p>
      </dgm:t>
    </dgm:pt>
    <dgm:pt modelId="{A4B15371-DDA6-48D5-853C-3751F2EB28FB}" type="pres">
      <dgm:prSet presAssocID="{1440C523-BB19-4287-9A24-980385B1EE35}" presName="compositeShape" presStyleCnt="0">
        <dgm:presLayoutVars>
          <dgm:chMax val="7"/>
          <dgm:dir/>
          <dgm:resizeHandles val="exact"/>
        </dgm:presLayoutVars>
      </dgm:prSet>
      <dgm:spPr/>
    </dgm:pt>
    <dgm:pt modelId="{A050AB28-1D17-42F5-AF6F-274CA48C525C}" type="pres">
      <dgm:prSet presAssocID="{FC0CB0D7-6DC2-4AA4-A540-81DFCF3DABCF}" presName="circ1" presStyleLbl="vennNode1" presStyleIdx="0" presStyleCnt="3"/>
      <dgm:spPr>
        <a:prstGeom prst="ellipse">
          <a:avLst/>
        </a:prstGeom>
      </dgm:spPr>
      <dgm:t>
        <a:bodyPr/>
        <a:lstStyle/>
        <a:p>
          <a:endParaRPr lang="en-AU"/>
        </a:p>
      </dgm:t>
    </dgm:pt>
    <dgm:pt modelId="{665EFDC8-EE7E-414C-AE32-6768625BC773}" type="pres">
      <dgm:prSet presAssocID="{FC0CB0D7-6DC2-4AA4-A540-81DFCF3DABCF}" presName="circ1Tx" presStyleLbl="revTx" presStyleIdx="0" presStyleCnt="0">
        <dgm:presLayoutVars>
          <dgm:chMax val="0"/>
          <dgm:chPref val="0"/>
          <dgm:bulletEnabled val="1"/>
        </dgm:presLayoutVars>
      </dgm:prSet>
      <dgm:spPr/>
      <dgm:t>
        <a:bodyPr/>
        <a:lstStyle/>
        <a:p>
          <a:endParaRPr lang="en-AU"/>
        </a:p>
      </dgm:t>
    </dgm:pt>
    <dgm:pt modelId="{217134CC-B47C-4397-ADCA-DF155D634B6B}" type="pres">
      <dgm:prSet presAssocID="{9A6573F4-9BCC-412F-AF83-5AA77A334F30}" presName="circ2" presStyleLbl="vennNode1" presStyleIdx="1" presStyleCnt="3"/>
      <dgm:spPr>
        <a:prstGeom prst="ellipse">
          <a:avLst/>
        </a:prstGeom>
      </dgm:spPr>
      <dgm:t>
        <a:bodyPr/>
        <a:lstStyle/>
        <a:p>
          <a:endParaRPr lang="en-AU"/>
        </a:p>
      </dgm:t>
    </dgm:pt>
    <dgm:pt modelId="{889E228C-6049-4D16-A735-23DD9B63EC6A}" type="pres">
      <dgm:prSet presAssocID="{9A6573F4-9BCC-412F-AF83-5AA77A334F30}" presName="circ2Tx" presStyleLbl="revTx" presStyleIdx="0" presStyleCnt="0">
        <dgm:presLayoutVars>
          <dgm:chMax val="0"/>
          <dgm:chPref val="0"/>
          <dgm:bulletEnabled val="1"/>
        </dgm:presLayoutVars>
      </dgm:prSet>
      <dgm:spPr/>
      <dgm:t>
        <a:bodyPr/>
        <a:lstStyle/>
        <a:p>
          <a:endParaRPr lang="en-AU"/>
        </a:p>
      </dgm:t>
    </dgm:pt>
    <dgm:pt modelId="{A77A68B1-7BFF-49AD-A056-305ABAEAB147}" type="pres">
      <dgm:prSet presAssocID="{EB17A244-8D9A-49FC-9F3E-097386ACD9E6}" presName="circ3" presStyleLbl="vennNode1" presStyleIdx="2" presStyleCnt="3"/>
      <dgm:spPr>
        <a:prstGeom prst="ellipse">
          <a:avLst/>
        </a:prstGeom>
      </dgm:spPr>
      <dgm:t>
        <a:bodyPr/>
        <a:lstStyle/>
        <a:p>
          <a:endParaRPr lang="en-AU"/>
        </a:p>
      </dgm:t>
    </dgm:pt>
    <dgm:pt modelId="{74F2028A-15D9-47B1-ADD5-4C6656410FE7}" type="pres">
      <dgm:prSet presAssocID="{EB17A244-8D9A-49FC-9F3E-097386ACD9E6}" presName="circ3Tx" presStyleLbl="revTx" presStyleIdx="0" presStyleCnt="0">
        <dgm:presLayoutVars>
          <dgm:chMax val="0"/>
          <dgm:chPref val="0"/>
          <dgm:bulletEnabled val="1"/>
        </dgm:presLayoutVars>
      </dgm:prSet>
      <dgm:spPr/>
      <dgm:t>
        <a:bodyPr/>
        <a:lstStyle/>
        <a:p>
          <a:endParaRPr lang="en-AU"/>
        </a:p>
      </dgm:t>
    </dgm:pt>
  </dgm:ptLst>
  <dgm:cxnLst>
    <dgm:cxn modelId="{F4DC1FD7-A168-4AD0-841D-54237A5A3849}" srcId="{1440C523-BB19-4287-9A24-980385B1EE35}" destId="{FC0CB0D7-6DC2-4AA4-A540-81DFCF3DABCF}" srcOrd="0" destOrd="0" parTransId="{21B868B8-FE85-4E05-BB7A-A0B8F46221C3}" sibTransId="{649A26B8-8259-44C5-B185-421CD4E23DA0}"/>
    <dgm:cxn modelId="{00A068AF-76FD-4ED5-A9FA-CB8D706995B1}" type="presOf" srcId="{9A6573F4-9BCC-412F-AF83-5AA77A334F30}" destId="{889E228C-6049-4D16-A735-23DD9B63EC6A}" srcOrd="1" destOrd="0" presId="urn:microsoft.com/office/officeart/2005/8/layout/venn1"/>
    <dgm:cxn modelId="{BB8315C7-77AF-48EE-B158-25DC8CE53C23}" type="presOf" srcId="{9A6573F4-9BCC-412F-AF83-5AA77A334F30}" destId="{217134CC-B47C-4397-ADCA-DF155D634B6B}" srcOrd="0" destOrd="0" presId="urn:microsoft.com/office/officeart/2005/8/layout/venn1"/>
    <dgm:cxn modelId="{5031DDAD-30AF-4542-8D5F-6C37DCEFB8CC}" srcId="{1440C523-BB19-4287-9A24-980385B1EE35}" destId="{9A6573F4-9BCC-412F-AF83-5AA77A334F30}" srcOrd="1" destOrd="0" parTransId="{4A8AE3D2-6591-480C-B310-7B8C2901174D}" sibTransId="{7C263D3C-4A33-43A8-A5D5-ABBC79EFE54E}"/>
    <dgm:cxn modelId="{9650DF29-6318-4366-841A-B518E894A701}" type="presOf" srcId="{EB17A244-8D9A-49FC-9F3E-097386ACD9E6}" destId="{A77A68B1-7BFF-49AD-A056-305ABAEAB147}" srcOrd="0" destOrd="0" presId="urn:microsoft.com/office/officeart/2005/8/layout/venn1"/>
    <dgm:cxn modelId="{3058FF0D-6175-4E88-A2C3-6A4B9C6A829A}" type="presOf" srcId="{1440C523-BB19-4287-9A24-980385B1EE35}" destId="{A4B15371-DDA6-48D5-853C-3751F2EB28FB}" srcOrd="0" destOrd="0" presId="urn:microsoft.com/office/officeart/2005/8/layout/venn1"/>
    <dgm:cxn modelId="{E1470EA1-480B-4222-8D87-37E4AAAC2307}" srcId="{1440C523-BB19-4287-9A24-980385B1EE35}" destId="{EB17A244-8D9A-49FC-9F3E-097386ACD9E6}" srcOrd="2" destOrd="0" parTransId="{8C5F9B7C-BC36-4BD3-8256-5FF6AD8D8A0C}" sibTransId="{0DD97A8E-CCDE-4212-BBC4-C3D81EC21F12}"/>
    <dgm:cxn modelId="{97C05221-8706-4029-BB2C-BE57BF514A6B}" type="presOf" srcId="{EB17A244-8D9A-49FC-9F3E-097386ACD9E6}" destId="{74F2028A-15D9-47B1-ADD5-4C6656410FE7}" srcOrd="1" destOrd="0" presId="urn:microsoft.com/office/officeart/2005/8/layout/venn1"/>
    <dgm:cxn modelId="{CB8BDBC1-F79B-4A87-8F14-6779781E8031}" type="presOf" srcId="{FC0CB0D7-6DC2-4AA4-A540-81DFCF3DABCF}" destId="{A050AB28-1D17-42F5-AF6F-274CA48C525C}" srcOrd="0" destOrd="0" presId="urn:microsoft.com/office/officeart/2005/8/layout/venn1"/>
    <dgm:cxn modelId="{256C67B0-BFDD-44C8-8ECB-C55B007AB2B3}" type="presOf" srcId="{FC0CB0D7-6DC2-4AA4-A540-81DFCF3DABCF}" destId="{665EFDC8-EE7E-414C-AE32-6768625BC773}" srcOrd="1" destOrd="0" presId="urn:microsoft.com/office/officeart/2005/8/layout/venn1"/>
    <dgm:cxn modelId="{2606BF6E-CECC-4398-913E-FD10CD4DDEE7}" type="presParOf" srcId="{A4B15371-DDA6-48D5-853C-3751F2EB28FB}" destId="{A050AB28-1D17-42F5-AF6F-274CA48C525C}" srcOrd="0" destOrd="0" presId="urn:microsoft.com/office/officeart/2005/8/layout/venn1"/>
    <dgm:cxn modelId="{0C114E1E-2F32-466B-9C05-46A278E493F7}" type="presParOf" srcId="{A4B15371-DDA6-48D5-853C-3751F2EB28FB}" destId="{665EFDC8-EE7E-414C-AE32-6768625BC773}" srcOrd="1" destOrd="0" presId="urn:microsoft.com/office/officeart/2005/8/layout/venn1"/>
    <dgm:cxn modelId="{E9935B74-DE41-45BD-9280-7FB179833BDD}" type="presParOf" srcId="{A4B15371-DDA6-48D5-853C-3751F2EB28FB}" destId="{217134CC-B47C-4397-ADCA-DF155D634B6B}" srcOrd="2" destOrd="0" presId="urn:microsoft.com/office/officeart/2005/8/layout/venn1"/>
    <dgm:cxn modelId="{5D3EC693-2286-4F3E-96B8-7E2D34E26E5A}" type="presParOf" srcId="{A4B15371-DDA6-48D5-853C-3751F2EB28FB}" destId="{889E228C-6049-4D16-A735-23DD9B63EC6A}" srcOrd="3" destOrd="0" presId="urn:microsoft.com/office/officeart/2005/8/layout/venn1"/>
    <dgm:cxn modelId="{60645324-AE7C-477B-A38C-1772673654FC}" type="presParOf" srcId="{A4B15371-DDA6-48D5-853C-3751F2EB28FB}" destId="{A77A68B1-7BFF-49AD-A056-305ABAEAB147}" srcOrd="4" destOrd="0" presId="urn:microsoft.com/office/officeart/2005/8/layout/venn1"/>
    <dgm:cxn modelId="{E1958F94-60C8-40C7-A377-E9989621D782}" type="presParOf" srcId="{A4B15371-DDA6-48D5-853C-3751F2EB28FB}" destId="{74F2028A-15D9-47B1-ADD5-4C6656410FE7}" srcOrd="5" destOrd="0" presId="urn:microsoft.com/office/officeart/2005/8/layout/venn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50AB28-1D17-42F5-AF6F-274CA48C525C}">
      <dsp:nvSpPr>
        <dsp:cNvPr id="0" name=""/>
        <dsp:cNvSpPr/>
      </dsp:nvSpPr>
      <dsp:spPr>
        <a:xfrm>
          <a:off x="1162905" y="27074"/>
          <a:ext cx="1299591" cy="1299591"/>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buNone/>
          </a:pPr>
          <a:r>
            <a:rPr lang="en-AU"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Grains Value Chain Leadership</a:t>
          </a:r>
        </a:p>
      </dsp:txBody>
      <dsp:txXfrm>
        <a:off x="1336184" y="254503"/>
        <a:ext cx="953033" cy="584815"/>
      </dsp:txXfrm>
    </dsp:sp>
    <dsp:sp modelId="{217134CC-B47C-4397-ADCA-DF155D634B6B}">
      <dsp:nvSpPr>
        <dsp:cNvPr id="0" name=""/>
        <dsp:cNvSpPr/>
      </dsp:nvSpPr>
      <dsp:spPr>
        <a:xfrm>
          <a:off x="1631841" y="839319"/>
          <a:ext cx="1299591" cy="1299591"/>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buNone/>
          </a:pPr>
          <a:r>
            <a:rPr lang="en-AU"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Optimised Feed Grain</a:t>
          </a:r>
        </a:p>
      </dsp:txBody>
      <dsp:txXfrm>
        <a:off x="2029300" y="1175046"/>
        <a:ext cx="779754" cy="714775"/>
      </dsp:txXfrm>
    </dsp:sp>
    <dsp:sp modelId="{A77A68B1-7BFF-49AD-A056-305ABAEAB147}">
      <dsp:nvSpPr>
        <dsp:cNvPr id="0" name=""/>
        <dsp:cNvSpPr/>
      </dsp:nvSpPr>
      <dsp:spPr>
        <a:xfrm>
          <a:off x="693970" y="839319"/>
          <a:ext cx="1299591" cy="1299591"/>
        </a:xfrm>
        <a:prstGeom prst="ellipse">
          <a:avLst/>
        </a:prstGeom>
        <a:solidFill>
          <a:srgbClr val="4F81BD">
            <a:alpha val="50000"/>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buNone/>
          </a:pPr>
          <a:r>
            <a:rPr lang="en-AU" sz="9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Food Advantage</a:t>
          </a:r>
        </a:p>
      </dsp:txBody>
      <dsp:txXfrm>
        <a:off x="816348" y="1175046"/>
        <a:ext cx="779754" cy="714775"/>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10" ma:contentTypeDescription="Create a new document." ma:contentTypeScope="" ma:versionID="6720885aaee26eeb397d87d8e4d39054">
  <xsd:schema xmlns:xsd="http://www.w3.org/2001/XMLSchema" xmlns:xs="http://www.w3.org/2001/XMLSchema" xmlns:p="http://schemas.microsoft.com/office/2006/metadata/properties" xmlns:ns2="add73ec2-c5fa-4fd3-8424-81af2714d9e8" xmlns:ns3="9d008163-efe8-41c9-8a6e-39d389fb6c27" targetNamespace="http://schemas.microsoft.com/office/2006/metadata/properties" ma:root="true" ma:fieldsID="3300739505b92d0ac31cf427b4b70037" ns2:_="" ns3:_="">
    <xsd:import namespace="add73ec2-c5fa-4fd3-8424-81af2714d9e8"/>
    <xsd:import namespace="9d008163-efe8-41c9-8a6e-39d389fb6c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44247-E197-43B4-94E7-906BD15FE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14FE92-9335-48C1-96CD-5E07DF5DDEB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add73ec2-c5fa-4fd3-8424-81af2714d9e8"/>
    <ds:schemaRef ds:uri="http://schemas.microsoft.com/office/2006/documentManagement/types"/>
    <ds:schemaRef ds:uri="http://purl.org/dc/terms/"/>
    <ds:schemaRef ds:uri="9d008163-efe8-41c9-8a6e-39d389fb6c27"/>
    <ds:schemaRef ds:uri="http://www.w3.org/XML/1998/namespace"/>
  </ds:schemaRefs>
</ds:datastoreItem>
</file>

<file path=customXml/itemProps3.xml><?xml version="1.0" encoding="utf-8"?>
<ds:datastoreItem xmlns:ds="http://schemas.openxmlformats.org/officeDocument/2006/customXml" ds:itemID="{75AA6215-8C69-48FD-9267-8C95E64907EB}">
  <ds:schemaRefs>
    <ds:schemaRef ds:uri="http://schemas.microsoft.com/sharepoint/v3/contenttype/forms"/>
  </ds:schemaRefs>
</ds:datastoreItem>
</file>

<file path=customXml/itemProps4.xml><?xml version="1.0" encoding="utf-8"?>
<ds:datastoreItem xmlns:ds="http://schemas.openxmlformats.org/officeDocument/2006/customXml" ds:itemID="{329C8664-D220-4AB9-A30C-E16BB0EE9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73</Pages>
  <Words>37474</Words>
  <Characters>213604</Characters>
  <Application>Microsoft Office Word</Application>
  <DocSecurity>0</DocSecurity>
  <Lines>1780</Lines>
  <Paragraphs>501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250577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2020-05-11T01:48:00Z</dcterms:created>
  <dcterms:modified xsi:type="dcterms:W3CDTF">2020-05-20T12:08:00Z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f7a345d1-f439-402e-bf11-698c68bf60c0</vt:lpwstr>
  </property>
  <property fmtid="{D5CDD505-2E9C-101B-9397-08002B2CF9AE}" pid="3" name="SEC">
    <vt:lpwstr>No Security Classification Required</vt:lpwstr>
  </property>
  <property fmtid="{D5CDD505-2E9C-101B-9397-08002B2CF9AE}" pid="4" name="DLM">
    <vt:lpwstr>For-Official-Use-Only</vt:lpwstr>
  </property>
  <property fmtid="{D5CDD505-2E9C-101B-9397-08002B2CF9AE}" pid="5" name="Order">
    <vt:i4>1204800</vt:i4>
  </property>
  <property fmtid="{D5CDD505-2E9C-101B-9397-08002B2CF9AE}" pid="6" name="xd_Signature">
    <vt:bool>false</vt:bool>
  </property>
  <property fmtid="{D5CDD505-2E9C-101B-9397-08002B2CF9AE}" pid="7" name="xd_ProgID">
    <vt:lpwstr/>
  </property>
  <property fmtid="{D5CDD505-2E9C-101B-9397-08002B2CF9AE}" pid="8" name="ContentTypeId">
    <vt:lpwstr>0x01010085541A90C2B1EB4FA6FF32C97F5625AE</vt:lpwstr>
  </property>
  <property fmtid="{D5CDD505-2E9C-101B-9397-08002B2CF9AE}" pid="9" name="TemplateUrl">
    <vt:lpwstr/>
  </property>
</Properties>
</file>