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5.xml" ContentType="application/vnd.openxmlformats-officedocument.wordprocessingml.foot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60050F" w14:textId="77777777" w:rsidR="006952E7" w:rsidRPr="00F024F7" w:rsidRDefault="006952E7" w:rsidP="006952E7">
      <w:pPr>
        <w:pStyle w:val="DocName"/>
        <w:pBdr>
          <w:top w:val="single" w:sz="4" w:space="12" w:color="FF9900"/>
          <w:bottom w:val="single" w:sz="4" w:space="9" w:color="FF9900"/>
        </w:pBdr>
        <w:shd w:val="clear" w:color="auto" w:fill="FFFFCC"/>
        <w:spacing w:line="360" w:lineRule="auto"/>
        <w:jc w:val="left"/>
        <w:rPr>
          <w:rFonts w:ascii="Calibri" w:hAnsi="Calibri"/>
          <w:b w:val="0"/>
          <w:sz w:val="24"/>
          <w:lang w:eastAsia="en-AU"/>
        </w:rPr>
      </w:pPr>
      <w:bookmarkStart w:id="0" w:name="_Toc274825237"/>
      <w:bookmarkStart w:id="1" w:name="_Toc273537032"/>
      <w:bookmarkStart w:id="2" w:name="_Toc273536621"/>
      <w:bookmarkStart w:id="3" w:name="_Toc270404018"/>
      <w:r>
        <w:rPr>
          <w:rFonts w:ascii="Calibri" w:hAnsi="Calibri"/>
          <w:b w:val="0"/>
          <w:noProof/>
          <w:lang w:eastAsia="en-AU"/>
        </w:rPr>
        <w:drawing>
          <wp:inline distT="0" distB="0" distL="0" distR="0" wp14:anchorId="1D84AD08" wp14:editId="05EED497">
            <wp:extent cx="2514600" cy="438150"/>
            <wp:effectExtent l="19050" t="0" r="0" b="0"/>
            <wp:docPr id="1"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9"/>
                    <a:srcRect/>
                    <a:stretch>
                      <a:fillRect/>
                    </a:stretch>
                  </pic:blipFill>
                  <pic:spPr bwMode="auto">
                    <a:xfrm>
                      <a:off x="0" y="0"/>
                      <a:ext cx="2514600" cy="438150"/>
                    </a:xfrm>
                    <a:prstGeom prst="rect">
                      <a:avLst/>
                    </a:prstGeom>
                    <a:noFill/>
                    <a:ln w="9525">
                      <a:noFill/>
                      <a:miter lim="800000"/>
                      <a:headEnd/>
                      <a:tailEnd/>
                    </a:ln>
                  </pic:spPr>
                </pic:pic>
              </a:graphicData>
            </a:graphic>
          </wp:inline>
        </w:drawing>
      </w:r>
    </w:p>
    <w:p w14:paraId="03AEF9CD" w14:textId="77777777" w:rsidR="006952E7" w:rsidRPr="00F024F7" w:rsidRDefault="006952E7" w:rsidP="006952E7">
      <w:pPr>
        <w:pStyle w:val="DocName"/>
        <w:pBdr>
          <w:top w:val="single" w:sz="4" w:space="12" w:color="FF9900"/>
          <w:bottom w:val="single" w:sz="4" w:space="9" w:color="FF9900"/>
        </w:pBdr>
        <w:shd w:val="clear" w:color="auto" w:fill="FFFFCC"/>
        <w:spacing w:before="240" w:line="360" w:lineRule="auto"/>
        <w:rPr>
          <w:rFonts w:ascii="Calibri" w:hAnsi="Calibri"/>
          <w:b w:val="0"/>
          <w:sz w:val="24"/>
          <w:lang w:eastAsia="en-AU"/>
        </w:rPr>
      </w:pPr>
      <w:bookmarkStart w:id="4" w:name="_GoBack"/>
      <w:r w:rsidRPr="00F024F7">
        <w:rPr>
          <w:rFonts w:ascii="Calibri" w:hAnsi="Calibri"/>
          <w:b w:val="0"/>
          <w:sz w:val="24"/>
          <w:lang w:eastAsia="en-AU"/>
        </w:rPr>
        <w:t xml:space="preserve">Investment Design Document </w:t>
      </w:r>
    </w:p>
    <w:bookmarkEnd w:id="4"/>
    <w:p w14:paraId="6AB1EFC8" w14:textId="77777777" w:rsidR="006952E7" w:rsidRPr="00F024F7" w:rsidRDefault="006952E7" w:rsidP="006952E7">
      <w:pPr>
        <w:pStyle w:val="DocName"/>
        <w:pBdr>
          <w:top w:val="single" w:sz="4" w:space="12" w:color="FF9900"/>
          <w:bottom w:val="single" w:sz="4" w:space="9" w:color="FF9900"/>
        </w:pBdr>
        <w:shd w:val="clear" w:color="auto" w:fill="FFFFCC"/>
        <w:spacing w:line="360" w:lineRule="auto"/>
        <w:rPr>
          <w:rFonts w:ascii="Calibri" w:hAnsi="Calibri"/>
          <w:b w:val="0"/>
          <w:sz w:val="24"/>
          <w:lang w:eastAsia="en-AU"/>
        </w:rPr>
      </w:pPr>
      <w:r w:rsidRPr="00F024F7">
        <w:rPr>
          <w:rFonts w:ascii="Calibri" w:hAnsi="Calibri"/>
          <w:b w:val="0"/>
          <w:sz w:val="24"/>
          <w:lang w:eastAsia="en-AU"/>
        </w:rPr>
        <w:t>for</w:t>
      </w:r>
    </w:p>
    <w:p w14:paraId="4748C258" w14:textId="01D5DA92" w:rsidR="006952E7" w:rsidRPr="00F024F7" w:rsidRDefault="006952E7" w:rsidP="006952E7">
      <w:pPr>
        <w:pStyle w:val="DocName"/>
        <w:pBdr>
          <w:top w:val="single" w:sz="4" w:space="12" w:color="FF9900"/>
          <w:bottom w:val="single" w:sz="4" w:space="9" w:color="FF9900"/>
        </w:pBdr>
        <w:shd w:val="clear" w:color="auto" w:fill="FFFFCC"/>
        <w:spacing w:line="360" w:lineRule="auto"/>
        <w:rPr>
          <w:rFonts w:ascii="Calibri" w:hAnsi="Calibri"/>
          <w:b w:val="0"/>
          <w:sz w:val="24"/>
          <w:lang w:eastAsia="en-AU"/>
        </w:rPr>
      </w:pPr>
      <w:r w:rsidRPr="00F024F7">
        <w:rPr>
          <w:rFonts w:ascii="Calibri" w:hAnsi="Calibri"/>
          <w:b w:val="0"/>
          <w:sz w:val="24"/>
          <w:lang w:eastAsia="en-AU"/>
        </w:rPr>
        <w:t xml:space="preserve">Papua New Guinea </w:t>
      </w:r>
      <w:r>
        <w:rPr>
          <w:rFonts w:ascii="Calibri" w:hAnsi="Calibri"/>
          <w:b w:val="0"/>
          <w:sz w:val="24"/>
          <w:lang w:eastAsia="en-AU"/>
        </w:rPr>
        <w:t xml:space="preserve">Quality and Technical </w:t>
      </w:r>
      <w:r w:rsidR="00626981">
        <w:rPr>
          <w:rFonts w:ascii="Calibri" w:hAnsi="Calibri"/>
          <w:b w:val="0"/>
          <w:sz w:val="24"/>
          <w:lang w:eastAsia="en-AU"/>
        </w:rPr>
        <w:t>Assurance</w:t>
      </w:r>
      <w:r>
        <w:rPr>
          <w:rFonts w:ascii="Calibri" w:hAnsi="Calibri"/>
          <w:b w:val="0"/>
          <w:sz w:val="24"/>
          <w:lang w:eastAsia="en-AU"/>
        </w:rPr>
        <w:t xml:space="preserve"> Group (</w:t>
      </w:r>
      <w:r w:rsidR="00DC0FDC">
        <w:rPr>
          <w:rFonts w:ascii="Calibri" w:hAnsi="Calibri"/>
          <w:b w:val="0"/>
          <w:sz w:val="24"/>
          <w:lang w:eastAsia="en-AU"/>
        </w:rPr>
        <w:t>QTAG</w:t>
      </w:r>
      <w:r>
        <w:rPr>
          <w:rFonts w:ascii="Calibri" w:hAnsi="Calibri"/>
          <w:b w:val="0"/>
          <w:sz w:val="24"/>
          <w:lang w:eastAsia="en-AU"/>
        </w:rPr>
        <w:t>)</w:t>
      </w:r>
    </w:p>
    <w:p w14:paraId="4D547905" w14:textId="77777777" w:rsidR="006952E7" w:rsidRPr="00F024F7" w:rsidRDefault="006952E7" w:rsidP="006952E7">
      <w:pPr>
        <w:pStyle w:val="BodyText"/>
        <w:rPr>
          <w:rFonts w:ascii="Calibri" w:hAnsi="Calibri"/>
        </w:rPr>
      </w:pPr>
    </w:p>
    <w:tbl>
      <w:tblPr>
        <w:tblpPr w:leftFromText="180" w:rightFromText="180" w:vertAnchor="text" w:horzAnchor="margin" w:tblpXSpec="center" w:tblpY="225"/>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bottom w:w="57" w:type="dxa"/>
        </w:tblCellMar>
        <w:tblLook w:val="01E0" w:firstRow="1" w:lastRow="1" w:firstColumn="1" w:lastColumn="1" w:noHBand="0" w:noVBand="0"/>
      </w:tblPr>
      <w:tblGrid>
        <w:gridCol w:w="9628"/>
      </w:tblGrid>
      <w:tr w:rsidR="006952E7" w:rsidRPr="005C3EBC" w14:paraId="4D554D25" w14:textId="77777777" w:rsidTr="00036BBE">
        <w:trPr>
          <w:cantSplit/>
          <w:trHeight w:val="289"/>
        </w:trPr>
        <w:tc>
          <w:tcPr>
            <w:tcW w:w="5000" w:type="pct"/>
            <w:tcBorders>
              <w:bottom w:val="single" w:sz="4" w:space="0" w:color="808080"/>
            </w:tcBorders>
            <w:shd w:val="clear" w:color="auto" w:fill="FFFF99"/>
          </w:tcPr>
          <w:p w14:paraId="3CB3807F" w14:textId="43AA1BE4" w:rsidR="006952E7" w:rsidRPr="00F024F7" w:rsidRDefault="006952E7" w:rsidP="007A66B6">
            <w:pPr>
              <w:spacing w:before="60"/>
              <w:rPr>
                <w:rFonts w:ascii="Calibri" w:hAnsi="Calibri"/>
                <w:i/>
              </w:rPr>
            </w:pPr>
            <w:r>
              <w:rPr>
                <w:rFonts w:ascii="Calibri" w:hAnsi="Calibri"/>
                <w:szCs w:val="22"/>
              </w:rPr>
              <w:t>PNG</w:t>
            </w:r>
            <w:r w:rsidRPr="00F024F7">
              <w:rPr>
                <w:rFonts w:ascii="Calibri" w:hAnsi="Calibri"/>
                <w:szCs w:val="22"/>
              </w:rPr>
              <w:t xml:space="preserve"> </w:t>
            </w:r>
            <w:r>
              <w:rPr>
                <w:rFonts w:ascii="Calibri" w:hAnsi="Calibri"/>
                <w:szCs w:val="22"/>
              </w:rPr>
              <w:t xml:space="preserve">Quality and Technical </w:t>
            </w:r>
            <w:r w:rsidR="00626981">
              <w:rPr>
                <w:rFonts w:ascii="Calibri" w:hAnsi="Calibri"/>
                <w:szCs w:val="22"/>
              </w:rPr>
              <w:t>Assurance</w:t>
            </w:r>
            <w:r>
              <w:rPr>
                <w:rFonts w:ascii="Calibri" w:hAnsi="Calibri"/>
                <w:szCs w:val="22"/>
              </w:rPr>
              <w:t xml:space="preserve"> Group</w:t>
            </w:r>
            <w:r w:rsidRPr="00F024F7">
              <w:rPr>
                <w:rFonts w:ascii="Calibri" w:hAnsi="Calibri"/>
                <w:szCs w:val="22"/>
              </w:rPr>
              <w:t xml:space="preserve"> (</w:t>
            </w:r>
            <w:r w:rsidR="00DC0FDC">
              <w:rPr>
                <w:rFonts w:ascii="Calibri" w:hAnsi="Calibri"/>
                <w:szCs w:val="22"/>
              </w:rPr>
              <w:t>QTAG</w:t>
            </w:r>
            <w:r w:rsidRPr="00F024F7">
              <w:rPr>
                <w:rFonts w:ascii="Calibri" w:hAnsi="Calibri"/>
                <w:szCs w:val="22"/>
              </w:rPr>
              <w:t xml:space="preserve">) </w:t>
            </w:r>
          </w:p>
        </w:tc>
      </w:tr>
      <w:tr w:rsidR="006952E7" w:rsidRPr="005C3EBC" w14:paraId="52430E8F" w14:textId="77777777" w:rsidTr="00036BBE">
        <w:tblPrEx>
          <w:shd w:val="clear" w:color="auto" w:fill="FFFFFF"/>
          <w:tblCellMar>
            <w:top w:w="28" w:type="dxa"/>
            <w:bottom w:w="28" w:type="dxa"/>
          </w:tblCellMar>
        </w:tblPrEx>
        <w:trPr>
          <w:cantSplit/>
          <w:trHeight w:val="360"/>
        </w:trPr>
        <w:tc>
          <w:tcPr>
            <w:tcW w:w="5000" w:type="pct"/>
            <w:tcBorders>
              <w:top w:val="single" w:sz="4" w:space="0" w:color="808080"/>
              <w:left w:val="single" w:sz="4" w:space="0" w:color="808080"/>
              <w:bottom w:val="single" w:sz="4" w:space="0" w:color="808080"/>
              <w:right w:val="single" w:sz="4" w:space="0" w:color="808080"/>
            </w:tcBorders>
            <w:shd w:val="clear" w:color="auto" w:fill="FFFFCC"/>
          </w:tcPr>
          <w:p w14:paraId="5C7D6971" w14:textId="5820A716" w:rsidR="006952E7" w:rsidRPr="00F024F7" w:rsidRDefault="006952E7" w:rsidP="007A66B6">
            <w:pPr>
              <w:spacing w:before="60"/>
              <w:rPr>
                <w:rFonts w:ascii="Calibri" w:hAnsi="Calibri"/>
              </w:rPr>
            </w:pPr>
            <w:r w:rsidRPr="00F024F7">
              <w:rPr>
                <w:rFonts w:ascii="Calibri" w:hAnsi="Calibri"/>
                <w:szCs w:val="22"/>
              </w:rPr>
              <w:t xml:space="preserve">Start </w:t>
            </w:r>
            <w:r w:rsidRPr="007A66B6">
              <w:rPr>
                <w:rFonts w:ascii="Calibri" w:hAnsi="Calibri"/>
                <w:szCs w:val="22"/>
              </w:rPr>
              <w:t xml:space="preserve">date: </w:t>
            </w:r>
            <w:r w:rsidR="00C80576" w:rsidRPr="007A66B6">
              <w:rPr>
                <w:rFonts w:ascii="Calibri" w:hAnsi="Calibri"/>
                <w:szCs w:val="22"/>
              </w:rPr>
              <w:t>J</w:t>
            </w:r>
            <w:r w:rsidR="007A66B6" w:rsidRPr="007A66B6">
              <w:rPr>
                <w:rFonts w:ascii="Calibri" w:hAnsi="Calibri"/>
                <w:szCs w:val="22"/>
              </w:rPr>
              <w:t xml:space="preserve">anuary </w:t>
            </w:r>
            <w:r w:rsidR="00C80576" w:rsidRPr="007A66B6">
              <w:rPr>
                <w:rFonts w:ascii="Calibri" w:hAnsi="Calibri"/>
                <w:szCs w:val="22"/>
              </w:rPr>
              <w:t>201</w:t>
            </w:r>
            <w:r w:rsidR="007A66B6" w:rsidRPr="007A66B6">
              <w:rPr>
                <w:rFonts w:ascii="Calibri" w:hAnsi="Calibri"/>
                <w:szCs w:val="22"/>
              </w:rPr>
              <w:t>8</w:t>
            </w:r>
            <w:r w:rsidRPr="007A66B6">
              <w:rPr>
                <w:rFonts w:ascii="Calibri" w:hAnsi="Calibri"/>
                <w:szCs w:val="22"/>
              </w:rPr>
              <w:tab/>
              <w:t>End</w:t>
            </w:r>
            <w:r w:rsidRPr="00F024F7">
              <w:rPr>
                <w:rFonts w:ascii="Calibri" w:hAnsi="Calibri"/>
                <w:szCs w:val="22"/>
              </w:rPr>
              <w:t xml:space="preserve"> Date: </w:t>
            </w:r>
            <w:r w:rsidR="007A66B6">
              <w:rPr>
                <w:rFonts w:ascii="Calibri" w:hAnsi="Calibri"/>
                <w:szCs w:val="22"/>
              </w:rPr>
              <w:t>December</w:t>
            </w:r>
            <w:r w:rsidR="00C80576">
              <w:rPr>
                <w:rFonts w:ascii="Calibri" w:hAnsi="Calibri"/>
                <w:szCs w:val="22"/>
              </w:rPr>
              <w:t xml:space="preserve"> 202</w:t>
            </w:r>
            <w:r w:rsidR="007A66B6">
              <w:rPr>
                <w:rFonts w:ascii="Calibri" w:hAnsi="Calibri"/>
                <w:szCs w:val="22"/>
              </w:rPr>
              <w:t>0</w:t>
            </w:r>
            <w:r w:rsidR="00C80576">
              <w:rPr>
                <w:rFonts w:ascii="Calibri" w:hAnsi="Calibri"/>
                <w:szCs w:val="22"/>
              </w:rPr>
              <w:t xml:space="preserve"> (</w:t>
            </w:r>
            <w:r w:rsidR="007A66B6">
              <w:rPr>
                <w:rFonts w:ascii="Calibri" w:hAnsi="Calibri"/>
                <w:szCs w:val="22"/>
              </w:rPr>
              <w:t xml:space="preserve">plus </w:t>
            </w:r>
            <w:r w:rsidR="00C80576">
              <w:rPr>
                <w:rFonts w:ascii="Calibri" w:hAnsi="Calibri"/>
                <w:szCs w:val="22"/>
              </w:rPr>
              <w:t xml:space="preserve">options </w:t>
            </w:r>
            <w:r w:rsidR="007A66B6">
              <w:rPr>
                <w:rFonts w:ascii="Calibri" w:hAnsi="Calibri"/>
                <w:szCs w:val="22"/>
              </w:rPr>
              <w:t>to extend)</w:t>
            </w:r>
          </w:p>
        </w:tc>
      </w:tr>
      <w:tr w:rsidR="006952E7" w:rsidRPr="005C3EBC" w14:paraId="170B0139" w14:textId="77777777" w:rsidTr="00036BBE">
        <w:tblPrEx>
          <w:shd w:val="clear" w:color="auto" w:fill="FFFFFF"/>
          <w:tblCellMar>
            <w:top w:w="28" w:type="dxa"/>
            <w:bottom w:w="28" w:type="dxa"/>
          </w:tblCellMar>
        </w:tblPrEx>
        <w:trPr>
          <w:cantSplit/>
          <w:trHeight w:val="360"/>
        </w:trPr>
        <w:tc>
          <w:tcPr>
            <w:tcW w:w="5000" w:type="pct"/>
            <w:tcBorders>
              <w:top w:val="single" w:sz="4" w:space="0" w:color="808080"/>
              <w:left w:val="single" w:sz="4" w:space="0" w:color="808080"/>
              <w:bottom w:val="single" w:sz="4" w:space="0" w:color="808080"/>
              <w:right w:val="single" w:sz="4" w:space="0" w:color="808080"/>
            </w:tcBorders>
            <w:shd w:val="clear" w:color="auto" w:fill="FFFFCC"/>
          </w:tcPr>
          <w:p w14:paraId="71925D1C" w14:textId="68C65B2B" w:rsidR="006952E7" w:rsidRPr="00F024F7" w:rsidRDefault="006952E7" w:rsidP="00F76E6D">
            <w:pPr>
              <w:spacing w:before="60"/>
              <w:rPr>
                <w:rFonts w:ascii="Calibri" w:hAnsi="Calibri"/>
              </w:rPr>
            </w:pPr>
            <w:r w:rsidRPr="00F024F7">
              <w:rPr>
                <w:rFonts w:ascii="Calibri" w:hAnsi="Calibri"/>
                <w:szCs w:val="22"/>
              </w:rPr>
              <w:t xml:space="preserve">Proposed funding allocation: </w:t>
            </w:r>
            <w:r w:rsidR="00C80576">
              <w:rPr>
                <w:rFonts w:ascii="Calibri" w:hAnsi="Calibri"/>
                <w:i/>
                <w:szCs w:val="22"/>
              </w:rPr>
              <w:t xml:space="preserve">approximately </w:t>
            </w:r>
            <w:r w:rsidR="008704FF" w:rsidRPr="00606763">
              <w:rPr>
                <w:rFonts w:ascii="Calibri" w:hAnsi="Calibri"/>
                <w:i/>
                <w:szCs w:val="22"/>
              </w:rPr>
              <w:t xml:space="preserve">$ </w:t>
            </w:r>
            <w:r w:rsidR="00F76E6D">
              <w:rPr>
                <w:rFonts w:ascii="Calibri" w:hAnsi="Calibri"/>
                <w:i/>
                <w:szCs w:val="22"/>
              </w:rPr>
              <w:t>3,70</w:t>
            </w:r>
            <w:r w:rsidR="00895F5E">
              <w:rPr>
                <w:rFonts w:ascii="Calibri" w:hAnsi="Calibri"/>
                <w:i/>
                <w:szCs w:val="22"/>
              </w:rPr>
              <w:t>0,000</w:t>
            </w:r>
            <w:r w:rsidR="008704FF" w:rsidRPr="00606763">
              <w:rPr>
                <w:rFonts w:ascii="Calibri" w:hAnsi="Calibri"/>
                <w:i/>
                <w:szCs w:val="22"/>
              </w:rPr>
              <w:t xml:space="preserve"> million over </w:t>
            </w:r>
            <w:r w:rsidR="00F76E6D">
              <w:rPr>
                <w:rFonts w:ascii="Calibri" w:hAnsi="Calibri"/>
                <w:i/>
                <w:szCs w:val="22"/>
              </w:rPr>
              <w:t>three</w:t>
            </w:r>
            <w:r w:rsidR="008704FF" w:rsidRPr="00606763">
              <w:rPr>
                <w:rFonts w:ascii="Calibri" w:hAnsi="Calibri"/>
                <w:i/>
                <w:szCs w:val="22"/>
              </w:rPr>
              <w:t xml:space="preserve"> years</w:t>
            </w:r>
          </w:p>
        </w:tc>
      </w:tr>
    </w:tbl>
    <w:p w14:paraId="142A671B" w14:textId="77777777" w:rsidR="006952E7" w:rsidRPr="00F024F7" w:rsidRDefault="006952E7" w:rsidP="006952E7">
      <w:pPr>
        <w:rPr>
          <w:rFonts w:ascii="Calibri" w:hAnsi="Calibri"/>
          <w:lang w:eastAsia="en-AU"/>
        </w:rPr>
      </w:pPr>
    </w:p>
    <w:p w14:paraId="39C22364" w14:textId="77777777" w:rsidR="006952E7" w:rsidRPr="00F024F7" w:rsidRDefault="006952E7" w:rsidP="006952E7">
      <w:pPr>
        <w:autoSpaceDE w:val="0"/>
        <w:autoSpaceDN w:val="0"/>
        <w:adjustRightInd w:val="0"/>
        <w:spacing w:before="0"/>
        <w:rPr>
          <w:rFonts w:ascii="Calibri" w:eastAsia="Calibri" w:hAnsi="Calibri"/>
          <w:sz w:val="24"/>
          <w:lang w:val="en-GB" w:eastAsia="ja-JP"/>
        </w:rPr>
      </w:pPr>
      <w:r w:rsidRPr="00F024F7">
        <w:rPr>
          <w:rFonts w:ascii="Calibri" w:eastAsia="Calibri" w:hAnsi="Calibri"/>
          <w:sz w:val="24"/>
          <w:lang w:val="en-GB" w:eastAsia="ja-JP"/>
        </w:rPr>
        <w:t>List of Acronyms</w:t>
      </w:r>
    </w:p>
    <w:p w14:paraId="67D49016" w14:textId="77777777" w:rsidR="006952E7" w:rsidRPr="00F024F7" w:rsidRDefault="006952E7" w:rsidP="006952E7">
      <w:pPr>
        <w:autoSpaceDE w:val="0"/>
        <w:autoSpaceDN w:val="0"/>
        <w:adjustRightInd w:val="0"/>
        <w:spacing w:before="0"/>
        <w:rPr>
          <w:rFonts w:ascii="Calibri" w:eastAsia="Calibri" w:hAnsi="Calibri"/>
          <w:sz w:val="24"/>
          <w:lang w:val="en-GB" w:eastAsia="ja-JP"/>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40" w:type="dxa"/>
          <w:bottom w:w="40" w:type="dxa"/>
        </w:tblCellMar>
        <w:tblLook w:val="04A0" w:firstRow="1" w:lastRow="0" w:firstColumn="1" w:lastColumn="0" w:noHBand="0" w:noVBand="1"/>
      </w:tblPr>
      <w:tblGrid>
        <w:gridCol w:w="3369"/>
        <w:gridCol w:w="5528"/>
      </w:tblGrid>
      <w:tr w:rsidR="006952E7" w:rsidRPr="005C3EBC" w14:paraId="4AAECD59" w14:textId="77777777" w:rsidTr="00036BBE">
        <w:tc>
          <w:tcPr>
            <w:tcW w:w="3369" w:type="dxa"/>
            <w:shd w:val="clear" w:color="auto" w:fill="666666"/>
          </w:tcPr>
          <w:p w14:paraId="60A8973F" w14:textId="77777777" w:rsidR="006952E7" w:rsidRPr="00F024F7" w:rsidRDefault="006952E7" w:rsidP="00036BBE">
            <w:pPr>
              <w:spacing w:before="0"/>
              <w:rPr>
                <w:rFonts w:ascii="Calibri" w:eastAsia="Calibri" w:hAnsi="Calibri"/>
                <w:color w:val="FFFFFF"/>
                <w:sz w:val="22"/>
                <w:lang w:val="en-GB" w:eastAsia="ja-JP"/>
              </w:rPr>
            </w:pPr>
          </w:p>
        </w:tc>
        <w:tc>
          <w:tcPr>
            <w:tcW w:w="5528" w:type="dxa"/>
            <w:shd w:val="clear" w:color="auto" w:fill="666666"/>
          </w:tcPr>
          <w:p w14:paraId="3EBF445F" w14:textId="77777777" w:rsidR="006952E7" w:rsidRPr="00F024F7" w:rsidRDefault="006952E7" w:rsidP="00036BBE">
            <w:pPr>
              <w:spacing w:before="0"/>
              <w:rPr>
                <w:rFonts w:ascii="Calibri" w:eastAsia="Calibri" w:hAnsi="Calibri"/>
                <w:color w:val="FFFFFF"/>
                <w:sz w:val="22"/>
                <w:lang w:val="en-GB" w:eastAsia="ja-JP"/>
              </w:rPr>
            </w:pPr>
          </w:p>
        </w:tc>
      </w:tr>
      <w:tr w:rsidR="006952E7" w:rsidRPr="006952E7" w14:paraId="5DC80778" w14:textId="77777777" w:rsidTr="00036BBE">
        <w:tc>
          <w:tcPr>
            <w:tcW w:w="3369" w:type="dxa"/>
            <w:shd w:val="clear" w:color="auto" w:fill="auto"/>
          </w:tcPr>
          <w:p w14:paraId="2F08AB32" w14:textId="77777777" w:rsidR="006952E7" w:rsidRPr="006952E7" w:rsidRDefault="006952E7" w:rsidP="00036BBE">
            <w:pPr>
              <w:spacing w:before="0"/>
              <w:rPr>
                <w:rFonts w:ascii="Calibri" w:eastAsia="Calibri" w:hAnsi="Calibri"/>
                <w:sz w:val="22"/>
                <w:lang w:val="en-GB" w:eastAsia="ja-JP"/>
              </w:rPr>
            </w:pPr>
            <w:r w:rsidRPr="006952E7">
              <w:rPr>
                <w:rFonts w:ascii="Calibri" w:eastAsia="Calibri" w:hAnsi="Calibri"/>
                <w:sz w:val="22"/>
                <w:lang w:val="en-GB" w:eastAsia="ja-JP"/>
              </w:rPr>
              <w:t>AHC</w:t>
            </w:r>
          </w:p>
        </w:tc>
        <w:tc>
          <w:tcPr>
            <w:tcW w:w="5528" w:type="dxa"/>
            <w:shd w:val="clear" w:color="auto" w:fill="auto"/>
          </w:tcPr>
          <w:p w14:paraId="7A9C6B29" w14:textId="77777777" w:rsidR="006952E7" w:rsidRPr="006952E7" w:rsidRDefault="006952E7" w:rsidP="00036BBE">
            <w:pPr>
              <w:spacing w:before="0"/>
              <w:rPr>
                <w:rFonts w:ascii="Calibri" w:eastAsia="Calibri" w:hAnsi="Calibri"/>
                <w:sz w:val="22"/>
                <w:lang w:val="en-GB" w:eastAsia="ja-JP"/>
              </w:rPr>
            </w:pPr>
            <w:r w:rsidRPr="006952E7">
              <w:rPr>
                <w:rFonts w:ascii="Calibri" w:eastAsia="Calibri" w:hAnsi="Calibri"/>
                <w:sz w:val="22"/>
                <w:lang w:val="en-GB" w:eastAsia="ja-JP"/>
              </w:rPr>
              <w:t>Australian High Commission</w:t>
            </w:r>
          </w:p>
        </w:tc>
      </w:tr>
      <w:tr w:rsidR="006952E7" w:rsidRPr="006952E7" w14:paraId="0F4DF137" w14:textId="77777777" w:rsidTr="00036BBE">
        <w:tc>
          <w:tcPr>
            <w:tcW w:w="3369" w:type="dxa"/>
            <w:shd w:val="clear" w:color="auto" w:fill="auto"/>
          </w:tcPr>
          <w:p w14:paraId="5DD35EEF" w14:textId="77777777" w:rsidR="006952E7" w:rsidRPr="006952E7" w:rsidRDefault="006952E7" w:rsidP="00036BBE">
            <w:pPr>
              <w:spacing w:before="0"/>
              <w:rPr>
                <w:rFonts w:ascii="Calibri" w:eastAsia="Calibri" w:hAnsi="Calibri"/>
                <w:sz w:val="22"/>
                <w:lang w:val="en-GB" w:eastAsia="ja-JP"/>
              </w:rPr>
            </w:pPr>
            <w:r w:rsidRPr="006952E7">
              <w:rPr>
                <w:rFonts w:ascii="Calibri" w:eastAsia="Calibri" w:hAnsi="Calibri"/>
                <w:sz w:val="22"/>
                <w:lang w:val="en-GB" w:eastAsia="ja-JP"/>
              </w:rPr>
              <w:t>DFAT</w:t>
            </w:r>
          </w:p>
        </w:tc>
        <w:tc>
          <w:tcPr>
            <w:tcW w:w="5528" w:type="dxa"/>
            <w:shd w:val="clear" w:color="auto" w:fill="auto"/>
          </w:tcPr>
          <w:p w14:paraId="10EDD696" w14:textId="77777777" w:rsidR="006952E7" w:rsidRPr="006952E7" w:rsidRDefault="006952E7" w:rsidP="00036BBE">
            <w:pPr>
              <w:spacing w:before="0"/>
              <w:rPr>
                <w:rFonts w:ascii="Calibri" w:eastAsia="Calibri" w:hAnsi="Calibri"/>
                <w:sz w:val="22"/>
                <w:lang w:val="en-GB" w:eastAsia="ja-JP"/>
              </w:rPr>
            </w:pPr>
            <w:r w:rsidRPr="006952E7">
              <w:rPr>
                <w:rFonts w:ascii="Calibri" w:eastAsia="Calibri" w:hAnsi="Calibri"/>
                <w:sz w:val="22"/>
                <w:lang w:val="en-GB" w:eastAsia="ja-JP"/>
              </w:rPr>
              <w:t>Department of Foreign Affairs and Trade (Australia)</w:t>
            </w:r>
          </w:p>
        </w:tc>
      </w:tr>
      <w:tr w:rsidR="006952E7" w:rsidRPr="006952E7" w14:paraId="075285A4" w14:textId="77777777" w:rsidTr="00036BBE">
        <w:tc>
          <w:tcPr>
            <w:tcW w:w="3369" w:type="dxa"/>
            <w:shd w:val="clear" w:color="auto" w:fill="auto"/>
          </w:tcPr>
          <w:p w14:paraId="3C2B91B7" w14:textId="77777777" w:rsidR="006952E7" w:rsidRPr="006952E7" w:rsidRDefault="006952E7" w:rsidP="00036BBE">
            <w:pPr>
              <w:spacing w:before="0"/>
              <w:rPr>
                <w:rFonts w:ascii="Calibri" w:eastAsia="Calibri" w:hAnsi="Calibri"/>
                <w:sz w:val="22"/>
                <w:lang w:val="en-GB" w:eastAsia="ja-JP"/>
              </w:rPr>
            </w:pPr>
            <w:r w:rsidRPr="006952E7">
              <w:rPr>
                <w:rFonts w:ascii="Calibri" w:eastAsia="Calibri" w:hAnsi="Calibri"/>
                <w:sz w:val="22"/>
                <w:lang w:val="en-GB" w:eastAsia="ja-JP"/>
              </w:rPr>
              <w:t>GoPNG</w:t>
            </w:r>
          </w:p>
        </w:tc>
        <w:tc>
          <w:tcPr>
            <w:tcW w:w="5528" w:type="dxa"/>
            <w:shd w:val="clear" w:color="auto" w:fill="auto"/>
          </w:tcPr>
          <w:p w14:paraId="6E81DEF0" w14:textId="77777777" w:rsidR="006952E7" w:rsidRPr="006952E7" w:rsidRDefault="006952E7" w:rsidP="00036BBE">
            <w:pPr>
              <w:spacing w:before="0"/>
              <w:rPr>
                <w:rFonts w:ascii="Calibri" w:eastAsia="Calibri" w:hAnsi="Calibri"/>
                <w:sz w:val="22"/>
                <w:lang w:val="en-GB" w:eastAsia="ja-JP"/>
              </w:rPr>
            </w:pPr>
            <w:r w:rsidRPr="006952E7">
              <w:rPr>
                <w:rFonts w:ascii="Calibri" w:eastAsia="Calibri" w:hAnsi="Calibri"/>
                <w:sz w:val="22"/>
                <w:lang w:val="en-GB" w:eastAsia="ja-JP"/>
              </w:rPr>
              <w:t>Government of Papua New Guinea</w:t>
            </w:r>
          </w:p>
        </w:tc>
      </w:tr>
      <w:tr w:rsidR="006952E7" w:rsidRPr="006952E7" w14:paraId="1FD43BDD" w14:textId="77777777" w:rsidTr="00036BBE">
        <w:tc>
          <w:tcPr>
            <w:tcW w:w="3369" w:type="dxa"/>
            <w:shd w:val="clear" w:color="auto" w:fill="auto"/>
          </w:tcPr>
          <w:p w14:paraId="6807F9C5" w14:textId="77777777" w:rsidR="006952E7" w:rsidRPr="006952E7" w:rsidRDefault="006952E7" w:rsidP="00036BBE">
            <w:pPr>
              <w:spacing w:before="0"/>
              <w:rPr>
                <w:rFonts w:ascii="Calibri" w:eastAsia="Calibri" w:hAnsi="Calibri"/>
                <w:sz w:val="22"/>
                <w:lang w:val="en-GB" w:eastAsia="ja-JP"/>
              </w:rPr>
            </w:pPr>
            <w:r w:rsidRPr="006952E7">
              <w:rPr>
                <w:rFonts w:ascii="Calibri" w:eastAsia="Calibri" w:hAnsi="Calibri"/>
                <w:sz w:val="22"/>
                <w:lang w:val="en-GB" w:eastAsia="ja-JP"/>
              </w:rPr>
              <w:t>JSS4D</w:t>
            </w:r>
          </w:p>
        </w:tc>
        <w:tc>
          <w:tcPr>
            <w:tcW w:w="5528" w:type="dxa"/>
            <w:shd w:val="clear" w:color="auto" w:fill="auto"/>
          </w:tcPr>
          <w:p w14:paraId="1505EFFB" w14:textId="77777777" w:rsidR="006952E7" w:rsidRPr="006952E7" w:rsidRDefault="006952E7" w:rsidP="00036BBE">
            <w:pPr>
              <w:spacing w:before="0"/>
              <w:rPr>
                <w:rFonts w:ascii="Calibri" w:hAnsi="Calibri"/>
                <w:sz w:val="22"/>
              </w:rPr>
            </w:pPr>
            <w:r w:rsidRPr="006952E7">
              <w:rPr>
                <w:rFonts w:ascii="Calibri" w:hAnsi="Calibri"/>
                <w:sz w:val="22"/>
              </w:rPr>
              <w:t>Justice Services and Stability for Development</w:t>
            </w:r>
          </w:p>
        </w:tc>
      </w:tr>
      <w:tr w:rsidR="00262487" w:rsidRPr="006952E7" w14:paraId="2AC22765" w14:textId="77777777" w:rsidTr="00036BBE">
        <w:tc>
          <w:tcPr>
            <w:tcW w:w="3369" w:type="dxa"/>
            <w:shd w:val="clear" w:color="auto" w:fill="auto"/>
          </w:tcPr>
          <w:p w14:paraId="2C09524C" w14:textId="77777777" w:rsidR="00262487" w:rsidRPr="006952E7" w:rsidRDefault="00262487" w:rsidP="00036BBE">
            <w:pPr>
              <w:spacing w:before="0"/>
              <w:rPr>
                <w:rFonts w:ascii="Calibri" w:eastAsia="Calibri" w:hAnsi="Calibri"/>
                <w:sz w:val="22"/>
                <w:lang w:val="en-GB" w:eastAsia="ja-JP"/>
              </w:rPr>
            </w:pPr>
            <w:r>
              <w:rPr>
                <w:rFonts w:ascii="Calibri" w:eastAsia="Calibri" w:hAnsi="Calibri"/>
                <w:sz w:val="22"/>
                <w:lang w:val="en-GB" w:eastAsia="ja-JP"/>
              </w:rPr>
              <w:t>NCM</w:t>
            </w:r>
          </w:p>
        </w:tc>
        <w:tc>
          <w:tcPr>
            <w:tcW w:w="5528" w:type="dxa"/>
            <w:shd w:val="clear" w:color="auto" w:fill="auto"/>
          </w:tcPr>
          <w:p w14:paraId="7CA6EC3F" w14:textId="77777777" w:rsidR="00262487" w:rsidRPr="006952E7" w:rsidRDefault="00530C7C" w:rsidP="00036BBE">
            <w:pPr>
              <w:spacing w:before="0"/>
              <w:rPr>
                <w:rFonts w:ascii="Calibri" w:eastAsia="Calibri" w:hAnsi="Calibri"/>
                <w:sz w:val="22"/>
                <w:lang w:val="en-GB" w:eastAsia="ja-JP"/>
              </w:rPr>
            </w:pPr>
            <w:r>
              <w:rPr>
                <w:rFonts w:ascii="Calibri" w:eastAsia="Calibri" w:hAnsi="Calibri"/>
                <w:sz w:val="22"/>
                <w:lang w:val="en-GB" w:eastAsia="ja-JP"/>
              </w:rPr>
              <w:t>National Coordinati</w:t>
            </w:r>
            <w:r w:rsidR="00262487">
              <w:rPr>
                <w:rFonts w:ascii="Calibri" w:eastAsia="Calibri" w:hAnsi="Calibri"/>
                <w:sz w:val="22"/>
                <w:lang w:val="en-GB" w:eastAsia="ja-JP"/>
              </w:rPr>
              <w:t>n</w:t>
            </w:r>
            <w:r>
              <w:rPr>
                <w:rFonts w:ascii="Calibri" w:eastAsia="Calibri" w:hAnsi="Calibri"/>
                <w:sz w:val="22"/>
                <w:lang w:val="en-GB" w:eastAsia="ja-JP"/>
              </w:rPr>
              <w:t>g</w:t>
            </w:r>
            <w:r w:rsidR="00262487">
              <w:rPr>
                <w:rFonts w:ascii="Calibri" w:eastAsia="Calibri" w:hAnsi="Calibri"/>
                <w:sz w:val="22"/>
                <w:lang w:val="en-GB" w:eastAsia="ja-JP"/>
              </w:rPr>
              <w:t xml:space="preserve"> Mechanism (JSS4D)</w:t>
            </w:r>
          </w:p>
        </w:tc>
      </w:tr>
      <w:tr w:rsidR="006952E7" w:rsidRPr="006952E7" w14:paraId="10C5AFAF" w14:textId="77777777" w:rsidTr="00036BBE">
        <w:tc>
          <w:tcPr>
            <w:tcW w:w="3369" w:type="dxa"/>
            <w:shd w:val="clear" w:color="auto" w:fill="auto"/>
          </w:tcPr>
          <w:p w14:paraId="756E26EE" w14:textId="77777777" w:rsidR="006952E7" w:rsidRPr="006952E7" w:rsidRDefault="006952E7" w:rsidP="00036BBE">
            <w:pPr>
              <w:spacing w:before="0"/>
              <w:rPr>
                <w:rFonts w:ascii="Calibri" w:eastAsia="Calibri" w:hAnsi="Calibri"/>
                <w:sz w:val="22"/>
                <w:lang w:val="en-GB" w:eastAsia="ja-JP"/>
              </w:rPr>
            </w:pPr>
            <w:r w:rsidRPr="006952E7">
              <w:rPr>
                <w:rFonts w:ascii="Calibri" w:eastAsia="Calibri" w:hAnsi="Calibri"/>
                <w:sz w:val="22"/>
                <w:lang w:val="en-GB" w:eastAsia="ja-JP"/>
              </w:rPr>
              <w:t>PGF</w:t>
            </w:r>
          </w:p>
        </w:tc>
        <w:tc>
          <w:tcPr>
            <w:tcW w:w="5528" w:type="dxa"/>
            <w:shd w:val="clear" w:color="auto" w:fill="auto"/>
          </w:tcPr>
          <w:p w14:paraId="1DD85F1D" w14:textId="77777777" w:rsidR="006952E7" w:rsidRPr="006952E7" w:rsidRDefault="006952E7" w:rsidP="00036BBE">
            <w:pPr>
              <w:spacing w:before="0"/>
              <w:rPr>
                <w:rFonts w:ascii="Calibri" w:eastAsia="Calibri" w:hAnsi="Calibri"/>
                <w:sz w:val="22"/>
                <w:lang w:val="en-GB" w:eastAsia="ja-JP"/>
              </w:rPr>
            </w:pPr>
            <w:r w:rsidRPr="006952E7">
              <w:rPr>
                <w:rFonts w:ascii="Calibri" w:eastAsia="Calibri" w:hAnsi="Calibri"/>
                <w:sz w:val="22"/>
                <w:lang w:val="en-GB" w:eastAsia="ja-JP"/>
              </w:rPr>
              <w:t>Papua New Guinea Governance Facility</w:t>
            </w:r>
          </w:p>
        </w:tc>
      </w:tr>
      <w:tr w:rsidR="006952E7" w:rsidRPr="006952E7" w14:paraId="2334F711" w14:textId="77777777" w:rsidTr="00036BBE">
        <w:tc>
          <w:tcPr>
            <w:tcW w:w="3369" w:type="dxa"/>
            <w:shd w:val="clear" w:color="auto" w:fill="auto"/>
          </w:tcPr>
          <w:p w14:paraId="0AF17F61" w14:textId="77777777" w:rsidR="006952E7" w:rsidRPr="006952E7" w:rsidRDefault="006952E7" w:rsidP="00036BBE">
            <w:pPr>
              <w:spacing w:before="0"/>
              <w:rPr>
                <w:rFonts w:ascii="Calibri" w:eastAsia="Calibri" w:hAnsi="Calibri"/>
                <w:sz w:val="22"/>
                <w:lang w:val="en-GB" w:eastAsia="ja-JP"/>
              </w:rPr>
            </w:pPr>
            <w:r w:rsidRPr="006952E7">
              <w:rPr>
                <w:rFonts w:ascii="Calibri" w:eastAsia="Calibri" w:hAnsi="Calibri"/>
                <w:sz w:val="22"/>
                <w:lang w:val="en-GB" w:eastAsia="ja-JP"/>
              </w:rPr>
              <w:t>PNG</w:t>
            </w:r>
          </w:p>
        </w:tc>
        <w:tc>
          <w:tcPr>
            <w:tcW w:w="5528" w:type="dxa"/>
            <w:shd w:val="clear" w:color="auto" w:fill="auto"/>
          </w:tcPr>
          <w:p w14:paraId="6DB0658E" w14:textId="77777777" w:rsidR="006952E7" w:rsidRPr="006952E7" w:rsidRDefault="006952E7" w:rsidP="00036BBE">
            <w:pPr>
              <w:pStyle w:val="BodyText"/>
              <w:spacing w:before="0" w:after="0"/>
              <w:rPr>
                <w:rStyle w:val="BodyTextChar"/>
                <w:rFonts w:ascii="Calibri" w:hAnsi="Calibri"/>
                <w:sz w:val="22"/>
                <w:szCs w:val="22"/>
              </w:rPr>
            </w:pPr>
            <w:r w:rsidRPr="006952E7">
              <w:rPr>
                <w:rStyle w:val="BodyTextChar"/>
                <w:rFonts w:ascii="Calibri" w:hAnsi="Calibri"/>
                <w:sz w:val="22"/>
                <w:szCs w:val="22"/>
              </w:rPr>
              <w:t>Papua New Guinea</w:t>
            </w:r>
          </w:p>
        </w:tc>
      </w:tr>
      <w:tr w:rsidR="006952E7" w:rsidRPr="006952E7" w14:paraId="2336B2E2" w14:textId="77777777" w:rsidTr="00036BBE">
        <w:tc>
          <w:tcPr>
            <w:tcW w:w="3369" w:type="dxa"/>
            <w:shd w:val="clear" w:color="auto" w:fill="auto"/>
          </w:tcPr>
          <w:p w14:paraId="41F71208" w14:textId="77777777" w:rsidR="006952E7" w:rsidRPr="006952E7" w:rsidRDefault="006952E7" w:rsidP="00036BBE">
            <w:pPr>
              <w:spacing w:before="0"/>
              <w:rPr>
                <w:rFonts w:ascii="Calibri" w:eastAsia="Calibri" w:hAnsi="Calibri"/>
                <w:sz w:val="22"/>
                <w:lang w:val="en-GB" w:eastAsia="ja-JP"/>
              </w:rPr>
            </w:pPr>
            <w:r w:rsidRPr="006952E7">
              <w:rPr>
                <w:rFonts w:ascii="Calibri" w:eastAsia="Calibri" w:hAnsi="Calibri"/>
                <w:sz w:val="22"/>
                <w:lang w:val="en-GB" w:eastAsia="ja-JP"/>
              </w:rPr>
              <w:t>PWSPD</w:t>
            </w:r>
          </w:p>
        </w:tc>
        <w:tc>
          <w:tcPr>
            <w:tcW w:w="5528" w:type="dxa"/>
            <w:shd w:val="clear" w:color="auto" w:fill="auto"/>
          </w:tcPr>
          <w:p w14:paraId="3E7B81FE" w14:textId="77777777" w:rsidR="006952E7" w:rsidRPr="006952E7" w:rsidRDefault="006952E7" w:rsidP="00036BBE">
            <w:pPr>
              <w:pStyle w:val="BodyText"/>
              <w:spacing w:before="0" w:after="0"/>
              <w:rPr>
                <w:rStyle w:val="BodyTextChar"/>
                <w:rFonts w:ascii="Calibri" w:hAnsi="Calibri"/>
                <w:sz w:val="22"/>
                <w:szCs w:val="22"/>
              </w:rPr>
            </w:pPr>
            <w:r w:rsidRPr="006952E7">
              <w:rPr>
                <w:rStyle w:val="BodyTextChar"/>
                <w:rFonts w:ascii="Calibri" w:hAnsi="Calibri"/>
                <w:sz w:val="22"/>
                <w:szCs w:val="22"/>
              </w:rPr>
              <w:t>Pacific Women Shaping Pacific Development (program)</w:t>
            </w:r>
          </w:p>
        </w:tc>
      </w:tr>
      <w:tr w:rsidR="00DC0FDC" w:rsidRPr="006952E7" w14:paraId="5038306B" w14:textId="77777777" w:rsidTr="00D62034">
        <w:tc>
          <w:tcPr>
            <w:tcW w:w="3369" w:type="dxa"/>
            <w:shd w:val="clear" w:color="auto" w:fill="auto"/>
          </w:tcPr>
          <w:p w14:paraId="04795821" w14:textId="77777777" w:rsidR="00DC0FDC" w:rsidRPr="006952E7" w:rsidRDefault="00DC0FDC" w:rsidP="00D62034">
            <w:pPr>
              <w:spacing w:before="0"/>
              <w:rPr>
                <w:rFonts w:ascii="Calibri" w:eastAsia="Calibri" w:hAnsi="Calibri"/>
                <w:sz w:val="22"/>
                <w:lang w:val="en-GB" w:eastAsia="ja-JP"/>
              </w:rPr>
            </w:pPr>
            <w:r w:rsidRPr="006952E7">
              <w:rPr>
                <w:rFonts w:ascii="Calibri" w:eastAsia="Calibri" w:hAnsi="Calibri"/>
                <w:sz w:val="22"/>
                <w:lang w:val="en-GB" w:eastAsia="ja-JP"/>
              </w:rPr>
              <w:t>QTAG</w:t>
            </w:r>
          </w:p>
        </w:tc>
        <w:tc>
          <w:tcPr>
            <w:tcW w:w="5528" w:type="dxa"/>
            <w:shd w:val="clear" w:color="auto" w:fill="auto"/>
          </w:tcPr>
          <w:p w14:paraId="3E369D2A" w14:textId="77777777" w:rsidR="00DC0FDC" w:rsidRPr="006952E7" w:rsidRDefault="00DC0FDC" w:rsidP="00D62034">
            <w:pPr>
              <w:spacing w:before="0"/>
              <w:rPr>
                <w:rFonts w:ascii="Calibri" w:hAnsi="Calibri"/>
                <w:sz w:val="22"/>
              </w:rPr>
            </w:pPr>
            <w:r w:rsidRPr="006952E7">
              <w:rPr>
                <w:rFonts w:ascii="Calibri" w:hAnsi="Calibri"/>
                <w:sz w:val="22"/>
              </w:rPr>
              <w:t xml:space="preserve">Quality and Technical </w:t>
            </w:r>
            <w:r>
              <w:rPr>
                <w:rFonts w:ascii="Calibri" w:hAnsi="Calibri"/>
                <w:sz w:val="22"/>
              </w:rPr>
              <w:t>Assurance</w:t>
            </w:r>
            <w:r w:rsidRPr="006952E7">
              <w:rPr>
                <w:rFonts w:ascii="Calibri" w:hAnsi="Calibri"/>
                <w:sz w:val="22"/>
              </w:rPr>
              <w:t xml:space="preserve"> Group</w:t>
            </w:r>
          </w:p>
        </w:tc>
      </w:tr>
      <w:tr w:rsidR="00262487" w:rsidRPr="006952E7" w14:paraId="5C22605F" w14:textId="77777777" w:rsidTr="00036BBE">
        <w:tc>
          <w:tcPr>
            <w:tcW w:w="3369" w:type="dxa"/>
            <w:shd w:val="clear" w:color="auto" w:fill="auto"/>
          </w:tcPr>
          <w:p w14:paraId="16A662BF" w14:textId="77777777" w:rsidR="00262487" w:rsidRPr="006952E7" w:rsidRDefault="00262487" w:rsidP="00036BBE">
            <w:pPr>
              <w:spacing w:before="0"/>
              <w:rPr>
                <w:rFonts w:ascii="Calibri" w:eastAsia="Calibri" w:hAnsi="Calibri"/>
                <w:sz w:val="22"/>
                <w:lang w:val="en-GB" w:eastAsia="ja-JP"/>
              </w:rPr>
            </w:pPr>
            <w:r>
              <w:rPr>
                <w:rFonts w:ascii="Calibri" w:eastAsia="Calibri" w:hAnsi="Calibri"/>
                <w:sz w:val="22"/>
                <w:lang w:val="en-GB" w:eastAsia="ja-JP"/>
              </w:rPr>
              <w:t>SMC</w:t>
            </w:r>
          </w:p>
        </w:tc>
        <w:tc>
          <w:tcPr>
            <w:tcW w:w="5528" w:type="dxa"/>
            <w:shd w:val="clear" w:color="auto" w:fill="auto"/>
          </w:tcPr>
          <w:p w14:paraId="0827061E" w14:textId="77777777" w:rsidR="00262487" w:rsidRPr="006952E7" w:rsidRDefault="00262487" w:rsidP="00036BBE">
            <w:pPr>
              <w:spacing w:before="0"/>
              <w:rPr>
                <w:rFonts w:ascii="Calibri" w:eastAsia="Calibri" w:hAnsi="Calibri"/>
                <w:sz w:val="22"/>
                <w:lang w:val="en-GB" w:eastAsia="ja-JP"/>
              </w:rPr>
            </w:pPr>
            <w:r>
              <w:rPr>
                <w:rFonts w:ascii="Calibri" w:eastAsia="Calibri" w:hAnsi="Calibri"/>
                <w:sz w:val="22"/>
                <w:lang w:val="en-GB" w:eastAsia="ja-JP"/>
              </w:rPr>
              <w:t>Strategic Management Committee (PGF)</w:t>
            </w:r>
          </w:p>
        </w:tc>
      </w:tr>
      <w:tr w:rsidR="006952E7" w:rsidRPr="006952E7" w14:paraId="6D441D79" w14:textId="77777777" w:rsidTr="00036BBE">
        <w:tc>
          <w:tcPr>
            <w:tcW w:w="3369" w:type="dxa"/>
            <w:shd w:val="clear" w:color="auto" w:fill="auto"/>
          </w:tcPr>
          <w:p w14:paraId="2DD8148C" w14:textId="77777777" w:rsidR="006952E7" w:rsidRPr="006952E7" w:rsidRDefault="006952E7" w:rsidP="00036BBE">
            <w:pPr>
              <w:spacing w:before="0"/>
              <w:rPr>
                <w:rFonts w:ascii="Calibri" w:eastAsia="Calibri" w:hAnsi="Calibri"/>
                <w:sz w:val="22"/>
                <w:lang w:val="en-GB" w:eastAsia="ja-JP"/>
              </w:rPr>
            </w:pPr>
            <w:r w:rsidRPr="006952E7">
              <w:rPr>
                <w:rFonts w:ascii="Calibri" w:eastAsia="Calibri" w:hAnsi="Calibri"/>
                <w:sz w:val="22"/>
                <w:lang w:val="en-GB" w:eastAsia="ja-JP"/>
              </w:rPr>
              <w:t>SP</w:t>
            </w:r>
          </w:p>
        </w:tc>
        <w:tc>
          <w:tcPr>
            <w:tcW w:w="5528" w:type="dxa"/>
            <w:shd w:val="clear" w:color="auto" w:fill="auto"/>
          </w:tcPr>
          <w:p w14:paraId="5599183F" w14:textId="77777777" w:rsidR="006952E7" w:rsidRPr="006952E7" w:rsidRDefault="006952E7" w:rsidP="00036BBE">
            <w:pPr>
              <w:spacing w:before="0"/>
              <w:rPr>
                <w:rFonts w:ascii="Calibri" w:eastAsia="Calibri" w:hAnsi="Calibri"/>
                <w:sz w:val="22"/>
                <w:lang w:val="en-GB" w:eastAsia="ja-JP"/>
              </w:rPr>
            </w:pPr>
            <w:r w:rsidRPr="006952E7">
              <w:rPr>
                <w:rFonts w:ascii="Calibri" w:eastAsia="Calibri" w:hAnsi="Calibri"/>
                <w:sz w:val="22"/>
                <w:lang w:val="en-GB" w:eastAsia="ja-JP"/>
              </w:rPr>
              <w:t>Service Provider</w:t>
            </w:r>
          </w:p>
        </w:tc>
      </w:tr>
      <w:tr w:rsidR="00B36D3A" w:rsidRPr="006952E7" w14:paraId="2B5F517E" w14:textId="77777777" w:rsidTr="00036BBE">
        <w:tc>
          <w:tcPr>
            <w:tcW w:w="3369" w:type="dxa"/>
            <w:shd w:val="clear" w:color="auto" w:fill="auto"/>
          </w:tcPr>
          <w:p w14:paraId="692B9D12" w14:textId="77777777" w:rsidR="00B36D3A" w:rsidRPr="006952E7" w:rsidRDefault="00B36D3A" w:rsidP="00B36D3A">
            <w:pPr>
              <w:spacing w:before="0"/>
              <w:rPr>
                <w:rFonts w:ascii="Calibri" w:eastAsia="Calibri" w:hAnsi="Calibri"/>
                <w:sz w:val="22"/>
                <w:lang w:val="en-GB" w:eastAsia="ja-JP"/>
              </w:rPr>
            </w:pPr>
            <w:r>
              <w:rPr>
                <w:rFonts w:ascii="Calibri" w:eastAsia="Calibri" w:hAnsi="Calibri"/>
                <w:sz w:val="22"/>
                <w:lang w:val="en-GB" w:eastAsia="ja-JP"/>
              </w:rPr>
              <w:t>SPGM</w:t>
            </w:r>
          </w:p>
        </w:tc>
        <w:tc>
          <w:tcPr>
            <w:tcW w:w="5528" w:type="dxa"/>
            <w:shd w:val="clear" w:color="auto" w:fill="auto"/>
          </w:tcPr>
          <w:p w14:paraId="4935ADF4" w14:textId="77777777" w:rsidR="00B36D3A" w:rsidRPr="006952E7" w:rsidRDefault="00B36D3A" w:rsidP="00B36D3A">
            <w:pPr>
              <w:spacing w:before="0"/>
              <w:rPr>
                <w:rFonts w:ascii="Calibri" w:eastAsia="Calibri" w:hAnsi="Calibri"/>
                <w:sz w:val="22"/>
                <w:lang w:val="en-GB" w:eastAsia="ja-JP"/>
              </w:rPr>
            </w:pPr>
            <w:r>
              <w:rPr>
                <w:rFonts w:ascii="Calibri" w:eastAsia="Calibri" w:hAnsi="Calibri"/>
                <w:sz w:val="22"/>
                <w:lang w:val="en-GB" w:eastAsia="ja-JP"/>
              </w:rPr>
              <w:t>Strategic Program Governance Meeting (JSS4D)</w:t>
            </w:r>
          </w:p>
        </w:tc>
      </w:tr>
    </w:tbl>
    <w:p w14:paraId="02C61F2D" w14:textId="77777777" w:rsidR="006952E7" w:rsidRDefault="006952E7" w:rsidP="009E6274">
      <w:pPr>
        <w:pStyle w:val="Heading3"/>
        <w:spacing w:after="240"/>
        <w:rPr>
          <w:rFonts w:eastAsia="Calibri"/>
          <w:i w:val="0"/>
          <w:sz w:val="28"/>
          <w:szCs w:val="28"/>
        </w:rPr>
      </w:pPr>
    </w:p>
    <w:p w14:paraId="05A6B102" w14:textId="77777777" w:rsidR="006952E7" w:rsidRDefault="006952E7" w:rsidP="009E6274">
      <w:pPr>
        <w:pStyle w:val="Heading3"/>
        <w:spacing w:after="240"/>
        <w:rPr>
          <w:rFonts w:eastAsia="Calibri"/>
          <w:i w:val="0"/>
          <w:sz w:val="28"/>
          <w:szCs w:val="28"/>
        </w:rPr>
        <w:sectPr w:rsidR="006952E7" w:rsidSect="00933297">
          <w:headerReference w:type="even" r:id="rId10"/>
          <w:headerReference w:type="default" r:id="rId11"/>
          <w:footerReference w:type="even" r:id="rId12"/>
          <w:footerReference w:type="default" r:id="rId13"/>
          <w:headerReference w:type="first" r:id="rId14"/>
          <w:footerReference w:type="first" r:id="rId15"/>
          <w:pgSz w:w="11906" w:h="16838"/>
          <w:pgMar w:top="961" w:right="1134" w:bottom="851" w:left="1134" w:header="568" w:footer="430" w:gutter="0"/>
          <w:cols w:space="708"/>
          <w:docGrid w:linePitch="360"/>
        </w:sectPr>
      </w:pPr>
    </w:p>
    <w:p w14:paraId="66E13AEC" w14:textId="77777777" w:rsidR="006952E7" w:rsidRDefault="006952E7" w:rsidP="006952E7">
      <w:pPr>
        <w:pStyle w:val="TOC3"/>
        <w:rPr>
          <w:b/>
          <w:noProof/>
        </w:rPr>
      </w:pPr>
    </w:p>
    <w:p w14:paraId="699E4C1C" w14:textId="77777777" w:rsidR="006952E7" w:rsidRDefault="006952E7" w:rsidP="006952E7">
      <w:pPr>
        <w:pStyle w:val="TOC3"/>
        <w:rPr>
          <w:b/>
          <w:noProof/>
        </w:rPr>
      </w:pPr>
    </w:p>
    <w:p w14:paraId="78DABDA9" w14:textId="77777777" w:rsidR="006952E7" w:rsidRDefault="006952E7" w:rsidP="009E6274">
      <w:pPr>
        <w:pStyle w:val="Heading3"/>
        <w:spacing w:after="240"/>
        <w:rPr>
          <w:rFonts w:eastAsia="Calibri"/>
          <w:i w:val="0"/>
          <w:sz w:val="28"/>
          <w:szCs w:val="28"/>
        </w:rPr>
      </w:pPr>
      <w:r>
        <w:rPr>
          <w:rFonts w:eastAsia="Calibri"/>
          <w:i w:val="0"/>
          <w:sz w:val="28"/>
          <w:szCs w:val="28"/>
        </w:rPr>
        <w:t>Table of Contents</w:t>
      </w:r>
    </w:p>
    <w:p w14:paraId="7AAB0762" w14:textId="77777777" w:rsidR="006952E7" w:rsidRDefault="006952E7" w:rsidP="009E6274">
      <w:pPr>
        <w:pStyle w:val="Heading3"/>
        <w:spacing w:after="240"/>
        <w:rPr>
          <w:rFonts w:eastAsia="Calibri"/>
          <w:i w:val="0"/>
          <w:sz w:val="28"/>
          <w:szCs w:val="28"/>
        </w:rPr>
      </w:pPr>
    </w:p>
    <w:p w14:paraId="0E4738B6" w14:textId="77777777" w:rsidR="004E2AAA" w:rsidRDefault="0033459B">
      <w:pPr>
        <w:pStyle w:val="TOC1"/>
        <w:tabs>
          <w:tab w:val="left" w:pos="1440"/>
        </w:tabs>
        <w:rPr>
          <w:rFonts w:asciiTheme="minorHAnsi" w:eastAsiaTheme="minorEastAsia" w:hAnsiTheme="minorHAnsi" w:cstheme="minorBidi"/>
          <w:b w:val="0"/>
          <w:sz w:val="22"/>
          <w:szCs w:val="22"/>
          <w:lang w:val="en-GB" w:eastAsia="en-GB"/>
        </w:rPr>
      </w:pPr>
      <w:r>
        <w:fldChar w:fldCharType="begin"/>
      </w:r>
      <w:r w:rsidR="006952E7">
        <w:instrText xml:space="preserve"> TOC \o "1-2" \h \z \u </w:instrText>
      </w:r>
      <w:r>
        <w:fldChar w:fldCharType="separate"/>
      </w:r>
      <w:hyperlink w:anchor="_Toc434224040" w:history="1">
        <w:r w:rsidR="004E2AAA" w:rsidRPr="00F94FCA">
          <w:rPr>
            <w:rStyle w:val="Hyperlink"/>
          </w:rPr>
          <w:t>1</w:t>
        </w:r>
        <w:r w:rsidR="004E2AAA">
          <w:rPr>
            <w:rFonts w:asciiTheme="minorHAnsi" w:eastAsiaTheme="minorEastAsia" w:hAnsiTheme="minorHAnsi" w:cstheme="minorBidi"/>
            <w:b w:val="0"/>
            <w:sz w:val="22"/>
            <w:szCs w:val="22"/>
            <w:lang w:val="en-GB" w:eastAsia="en-GB"/>
          </w:rPr>
          <w:tab/>
        </w:r>
        <w:r w:rsidR="004E2AAA" w:rsidRPr="00F94FCA">
          <w:rPr>
            <w:rStyle w:val="Hyperlink"/>
          </w:rPr>
          <w:t>Background and strategic context</w:t>
        </w:r>
        <w:r w:rsidR="004E2AAA">
          <w:rPr>
            <w:webHidden/>
          </w:rPr>
          <w:tab/>
        </w:r>
        <w:r>
          <w:rPr>
            <w:webHidden/>
          </w:rPr>
          <w:fldChar w:fldCharType="begin"/>
        </w:r>
        <w:r w:rsidR="004E2AAA">
          <w:rPr>
            <w:webHidden/>
          </w:rPr>
          <w:instrText xml:space="preserve"> PAGEREF _Toc434224040 \h </w:instrText>
        </w:r>
        <w:r>
          <w:rPr>
            <w:webHidden/>
          </w:rPr>
        </w:r>
        <w:r>
          <w:rPr>
            <w:webHidden/>
          </w:rPr>
          <w:fldChar w:fldCharType="separate"/>
        </w:r>
        <w:r w:rsidR="0050043D">
          <w:rPr>
            <w:webHidden/>
          </w:rPr>
          <w:t>1</w:t>
        </w:r>
        <w:r>
          <w:rPr>
            <w:webHidden/>
          </w:rPr>
          <w:fldChar w:fldCharType="end"/>
        </w:r>
      </w:hyperlink>
    </w:p>
    <w:p w14:paraId="5D574634" w14:textId="77777777" w:rsidR="004E2AAA" w:rsidRDefault="00096FAC">
      <w:pPr>
        <w:pStyle w:val="TOC2"/>
        <w:rPr>
          <w:rFonts w:asciiTheme="minorHAnsi" w:eastAsiaTheme="minorEastAsia" w:hAnsiTheme="minorHAnsi" w:cstheme="minorBidi"/>
          <w:noProof/>
          <w:sz w:val="22"/>
          <w:szCs w:val="22"/>
          <w:lang w:val="en-GB" w:eastAsia="en-GB"/>
        </w:rPr>
      </w:pPr>
      <w:hyperlink w:anchor="_Toc434224041" w:history="1">
        <w:r w:rsidR="004E2AAA" w:rsidRPr="00F94FCA">
          <w:rPr>
            <w:rStyle w:val="Hyperlink"/>
            <w:noProof/>
          </w:rPr>
          <w:t>Background</w:t>
        </w:r>
        <w:r w:rsidR="004E2AAA">
          <w:rPr>
            <w:noProof/>
            <w:webHidden/>
          </w:rPr>
          <w:tab/>
        </w:r>
        <w:r w:rsidR="0033459B">
          <w:rPr>
            <w:noProof/>
            <w:webHidden/>
          </w:rPr>
          <w:fldChar w:fldCharType="begin"/>
        </w:r>
        <w:r w:rsidR="004E2AAA">
          <w:rPr>
            <w:noProof/>
            <w:webHidden/>
          </w:rPr>
          <w:instrText xml:space="preserve"> PAGEREF _Toc434224041 \h </w:instrText>
        </w:r>
        <w:r w:rsidR="0033459B">
          <w:rPr>
            <w:noProof/>
            <w:webHidden/>
          </w:rPr>
        </w:r>
        <w:r w:rsidR="0033459B">
          <w:rPr>
            <w:noProof/>
            <w:webHidden/>
          </w:rPr>
          <w:fldChar w:fldCharType="separate"/>
        </w:r>
        <w:r w:rsidR="0050043D">
          <w:rPr>
            <w:noProof/>
            <w:webHidden/>
          </w:rPr>
          <w:t>1</w:t>
        </w:r>
        <w:r w:rsidR="0033459B">
          <w:rPr>
            <w:noProof/>
            <w:webHidden/>
          </w:rPr>
          <w:fldChar w:fldCharType="end"/>
        </w:r>
      </w:hyperlink>
    </w:p>
    <w:p w14:paraId="782D198C" w14:textId="77777777" w:rsidR="004E2AAA" w:rsidRDefault="00096FAC">
      <w:pPr>
        <w:pStyle w:val="TOC2"/>
        <w:rPr>
          <w:rFonts w:asciiTheme="minorHAnsi" w:eastAsiaTheme="minorEastAsia" w:hAnsiTheme="minorHAnsi" w:cstheme="minorBidi"/>
          <w:noProof/>
          <w:sz w:val="22"/>
          <w:szCs w:val="22"/>
          <w:lang w:val="en-GB" w:eastAsia="en-GB"/>
        </w:rPr>
      </w:pPr>
      <w:hyperlink w:anchor="_Toc434224042" w:history="1">
        <w:r w:rsidR="004E2AAA" w:rsidRPr="00F94FCA">
          <w:rPr>
            <w:rStyle w:val="Hyperlink"/>
            <w:noProof/>
          </w:rPr>
          <w:t>Australian aid’s Focus on Better Governance and Results</w:t>
        </w:r>
        <w:r w:rsidR="004E2AAA">
          <w:rPr>
            <w:noProof/>
            <w:webHidden/>
          </w:rPr>
          <w:tab/>
        </w:r>
        <w:r w:rsidR="0033459B">
          <w:rPr>
            <w:noProof/>
            <w:webHidden/>
          </w:rPr>
          <w:fldChar w:fldCharType="begin"/>
        </w:r>
        <w:r w:rsidR="004E2AAA">
          <w:rPr>
            <w:noProof/>
            <w:webHidden/>
          </w:rPr>
          <w:instrText xml:space="preserve"> PAGEREF _Toc434224042 \h </w:instrText>
        </w:r>
        <w:r w:rsidR="0033459B">
          <w:rPr>
            <w:noProof/>
            <w:webHidden/>
          </w:rPr>
        </w:r>
        <w:r w:rsidR="0033459B">
          <w:rPr>
            <w:noProof/>
            <w:webHidden/>
          </w:rPr>
          <w:fldChar w:fldCharType="separate"/>
        </w:r>
        <w:r w:rsidR="0050043D">
          <w:rPr>
            <w:noProof/>
            <w:webHidden/>
          </w:rPr>
          <w:t>1</w:t>
        </w:r>
        <w:r w:rsidR="0033459B">
          <w:rPr>
            <w:noProof/>
            <w:webHidden/>
          </w:rPr>
          <w:fldChar w:fldCharType="end"/>
        </w:r>
      </w:hyperlink>
    </w:p>
    <w:p w14:paraId="7539F5D5" w14:textId="77777777" w:rsidR="004E2AAA" w:rsidRDefault="00096FAC">
      <w:pPr>
        <w:pStyle w:val="TOC2"/>
        <w:rPr>
          <w:rFonts w:asciiTheme="minorHAnsi" w:eastAsiaTheme="minorEastAsia" w:hAnsiTheme="minorHAnsi" w:cstheme="minorBidi"/>
          <w:noProof/>
          <w:sz w:val="22"/>
          <w:szCs w:val="22"/>
          <w:lang w:val="en-GB" w:eastAsia="en-GB"/>
        </w:rPr>
      </w:pPr>
      <w:hyperlink w:anchor="_Toc434224043" w:history="1">
        <w:r w:rsidR="004E2AAA" w:rsidRPr="00F94FCA">
          <w:rPr>
            <w:rStyle w:val="Hyperlink"/>
            <w:noProof/>
          </w:rPr>
          <w:t>Aid delivery context</w:t>
        </w:r>
        <w:r w:rsidR="004E2AAA">
          <w:rPr>
            <w:noProof/>
            <w:webHidden/>
          </w:rPr>
          <w:tab/>
        </w:r>
        <w:r w:rsidR="0033459B">
          <w:rPr>
            <w:noProof/>
            <w:webHidden/>
          </w:rPr>
          <w:fldChar w:fldCharType="begin"/>
        </w:r>
        <w:r w:rsidR="004E2AAA">
          <w:rPr>
            <w:noProof/>
            <w:webHidden/>
          </w:rPr>
          <w:instrText xml:space="preserve"> PAGEREF _Toc434224043 \h </w:instrText>
        </w:r>
        <w:r w:rsidR="0033459B">
          <w:rPr>
            <w:noProof/>
            <w:webHidden/>
          </w:rPr>
        </w:r>
        <w:r w:rsidR="0033459B">
          <w:rPr>
            <w:noProof/>
            <w:webHidden/>
          </w:rPr>
          <w:fldChar w:fldCharType="separate"/>
        </w:r>
        <w:r w:rsidR="0050043D">
          <w:rPr>
            <w:noProof/>
            <w:webHidden/>
          </w:rPr>
          <w:t>2</w:t>
        </w:r>
        <w:r w:rsidR="0033459B">
          <w:rPr>
            <w:noProof/>
            <w:webHidden/>
          </w:rPr>
          <w:fldChar w:fldCharType="end"/>
        </w:r>
      </w:hyperlink>
    </w:p>
    <w:p w14:paraId="4B98F4D3" w14:textId="77777777" w:rsidR="004E2AAA" w:rsidRDefault="00096FAC">
      <w:pPr>
        <w:pStyle w:val="TOC1"/>
        <w:tabs>
          <w:tab w:val="left" w:pos="1440"/>
        </w:tabs>
        <w:rPr>
          <w:rFonts w:asciiTheme="minorHAnsi" w:eastAsiaTheme="minorEastAsia" w:hAnsiTheme="minorHAnsi" w:cstheme="minorBidi"/>
          <w:b w:val="0"/>
          <w:sz w:val="22"/>
          <w:szCs w:val="22"/>
          <w:lang w:val="en-GB" w:eastAsia="en-GB"/>
        </w:rPr>
      </w:pPr>
      <w:hyperlink w:anchor="_Toc434224044" w:history="1">
        <w:r w:rsidR="004E2AAA" w:rsidRPr="00F94FCA">
          <w:rPr>
            <w:rStyle w:val="Hyperlink"/>
          </w:rPr>
          <w:t>2</w:t>
        </w:r>
        <w:r w:rsidR="004E2AAA">
          <w:rPr>
            <w:rFonts w:asciiTheme="minorHAnsi" w:eastAsiaTheme="minorEastAsia" w:hAnsiTheme="minorHAnsi" w:cstheme="minorBidi"/>
            <w:b w:val="0"/>
            <w:sz w:val="22"/>
            <w:szCs w:val="22"/>
            <w:lang w:val="en-GB" w:eastAsia="en-GB"/>
          </w:rPr>
          <w:tab/>
        </w:r>
        <w:r w:rsidR="004E2AAA" w:rsidRPr="00F94FCA">
          <w:rPr>
            <w:rStyle w:val="Hyperlink"/>
          </w:rPr>
          <w:t>Investment Description</w:t>
        </w:r>
        <w:r w:rsidR="004E2AAA">
          <w:rPr>
            <w:webHidden/>
          </w:rPr>
          <w:tab/>
        </w:r>
        <w:r w:rsidR="0033459B">
          <w:rPr>
            <w:webHidden/>
          </w:rPr>
          <w:fldChar w:fldCharType="begin"/>
        </w:r>
        <w:r w:rsidR="004E2AAA">
          <w:rPr>
            <w:webHidden/>
          </w:rPr>
          <w:instrText xml:space="preserve"> PAGEREF _Toc434224044 \h </w:instrText>
        </w:r>
        <w:r w:rsidR="0033459B">
          <w:rPr>
            <w:webHidden/>
          </w:rPr>
        </w:r>
        <w:r w:rsidR="0033459B">
          <w:rPr>
            <w:webHidden/>
          </w:rPr>
          <w:fldChar w:fldCharType="separate"/>
        </w:r>
        <w:r w:rsidR="0050043D">
          <w:rPr>
            <w:webHidden/>
          </w:rPr>
          <w:t>3</w:t>
        </w:r>
        <w:r w:rsidR="0033459B">
          <w:rPr>
            <w:webHidden/>
          </w:rPr>
          <w:fldChar w:fldCharType="end"/>
        </w:r>
      </w:hyperlink>
    </w:p>
    <w:p w14:paraId="45F513A6" w14:textId="77777777" w:rsidR="004E2AAA" w:rsidRDefault="00096FAC">
      <w:pPr>
        <w:pStyle w:val="TOC2"/>
        <w:rPr>
          <w:rFonts w:asciiTheme="minorHAnsi" w:eastAsiaTheme="minorEastAsia" w:hAnsiTheme="minorHAnsi" w:cstheme="minorBidi"/>
          <w:noProof/>
          <w:sz w:val="22"/>
          <w:szCs w:val="22"/>
          <w:lang w:val="en-GB" w:eastAsia="en-GB"/>
        </w:rPr>
      </w:pPr>
      <w:hyperlink w:anchor="_Toc434224045" w:history="1">
        <w:r w:rsidR="004E2AAA" w:rsidRPr="00F94FCA">
          <w:rPr>
            <w:rStyle w:val="Hyperlink"/>
            <w:noProof/>
          </w:rPr>
          <w:t>Rationale and Purpose</w:t>
        </w:r>
        <w:r w:rsidR="004E2AAA">
          <w:rPr>
            <w:noProof/>
            <w:webHidden/>
          </w:rPr>
          <w:tab/>
        </w:r>
        <w:r w:rsidR="0033459B">
          <w:rPr>
            <w:noProof/>
            <w:webHidden/>
          </w:rPr>
          <w:fldChar w:fldCharType="begin"/>
        </w:r>
        <w:r w:rsidR="004E2AAA">
          <w:rPr>
            <w:noProof/>
            <w:webHidden/>
          </w:rPr>
          <w:instrText xml:space="preserve"> PAGEREF _Toc434224045 \h </w:instrText>
        </w:r>
        <w:r w:rsidR="0033459B">
          <w:rPr>
            <w:noProof/>
            <w:webHidden/>
          </w:rPr>
        </w:r>
        <w:r w:rsidR="0033459B">
          <w:rPr>
            <w:noProof/>
            <w:webHidden/>
          </w:rPr>
          <w:fldChar w:fldCharType="separate"/>
        </w:r>
        <w:r w:rsidR="0050043D">
          <w:rPr>
            <w:noProof/>
            <w:webHidden/>
          </w:rPr>
          <w:t>3</w:t>
        </w:r>
        <w:r w:rsidR="0033459B">
          <w:rPr>
            <w:noProof/>
            <w:webHidden/>
          </w:rPr>
          <w:fldChar w:fldCharType="end"/>
        </w:r>
      </w:hyperlink>
    </w:p>
    <w:p w14:paraId="65FFAEB4" w14:textId="77777777" w:rsidR="004E2AAA" w:rsidRDefault="00096FAC">
      <w:pPr>
        <w:pStyle w:val="TOC2"/>
        <w:rPr>
          <w:rFonts w:asciiTheme="minorHAnsi" w:eastAsiaTheme="minorEastAsia" w:hAnsiTheme="minorHAnsi" w:cstheme="minorBidi"/>
          <w:noProof/>
          <w:sz w:val="22"/>
          <w:szCs w:val="22"/>
          <w:lang w:val="en-GB" w:eastAsia="en-GB"/>
        </w:rPr>
      </w:pPr>
      <w:hyperlink w:anchor="_Toc434224046" w:history="1">
        <w:r w:rsidR="004E2AAA" w:rsidRPr="00F94FCA">
          <w:rPr>
            <w:rStyle w:val="Hyperlink"/>
            <w:noProof/>
          </w:rPr>
          <w:t>Delivery approach</w:t>
        </w:r>
        <w:r w:rsidR="004E2AAA">
          <w:rPr>
            <w:noProof/>
            <w:webHidden/>
          </w:rPr>
          <w:tab/>
        </w:r>
        <w:r w:rsidR="0033459B">
          <w:rPr>
            <w:noProof/>
            <w:webHidden/>
          </w:rPr>
          <w:fldChar w:fldCharType="begin"/>
        </w:r>
        <w:r w:rsidR="004E2AAA">
          <w:rPr>
            <w:noProof/>
            <w:webHidden/>
          </w:rPr>
          <w:instrText xml:space="preserve"> PAGEREF _Toc434224046 \h </w:instrText>
        </w:r>
        <w:r w:rsidR="0033459B">
          <w:rPr>
            <w:noProof/>
            <w:webHidden/>
          </w:rPr>
        </w:r>
        <w:r w:rsidR="0033459B">
          <w:rPr>
            <w:noProof/>
            <w:webHidden/>
          </w:rPr>
          <w:fldChar w:fldCharType="separate"/>
        </w:r>
        <w:r w:rsidR="0050043D">
          <w:rPr>
            <w:noProof/>
            <w:webHidden/>
          </w:rPr>
          <w:t>4</w:t>
        </w:r>
        <w:r w:rsidR="0033459B">
          <w:rPr>
            <w:noProof/>
            <w:webHidden/>
          </w:rPr>
          <w:fldChar w:fldCharType="end"/>
        </w:r>
      </w:hyperlink>
    </w:p>
    <w:p w14:paraId="1CDE22B5" w14:textId="77777777" w:rsidR="004E2AAA" w:rsidRDefault="00096FAC">
      <w:pPr>
        <w:pStyle w:val="TOC2"/>
        <w:rPr>
          <w:rFonts w:asciiTheme="minorHAnsi" w:eastAsiaTheme="minorEastAsia" w:hAnsiTheme="minorHAnsi" w:cstheme="minorBidi"/>
          <w:noProof/>
          <w:sz w:val="22"/>
          <w:szCs w:val="22"/>
          <w:lang w:val="en-GB" w:eastAsia="en-GB"/>
        </w:rPr>
      </w:pPr>
      <w:hyperlink w:anchor="_Toc434224047" w:history="1">
        <w:r w:rsidR="004E2AAA" w:rsidRPr="00F94FCA">
          <w:rPr>
            <w:rStyle w:val="Hyperlink"/>
            <w:noProof/>
          </w:rPr>
          <w:t>Term</w:t>
        </w:r>
        <w:r w:rsidR="004E2AAA">
          <w:rPr>
            <w:noProof/>
            <w:webHidden/>
          </w:rPr>
          <w:tab/>
        </w:r>
        <w:r w:rsidR="0033459B">
          <w:rPr>
            <w:noProof/>
            <w:webHidden/>
          </w:rPr>
          <w:fldChar w:fldCharType="begin"/>
        </w:r>
        <w:r w:rsidR="004E2AAA">
          <w:rPr>
            <w:noProof/>
            <w:webHidden/>
          </w:rPr>
          <w:instrText xml:space="preserve"> PAGEREF _Toc434224047 \h </w:instrText>
        </w:r>
        <w:r w:rsidR="0033459B">
          <w:rPr>
            <w:noProof/>
            <w:webHidden/>
          </w:rPr>
        </w:r>
        <w:r w:rsidR="0033459B">
          <w:rPr>
            <w:noProof/>
            <w:webHidden/>
          </w:rPr>
          <w:fldChar w:fldCharType="separate"/>
        </w:r>
        <w:r w:rsidR="0050043D">
          <w:rPr>
            <w:noProof/>
            <w:webHidden/>
          </w:rPr>
          <w:t>5</w:t>
        </w:r>
        <w:r w:rsidR="0033459B">
          <w:rPr>
            <w:noProof/>
            <w:webHidden/>
          </w:rPr>
          <w:fldChar w:fldCharType="end"/>
        </w:r>
      </w:hyperlink>
    </w:p>
    <w:p w14:paraId="10E64223" w14:textId="77777777" w:rsidR="004E2AAA" w:rsidRDefault="00096FAC">
      <w:pPr>
        <w:pStyle w:val="TOC1"/>
        <w:tabs>
          <w:tab w:val="left" w:pos="1440"/>
        </w:tabs>
        <w:rPr>
          <w:rFonts w:asciiTheme="minorHAnsi" w:eastAsiaTheme="minorEastAsia" w:hAnsiTheme="minorHAnsi" w:cstheme="minorBidi"/>
          <w:b w:val="0"/>
          <w:sz w:val="22"/>
          <w:szCs w:val="22"/>
          <w:lang w:val="en-GB" w:eastAsia="en-GB"/>
        </w:rPr>
      </w:pPr>
      <w:hyperlink w:anchor="_Toc434224048" w:history="1">
        <w:r w:rsidR="004E2AAA" w:rsidRPr="00F94FCA">
          <w:rPr>
            <w:rStyle w:val="Hyperlink"/>
          </w:rPr>
          <w:t xml:space="preserve">3. </w:t>
        </w:r>
        <w:r w:rsidR="004E2AAA">
          <w:rPr>
            <w:rFonts w:asciiTheme="minorHAnsi" w:eastAsiaTheme="minorEastAsia" w:hAnsiTheme="minorHAnsi" w:cstheme="minorBidi"/>
            <w:b w:val="0"/>
            <w:sz w:val="22"/>
            <w:szCs w:val="22"/>
            <w:lang w:val="en-GB" w:eastAsia="en-GB"/>
          </w:rPr>
          <w:tab/>
        </w:r>
        <w:r w:rsidR="004E2AAA" w:rsidRPr="00F94FCA">
          <w:rPr>
            <w:rStyle w:val="Hyperlink"/>
          </w:rPr>
          <w:t>Implementation Arrangements</w:t>
        </w:r>
        <w:r w:rsidR="004E2AAA">
          <w:rPr>
            <w:webHidden/>
          </w:rPr>
          <w:tab/>
        </w:r>
        <w:r w:rsidR="0033459B">
          <w:rPr>
            <w:webHidden/>
          </w:rPr>
          <w:fldChar w:fldCharType="begin"/>
        </w:r>
        <w:r w:rsidR="004E2AAA">
          <w:rPr>
            <w:webHidden/>
          </w:rPr>
          <w:instrText xml:space="preserve"> PAGEREF _Toc434224048 \h </w:instrText>
        </w:r>
        <w:r w:rsidR="0033459B">
          <w:rPr>
            <w:webHidden/>
          </w:rPr>
        </w:r>
        <w:r w:rsidR="0033459B">
          <w:rPr>
            <w:webHidden/>
          </w:rPr>
          <w:fldChar w:fldCharType="separate"/>
        </w:r>
        <w:r w:rsidR="0050043D">
          <w:rPr>
            <w:webHidden/>
          </w:rPr>
          <w:t>6</w:t>
        </w:r>
        <w:r w:rsidR="0033459B">
          <w:rPr>
            <w:webHidden/>
          </w:rPr>
          <w:fldChar w:fldCharType="end"/>
        </w:r>
      </w:hyperlink>
    </w:p>
    <w:p w14:paraId="6C83FE05" w14:textId="77777777" w:rsidR="004E2AAA" w:rsidRDefault="00096FAC">
      <w:pPr>
        <w:pStyle w:val="TOC2"/>
        <w:rPr>
          <w:rFonts w:asciiTheme="minorHAnsi" w:eastAsiaTheme="minorEastAsia" w:hAnsiTheme="minorHAnsi" w:cstheme="minorBidi"/>
          <w:noProof/>
          <w:sz w:val="22"/>
          <w:szCs w:val="22"/>
          <w:lang w:val="en-GB" w:eastAsia="en-GB"/>
        </w:rPr>
      </w:pPr>
      <w:hyperlink w:anchor="_Toc434224049" w:history="1">
        <w:r w:rsidR="004E2AAA" w:rsidRPr="00F94FCA">
          <w:rPr>
            <w:rStyle w:val="Hyperlink"/>
            <w:noProof/>
          </w:rPr>
          <w:t>Management and governance arrangements</w:t>
        </w:r>
        <w:r w:rsidR="004E2AAA">
          <w:rPr>
            <w:noProof/>
            <w:webHidden/>
          </w:rPr>
          <w:tab/>
        </w:r>
        <w:r w:rsidR="0033459B">
          <w:rPr>
            <w:noProof/>
            <w:webHidden/>
          </w:rPr>
          <w:fldChar w:fldCharType="begin"/>
        </w:r>
        <w:r w:rsidR="004E2AAA">
          <w:rPr>
            <w:noProof/>
            <w:webHidden/>
          </w:rPr>
          <w:instrText xml:space="preserve"> PAGEREF _Toc434224049 \h </w:instrText>
        </w:r>
        <w:r w:rsidR="0033459B">
          <w:rPr>
            <w:noProof/>
            <w:webHidden/>
          </w:rPr>
        </w:r>
        <w:r w:rsidR="0033459B">
          <w:rPr>
            <w:noProof/>
            <w:webHidden/>
          </w:rPr>
          <w:fldChar w:fldCharType="separate"/>
        </w:r>
        <w:r w:rsidR="0050043D">
          <w:rPr>
            <w:noProof/>
            <w:webHidden/>
          </w:rPr>
          <w:t>6</w:t>
        </w:r>
        <w:r w:rsidR="0033459B">
          <w:rPr>
            <w:noProof/>
            <w:webHidden/>
          </w:rPr>
          <w:fldChar w:fldCharType="end"/>
        </w:r>
      </w:hyperlink>
    </w:p>
    <w:p w14:paraId="1EB506B2" w14:textId="77777777" w:rsidR="004E2AAA" w:rsidRDefault="00096FAC">
      <w:pPr>
        <w:pStyle w:val="TOC2"/>
        <w:rPr>
          <w:rFonts w:asciiTheme="minorHAnsi" w:eastAsiaTheme="minorEastAsia" w:hAnsiTheme="minorHAnsi" w:cstheme="minorBidi"/>
          <w:noProof/>
          <w:sz w:val="22"/>
          <w:szCs w:val="22"/>
          <w:lang w:val="en-GB" w:eastAsia="en-GB"/>
        </w:rPr>
      </w:pPr>
      <w:hyperlink w:anchor="_Toc434224050" w:history="1">
        <w:r w:rsidR="004E2AAA" w:rsidRPr="00F94FCA">
          <w:rPr>
            <w:rStyle w:val="Hyperlink"/>
            <w:noProof/>
          </w:rPr>
          <w:t>Implementation</w:t>
        </w:r>
        <w:r w:rsidR="004E2AAA">
          <w:rPr>
            <w:noProof/>
            <w:webHidden/>
          </w:rPr>
          <w:tab/>
        </w:r>
        <w:r w:rsidR="0033459B">
          <w:rPr>
            <w:noProof/>
            <w:webHidden/>
          </w:rPr>
          <w:fldChar w:fldCharType="begin"/>
        </w:r>
        <w:r w:rsidR="004E2AAA">
          <w:rPr>
            <w:noProof/>
            <w:webHidden/>
          </w:rPr>
          <w:instrText xml:space="preserve"> PAGEREF _Toc434224050 \h </w:instrText>
        </w:r>
        <w:r w:rsidR="0033459B">
          <w:rPr>
            <w:noProof/>
            <w:webHidden/>
          </w:rPr>
        </w:r>
        <w:r w:rsidR="0033459B">
          <w:rPr>
            <w:noProof/>
            <w:webHidden/>
          </w:rPr>
          <w:fldChar w:fldCharType="separate"/>
        </w:r>
        <w:r w:rsidR="0050043D">
          <w:rPr>
            <w:noProof/>
            <w:webHidden/>
          </w:rPr>
          <w:t>8</w:t>
        </w:r>
        <w:r w:rsidR="0033459B">
          <w:rPr>
            <w:noProof/>
            <w:webHidden/>
          </w:rPr>
          <w:fldChar w:fldCharType="end"/>
        </w:r>
      </w:hyperlink>
    </w:p>
    <w:p w14:paraId="21CE9E54" w14:textId="77777777" w:rsidR="004E2AAA" w:rsidRDefault="00096FAC">
      <w:pPr>
        <w:pStyle w:val="TOC2"/>
        <w:rPr>
          <w:rFonts w:asciiTheme="minorHAnsi" w:eastAsiaTheme="minorEastAsia" w:hAnsiTheme="minorHAnsi" w:cstheme="minorBidi"/>
          <w:noProof/>
          <w:sz w:val="22"/>
          <w:szCs w:val="22"/>
          <w:lang w:val="en-GB" w:eastAsia="en-GB"/>
        </w:rPr>
      </w:pPr>
      <w:hyperlink w:anchor="_Toc434224051" w:history="1">
        <w:r w:rsidR="004E2AAA" w:rsidRPr="00F94FCA">
          <w:rPr>
            <w:rStyle w:val="Hyperlink"/>
            <w:noProof/>
          </w:rPr>
          <w:t>Monitoring and evaluation</w:t>
        </w:r>
        <w:r w:rsidR="004E2AAA">
          <w:rPr>
            <w:noProof/>
            <w:webHidden/>
          </w:rPr>
          <w:tab/>
        </w:r>
        <w:r w:rsidR="0033459B">
          <w:rPr>
            <w:noProof/>
            <w:webHidden/>
          </w:rPr>
          <w:fldChar w:fldCharType="begin"/>
        </w:r>
        <w:r w:rsidR="004E2AAA">
          <w:rPr>
            <w:noProof/>
            <w:webHidden/>
          </w:rPr>
          <w:instrText xml:space="preserve"> PAGEREF _Toc434224051 \h </w:instrText>
        </w:r>
        <w:r w:rsidR="0033459B">
          <w:rPr>
            <w:noProof/>
            <w:webHidden/>
          </w:rPr>
        </w:r>
        <w:r w:rsidR="0033459B">
          <w:rPr>
            <w:noProof/>
            <w:webHidden/>
          </w:rPr>
          <w:fldChar w:fldCharType="separate"/>
        </w:r>
        <w:r w:rsidR="0050043D">
          <w:rPr>
            <w:noProof/>
            <w:webHidden/>
          </w:rPr>
          <w:t>10</w:t>
        </w:r>
        <w:r w:rsidR="0033459B">
          <w:rPr>
            <w:noProof/>
            <w:webHidden/>
          </w:rPr>
          <w:fldChar w:fldCharType="end"/>
        </w:r>
      </w:hyperlink>
    </w:p>
    <w:p w14:paraId="0E9CB0D2" w14:textId="77777777" w:rsidR="004E2AAA" w:rsidRDefault="00096FAC">
      <w:pPr>
        <w:pStyle w:val="TOC2"/>
        <w:rPr>
          <w:rFonts w:asciiTheme="minorHAnsi" w:eastAsiaTheme="minorEastAsia" w:hAnsiTheme="minorHAnsi" w:cstheme="minorBidi"/>
          <w:noProof/>
          <w:sz w:val="22"/>
          <w:szCs w:val="22"/>
          <w:lang w:val="en-GB" w:eastAsia="en-GB"/>
        </w:rPr>
      </w:pPr>
      <w:hyperlink w:anchor="_Toc434224052" w:history="1">
        <w:r w:rsidR="004E2AAA" w:rsidRPr="00F94FCA">
          <w:rPr>
            <w:rStyle w:val="Hyperlink"/>
            <w:noProof/>
          </w:rPr>
          <w:t>Risks</w:t>
        </w:r>
        <w:r w:rsidR="004E2AAA">
          <w:rPr>
            <w:noProof/>
            <w:webHidden/>
          </w:rPr>
          <w:tab/>
        </w:r>
        <w:r w:rsidR="0033459B">
          <w:rPr>
            <w:noProof/>
            <w:webHidden/>
          </w:rPr>
          <w:fldChar w:fldCharType="begin"/>
        </w:r>
        <w:r w:rsidR="004E2AAA">
          <w:rPr>
            <w:noProof/>
            <w:webHidden/>
          </w:rPr>
          <w:instrText xml:space="preserve"> PAGEREF _Toc434224052 \h </w:instrText>
        </w:r>
        <w:r w:rsidR="0033459B">
          <w:rPr>
            <w:noProof/>
            <w:webHidden/>
          </w:rPr>
        </w:r>
        <w:r w:rsidR="0033459B">
          <w:rPr>
            <w:noProof/>
            <w:webHidden/>
          </w:rPr>
          <w:fldChar w:fldCharType="separate"/>
        </w:r>
        <w:r w:rsidR="0050043D">
          <w:rPr>
            <w:noProof/>
            <w:webHidden/>
          </w:rPr>
          <w:t>10</w:t>
        </w:r>
        <w:r w:rsidR="0033459B">
          <w:rPr>
            <w:noProof/>
            <w:webHidden/>
          </w:rPr>
          <w:fldChar w:fldCharType="end"/>
        </w:r>
      </w:hyperlink>
    </w:p>
    <w:p w14:paraId="2C381386" w14:textId="77777777" w:rsidR="004E2AAA" w:rsidRDefault="00096FAC">
      <w:pPr>
        <w:pStyle w:val="TOC2"/>
        <w:rPr>
          <w:rFonts w:asciiTheme="minorHAnsi" w:eastAsiaTheme="minorEastAsia" w:hAnsiTheme="minorHAnsi" w:cstheme="minorBidi"/>
          <w:noProof/>
          <w:sz w:val="22"/>
          <w:szCs w:val="22"/>
          <w:lang w:val="en-GB" w:eastAsia="en-GB"/>
        </w:rPr>
      </w:pPr>
      <w:hyperlink w:anchor="_Toc434224053" w:history="1">
        <w:r w:rsidR="004E2AAA" w:rsidRPr="00F94FCA">
          <w:rPr>
            <w:rStyle w:val="Hyperlink"/>
            <w:noProof/>
          </w:rPr>
          <w:t>Procurement and Contracting Arrangements</w:t>
        </w:r>
        <w:r w:rsidR="004E2AAA">
          <w:rPr>
            <w:noProof/>
            <w:webHidden/>
          </w:rPr>
          <w:tab/>
        </w:r>
        <w:r w:rsidR="0033459B">
          <w:rPr>
            <w:noProof/>
            <w:webHidden/>
          </w:rPr>
          <w:fldChar w:fldCharType="begin"/>
        </w:r>
        <w:r w:rsidR="004E2AAA">
          <w:rPr>
            <w:noProof/>
            <w:webHidden/>
          </w:rPr>
          <w:instrText xml:space="preserve"> PAGEREF _Toc434224053 \h </w:instrText>
        </w:r>
        <w:r w:rsidR="0033459B">
          <w:rPr>
            <w:noProof/>
            <w:webHidden/>
          </w:rPr>
        </w:r>
        <w:r w:rsidR="0033459B">
          <w:rPr>
            <w:noProof/>
            <w:webHidden/>
          </w:rPr>
          <w:fldChar w:fldCharType="separate"/>
        </w:r>
        <w:r w:rsidR="0050043D">
          <w:rPr>
            <w:noProof/>
            <w:webHidden/>
          </w:rPr>
          <w:t>11</w:t>
        </w:r>
        <w:r w:rsidR="0033459B">
          <w:rPr>
            <w:noProof/>
            <w:webHidden/>
          </w:rPr>
          <w:fldChar w:fldCharType="end"/>
        </w:r>
      </w:hyperlink>
    </w:p>
    <w:p w14:paraId="7E51CE19" w14:textId="77777777" w:rsidR="004E2AAA" w:rsidRDefault="00096FAC">
      <w:pPr>
        <w:pStyle w:val="TOC2"/>
        <w:rPr>
          <w:rFonts w:asciiTheme="minorHAnsi" w:eastAsiaTheme="minorEastAsia" w:hAnsiTheme="minorHAnsi" w:cstheme="minorBidi"/>
          <w:noProof/>
          <w:sz w:val="22"/>
          <w:szCs w:val="22"/>
          <w:lang w:val="en-GB" w:eastAsia="en-GB"/>
        </w:rPr>
      </w:pPr>
      <w:hyperlink w:anchor="_Toc434224054" w:history="1">
        <w:r w:rsidR="004E2AAA" w:rsidRPr="00F94FCA">
          <w:rPr>
            <w:rStyle w:val="Hyperlink"/>
            <w:noProof/>
          </w:rPr>
          <w:t>Gender and Inclusiveness</w:t>
        </w:r>
        <w:r w:rsidR="004E2AAA">
          <w:rPr>
            <w:noProof/>
            <w:webHidden/>
          </w:rPr>
          <w:tab/>
        </w:r>
        <w:r w:rsidR="0033459B">
          <w:rPr>
            <w:noProof/>
            <w:webHidden/>
          </w:rPr>
          <w:fldChar w:fldCharType="begin"/>
        </w:r>
        <w:r w:rsidR="004E2AAA">
          <w:rPr>
            <w:noProof/>
            <w:webHidden/>
          </w:rPr>
          <w:instrText xml:space="preserve"> PAGEREF _Toc434224054 \h </w:instrText>
        </w:r>
        <w:r w:rsidR="0033459B">
          <w:rPr>
            <w:noProof/>
            <w:webHidden/>
          </w:rPr>
        </w:r>
        <w:r w:rsidR="0033459B">
          <w:rPr>
            <w:noProof/>
            <w:webHidden/>
          </w:rPr>
          <w:fldChar w:fldCharType="separate"/>
        </w:r>
        <w:r w:rsidR="0050043D">
          <w:rPr>
            <w:noProof/>
            <w:webHidden/>
          </w:rPr>
          <w:t>11</w:t>
        </w:r>
        <w:r w:rsidR="0033459B">
          <w:rPr>
            <w:noProof/>
            <w:webHidden/>
          </w:rPr>
          <w:fldChar w:fldCharType="end"/>
        </w:r>
      </w:hyperlink>
    </w:p>
    <w:p w14:paraId="235C8DCB" w14:textId="77777777" w:rsidR="004E2AAA" w:rsidRDefault="00096FAC">
      <w:pPr>
        <w:pStyle w:val="TOC2"/>
        <w:rPr>
          <w:rFonts w:asciiTheme="minorHAnsi" w:eastAsiaTheme="minorEastAsia" w:hAnsiTheme="minorHAnsi" w:cstheme="minorBidi"/>
          <w:noProof/>
          <w:sz w:val="22"/>
          <w:szCs w:val="22"/>
          <w:lang w:val="en-GB" w:eastAsia="en-GB"/>
        </w:rPr>
      </w:pPr>
      <w:hyperlink w:anchor="_Toc434224055" w:history="1">
        <w:r w:rsidR="004E2AAA" w:rsidRPr="00F94FCA">
          <w:rPr>
            <w:rStyle w:val="Hyperlink"/>
            <w:noProof/>
          </w:rPr>
          <w:t>Child Protection</w:t>
        </w:r>
        <w:r w:rsidR="004E2AAA">
          <w:rPr>
            <w:noProof/>
            <w:webHidden/>
          </w:rPr>
          <w:tab/>
        </w:r>
        <w:r w:rsidR="0033459B">
          <w:rPr>
            <w:noProof/>
            <w:webHidden/>
          </w:rPr>
          <w:fldChar w:fldCharType="begin"/>
        </w:r>
        <w:r w:rsidR="004E2AAA">
          <w:rPr>
            <w:noProof/>
            <w:webHidden/>
          </w:rPr>
          <w:instrText xml:space="preserve"> PAGEREF _Toc434224055 \h </w:instrText>
        </w:r>
        <w:r w:rsidR="0033459B">
          <w:rPr>
            <w:noProof/>
            <w:webHidden/>
          </w:rPr>
        </w:r>
        <w:r w:rsidR="0033459B">
          <w:rPr>
            <w:noProof/>
            <w:webHidden/>
          </w:rPr>
          <w:fldChar w:fldCharType="separate"/>
        </w:r>
        <w:r w:rsidR="0050043D">
          <w:rPr>
            <w:noProof/>
            <w:webHidden/>
          </w:rPr>
          <w:t>11</w:t>
        </w:r>
        <w:r w:rsidR="0033459B">
          <w:rPr>
            <w:noProof/>
            <w:webHidden/>
          </w:rPr>
          <w:fldChar w:fldCharType="end"/>
        </w:r>
      </w:hyperlink>
    </w:p>
    <w:p w14:paraId="30B87033" w14:textId="77777777" w:rsidR="004E2AAA" w:rsidRDefault="00096FAC">
      <w:pPr>
        <w:pStyle w:val="TOC2"/>
        <w:rPr>
          <w:rFonts w:asciiTheme="minorHAnsi" w:eastAsiaTheme="minorEastAsia" w:hAnsiTheme="minorHAnsi" w:cstheme="minorBidi"/>
          <w:noProof/>
          <w:sz w:val="22"/>
          <w:szCs w:val="22"/>
          <w:lang w:val="en-GB" w:eastAsia="en-GB"/>
        </w:rPr>
      </w:pPr>
      <w:hyperlink w:anchor="_Toc434224056" w:history="1">
        <w:r w:rsidR="004E2AAA" w:rsidRPr="00F94FCA">
          <w:rPr>
            <w:rStyle w:val="Hyperlink"/>
            <w:noProof/>
          </w:rPr>
          <w:t>Value for Money</w:t>
        </w:r>
        <w:r w:rsidR="004E2AAA">
          <w:rPr>
            <w:noProof/>
            <w:webHidden/>
          </w:rPr>
          <w:tab/>
        </w:r>
        <w:r w:rsidR="0033459B">
          <w:rPr>
            <w:noProof/>
            <w:webHidden/>
          </w:rPr>
          <w:fldChar w:fldCharType="begin"/>
        </w:r>
        <w:r w:rsidR="004E2AAA">
          <w:rPr>
            <w:noProof/>
            <w:webHidden/>
          </w:rPr>
          <w:instrText xml:space="preserve"> PAGEREF _Toc434224056 \h </w:instrText>
        </w:r>
        <w:r w:rsidR="0033459B">
          <w:rPr>
            <w:noProof/>
            <w:webHidden/>
          </w:rPr>
        </w:r>
        <w:r w:rsidR="0033459B">
          <w:rPr>
            <w:noProof/>
            <w:webHidden/>
          </w:rPr>
          <w:fldChar w:fldCharType="separate"/>
        </w:r>
        <w:r w:rsidR="0050043D">
          <w:rPr>
            <w:noProof/>
            <w:webHidden/>
          </w:rPr>
          <w:t>11</w:t>
        </w:r>
        <w:r w:rsidR="0033459B">
          <w:rPr>
            <w:noProof/>
            <w:webHidden/>
          </w:rPr>
          <w:fldChar w:fldCharType="end"/>
        </w:r>
      </w:hyperlink>
    </w:p>
    <w:p w14:paraId="5112BD99" w14:textId="77777777" w:rsidR="006952E7" w:rsidRPr="006952E7" w:rsidRDefault="0033459B" w:rsidP="006952E7">
      <w:pPr>
        <w:rPr>
          <w:rFonts w:eastAsia="Calibri"/>
        </w:rPr>
        <w:sectPr w:rsidR="006952E7" w:rsidRPr="006952E7" w:rsidSect="005941A3">
          <w:footerReference w:type="default" r:id="rId16"/>
          <w:pgSz w:w="11906" w:h="16838"/>
          <w:pgMar w:top="961" w:right="1134" w:bottom="851" w:left="1134" w:header="568" w:footer="430" w:gutter="0"/>
          <w:pgNumType w:fmt="lowerRoman" w:start="1"/>
          <w:cols w:space="708"/>
          <w:docGrid w:linePitch="360"/>
        </w:sectPr>
      </w:pPr>
      <w:r>
        <w:rPr>
          <w:rFonts w:eastAsia="Calibri"/>
        </w:rPr>
        <w:fldChar w:fldCharType="end"/>
      </w:r>
    </w:p>
    <w:p w14:paraId="57007A4F" w14:textId="77777777" w:rsidR="008163D0" w:rsidRPr="006952E7" w:rsidRDefault="008163D0" w:rsidP="008163D0">
      <w:pPr>
        <w:pStyle w:val="Heading1"/>
        <w:rPr>
          <w:rFonts w:eastAsia="Calibri"/>
          <w:szCs w:val="26"/>
        </w:rPr>
      </w:pPr>
      <w:bookmarkStart w:id="5" w:name="_Toc434224040"/>
      <w:r w:rsidRPr="006952E7">
        <w:rPr>
          <w:rFonts w:eastAsia="Calibri"/>
          <w:szCs w:val="26"/>
        </w:rPr>
        <w:lastRenderedPageBreak/>
        <w:t>1</w:t>
      </w:r>
      <w:r w:rsidRPr="006952E7">
        <w:rPr>
          <w:rFonts w:eastAsia="Calibri"/>
          <w:szCs w:val="26"/>
        </w:rPr>
        <w:tab/>
        <w:t>Background and strategic context</w:t>
      </w:r>
      <w:bookmarkEnd w:id="5"/>
    </w:p>
    <w:p w14:paraId="48611FD6" w14:textId="77777777" w:rsidR="008163D0" w:rsidRPr="001C693A" w:rsidRDefault="008163D0" w:rsidP="008163D0">
      <w:pPr>
        <w:pStyle w:val="Heading2"/>
        <w:spacing w:after="240"/>
      </w:pPr>
      <w:bookmarkStart w:id="6" w:name="_Toc434224041"/>
      <w:r>
        <w:t>Background</w:t>
      </w:r>
      <w:bookmarkEnd w:id="6"/>
    </w:p>
    <w:p w14:paraId="510F273D" w14:textId="77777777" w:rsidR="008163D0" w:rsidRDefault="008163D0" w:rsidP="008163D0">
      <w:pPr>
        <w:pStyle w:val="Default"/>
        <w:spacing w:after="180" w:line="264" w:lineRule="auto"/>
        <w:rPr>
          <w:sz w:val="22"/>
          <w:szCs w:val="22"/>
        </w:rPr>
      </w:pPr>
      <w:r>
        <w:rPr>
          <w:sz w:val="22"/>
          <w:szCs w:val="22"/>
        </w:rPr>
        <w:t xml:space="preserve">Australia values its longstanding ties with PNG – we are neighbours and regional partners, with a shared history and a shared geography. A stable and prosperous PNG is clearly in Australia’s national interest. </w:t>
      </w:r>
    </w:p>
    <w:p w14:paraId="4D612879" w14:textId="77777777" w:rsidR="00433B82" w:rsidRDefault="008163D0" w:rsidP="00433B82">
      <w:pPr>
        <w:pStyle w:val="Default"/>
        <w:spacing w:after="180" w:line="264" w:lineRule="auto"/>
        <w:rPr>
          <w:sz w:val="22"/>
          <w:szCs w:val="22"/>
        </w:rPr>
      </w:pPr>
      <w:r>
        <w:rPr>
          <w:sz w:val="22"/>
          <w:szCs w:val="22"/>
        </w:rPr>
        <w:t xml:space="preserve">PNG has experienced over a decade of comparatively robust economic growth, with expanding formal employment opportunities and strong growth in government expenditure and revenues. This economic performance has been driven by high international prices for PNG’s exports (including agriculture) favourable macroeconomic policies and, more recently, construction activity related to the Liquefied Natural Gas project. </w:t>
      </w:r>
      <w:r w:rsidR="00433B82">
        <w:rPr>
          <w:sz w:val="22"/>
          <w:szCs w:val="22"/>
        </w:rPr>
        <w:t xml:space="preserve">However, PNG is now facing a number of economic and fiscal challenges including weak international commodity prices, slower economic growth, significant budget deficits, weak job creation, inflation and interest rate pressures.  </w:t>
      </w:r>
    </w:p>
    <w:p w14:paraId="235A9794" w14:textId="77777777" w:rsidR="008163D0" w:rsidRDefault="008163D0" w:rsidP="008163D0">
      <w:pPr>
        <w:pStyle w:val="Default"/>
        <w:spacing w:after="180" w:line="264" w:lineRule="auto"/>
        <w:rPr>
          <w:sz w:val="22"/>
          <w:szCs w:val="22"/>
        </w:rPr>
      </w:pPr>
      <w:r>
        <w:rPr>
          <w:sz w:val="22"/>
          <w:szCs w:val="22"/>
        </w:rPr>
        <w:t xml:space="preserve">Despite this sustained period of growth and a long history of aid, </w:t>
      </w:r>
      <w:r w:rsidR="00433B82">
        <w:rPr>
          <w:sz w:val="22"/>
          <w:szCs w:val="22"/>
        </w:rPr>
        <w:t xml:space="preserve">the emerging economic and fiscal challenges suggest that </w:t>
      </w:r>
      <w:r>
        <w:rPr>
          <w:sz w:val="22"/>
          <w:szCs w:val="22"/>
        </w:rPr>
        <w:t xml:space="preserve">PNG </w:t>
      </w:r>
      <w:r w:rsidR="00433B82">
        <w:rPr>
          <w:sz w:val="22"/>
          <w:szCs w:val="22"/>
        </w:rPr>
        <w:t xml:space="preserve">will </w:t>
      </w:r>
      <w:r>
        <w:rPr>
          <w:sz w:val="22"/>
          <w:szCs w:val="22"/>
        </w:rPr>
        <w:t xml:space="preserve">continue to face substantial development challenges and a range of constraints to inclusive economic growth. These include poor law and order, inadequate infrastructure, complex levels of governance, inequality between men and women, weak capacity, corruption, and poor health and education services. These factors have impeded PNG’s ability to meet international development goals and national targets. </w:t>
      </w:r>
    </w:p>
    <w:p w14:paraId="6575D8A3" w14:textId="77777777" w:rsidR="008163D0" w:rsidRDefault="008163D0" w:rsidP="008163D0">
      <w:pPr>
        <w:pStyle w:val="Default"/>
        <w:spacing w:after="180" w:line="264" w:lineRule="auto"/>
        <w:rPr>
          <w:sz w:val="22"/>
          <w:szCs w:val="22"/>
        </w:rPr>
      </w:pPr>
      <w:r>
        <w:rPr>
          <w:sz w:val="22"/>
          <w:szCs w:val="22"/>
        </w:rPr>
        <w:t xml:space="preserve">Australia has provided aid to PNG since its independence in 1975. </w:t>
      </w:r>
      <w:r w:rsidR="002C616D">
        <w:rPr>
          <w:sz w:val="22"/>
          <w:szCs w:val="22"/>
        </w:rPr>
        <w:t xml:space="preserve"> I</w:t>
      </w:r>
      <w:r w:rsidRPr="00CC36CB">
        <w:rPr>
          <w:sz w:val="22"/>
          <w:szCs w:val="22"/>
        </w:rPr>
        <w:t xml:space="preserve">n 2015-16 </w:t>
      </w:r>
      <w:r w:rsidR="002C616D">
        <w:rPr>
          <w:sz w:val="22"/>
          <w:szCs w:val="22"/>
        </w:rPr>
        <w:t>the</w:t>
      </w:r>
      <w:r w:rsidRPr="00CC36CB">
        <w:rPr>
          <w:sz w:val="22"/>
          <w:szCs w:val="22"/>
        </w:rPr>
        <w:t xml:space="preserve"> estimated Australian Official Development Assistance (ODA)</w:t>
      </w:r>
      <w:r w:rsidR="002C616D">
        <w:rPr>
          <w:sz w:val="22"/>
          <w:szCs w:val="22"/>
        </w:rPr>
        <w:t xml:space="preserve"> to PNG is</w:t>
      </w:r>
      <w:r w:rsidRPr="00CC36CB">
        <w:rPr>
          <w:sz w:val="22"/>
          <w:szCs w:val="22"/>
        </w:rPr>
        <w:t xml:space="preserve"> $55</w:t>
      </w:r>
      <w:r w:rsidR="00120ACD">
        <w:rPr>
          <w:sz w:val="22"/>
          <w:szCs w:val="22"/>
        </w:rPr>
        <w:t>4</w:t>
      </w:r>
      <w:r w:rsidRPr="00CC36CB">
        <w:rPr>
          <w:sz w:val="22"/>
          <w:szCs w:val="22"/>
        </w:rPr>
        <w:t>.</w:t>
      </w:r>
      <w:r w:rsidR="00120ACD">
        <w:rPr>
          <w:sz w:val="22"/>
          <w:szCs w:val="22"/>
        </w:rPr>
        <w:t>5</w:t>
      </w:r>
      <w:r w:rsidRPr="00CC36CB">
        <w:rPr>
          <w:sz w:val="22"/>
          <w:szCs w:val="22"/>
        </w:rPr>
        <w:t xml:space="preserve"> million </w:t>
      </w:r>
      <w:r w:rsidR="002C616D">
        <w:rPr>
          <w:sz w:val="22"/>
          <w:szCs w:val="22"/>
        </w:rPr>
        <w:t>which is 13.7 per cent of total</w:t>
      </w:r>
      <w:r w:rsidR="00120ACD">
        <w:rPr>
          <w:sz w:val="22"/>
          <w:szCs w:val="22"/>
        </w:rPr>
        <w:t xml:space="preserve"> of its total ODA</w:t>
      </w:r>
      <w:r w:rsidR="002C616D">
        <w:rPr>
          <w:sz w:val="22"/>
          <w:szCs w:val="22"/>
        </w:rPr>
        <w:t>.</w:t>
      </w:r>
      <w:r w:rsidR="007262EC">
        <w:rPr>
          <w:sz w:val="22"/>
          <w:szCs w:val="22"/>
        </w:rPr>
        <w:t xml:space="preserve"> </w:t>
      </w:r>
      <w:r>
        <w:rPr>
          <w:sz w:val="22"/>
          <w:szCs w:val="22"/>
        </w:rPr>
        <w:t>We are PNG’s largest aid donor</w:t>
      </w:r>
      <w:r w:rsidR="002C616D">
        <w:rPr>
          <w:sz w:val="22"/>
          <w:szCs w:val="22"/>
        </w:rPr>
        <w:t xml:space="preserve"> with</w:t>
      </w:r>
      <w:r>
        <w:rPr>
          <w:sz w:val="22"/>
          <w:szCs w:val="22"/>
        </w:rPr>
        <w:t xml:space="preserve"> Australian aid flows </w:t>
      </w:r>
      <w:r w:rsidR="007262EC">
        <w:rPr>
          <w:sz w:val="22"/>
          <w:szCs w:val="22"/>
        </w:rPr>
        <w:t>at</w:t>
      </w:r>
      <w:r>
        <w:rPr>
          <w:sz w:val="22"/>
          <w:szCs w:val="22"/>
        </w:rPr>
        <w:t xml:space="preserve"> </w:t>
      </w:r>
      <w:r w:rsidR="007262EC">
        <w:rPr>
          <w:sz w:val="22"/>
          <w:szCs w:val="22"/>
        </w:rPr>
        <w:t>6</w:t>
      </w:r>
      <w:r>
        <w:rPr>
          <w:sz w:val="22"/>
          <w:szCs w:val="22"/>
        </w:rPr>
        <w:t>7</w:t>
      </w:r>
      <w:r w:rsidR="007262EC">
        <w:rPr>
          <w:sz w:val="22"/>
          <w:szCs w:val="22"/>
        </w:rPr>
        <w:t>.6</w:t>
      </w:r>
      <w:r>
        <w:rPr>
          <w:sz w:val="22"/>
          <w:szCs w:val="22"/>
        </w:rPr>
        <w:t xml:space="preserve"> per cent of </w:t>
      </w:r>
      <w:r w:rsidR="007262EC">
        <w:rPr>
          <w:sz w:val="22"/>
          <w:szCs w:val="22"/>
        </w:rPr>
        <w:t xml:space="preserve">the total ODA received by PNG. </w:t>
      </w:r>
      <w:r>
        <w:rPr>
          <w:color w:val="auto"/>
          <w:sz w:val="22"/>
          <w:szCs w:val="22"/>
        </w:rPr>
        <w:t xml:space="preserve">While DFAT coordinates and manages the majority of </w:t>
      </w:r>
      <w:r w:rsidR="007262EC">
        <w:rPr>
          <w:color w:val="auto"/>
          <w:sz w:val="22"/>
          <w:szCs w:val="22"/>
        </w:rPr>
        <w:t xml:space="preserve">the </w:t>
      </w:r>
      <w:r>
        <w:rPr>
          <w:color w:val="auto"/>
          <w:sz w:val="22"/>
          <w:szCs w:val="22"/>
        </w:rPr>
        <w:t>ODA to PNG, there continues to be strong whole-of-government engagement across the program</w:t>
      </w:r>
      <w:r w:rsidR="00433B82">
        <w:rPr>
          <w:color w:val="auto"/>
          <w:sz w:val="22"/>
          <w:szCs w:val="22"/>
        </w:rPr>
        <w:t xml:space="preserve"> including through the Australian Federal Police and Defence partnerships</w:t>
      </w:r>
      <w:r>
        <w:rPr>
          <w:color w:val="auto"/>
          <w:sz w:val="22"/>
          <w:szCs w:val="22"/>
        </w:rPr>
        <w:t>. Australian Government agencies provide expertise across the breadth of our aid engagement, typically through long-term advisory and mentoring support with counterparts in PNG, but also through advice or short-term deployments to support specific reforms.</w:t>
      </w:r>
    </w:p>
    <w:p w14:paraId="7504D72E" w14:textId="77777777" w:rsidR="008163D0" w:rsidRPr="006952E7" w:rsidRDefault="008163D0" w:rsidP="008163D0">
      <w:pPr>
        <w:pStyle w:val="Heading2"/>
        <w:spacing w:after="240"/>
      </w:pPr>
      <w:bookmarkStart w:id="7" w:name="_Toc434224042"/>
      <w:r w:rsidRPr="006952E7">
        <w:t>Australian aid</w:t>
      </w:r>
      <w:r w:rsidR="00433B82">
        <w:t xml:space="preserve">’s Focus on </w:t>
      </w:r>
      <w:r>
        <w:t>Better Governance and Results</w:t>
      </w:r>
      <w:bookmarkEnd w:id="7"/>
      <w:r>
        <w:t xml:space="preserve"> </w:t>
      </w:r>
    </w:p>
    <w:p w14:paraId="55BFE41D" w14:textId="77777777" w:rsidR="008163D0" w:rsidRPr="00ED64F2" w:rsidRDefault="008163D0" w:rsidP="008163D0">
      <w:pPr>
        <w:pStyle w:val="Default"/>
        <w:spacing w:after="180" w:line="264" w:lineRule="auto"/>
        <w:rPr>
          <w:sz w:val="22"/>
          <w:szCs w:val="22"/>
        </w:rPr>
      </w:pPr>
      <w:r w:rsidRPr="00ED64F2">
        <w:rPr>
          <w:sz w:val="22"/>
          <w:szCs w:val="22"/>
        </w:rPr>
        <w:t>In 2014, the Australian and PNG Governments agreed to reshape Australia’s aid program to better meet PNG’s development needs and reflect the shared priorities of both governments.</w:t>
      </w:r>
      <w:r>
        <w:rPr>
          <w:sz w:val="22"/>
          <w:szCs w:val="22"/>
        </w:rPr>
        <w:t xml:space="preserve"> Australia’s new aid policy</w:t>
      </w:r>
      <w:r>
        <w:rPr>
          <w:rStyle w:val="FootnoteReference"/>
          <w:sz w:val="22"/>
          <w:szCs w:val="22"/>
        </w:rPr>
        <w:footnoteReference w:id="2"/>
      </w:r>
      <w:r w:rsidR="00511C4B">
        <w:rPr>
          <w:sz w:val="22"/>
          <w:szCs w:val="22"/>
        </w:rPr>
        <w:t xml:space="preserve"> for PNG</w:t>
      </w:r>
      <w:r>
        <w:rPr>
          <w:sz w:val="22"/>
          <w:szCs w:val="22"/>
        </w:rPr>
        <w:t xml:space="preserve">, </w:t>
      </w:r>
      <w:r w:rsidRPr="00ED64F2">
        <w:rPr>
          <w:i/>
          <w:sz w:val="22"/>
          <w:szCs w:val="22"/>
        </w:rPr>
        <w:t>A new direction for Australian aid in PNG: refocusing Australian aid to help unlock PNG’s economic potential</w:t>
      </w:r>
      <w:r>
        <w:rPr>
          <w:rStyle w:val="FootnoteReference"/>
          <w:i/>
          <w:sz w:val="22"/>
          <w:szCs w:val="22"/>
        </w:rPr>
        <w:footnoteReference w:id="3"/>
      </w:r>
      <w:r w:rsidRPr="00ED64F2">
        <w:rPr>
          <w:sz w:val="22"/>
          <w:szCs w:val="22"/>
        </w:rPr>
        <w:t xml:space="preserve"> </w:t>
      </w:r>
      <w:r>
        <w:rPr>
          <w:sz w:val="22"/>
          <w:szCs w:val="22"/>
        </w:rPr>
        <w:t xml:space="preserve">gives priority to the </w:t>
      </w:r>
      <w:r w:rsidRPr="00EE0DCE">
        <w:rPr>
          <w:sz w:val="22"/>
        </w:rPr>
        <w:t xml:space="preserve">role of the private sector </w:t>
      </w:r>
      <w:r>
        <w:rPr>
          <w:sz w:val="22"/>
        </w:rPr>
        <w:t xml:space="preserve">as a </w:t>
      </w:r>
      <w:r w:rsidRPr="00EE0DCE">
        <w:rPr>
          <w:sz w:val="22"/>
        </w:rPr>
        <w:t>driv</w:t>
      </w:r>
      <w:r>
        <w:rPr>
          <w:sz w:val="22"/>
        </w:rPr>
        <w:t>er of</w:t>
      </w:r>
      <w:r w:rsidRPr="00EE0DCE">
        <w:rPr>
          <w:sz w:val="22"/>
        </w:rPr>
        <w:t xml:space="preserve"> broad-based economic growth and </w:t>
      </w:r>
      <w:r>
        <w:rPr>
          <w:sz w:val="22"/>
        </w:rPr>
        <w:t xml:space="preserve">greater </w:t>
      </w:r>
      <w:r w:rsidRPr="00EE0DCE">
        <w:rPr>
          <w:sz w:val="22"/>
        </w:rPr>
        <w:t xml:space="preserve">importance to enabling </w:t>
      </w:r>
      <w:r>
        <w:rPr>
          <w:sz w:val="22"/>
        </w:rPr>
        <w:t xml:space="preserve">human development.  It </w:t>
      </w:r>
      <w:r w:rsidRPr="00ED64F2">
        <w:rPr>
          <w:sz w:val="22"/>
          <w:szCs w:val="22"/>
        </w:rPr>
        <w:t>recommend</w:t>
      </w:r>
      <w:r>
        <w:rPr>
          <w:sz w:val="22"/>
          <w:szCs w:val="22"/>
        </w:rPr>
        <w:t>s</w:t>
      </w:r>
      <w:r w:rsidRPr="00ED64F2">
        <w:rPr>
          <w:sz w:val="22"/>
          <w:szCs w:val="22"/>
        </w:rPr>
        <w:t xml:space="preserve"> nine areas for change, improvement or enhancement. </w:t>
      </w:r>
    </w:p>
    <w:p w14:paraId="3D9F15A9" w14:textId="74B0C1E4" w:rsidR="008163D0" w:rsidRPr="00ED64F2" w:rsidRDefault="008163D0" w:rsidP="008163D0">
      <w:pPr>
        <w:pStyle w:val="Default"/>
        <w:spacing w:after="180" w:line="264" w:lineRule="auto"/>
        <w:rPr>
          <w:sz w:val="22"/>
          <w:szCs w:val="22"/>
        </w:rPr>
      </w:pPr>
      <w:r w:rsidRPr="00ED64F2">
        <w:rPr>
          <w:sz w:val="22"/>
          <w:szCs w:val="22"/>
        </w:rPr>
        <w:t xml:space="preserve">Good governance is </w:t>
      </w:r>
      <w:r>
        <w:rPr>
          <w:sz w:val="22"/>
          <w:szCs w:val="22"/>
        </w:rPr>
        <w:t xml:space="preserve">central </w:t>
      </w:r>
      <w:r w:rsidRPr="00ED64F2">
        <w:rPr>
          <w:sz w:val="22"/>
          <w:szCs w:val="22"/>
        </w:rPr>
        <w:t xml:space="preserve">to PNG’s </w:t>
      </w:r>
      <w:r>
        <w:rPr>
          <w:sz w:val="22"/>
          <w:szCs w:val="22"/>
        </w:rPr>
        <w:t xml:space="preserve">social </w:t>
      </w:r>
      <w:r w:rsidRPr="00ED64F2">
        <w:rPr>
          <w:sz w:val="22"/>
          <w:szCs w:val="22"/>
        </w:rPr>
        <w:t xml:space="preserve">stability and </w:t>
      </w:r>
      <w:r>
        <w:rPr>
          <w:sz w:val="22"/>
          <w:szCs w:val="22"/>
        </w:rPr>
        <w:t xml:space="preserve">economic </w:t>
      </w:r>
      <w:r w:rsidRPr="00ED64F2">
        <w:rPr>
          <w:sz w:val="22"/>
          <w:szCs w:val="22"/>
        </w:rPr>
        <w:t>growth</w:t>
      </w:r>
      <w:r>
        <w:rPr>
          <w:sz w:val="22"/>
          <w:szCs w:val="22"/>
        </w:rPr>
        <w:t xml:space="preserve"> and</w:t>
      </w:r>
      <w:r w:rsidRPr="00ED64F2">
        <w:rPr>
          <w:sz w:val="22"/>
          <w:szCs w:val="22"/>
        </w:rPr>
        <w:t xml:space="preserve"> </w:t>
      </w:r>
      <w:r>
        <w:rPr>
          <w:sz w:val="22"/>
          <w:szCs w:val="22"/>
        </w:rPr>
        <w:t>w</w:t>
      </w:r>
      <w:r w:rsidRPr="00ED64F2">
        <w:rPr>
          <w:sz w:val="22"/>
          <w:szCs w:val="22"/>
        </w:rPr>
        <w:t xml:space="preserve">hile Australia has over many years sought to help the PNG Government improve the effectiveness of its state institutions, </w:t>
      </w:r>
      <w:r>
        <w:rPr>
          <w:sz w:val="22"/>
          <w:szCs w:val="22"/>
        </w:rPr>
        <w:t>we are</w:t>
      </w:r>
      <w:r w:rsidRPr="00ED64F2">
        <w:rPr>
          <w:sz w:val="22"/>
          <w:szCs w:val="22"/>
        </w:rPr>
        <w:t xml:space="preserve"> now embarking on an enhanced program of support</w:t>
      </w:r>
      <w:r>
        <w:rPr>
          <w:sz w:val="22"/>
          <w:szCs w:val="22"/>
        </w:rPr>
        <w:t>.  We are</w:t>
      </w:r>
      <w:r w:rsidRPr="00ED64F2">
        <w:rPr>
          <w:sz w:val="22"/>
          <w:szCs w:val="22"/>
        </w:rPr>
        <w:t xml:space="preserve"> bringing greater coherence to our governance efforts under </w:t>
      </w:r>
      <w:r w:rsidR="00083276">
        <w:rPr>
          <w:sz w:val="22"/>
          <w:szCs w:val="22"/>
        </w:rPr>
        <w:t xml:space="preserve">the </w:t>
      </w:r>
      <w:r w:rsidR="00395605">
        <w:rPr>
          <w:sz w:val="22"/>
          <w:szCs w:val="22"/>
        </w:rPr>
        <w:t xml:space="preserve">PNG </w:t>
      </w:r>
      <w:r w:rsidRPr="00ED64F2">
        <w:rPr>
          <w:sz w:val="22"/>
          <w:szCs w:val="22"/>
        </w:rPr>
        <w:t>Governance Facility</w:t>
      </w:r>
      <w:r>
        <w:rPr>
          <w:sz w:val="22"/>
          <w:szCs w:val="22"/>
        </w:rPr>
        <w:t xml:space="preserve"> </w:t>
      </w:r>
      <w:r w:rsidR="000F4834">
        <w:rPr>
          <w:sz w:val="22"/>
          <w:szCs w:val="22"/>
        </w:rPr>
        <w:t xml:space="preserve">(PGF) </w:t>
      </w:r>
      <w:r>
        <w:rPr>
          <w:sz w:val="22"/>
          <w:szCs w:val="22"/>
        </w:rPr>
        <w:t xml:space="preserve">and refining </w:t>
      </w:r>
      <w:r w:rsidRPr="00ED64F2">
        <w:rPr>
          <w:sz w:val="22"/>
          <w:szCs w:val="22"/>
        </w:rPr>
        <w:t xml:space="preserve">our </w:t>
      </w:r>
      <w:r>
        <w:rPr>
          <w:sz w:val="22"/>
          <w:szCs w:val="22"/>
        </w:rPr>
        <w:t xml:space="preserve">support for </w:t>
      </w:r>
      <w:r w:rsidRPr="00ED64F2">
        <w:rPr>
          <w:sz w:val="22"/>
          <w:szCs w:val="22"/>
        </w:rPr>
        <w:t>the law and justice sector</w:t>
      </w:r>
      <w:r>
        <w:rPr>
          <w:sz w:val="22"/>
          <w:szCs w:val="22"/>
        </w:rPr>
        <w:t>, in particular to</w:t>
      </w:r>
      <w:r w:rsidRPr="00ED64F2">
        <w:rPr>
          <w:sz w:val="22"/>
          <w:szCs w:val="22"/>
        </w:rPr>
        <w:t xml:space="preserve"> </w:t>
      </w:r>
      <w:r w:rsidR="00395605">
        <w:rPr>
          <w:sz w:val="22"/>
          <w:szCs w:val="22"/>
        </w:rPr>
        <w:t xml:space="preserve">focus on Bougainville police, local justice/governance structures, </w:t>
      </w:r>
      <w:r w:rsidR="00A16C49">
        <w:rPr>
          <w:sz w:val="22"/>
          <w:szCs w:val="22"/>
        </w:rPr>
        <w:t xml:space="preserve">addressing family sexual violence, </w:t>
      </w:r>
      <w:r w:rsidRPr="00ED64F2">
        <w:rPr>
          <w:sz w:val="22"/>
          <w:szCs w:val="22"/>
        </w:rPr>
        <w:t>and combat</w:t>
      </w:r>
      <w:r w:rsidR="00A16C49">
        <w:rPr>
          <w:sz w:val="22"/>
          <w:szCs w:val="22"/>
        </w:rPr>
        <w:t>ing</w:t>
      </w:r>
      <w:r w:rsidRPr="00ED64F2">
        <w:rPr>
          <w:sz w:val="22"/>
          <w:szCs w:val="22"/>
        </w:rPr>
        <w:t xml:space="preserve"> corruption. </w:t>
      </w:r>
    </w:p>
    <w:p w14:paraId="1B0EC82B" w14:textId="77777777" w:rsidR="008163D0" w:rsidRDefault="008163D0" w:rsidP="008163D0">
      <w:pPr>
        <w:pStyle w:val="Default"/>
        <w:spacing w:after="180" w:line="264" w:lineRule="auto"/>
        <w:rPr>
          <w:sz w:val="22"/>
          <w:szCs w:val="22"/>
        </w:rPr>
      </w:pPr>
      <w:r w:rsidRPr="00ED64F2">
        <w:rPr>
          <w:sz w:val="22"/>
          <w:szCs w:val="22"/>
        </w:rPr>
        <w:lastRenderedPageBreak/>
        <w:t>Australia is also increasing its engagement with government</w:t>
      </w:r>
      <w:r w:rsidR="00A16C49">
        <w:rPr>
          <w:sz w:val="22"/>
          <w:szCs w:val="22"/>
        </w:rPr>
        <w:t>, the private sector</w:t>
      </w:r>
      <w:r w:rsidRPr="00ED64F2">
        <w:rPr>
          <w:sz w:val="22"/>
          <w:szCs w:val="22"/>
        </w:rPr>
        <w:t xml:space="preserve"> and civil society to empower</w:t>
      </w:r>
      <w:r>
        <w:rPr>
          <w:sz w:val="22"/>
          <w:szCs w:val="22"/>
        </w:rPr>
        <w:t xml:space="preserve"> and improve </w:t>
      </w:r>
      <w:r w:rsidR="00A16C49">
        <w:rPr>
          <w:sz w:val="22"/>
          <w:szCs w:val="22"/>
        </w:rPr>
        <w:t xml:space="preserve">security and </w:t>
      </w:r>
      <w:r>
        <w:rPr>
          <w:sz w:val="22"/>
          <w:szCs w:val="22"/>
        </w:rPr>
        <w:t>economic opportunities</w:t>
      </w:r>
      <w:r w:rsidR="00A16C49">
        <w:rPr>
          <w:sz w:val="22"/>
          <w:szCs w:val="22"/>
        </w:rPr>
        <w:t xml:space="preserve"> </w:t>
      </w:r>
      <w:r>
        <w:rPr>
          <w:sz w:val="22"/>
          <w:szCs w:val="22"/>
        </w:rPr>
        <w:t xml:space="preserve">for </w:t>
      </w:r>
      <w:r w:rsidRPr="00ED64F2">
        <w:rPr>
          <w:sz w:val="22"/>
          <w:szCs w:val="22"/>
        </w:rPr>
        <w:t>women</w:t>
      </w:r>
      <w:r>
        <w:rPr>
          <w:sz w:val="22"/>
          <w:szCs w:val="22"/>
        </w:rPr>
        <w:t xml:space="preserve"> in PNG</w:t>
      </w:r>
      <w:r w:rsidRPr="00ED64F2">
        <w:rPr>
          <w:sz w:val="22"/>
          <w:szCs w:val="22"/>
        </w:rPr>
        <w:t xml:space="preserve">. The very high rate of sexual and domestic violence against women and children requires more concerted action – including through the aid program. We are committed to implementing gender equality and women’s empowerment measures across our aid investments. We are also ensuring more targeted initiatives to promote gender equality and end violence against women and children. </w:t>
      </w:r>
    </w:p>
    <w:p w14:paraId="2121CFF2" w14:textId="77777777" w:rsidR="004E2AAA" w:rsidRPr="004E2AAA" w:rsidRDefault="004E2AAA" w:rsidP="004E2AAA">
      <w:pPr>
        <w:pStyle w:val="Default"/>
        <w:spacing w:after="180" w:line="264" w:lineRule="auto"/>
        <w:rPr>
          <w:sz w:val="22"/>
          <w:szCs w:val="22"/>
        </w:rPr>
      </w:pPr>
      <w:r w:rsidRPr="008901CC">
        <w:rPr>
          <w:sz w:val="22"/>
          <w:szCs w:val="22"/>
        </w:rPr>
        <w:t xml:space="preserve">As agreed with the PNG Government through the 2014 PNG Aid Assessment, Australia has gradually increased its support to the Autonomous Region of Bougainville. Australia’s assistance is grounded in support for the implementation of </w:t>
      </w:r>
      <w:r>
        <w:rPr>
          <w:sz w:val="22"/>
          <w:szCs w:val="22"/>
        </w:rPr>
        <w:t>the Bougainville Peace A</w:t>
      </w:r>
      <w:r w:rsidRPr="008901CC">
        <w:rPr>
          <w:sz w:val="22"/>
          <w:szCs w:val="22"/>
        </w:rPr>
        <w:t>greement. We will assist the A</w:t>
      </w:r>
      <w:r w:rsidR="00D1162F">
        <w:rPr>
          <w:sz w:val="22"/>
          <w:szCs w:val="22"/>
        </w:rPr>
        <w:t>utonomous Bougainville Government (A</w:t>
      </w:r>
      <w:r w:rsidRPr="008901CC">
        <w:rPr>
          <w:sz w:val="22"/>
          <w:szCs w:val="22"/>
        </w:rPr>
        <w:t>BG</w:t>
      </w:r>
      <w:r w:rsidR="00D1162F">
        <w:rPr>
          <w:sz w:val="22"/>
          <w:szCs w:val="22"/>
        </w:rPr>
        <w:t>)</w:t>
      </w:r>
      <w:r w:rsidRPr="008901CC">
        <w:rPr>
          <w:sz w:val="22"/>
          <w:szCs w:val="22"/>
        </w:rPr>
        <w:t xml:space="preserve"> and PNG Government to implement autonomy by developing the core functions and leadership of the ABG administrative and political arms. </w:t>
      </w:r>
      <w:r>
        <w:rPr>
          <w:sz w:val="22"/>
          <w:szCs w:val="22"/>
        </w:rPr>
        <w:t xml:space="preserve"> </w:t>
      </w:r>
      <w:r w:rsidRPr="008901CC">
        <w:rPr>
          <w:sz w:val="22"/>
          <w:szCs w:val="22"/>
        </w:rPr>
        <w:t>We will support the ABG to improve its communication so that people</w:t>
      </w:r>
      <w:r>
        <w:rPr>
          <w:sz w:val="22"/>
          <w:szCs w:val="22"/>
        </w:rPr>
        <w:t xml:space="preserve"> a</w:t>
      </w:r>
      <w:r w:rsidRPr="008901CC">
        <w:rPr>
          <w:sz w:val="22"/>
          <w:szCs w:val="22"/>
        </w:rPr>
        <w:t xml:space="preserve">re better informed. </w:t>
      </w:r>
      <w:r>
        <w:rPr>
          <w:sz w:val="22"/>
          <w:szCs w:val="22"/>
        </w:rPr>
        <w:t>We will also provide support in the areas of peace building and small grants.</w:t>
      </w:r>
    </w:p>
    <w:p w14:paraId="293344D7" w14:textId="77777777" w:rsidR="008163D0" w:rsidRPr="005C714F" w:rsidRDefault="008163D0" w:rsidP="008163D0">
      <w:pPr>
        <w:pStyle w:val="Default"/>
        <w:spacing w:after="180" w:line="264" w:lineRule="auto"/>
        <w:rPr>
          <w:sz w:val="22"/>
          <w:szCs w:val="22"/>
        </w:rPr>
      </w:pPr>
      <w:r>
        <w:rPr>
          <w:sz w:val="22"/>
          <w:szCs w:val="22"/>
        </w:rPr>
        <w:t xml:space="preserve">Future assistance will also reflect </w:t>
      </w:r>
      <w:r w:rsidRPr="005C714F">
        <w:rPr>
          <w:sz w:val="22"/>
          <w:szCs w:val="22"/>
        </w:rPr>
        <w:t>the Australian Government’s increased focus on performance and mutual accountability for results.  As part of the Australian Government’s enhanced approach to aid performance</w:t>
      </w:r>
      <w:r w:rsidRPr="007C07A2">
        <w:rPr>
          <w:sz w:val="22"/>
          <w:szCs w:val="22"/>
          <w:vertAlign w:val="superscript"/>
        </w:rPr>
        <w:footnoteReference w:id="4"/>
      </w:r>
      <w:r w:rsidRPr="005C714F">
        <w:rPr>
          <w:sz w:val="22"/>
          <w:szCs w:val="22"/>
        </w:rPr>
        <w:t xml:space="preserve">, </w:t>
      </w:r>
      <w:r w:rsidR="00C0653A">
        <w:rPr>
          <w:sz w:val="22"/>
          <w:szCs w:val="22"/>
        </w:rPr>
        <w:t>the Aid Investment Plan Papua New Guinea</w:t>
      </w:r>
      <w:r w:rsidR="009A2DA3">
        <w:rPr>
          <w:sz w:val="22"/>
          <w:szCs w:val="22"/>
        </w:rPr>
        <w:t>:</w:t>
      </w:r>
      <w:r w:rsidR="00C0653A">
        <w:rPr>
          <w:sz w:val="22"/>
          <w:szCs w:val="22"/>
        </w:rPr>
        <w:t xml:space="preserve"> 2015</w:t>
      </w:r>
      <w:r w:rsidR="009A2DA3">
        <w:rPr>
          <w:sz w:val="22"/>
          <w:szCs w:val="22"/>
        </w:rPr>
        <w:t>-2016 to 2017-2018</w:t>
      </w:r>
      <w:r w:rsidR="00C0653A">
        <w:rPr>
          <w:sz w:val="22"/>
          <w:szCs w:val="22"/>
        </w:rPr>
        <w:t xml:space="preserve"> </w:t>
      </w:r>
      <w:r>
        <w:rPr>
          <w:sz w:val="22"/>
          <w:szCs w:val="22"/>
        </w:rPr>
        <w:t xml:space="preserve"> </w:t>
      </w:r>
      <w:r w:rsidRPr="00990F68">
        <w:rPr>
          <w:sz w:val="22"/>
          <w:szCs w:val="22"/>
        </w:rPr>
        <w:t>outline</w:t>
      </w:r>
      <w:r w:rsidR="00C0653A">
        <w:rPr>
          <w:sz w:val="22"/>
          <w:szCs w:val="22"/>
        </w:rPr>
        <w:t>s</w:t>
      </w:r>
      <w:r w:rsidRPr="00990F68">
        <w:rPr>
          <w:sz w:val="22"/>
          <w:szCs w:val="22"/>
        </w:rPr>
        <w:t xml:space="preserve"> the focus and scope of </w:t>
      </w:r>
      <w:r>
        <w:rPr>
          <w:sz w:val="22"/>
          <w:szCs w:val="22"/>
        </w:rPr>
        <w:t xml:space="preserve">Australian </w:t>
      </w:r>
      <w:r w:rsidRPr="00990F68">
        <w:rPr>
          <w:sz w:val="22"/>
          <w:szCs w:val="22"/>
        </w:rPr>
        <w:t xml:space="preserve">aid </w:t>
      </w:r>
      <w:r>
        <w:rPr>
          <w:sz w:val="22"/>
          <w:szCs w:val="22"/>
        </w:rPr>
        <w:t>i</w:t>
      </w:r>
      <w:r w:rsidRPr="00990F68">
        <w:rPr>
          <w:sz w:val="22"/>
          <w:szCs w:val="22"/>
        </w:rPr>
        <w:t xml:space="preserve">nvestments in PNG and the results to be achieved. </w:t>
      </w:r>
      <w:r>
        <w:rPr>
          <w:sz w:val="22"/>
          <w:szCs w:val="22"/>
        </w:rPr>
        <w:t xml:space="preserve"> P</w:t>
      </w:r>
      <w:r w:rsidRPr="00990F68">
        <w:rPr>
          <w:sz w:val="22"/>
          <w:szCs w:val="22"/>
        </w:rPr>
        <w:t>erformance against the strategic priorities set out in the Plan</w:t>
      </w:r>
      <w:r>
        <w:rPr>
          <w:sz w:val="22"/>
          <w:szCs w:val="22"/>
        </w:rPr>
        <w:t xml:space="preserve"> will be assessed using </w:t>
      </w:r>
      <w:r w:rsidRPr="005C714F">
        <w:rPr>
          <w:sz w:val="22"/>
          <w:szCs w:val="22"/>
        </w:rPr>
        <w:t xml:space="preserve">performance benchmarks and mutual obligations developed with the PNG Government. </w:t>
      </w:r>
    </w:p>
    <w:p w14:paraId="2EE4C259" w14:textId="77777777" w:rsidR="008163D0" w:rsidRPr="00ED64F2" w:rsidRDefault="008163D0" w:rsidP="008163D0">
      <w:pPr>
        <w:pStyle w:val="Default"/>
        <w:spacing w:after="180" w:line="264" w:lineRule="auto"/>
        <w:rPr>
          <w:sz w:val="22"/>
          <w:szCs w:val="22"/>
        </w:rPr>
      </w:pPr>
      <w:r>
        <w:rPr>
          <w:sz w:val="22"/>
          <w:szCs w:val="22"/>
        </w:rPr>
        <w:t xml:space="preserve">In challenging environments, the Australian Government recognises that maximising the </w:t>
      </w:r>
      <w:r w:rsidRPr="005C714F">
        <w:rPr>
          <w:sz w:val="22"/>
          <w:szCs w:val="22"/>
        </w:rPr>
        <w:t>quality, performance and value-for-money</w:t>
      </w:r>
      <w:r>
        <w:rPr>
          <w:sz w:val="22"/>
          <w:szCs w:val="22"/>
        </w:rPr>
        <w:t xml:space="preserve"> of Australian aid requires </w:t>
      </w:r>
      <w:r>
        <w:rPr>
          <w:sz w:val="22"/>
        </w:rPr>
        <w:t>the</w:t>
      </w:r>
      <w:r w:rsidRPr="003C2608">
        <w:rPr>
          <w:sz w:val="22"/>
        </w:rPr>
        <w:t xml:space="preserve"> aid program </w:t>
      </w:r>
      <w:r>
        <w:rPr>
          <w:sz w:val="22"/>
        </w:rPr>
        <w:t xml:space="preserve">to be </w:t>
      </w:r>
      <w:r w:rsidRPr="003C2608">
        <w:rPr>
          <w:sz w:val="22"/>
        </w:rPr>
        <w:t>innovative</w:t>
      </w:r>
      <w:r w:rsidRPr="00BE1402">
        <w:rPr>
          <w:sz w:val="22"/>
        </w:rPr>
        <w:t xml:space="preserve"> </w:t>
      </w:r>
      <w:r>
        <w:rPr>
          <w:sz w:val="22"/>
        </w:rPr>
        <w:t>and</w:t>
      </w:r>
      <w:r w:rsidRPr="003C2608">
        <w:rPr>
          <w:sz w:val="22"/>
        </w:rPr>
        <w:t xml:space="preserve"> actively engag</w:t>
      </w:r>
      <w:r>
        <w:rPr>
          <w:sz w:val="22"/>
        </w:rPr>
        <w:t>ed</w:t>
      </w:r>
      <w:r w:rsidRPr="003C2608">
        <w:rPr>
          <w:sz w:val="22"/>
        </w:rPr>
        <w:t xml:space="preserve"> with risk,</w:t>
      </w:r>
      <w:r>
        <w:rPr>
          <w:sz w:val="22"/>
        </w:rPr>
        <w:t xml:space="preserve"> to find new solutions to intractable development constraints.  This ambition needs to be supported with better risk management, to ensure we identify </w:t>
      </w:r>
      <w:r w:rsidRPr="001B64BC">
        <w:rPr>
          <w:rFonts w:asciiTheme="minorHAnsi" w:hAnsiTheme="minorHAnsi"/>
          <w:sz w:val="22"/>
          <w:szCs w:val="22"/>
        </w:rPr>
        <w:t>poor performance earlier</w:t>
      </w:r>
      <w:r>
        <w:rPr>
          <w:rFonts w:asciiTheme="minorHAnsi" w:hAnsiTheme="minorHAnsi"/>
          <w:sz w:val="22"/>
          <w:szCs w:val="22"/>
        </w:rPr>
        <w:t>, learn from mistakes and build on our successes.</w:t>
      </w:r>
      <w:r w:rsidRPr="001B64BC">
        <w:rPr>
          <w:rFonts w:asciiTheme="minorHAnsi" w:hAnsiTheme="minorHAnsi"/>
          <w:sz w:val="22"/>
          <w:szCs w:val="22"/>
        </w:rPr>
        <w:t xml:space="preserve">  </w:t>
      </w:r>
    </w:p>
    <w:p w14:paraId="1900ACCC" w14:textId="77777777" w:rsidR="008163D0" w:rsidRPr="007605C0" w:rsidRDefault="008163D0" w:rsidP="008163D0">
      <w:pPr>
        <w:pStyle w:val="Heading2"/>
        <w:spacing w:after="240"/>
      </w:pPr>
      <w:bookmarkStart w:id="8" w:name="_Toc434224043"/>
      <w:r w:rsidRPr="007605C0">
        <w:t>Aid delivery context</w:t>
      </w:r>
      <w:bookmarkEnd w:id="8"/>
    </w:p>
    <w:p w14:paraId="49F1C721" w14:textId="3C0B414A" w:rsidR="008163D0" w:rsidRPr="00ED64F2" w:rsidRDefault="008163D0" w:rsidP="008163D0">
      <w:pPr>
        <w:pStyle w:val="Default"/>
        <w:spacing w:after="180" w:line="264" w:lineRule="auto"/>
        <w:rPr>
          <w:sz w:val="22"/>
          <w:szCs w:val="22"/>
        </w:rPr>
      </w:pPr>
      <w:r w:rsidRPr="00ED64F2">
        <w:rPr>
          <w:sz w:val="22"/>
          <w:szCs w:val="22"/>
        </w:rPr>
        <w:t>Australian aid administration</w:t>
      </w:r>
      <w:r>
        <w:rPr>
          <w:sz w:val="22"/>
          <w:szCs w:val="22"/>
        </w:rPr>
        <w:t xml:space="preserve"> is </w:t>
      </w:r>
      <w:r w:rsidR="0040537E">
        <w:rPr>
          <w:sz w:val="22"/>
          <w:szCs w:val="22"/>
        </w:rPr>
        <w:t xml:space="preserve">also </w:t>
      </w:r>
      <w:r>
        <w:rPr>
          <w:sz w:val="22"/>
          <w:szCs w:val="22"/>
        </w:rPr>
        <w:t>changing</w:t>
      </w:r>
      <w:r w:rsidRPr="00ED64F2">
        <w:rPr>
          <w:sz w:val="22"/>
          <w:szCs w:val="22"/>
        </w:rPr>
        <w:t xml:space="preserve">, </w:t>
      </w:r>
      <w:r>
        <w:rPr>
          <w:sz w:val="22"/>
          <w:szCs w:val="22"/>
        </w:rPr>
        <w:t xml:space="preserve">with significant reductions in in-house capability for program delivery and greater interest in harnessing the skills and ideas of the private sector.  This is changing the nature of the engagement we are seeking </w:t>
      </w:r>
      <w:r w:rsidRPr="00ED64F2">
        <w:rPr>
          <w:sz w:val="22"/>
          <w:szCs w:val="22"/>
        </w:rPr>
        <w:t xml:space="preserve">from contractors and creating opportunities for innovation in how we deliver assistance.  </w:t>
      </w:r>
      <w:r>
        <w:rPr>
          <w:sz w:val="22"/>
          <w:szCs w:val="22"/>
        </w:rPr>
        <w:t xml:space="preserve">In the future, our assistance will demonstrate: </w:t>
      </w:r>
    </w:p>
    <w:p w14:paraId="5B711F98" w14:textId="77777777" w:rsidR="008163D0" w:rsidRPr="00EE0DCE" w:rsidRDefault="008163D0" w:rsidP="008163D0">
      <w:pPr>
        <w:pStyle w:val="List-number-1"/>
        <w:numPr>
          <w:ilvl w:val="0"/>
          <w:numId w:val="9"/>
        </w:numPr>
        <w:spacing w:before="60" w:after="120" w:line="264" w:lineRule="auto"/>
        <w:ind w:left="426" w:hanging="357"/>
        <w:contextualSpacing/>
        <w:rPr>
          <w:rFonts w:ascii="Calibri" w:hAnsi="Calibri" w:cs="Arial"/>
          <w:sz w:val="22"/>
          <w:szCs w:val="20"/>
        </w:rPr>
      </w:pPr>
      <w:r w:rsidRPr="00EE0DCE">
        <w:rPr>
          <w:rFonts w:ascii="Calibri" w:hAnsi="Calibri" w:cs="Arial"/>
          <w:sz w:val="22"/>
          <w:szCs w:val="20"/>
          <w:u w:val="single"/>
        </w:rPr>
        <w:t>Strengthened aid effectiveness</w:t>
      </w:r>
      <w:r w:rsidRPr="00EE0DCE">
        <w:rPr>
          <w:rFonts w:ascii="Calibri" w:hAnsi="Calibri" w:cs="Arial"/>
          <w:sz w:val="22"/>
          <w:szCs w:val="20"/>
        </w:rPr>
        <w:t xml:space="preserve"> through more consolidated </w:t>
      </w:r>
      <w:r>
        <w:rPr>
          <w:rFonts w:ascii="Calibri" w:hAnsi="Calibri" w:cs="Arial"/>
          <w:sz w:val="22"/>
          <w:szCs w:val="20"/>
        </w:rPr>
        <w:t xml:space="preserve">and coherent assistance </w:t>
      </w:r>
      <w:r w:rsidRPr="00EE0DCE">
        <w:rPr>
          <w:rFonts w:ascii="Calibri" w:hAnsi="Calibri" w:cs="Arial"/>
          <w:sz w:val="22"/>
          <w:szCs w:val="20"/>
        </w:rPr>
        <w:t>that exploits potential synergies to leverage the impact of Australian governance</w:t>
      </w:r>
      <w:r w:rsidR="00A16C49">
        <w:rPr>
          <w:rFonts w:ascii="Calibri" w:hAnsi="Calibri" w:cs="Arial"/>
          <w:sz w:val="22"/>
          <w:szCs w:val="20"/>
        </w:rPr>
        <w:t xml:space="preserve"> </w:t>
      </w:r>
      <w:r w:rsidRPr="00EE0DCE">
        <w:rPr>
          <w:rFonts w:ascii="Calibri" w:hAnsi="Calibri" w:cs="Arial"/>
          <w:sz w:val="22"/>
          <w:szCs w:val="20"/>
        </w:rPr>
        <w:t>support</w:t>
      </w:r>
      <w:r w:rsidR="00A16C49">
        <w:rPr>
          <w:rFonts w:ascii="Calibri" w:hAnsi="Calibri" w:cs="Arial"/>
          <w:sz w:val="22"/>
          <w:szCs w:val="20"/>
        </w:rPr>
        <w:t xml:space="preserve"> and to influence the rest of the Australian aid portfolio</w:t>
      </w:r>
      <w:r w:rsidRPr="00EE0DCE">
        <w:rPr>
          <w:rFonts w:ascii="Calibri" w:hAnsi="Calibri" w:cs="Arial"/>
          <w:sz w:val="22"/>
          <w:szCs w:val="20"/>
        </w:rPr>
        <w:t>;</w:t>
      </w:r>
    </w:p>
    <w:p w14:paraId="1DD5E58F" w14:textId="77777777" w:rsidR="008163D0" w:rsidRPr="00EE0DCE" w:rsidRDefault="008163D0" w:rsidP="008163D0">
      <w:pPr>
        <w:pStyle w:val="List-number-1"/>
        <w:numPr>
          <w:ilvl w:val="0"/>
          <w:numId w:val="9"/>
        </w:numPr>
        <w:spacing w:before="60" w:after="120" w:line="264" w:lineRule="auto"/>
        <w:ind w:left="426" w:hanging="357"/>
        <w:contextualSpacing/>
        <w:rPr>
          <w:rFonts w:ascii="Calibri" w:hAnsi="Calibri" w:cs="Arial"/>
          <w:sz w:val="22"/>
          <w:szCs w:val="20"/>
        </w:rPr>
      </w:pPr>
      <w:r w:rsidRPr="00EE0DCE">
        <w:rPr>
          <w:rFonts w:ascii="Calibri" w:hAnsi="Calibri" w:cs="Arial"/>
          <w:sz w:val="22"/>
          <w:szCs w:val="20"/>
          <w:u w:val="single"/>
        </w:rPr>
        <w:t>Improved aid efficiency</w:t>
      </w:r>
      <w:r w:rsidRPr="00EE0DCE">
        <w:rPr>
          <w:rFonts w:ascii="Calibri" w:hAnsi="Calibri" w:cs="Arial"/>
          <w:sz w:val="22"/>
          <w:szCs w:val="20"/>
        </w:rPr>
        <w:t xml:space="preserve"> through use of simpler, more agile management structures and </w:t>
      </w:r>
      <w:r>
        <w:rPr>
          <w:rFonts w:ascii="Calibri" w:hAnsi="Calibri" w:cs="Arial"/>
          <w:sz w:val="22"/>
          <w:szCs w:val="20"/>
        </w:rPr>
        <w:t xml:space="preserve">use of more streamlined  </w:t>
      </w:r>
      <w:r w:rsidRPr="00EE0DCE">
        <w:rPr>
          <w:rFonts w:ascii="Calibri" w:hAnsi="Calibri" w:cs="Arial"/>
          <w:sz w:val="22"/>
          <w:szCs w:val="20"/>
        </w:rPr>
        <w:t>modalities to deliver assistance</w:t>
      </w:r>
      <w:r>
        <w:rPr>
          <w:rFonts w:ascii="Calibri" w:hAnsi="Calibri" w:cs="Arial"/>
          <w:sz w:val="22"/>
          <w:szCs w:val="20"/>
        </w:rPr>
        <w:t>, including facilities</w:t>
      </w:r>
      <w:r w:rsidRPr="00EE0DCE">
        <w:rPr>
          <w:rFonts w:ascii="Calibri" w:hAnsi="Calibri" w:cs="Arial"/>
          <w:sz w:val="22"/>
          <w:szCs w:val="20"/>
        </w:rPr>
        <w:t xml:space="preserve">;  </w:t>
      </w:r>
    </w:p>
    <w:p w14:paraId="31D46289" w14:textId="77777777" w:rsidR="008163D0" w:rsidRPr="00EE0DCE" w:rsidRDefault="008163D0" w:rsidP="008163D0">
      <w:pPr>
        <w:pStyle w:val="List-number-1"/>
        <w:numPr>
          <w:ilvl w:val="0"/>
          <w:numId w:val="9"/>
        </w:numPr>
        <w:spacing w:before="60" w:after="120" w:line="264" w:lineRule="auto"/>
        <w:ind w:left="426" w:hanging="357"/>
        <w:contextualSpacing/>
        <w:rPr>
          <w:rFonts w:ascii="Calibri" w:hAnsi="Calibri" w:cs="Arial"/>
          <w:sz w:val="22"/>
          <w:szCs w:val="20"/>
        </w:rPr>
      </w:pPr>
      <w:r>
        <w:rPr>
          <w:rFonts w:ascii="Calibri" w:hAnsi="Calibri" w:cs="Arial"/>
          <w:sz w:val="22"/>
          <w:szCs w:val="20"/>
          <w:u w:val="single"/>
        </w:rPr>
        <w:t>Greater g</w:t>
      </w:r>
      <w:r w:rsidRPr="00EE0DCE">
        <w:rPr>
          <w:rFonts w:ascii="Calibri" w:hAnsi="Calibri" w:cs="Arial"/>
          <w:sz w:val="22"/>
          <w:szCs w:val="20"/>
          <w:u w:val="single"/>
        </w:rPr>
        <w:t>ender sensitiv</w:t>
      </w:r>
      <w:r>
        <w:rPr>
          <w:rFonts w:ascii="Calibri" w:hAnsi="Calibri" w:cs="Arial"/>
          <w:sz w:val="22"/>
          <w:szCs w:val="20"/>
          <w:u w:val="single"/>
        </w:rPr>
        <w:t>ity</w:t>
      </w:r>
      <w:r w:rsidRPr="00EE0DCE">
        <w:rPr>
          <w:rFonts w:ascii="Calibri" w:hAnsi="Calibri" w:cs="Arial"/>
          <w:sz w:val="22"/>
          <w:szCs w:val="20"/>
        </w:rPr>
        <w:t xml:space="preserve"> by working to ensure all programs are gender sensitive and target women’s leadership, empowerment, and security;</w:t>
      </w:r>
    </w:p>
    <w:p w14:paraId="3BD4F577" w14:textId="77777777" w:rsidR="008163D0" w:rsidRPr="00EE0DCE" w:rsidRDefault="008163D0" w:rsidP="008163D0">
      <w:pPr>
        <w:pStyle w:val="List-number-1"/>
        <w:numPr>
          <w:ilvl w:val="0"/>
          <w:numId w:val="9"/>
        </w:numPr>
        <w:spacing w:before="60" w:after="120" w:line="264" w:lineRule="auto"/>
        <w:ind w:left="426" w:hanging="357"/>
        <w:contextualSpacing/>
        <w:rPr>
          <w:rFonts w:ascii="Calibri" w:hAnsi="Calibri" w:cs="Arial"/>
          <w:sz w:val="22"/>
          <w:szCs w:val="20"/>
        </w:rPr>
      </w:pPr>
      <w:r>
        <w:rPr>
          <w:rFonts w:ascii="Calibri" w:hAnsi="Calibri" w:cs="Arial"/>
          <w:sz w:val="22"/>
          <w:szCs w:val="20"/>
          <w:u w:val="single"/>
        </w:rPr>
        <w:t>Better v</w:t>
      </w:r>
      <w:r w:rsidRPr="00EE0DCE">
        <w:rPr>
          <w:rFonts w:ascii="Calibri" w:hAnsi="Calibri" w:cs="Arial"/>
          <w:sz w:val="22"/>
          <w:szCs w:val="20"/>
          <w:u w:val="single"/>
        </w:rPr>
        <w:t>alue for money</w:t>
      </w:r>
      <w:r w:rsidRPr="00EE0DCE">
        <w:rPr>
          <w:rFonts w:ascii="Calibri" w:hAnsi="Calibri" w:cs="Arial"/>
          <w:sz w:val="22"/>
          <w:szCs w:val="20"/>
        </w:rPr>
        <w:t xml:space="preserve"> through </w:t>
      </w:r>
      <w:r>
        <w:rPr>
          <w:rFonts w:ascii="Calibri" w:hAnsi="Calibri" w:cs="Arial"/>
          <w:sz w:val="22"/>
          <w:szCs w:val="20"/>
        </w:rPr>
        <w:t xml:space="preserve">more flexible and responsive approaches that </w:t>
      </w:r>
      <w:r w:rsidRPr="00EE0DCE">
        <w:rPr>
          <w:rFonts w:ascii="Calibri" w:hAnsi="Calibri" w:cs="Arial"/>
          <w:sz w:val="22"/>
          <w:szCs w:val="20"/>
        </w:rPr>
        <w:t xml:space="preserve">build on success and respond </w:t>
      </w:r>
      <w:r>
        <w:rPr>
          <w:rFonts w:ascii="Calibri" w:hAnsi="Calibri" w:cs="Arial"/>
          <w:sz w:val="22"/>
          <w:szCs w:val="20"/>
        </w:rPr>
        <w:t xml:space="preserve">more </w:t>
      </w:r>
      <w:r w:rsidRPr="00EE0DCE">
        <w:rPr>
          <w:rFonts w:ascii="Calibri" w:hAnsi="Calibri" w:cs="Arial"/>
          <w:sz w:val="22"/>
          <w:szCs w:val="20"/>
        </w:rPr>
        <w:t>quick</w:t>
      </w:r>
      <w:r>
        <w:rPr>
          <w:rFonts w:ascii="Calibri" w:hAnsi="Calibri" w:cs="Arial"/>
          <w:sz w:val="22"/>
          <w:szCs w:val="20"/>
        </w:rPr>
        <w:t xml:space="preserve">ly </w:t>
      </w:r>
      <w:r w:rsidRPr="00EE0DCE">
        <w:rPr>
          <w:rFonts w:ascii="Calibri" w:hAnsi="Calibri" w:cs="Arial"/>
          <w:sz w:val="22"/>
          <w:szCs w:val="20"/>
        </w:rPr>
        <w:t xml:space="preserve"> to under-performance;  </w:t>
      </w:r>
    </w:p>
    <w:p w14:paraId="73D9ABF2" w14:textId="77777777" w:rsidR="008163D0" w:rsidRPr="00E008BA" w:rsidRDefault="008163D0" w:rsidP="008163D0">
      <w:pPr>
        <w:pStyle w:val="List-number-1"/>
        <w:numPr>
          <w:ilvl w:val="0"/>
          <w:numId w:val="9"/>
        </w:numPr>
        <w:spacing w:before="60" w:after="120" w:line="264" w:lineRule="auto"/>
        <w:ind w:left="426" w:hanging="357"/>
        <w:contextualSpacing/>
        <w:rPr>
          <w:rFonts w:ascii="Calibri" w:hAnsi="Calibri" w:cs="Arial"/>
          <w:sz w:val="22"/>
          <w:szCs w:val="20"/>
        </w:rPr>
      </w:pPr>
      <w:r w:rsidRPr="00E008BA">
        <w:rPr>
          <w:rFonts w:ascii="Calibri" w:hAnsi="Calibri" w:cs="Arial"/>
          <w:sz w:val="22"/>
          <w:szCs w:val="20"/>
          <w:u w:val="single"/>
        </w:rPr>
        <w:t>Greater innovation</w:t>
      </w:r>
      <w:r w:rsidRPr="00E008BA">
        <w:rPr>
          <w:rFonts w:ascii="Calibri" w:hAnsi="Calibri" w:cs="Arial"/>
          <w:sz w:val="22"/>
          <w:szCs w:val="20"/>
        </w:rPr>
        <w:t xml:space="preserve"> through </w:t>
      </w:r>
      <w:r w:rsidRPr="00E008BA">
        <w:rPr>
          <w:rFonts w:ascii="Calibri" w:hAnsi="Calibri" w:cs="Arial"/>
          <w:i/>
          <w:sz w:val="22"/>
          <w:szCs w:val="20"/>
        </w:rPr>
        <w:t>inter alia</w:t>
      </w:r>
      <w:r w:rsidRPr="00E008BA">
        <w:rPr>
          <w:rFonts w:ascii="Calibri" w:hAnsi="Calibri" w:cs="Arial"/>
          <w:sz w:val="22"/>
          <w:szCs w:val="20"/>
        </w:rPr>
        <w:t xml:space="preserve"> incentivising and empowering well-managed risk taking by expert contractors through more strategic management arrangements and greater operational autonomy. </w:t>
      </w:r>
    </w:p>
    <w:p w14:paraId="00A65B54" w14:textId="6EA94071" w:rsidR="008163D0" w:rsidRPr="00E008BA" w:rsidRDefault="00A16C49" w:rsidP="008163D0">
      <w:pPr>
        <w:spacing w:after="120" w:line="276" w:lineRule="auto"/>
        <w:rPr>
          <w:rFonts w:asciiTheme="minorHAnsi" w:hAnsiTheme="minorHAnsi"/>
          <w:sz w:val="22"/>
          <w:szCs w:val="22"/>
        </w:rPr>
      </w:pPr>
      <w:r>
        <w:rPr>
          <w:rFonts w:asciiTheme="minorHAnsi" w:hAnsiTheme="minorHAnsi"/>
          <w:sz w:val="22"/>
          <w:szCs w:val="22"/>
        </w:rPr>
        <w:t xml:space="preserve">A portfolio of </w:t>
      </w:r>
      <w:r w:rsidR="008163D0" w:rsidRPr="00E008BA">
        <w:rPr>
          <w:rFonts w:asciiTheme="minorHAnsi" w:hAnsiTheme="minorHAnsi"/>
          <w:sz w:val="22"/>
          <w:szCs w:val="22"/>
        </w:rPr>
        <w:t>more flexible</w:t>
      </w:r>
      <w:r>
        <w:rPr>
          <w:rFonts w:asciiTheme="minorHAnsi" w:hAnsiTheme="minorHAnsi"/>
          <w:sz w:val="22"/>
          <w:szCs w:val="22"/>
        </w:rPr>
        <w:t>, adaptive and iterative</w:t>
      </w:r>
      <w:r w:rsidR="008163D0" w:rsidRPr="00E008BA">
        <w:rPr>
          <w:rFonts w:asciiTheme="minorHAnsi" w:hAnsiTheme="minorHAnsi"/>
          <w:sz w:val="22"/>
          <w:szCs w:val="22"/>
        </w:rPr>
        <w:t xml:space="preserve"> programs that can ad</w:t>
      </w:r>
      <w:r w:rsidR="00876262">
        <w:rPr>
          <w:rFonts w:asciiTheme="minorHAnsi" w:hAnsiTheme="minorHAnsi"/>
          <w:sz w:val="22"/>
          <w:szCs w:val="22"/>
        </w:rPr>
        <w:t>just</w:t>
      </w:r>
      <w:r w:rsidR="008163D0" w:rsidRPr="00E008BA">
        <w:rPr>
          <w:rFonts w:asciiTheme="minorHAnsi" w:hAnsiTheme="minorHAnsi"/>
          <w:sz w:val="22"/>
          <w:szCs w:val="22"/>
        </w:rPr>
        <w:t xml:space="preserve"> to changing circumstances </w:t>
      </w:r>
      <w:r w:rsidR="00C02F04">
        <w:rPr>
          <w:rFonts w:asciiTheme="minorHAnsi" w:hAnsiTheme="minorHAnsi"/>
          <w:sz w:val="22"/>
          <w:szCs w:val="22"/>
        </w:rPr>
        <w:t xml:space="preserve">under an expert contractor with significant program management responsibilities </w:t>
      </w:r>
      <w:r w:rsidR="008163D0" w:rsidRPr="00E008BA">
        <w:rPr>
          <w:rFonts w:asciiTheme="minorHAnsi" w:hAnsiTheme="minorHAnsi"/>
          <w:sz w:val="22"/>
          <w:szCs w:val="22"/>
        </w:rPr>
        <w:t xml:space="preserve">are a better fit with the PNG context and also enable </w:t>
      </w:r>
      <w:r w:rsidR="00802B6C" w:rsidRPr="00E008BA">
        <w:rPr>
          <w:rFonts w:asciiTheme="minorHAnsi" w:hAnsiTheme="minorHAnsi"/>
          <w:sz w:val="22"/>
          <w:szCs w:val="22"/>
        </w:rPr>
        <w:t xml:space="preserve">limited </w:t>
      </w:r>
      <w:r w:rsidR="008163D0" w:rsidRPr="00E008BA">
        <w:rPr>
          <w:rFonts w:asciiTheme="minorHAnsi" w:hAnsiTheme="minorHAnsi"/>
          <w:sz w:val="22"/>
          <w:szCs w:val="22"/>
        </w:rPr>
        <w:t xml:space="preserve">DFAT staff resources to focus on their core responsibilities.  However, </w:t>
      </w:r>
      <w:r w:rsidR="008163D0" w:rsidRPr="00E008BA">
        <w:rPr>
          <w:rFonts w:asciiTheme="minorHAnsi" w:hAnsiTheme="minorHAnsi"/>
          <w:sz w:val="22"/>
          <w:szCs w:val="22"/>
        </w:rPr>
        <w:lastRenderedPageBreak/>
        <w:t>they also entail significant risks.  They account for significant volumes of Australian taxpayers’ funds. The ability of the Australian High Commission</w:t>
      </w:r>
      <w:r w:rsidR="00876262">
        <w:rPr>
          <w:rFonts w:asciiTheme="minorHAnsi" w:hAnsiTheme="minorHAnsi"/>
          <w:sz w:val="22"/>
          <w:szCs w:val="22"/>
        </w:rPr>
        <w:t xml:space="preserve"> (AHC)</w:t>
      </w:r>
      <w:r w:rsidR="008163D0" w:rsidRPr="00E008BA">
        <w:rPr>
          <w:rFonts w:asciiTheme="minorHAnsi" w:hAnsiTheme="minorHAnsi"/>
          <w:sz w:val="22"/>
          <w:szCs w:val="22"/>
        </w:rPr>
        <w:t xml:space="preserve"> and </w:t>
      </w:r>
      <w:r w:rsidR="00876262">
        <w:rPr>
          <w:rFonts w:asciiTheme="minorHAnsi" w:hAnsiTheme="minorHAnsi"/>
          <w:sz w:val="22"/>
          <w:szCs w:val="22"/>
        </w:rPr>
        <w:t>Government of PNG (</w:t>
      </w:r>
      <w:r w:rsidR="008163D0" w:rsidRPr="00E008BA">
        <w:rPr>
          <w:rFonts w:asciiTheme="minorHAnsi" w:hAnsiTheme="minorHAnsi"/>
          <w:sz w:val="22"/>
          <w:szCs w:val="22"/>
        </w:rPr>
        <w:t>GoPNG</w:t>
      </w:r>
      <w:r w:rsidR="00876262">
        <w:rPr>
          <w:rFonts w:asciiTheme="minorHAnsi" w:hAnsiTheme="minorHAnsi"/>
          <w:sz w:val="22"/>
          <w:szCs w:val="22"/>
        </w:rPr>
        <w:t>)</w:t>
      </w:r>
      <w:r w:rsidR="008163D0" w:rsidRPr="00E008BA">
        <w:rPr>
          <w:rFonts w:asciiTheme="minorHAnsi" w:hAnsiTheme="minorHAnsi"/>
          <w:sz w:val="22"/>
          <w:szCs w:val="22"/>
        </w:rPr>
        <w:t xml:space="preserve"> to oversee performance</w:t>
      </w:r>
      <w:r w:rsidR="00D62034">
        <w:rPr>
          <w:rFonts w:asciiTheme="minorHAnsi" w:hAnsiTheme="minorHAnsi"/>
          <w:sz w:val="22"/>
          <w:szCs w:val="22"/>
        </w:rPr>
        <w:t xml:space="preserve"> can be</w:t>
      </w:r>
      <w:r w:rsidR="008163D0" w:rsidRPr="00E008BA">
        <w:rPr>
          <w:rFonts w:asciiTheme="minorHAnsi" w:hAnsiTheme="minorHAnsi"/>
          <w:sz w:val="22"/>
          <w:szCs w:val="22"/>
        </w:rPr>
        <w:t xml:space="preserve"> constrained by limited human resources</w:t>
      </w:r>
      <w:r w:rsidR="00876262">
        <w:rPr>
          <w:rFonts w:asciiTheme="minorHAnsi" w:hAnsiTheme="minorHAnsi"/>
          <w:sz w:val="22"/>
          <w:szCs w:val="22"/>
        </w:rPr>
        <w:t>, poor data</w:t>
      </w:r>
      <w:r w:rsidR="008163D0" w:rsidRPr="00E008BA">
        <w:rPr>
          <w:rFonts w:asciiTheme="minorHAnsi" w:hAnsiTheme="minorHAnsi"/>
          <w:sz w:val="22"/>
          <w:szCs w:val="22"/>
        </w:rPr>
        <w:t xml:space="preserve"> and the complex operating environment in PNG.  While flexibility is an important attribute of effective aid in challenging environments, experience shows it can lead over time to a diffusion of effort that lacks strategic coherence and impact.</w:t>
      </w:r>
    </w:p>
    <w:p w14:paraId="090A5519" w14:textId="77777777" w:rsidR="00A16C49" w:rsidRDefault="008163D0" w:rsidP="008163D0">
      <w:pPr>
        <w:spacing w:after="120" w:line="276" w:lineRule="auto"/>
        <w:rPr>
          <w:rFonts w:asciiTheme="minorHAnsi" w:hAnsiTheme="minorHAnsi"/>
          <w:sz w:val="22"/>
          <w:szCs w:val="22"/>
        </w:rPr>
      </w:pPr>
      <w:r w:rsidRPr="00E008BA">
        <w:rPr>
          <w:rFonts w:asciiTheme="minorHAnsi" w:hAnsiTheme="minorHAnsi"/>
          <w:sz w:val="22"/>
          <w:szCs w:val="22"/>
        </w:rPr>
        <w:t>It is therefore necessary to put in place mechanisms that support the Australian aid program as it adopts these new ways of working and help manage the calculated risks that underpin these changes.</w:t>
      </w:r>
    </w:p>
    <w:p w14:paraId="6C6F60AB" w14:textId="4CD3B612" w:rsidR="00A16C49" w:rsidRDefault="00A16C49" w:rsidP="008163D0">
      <w:pPr>
        <w:spacing w:after="120" w:line="276" w:lineRule="auto"/>
        <w:rPr>
          <w:rFonts w:asciiTheme="minorHAnsi" w:hAnsiTheme="minorHAnsi"/>
          <w:sz w:val="22"/>
          <w:szCs w:val="22"/>
        </w:rPr>
      </w:pPr>
      <w:r>
        <w:rPr>
          <w:rFonts w:asciiTheme="minorHAnsi" w:hAnsiTheme="minorHAnsi"/>
          <w:sz w:val="22"/>
          <w:szCs w:val="22"/>
        </w:rPr>
        <w:t>The PNG Quality and Technical Assurance Group is one such mechanism.</w:t>
      </w:r>
    </w:p>
    <w:p w14:paraId="07DC7B7F" w14:textId="77777777" w:rsidR="002C6BE2" w:rsidRPr="006952E7" w:rsidRDefault="002C6BE2" w:rsidP="006952E7">
      <w:pPr>
        <w:pStyle w:val="Heading1"/>
        <w:rPr>
          <w:rFonts w:eastAsia="Calibri"/>
          <w:szCs w:val="26"/>
        </w:rPr>
      </w:pPr>
      <w:bookmarkStart w:id="9" w:name="_Toc434224044"/>
      <w:bookmarkEnd w:id="0"/>
      <w:bookmarkEnd w:id="1"/>
      <w:bookmarkEnd w:id="2"/>
      <w:bookmarkEnd w:id="3"/>
      <w:r w:rsidRPr="006952E7">
        <w:rPr>
          <w:rFonts w:eastAsia="Calibri"/>
          <w:szCs w:val="26"/>
        </w:rPr>
        <w:t>2</w:t>
      </w:r>
      <w:r w:rsidRPr="006952E7">
        <w:rPr>
          <w:rFonts w:eastAsia="Calibri"/>
          <w:szCs w:val="26"/>
        </w:rPr>
        <w:tab/>
        <w:t>Investment Description</w:t>
      </w:r>
      <w:bookmarkEnd w:id="9"/>
    </w:p>
    <w:p w14:paraId="307A5A48" w14:textId="77777777" w:rsidR="002C6BE2" w:rsidRPr="006952E7" w:rsidRDefault="002C6BE2" w:rsidP="006952E7">
      <w:pPr>
        <w:pStyle w:val="Heading2"/>
        <w:spacing w:after="240"/>
      </w:pPr>
      <w:bookmarkStart w:id="10" w:name="_Toc434224045"/>
      <w:r w:rsidRPr="006952E7">
        <w:t>Rationale and Purpose</w:t>
      </w:r>
      <w:bookmarkEnd w:id="10"/>
    </w:p>
    <w:p w14:paraId="60E636E6" w14:textId="4848CFE6" w:rsidR="008163D0" w:rsidRDefault="00D21A23" w:rsidP="008163D0">
      <w:pPr>
        <w:spacing w:before="60" w:after="120" w:line="276" w:lineRule="auto"/>
        <w:rPr>
          <w:rFonts w:asciiTheme="minorHAnsi" w:hAnsiTheme="minorHAnsi"/>
          <w:sz w:val="22"/>
          <w:szCs w:val="22"/>
        </w:rPr>
      </w:pPr>
      <w:r w:rsidRPr="001B64BC">
        <w:rPr>
          <w:rFonts w:asciiTheme="minorHAnsi" w:hAnsiTheme="minorHAnsi"/>
          <w:sz w:val="22"/>
          <w:szCs w:val="22"/>
        </w:rPr>
        <w:t xml:space="preserve">Following a DFAT open tender process, </w:t>
      </w:r>
      <w:r w:rsidR="00B55480" w:rsidRPr="001B64BC">
        <w:rPr>
          <w:rFonts w:asciiTheme="minorHAnsi" w:hAnsiTheme="minorHAnsi"/>
          <w:sz w:val="22"/>
          <w:szCs w:val="22"/>
        </w:rPr>
        <w:t xml:space="preserve">DFAT </w:t>
      </w:r>
      <w:r w:rsidRPr="001B64BC">
        <w:rPr>
          <w:rFonts w:asciiTheme="minorHAnsi" w:hAnsiTheme="minorHAnsi"/>
          <w:sz w:val="22"/>
          <w:szCs w:val="22"/>
        </w:rPr>
        <w:t xml:space="preserve">intends </w:t>
      </w:r>
      <w:r w:rsidR="00B55480" w:rsidRPr="001B64BC">
        <w:rPr>
          <w:rFonts w:asciiTheme="minorHAnsi" w:hAnsiTheme="minorHAnsi"/>
          <w:sz w:val="22"/>
          <w:szCs w:val="22"/>
        </w:rPr>
        <w:t>to appoint an independent, external Service Provide</w:t>
      </w:r>
      <w:r w:rsidR="004D206A" w:rsidRPr="001B64BC">
        <w:rPr>
          <w:rFonts w:asciiTheme="minorHAnsi" w:hAnsiTheme="minorHAnsi"/>
          <w:sz w:val="22"/>
          <w:szCs w:val="22"/>
        </w:rPr>
        <w:t>r</w:t>
      </w:r>
      <w:r w:rsidR="00B55480" w:rsidRPr="001B64BC">
        <w:rPr>
          <w:rFonts w:asciiTheme="minorHAnsi" w:hAnsiTheme="minorHAnsi"/>
          <w:sz w:val="22"/>
          <w:szCs w:val="22"/>
        </w:rPr>
        <w:t xml:space="preserve"> (SP) </w:t>
      </w:r>
      <w:r w:rsidRPr="001B64BC">
        <w:rPr>
          <w:rFonts w:asciiTheme="minorHAnsi" w:hAnsiTheme="minorHAnsi"/>
          <w:sz w:val="22"/>
          <w:szCs w:val="22"/>
        </w:rPr>
        <w:t xml:space="preserve">– single company or consortium – </w:t>
      </w:r>
      <w:r w:rsidR="00B55480" w:rsidRPr="001B64BC">
        <w:rPr>
          <w:rFonts w:asciiTheme="minorHAnsi" w:hAnsiTheme="minorHAnsi"/>
          <w:sz w:val="22"/>
          <w:szCs w:val="22"/>
        </w:rPr>
        <w:t>to</w:t>
      </w:r>
      <w:r w:rsidRPr="001B64BC">
        <w:rPr>
          <w:rFonts w:asciiTheme="minorHAnsi" w:hAnsiTheme="minorHAnsi"/>
          <w:sz w:val="22"/>
          <w:szCs w:val="22"/>
        </w:rPr>
        <w:t xml:space="preserve"> establish </w:t>
      </w:r>
      <w:r w:rsidR="00FE2600" w:rsidRPr="001B64BC">
        <w:rPr>
          <w:rFonts w:asciiTheme="minorHAnsi" w:hAnsiTheme="minorHAnsi"/>
          <w:sz w:val="22"/>
          <w:szCs w:val="22"/>
        </w:rPr>
        <w:t>a</w:t>
      </w:r>
      <w:r w:rsidR="00136FEB" w:rsidRPr="001B64BC">
        <w:rPr>
          <w:rFonts w:asciiTheme="minorHAnsi" w:hAnsiTheme="minorHAnsi"/>
          <w:sz w:val="22"/>
          <w:szCs w:val="22"/>
        </w:rPr>
        <w:t>n expert</w:t>
      </w:r>
      <w:r w:rsidR="00FE2600" w:rsidRPr="001B64BC">
        <w:rPr>
          <w:rFonts w:asciiTheme="minorHAnsi" w:hAnsiTheme="minorHAnsi"/>
          <w:sz w:val="22"/>
          <w:szCs w:val="22"/>
        </w:rPr>
        <w:t xml:space="preserve"> Quality and Technical </w:t>
      </w:r>
      <w:r w:rsidR="00626981">
        <w:rPr>
          <w:rFonts w:asciiTheme="minorHAnsi" w:hAnsiTheme="minorHAnsi"/>
          <w:sz w:val="22"/>
          <w:szCs w:val="22"/>
        </w:rPr>
        <w:t>Assurance</w:t>
      </w:r>
      <w:r w:rsidR="00FE2600" w:rsidRPr="001B64BC">
        <w:rPr>
          <w:rFonts w:asciiTheme="minorHAnsi" w:hAnsiTheme="minorHAnsi"/>
          <w:sz w:val="22"/>
          <w:szCs w:val="22"/>
        </w:rPr>
        <w:t xml:space="preserve"> Group (</w:t>
      </w:r>
      <w:r w:rsidR="00DC0FDC">
        <w:rPr>
          <w:rFonts w:asciiTheme="minorHAnsi" w:hAnsiTheme="minorHAnsi"/>
          <w:sz w:val="22"/>
          <w:szCs w:val="22"/>
        </w:rPr>
        <w:t>QTAG</w:t>
      </w:r>
      <w:r w:rsidR="00FE2600" w:rsidRPr="001B64BC">
        <w:rPr>
          <w:rFonts w:asciiTheme="minorHAnsi" w:hAnsiTheme="minorHAnsi"/>
          <w:sz w:val="22"/>
          <w:szCs w:val="22"/>
        </w:rPr>
        <w:t>)</w:t>
      </w:r>
      <w:r w:rsidRPr="001B64BC">
        <w:rPr>
          <w:rFonts w:asciiTheme="minorHAnsi" w:hAnsiTheme="minorHAnsi"/>
          <w:sz w:val="22"/>
          <w:szCs w:val="22"/>
        </w:rPr>
        <w:t xml:space="preserve"> in Papua New Guinea</w:t>
      </w:r>
      <w:r w:rsidR="00FE2600" w:rsidRPr="001B64BC">
        <w:rPr>
          <w:rFonts w:asciiTheme="minorHAnsi" w:hAnsiTheme="minorHAnsi"/>
          <w:sz w:val="22"/>
          <w:szCs w:val="22"/>
        </w:rPr>
        <w:t xml:space="preserve">. The </w:t>
      </w:r>
      <w:r w:rsidR="00DC0FDC">
        <w:rPr>
          <w:rFonts w:asciiTheme="minorHAnsi" w:hAnsiTheme="minorHAnsi"/>
          <w:sz w:val="22"/>
          <w:szCs w:val="22"/>
        </w:rPr>
        <w:t>QTAG</w:t>
      </w:r>
      <w:r w:rsidR="00FE2600" w:rsidRPr="001B64BC">
        <w:rPr>
          <w:rFonts w:asciiTheme="minorHAnsi" w:hAnsiTheme="minorHAnsi"/>
          <w:sz w:val="22"/>
          <w:szCs w:val="22"/>
        </w:rPr>
        <w:t xml:space="preserve"> </w:t>
      </w:r>
      <w:r w:rsidR="00D35746" w:rsidRPr="001B64BC">
        <w:rPr>
          <w:rFonts w:asciiTheme="minorHAnsi" w:hAnsiTheme="minorHAnsi"/>
          <w:sz w:val="22"/>
          <w:szCs w:val="22"/>
        </w:rPr>
        <w:t>will</w:t>
      </w:r>
      <w:r w:rsidR="00B55480" w:rsidRPr="001B64BC">
        <w:rPr>
          <w:rFonts w:asciiTheme="minorHAnsi" w:hAnsiTheme="minorHAnsi" w:cs="Arial"/>
          <w:sz w:val="22"/>
          <w:szCs w:val="22"/>
        </w:rPr>
        <w:t xml:space="preserve"> </w:t>
      </w:r>
      <w:r w:rsidRPr="001B64BC">
        <w:rPr>
          <w:rFonts w:asciiTheme="minorHAnsi" w:hAnsiTheme="minorHAnsi" w:cs="Arial"/>
          <w:sz w:val="22"/>
          <w:szCs w:val="22"/>
        </w:rPr>
        <w:t xml:space="preserve">provide </w:t>
      </w:r>
      <w:r w:rsidR="00197C94">
        <w:rPr>
          <w:rFonts w:asciiTheme="minorHAnsi" w:hAnsiTheme="minorHAnsi" w:cs="Arial"/>
          <w:sz w:val="22"/>
          <w:szCs w:val="22"/>
        </w:rPr>
        <w:t xml:space="preserve">strategic, </w:t>
      </w:r>
      <w:r w:rsidR="00FE2600" w:rsidRPr="001B64BC">
        <w:rPr>
          <w:rFonts w:asciiTheme="minorHAnsi" w:hAnsiTheme="minorHAnsi" w:cs="Arial"/>
          <w:sz w:val="22"/>
          <w:szCs w:val="22"/>
        </w:rPr>
        <w:t xml:space="preserve">advisory, review and quality assurance </w:t>
      </w:r>
      <w:r w:rsidR="00424271">
        <w:rPr>
          <w:rFonts w:asciiTheme="minorHAnsi" w:hAnsiTheme="minorHAnsi" w:cs="Arial"/>
          <w:sz w:val="22"/>
          <w:szCs w:val="22"/>
        </w:rPr>
        <w:t xml:space="preserve">capability and </w:t>
      </w:r>
      <w:r w:rsidR="00FE2600" w:rsidRPr="001B64BC">
        <w:rPr>
          <w:rFonts w:asciiTheme="minorHAnsi" w:hAnsiTheme="minorHAnsi" w:cs="Arial"/>
          <w:sz w:val="22"/>
          <w:szCs w:val="22"/>
        </w:rPr>
        <w:t xml:space="preserve">services to </w:t>
      </w:r>
      <w:r w:rsidR="00B55480" w:rsidRPr="001B64BC">
        <w:rPr>
          <w:rFonts w:asciiTheme="minorHAnsi" w:hAnsiTheme="minorHAnsi" w:cs="Arial"/>
          <w:sz w:val="22"/>
          <w:szCs w:val="22"/>
        </w:rPr>
        <w:t xml:space="preserve">support </w:t>
      </w:r>
      <w:r w:rsidR="000C1873" w:rsidRPr="001B64BC">
        <w:rPr>
          <w:rFonts w:asciiTheme="minorHAnsi" w:hAnsiTheme="minorHAnsi" w:cs="Arial"/>
          <w:sz w:val="22"/>
          <w:szCs w:val="22"/>
        </w:rPr>
        <w:t xml:space="preserve">the </w:t>
      </w:r>
      <w:r w:rsidR="008163D0">
        <w:rPr>
          <w:rFonts w:asciiTheme="minorHAnsi" w:hAnsiTheme="minorHAnsi" w:cs="Arial"/>
          <w:sz w:val="22"/>
          <w:szCs w:val="22"/>
        </w:rPr>
        <w:t xml:space="preserve">delivery </w:t>
      </w:r>
      <w:r w:rsidR="00500990" w:rsidRPr="001B64BC">
        <w:rPr>
          <w:rFonts w:asciiTheme="minorHAnsi" w:hAnsiTheme="minorHAnsi" w:cs="Arial"/>
          <w:sz w:val="22"/>
          <w:szCs w:val="22"/>
        </w:rPr>
        <w:t>of</w:t>
      </w:r>
      <w:r w:rsidR="00083276">
        <w:rPr>
          <w:rFonts w:asciiTheme="minorHAnsi" w:hAnsiTheme="minorHAnsi" w:cs="Arial"/>
          <w:sz w:val="22"/>
          <w:szCs w:val="22"/>
        </w:rPr>
        <w:t xml:space="preserve"> </w:t>
      </w:r>
      <w:r w:rsidR="008163D0">
        <w:rPr>
          <w:rFonts w:asciiTheme="minorHAnsi" w:hAnsiTheme="minorHAnsi" w:cs="Arial"/>
          <w:sz w:val="22"/>
          <w:szCs w:val="22"/>
        </w:rPr>
        <w:t xml:space="preserve">Australia’s </w:t>
      </w:r>
      <w:r w:rsidR="00083276">
        <w:rPr>
          <w:rFonts w:asciiTheme="minorHAnsi" w:hAnsiTheme="minorHAnsi" w:cs="Arial"/>
          <w:sz w:val="22"/>
          <w:szCs w:val="22"/>
        </w:rPr>
        <w:t xml:space="preserve">aid program in Papua New Guinea, initially focussing on </w:t>
      </w:r>
      <w:r w:rsidR="008163D0">
        <w:rPr>
          <w:rFonts w:asciiTheme="minorHAnsi" w:hAnsiTheme="minorHAnsi" w:cs="Arial"/>
          <w:sz w:val="22"/>
          <w:szCs w:val="22"/>
        </w:rPr>
        <w:t xml:space="preserve">two </w:t>
      </w:r>
      <w:r w:rsidRPr="001B64BC">
        <w:rPr>
          <w:rFonts w:asciiTheme="minorHAnsi" w:hAnsiTheme="minorHAnsi" w:cs="Arial"/>
          <w:sz w:val="22"/>
          <w:szCs w:val="22"/>
        </w:rPr>
        <w:t>major programs</w:t>
      </w:r>
      <w:r w:rsidR="000C168B">
        <w:rPr>
          <w:rFonts w:asciiTheme="minorHAnsi" w:hAnsiTheme="minorHAnsi" w:cs="Arial"/>
          <w:sz w:val="22"/>
          <w:szCs w:val="22"/>
        </w:rPr>
        <w:t xml:space="preserve"> managed by the AHC in Port Moresby</w:t>
      </w:r>
      <w:r w:rsidRPr="001B64BC">
        <w:rPr>
          <w:rFonts w:asciiTheme="minorHAnsi" w:hAnsiTheme="minorHAnsi" w:cs="Arial"/>
          <w:sz w:val="22"/>
          <w:szCs w:val="22"/>
        </w:rPr>
        <w:t xml:space="preserve">:  </w:t>
      </w:r>
      <w:r w:rsidR="00083276">
        <w:rPr>
          <w:rFonts w:asciiTheme="minorHAnsi" w:hAnsiTheme="minorHAnsi"/>
          <w:sz w:val="22"/>
          <w:szCs w:val="22"/>
        </w:rPr>
        <w:t>t</w:t>
      </w:r>
      <w:r w:rsidR="00EE0DCE" w:rsidRPr="001B64BC">
        <w:rPr>
          <w:rFonts w:asciiTheme="minorHAnsi" w:hAnsiTheme="minorHAnsi"/>
          <w:sz w:val="22"/>
          <w:szCs w:val="22"/>
        </w:rPr>
        <w:t xml:space="preserve">he PGF </w:t>
      </w:r>
      <w:r w:rsidR="008163D0">
        <w:rPr>
          <w:rFonts w:asciiTheme="minorHAnsi" w:hAnsiTheme="minorHAnsi"/>
          <w:sz w:val="22"/>
          <w:szCs w:val="22"/>
        </w:rPr>
        <w:t>and the Justice Services and Stability for Development  Program (JSS4D).</w:t>
      </w:r>
    </w:p>
    <w:p w14:paraId="7AD4FEFA" w14:textId="27D51A95" w:rsidR="008163D0" w:rsidRDefault="008163D0" w:rsidP="008163D0">
      <w:pPr>
        <w:spacing w:before="60" w:after="120" w:line="276" w:lineRule="auto"/>
        <w:rPr>
          <w:rFonts w:asciiTheme="minorHAnsi" w:hAnsiTheme="minorHAnsi"/>
          <w:sz w:val="22"/>
          <w:szCs w:val="22"/>
        </w:rPr>
      </w:pPr>
      <w:r>
        <w:rPr>
          <w:rFonts w:asciiTheme="minorHAnsi" w:hAnsiTheme="minorHAnsi"/>
          <w:sz w:val="22"/>
          <w:szCs w:val="22"/>
        </w:rPr>
        <w:t xml:space="preserve">The PGF </w:t>
      </w:r>
      <w:r w:rsidR="00EE0DCE" w:rsidRPr="00AF48E0">
        <w:rPr>
          <w:rFonts w:asciiTheme="minorHAnsi" w:hAnsiTheme="minorHAnsi"/>
          <w:sz w:val="22"/>
          <w:szCs w:val="22"/>
        </w:rPr>
        <w:t>will deliver</w:t>
      </w:r>
      <w:r w:rsidR="00EE0DCE" w:rsidRPr="001B64BC">
        <w:rPr>
          <w:rFonts w:asciiTheme="minorHAnsi" w:hAnsiTheme="minorHAnsi"/>
          <w:sz w:val="22"/>
          <w:szCs w:val="22"/>
        </w:rPr>
        <w:t xml:space="preserve"> Australia’s future governance strategies and programs in </w:t>
      </w:r>
      <w:r w:rsidR="00ED64F2">
        <w:rPr>
          <w:rFonts w:asciiTheme="minorHAnsi" w:hAnsiTheme="minorHAnsi"/>
          <w:sz w:val="22"/>
          <w:szCs w:val="22"/>
        </w:rPr>
        <w:t>PNG</w:t>
      </w:r>
      <w:r w:rsidR="00EE0DCE" w:rsidRPr="001B64BC">
        <w:rPr>
          <w:rFonts w:asciiTheme="minorHAnsi" w:hAnsiTheme="minorHAnsi"/>
          <w:sz w:val="22"/>
          <w:szCs w:val="22"/>
        </w:rPr>
        <w:t>, across a range of thematic pillars and geographical areas, using a mix of modalities and financing instruments</w:t>
      </w:r>
      <w:r>
        <w:rPr>
          <w:rFonts w:asciiTheme="minorHAnsi" w:hAnsiTheme="minorHAnsi"/>
          <w:sz w:val="22"/>
          <w:szCs w:val="22"/>
        </w:rPr>
        <w:t xml:space="preserve">.  JSS4D will </w:t>
      </w:r>
      <w:r w:rsidR="00EE0DCE" w:rsidRPr="001B64BC">
        <w:rPr>
          <w:rFonts w:asciiTheme="minorHAnsi" w:hAnsiTheme="minorHAnsi"/>
          <w:sz w:val="22"/>
          <w:szCs w:val="22"/>
        </w:rPr>
        <w:t>deliver Australia’s future assistance to the Law and Justice sect</w:t>
      </w:r>
      <w:r w:rsidR="000C168B">
        <w:rPr>
          <w:rFonts w:asciiTheme="minorHAnsi" w:hAnsiTheme="minorHAnsi"/>
          <w:sz w:val="22"/>
          <w:szCs w:val="22"/>
        </w:rPr>
        <w:t>or</w:t>
      </w:r>
      <w:r w:rsidR="00EE0DCE" w:rsidRPr="001B64BC">
        <w:rPr>
          <w:rFonts w:asciiTheme="minorHAnsi" w:hAnsiTheme="minorHAnsi"/>
          <w:sz w:val="22"/>
          <w:szCs w:val="22"/>
        </w:rPr>
        <w:t xml:space="preserve"> in Papua New Guinea</w:t>
      </w:r>
      <w:r>
        <w:rPr>
          <w:rFonts w:asciiTheme="minorHAnsi" w:hAnsiTheme="minorHAnsi"/>
          <w:sz w:val="22"/>
          <w:szCs w:val="22"/>
        </w:rPr>
        <w:t xml:space="preserve">.  </w:t>
      </w:r>
      <w:r w:rsidRPr="001B64BC">
        <w:rPr>
          <w:rFonts w:asciiTheme="minorHAnsi" w:hAnsiTheme="minorHAnsi"/>
          <w:sz w:val="22"/>
          <w:szCs w:val="22"/>
        </w:rPr>
        <w:t>The designs for each of these can be accessed</w:t>
      </w:r>
      <w:r w:rsidR="00530C7C">
        <w:rPr>
          <w:rFonts w:asciiTheme="minorHAnsi" w:hAnsiTheme="minorHAnsi"/>
          <w:sz w:val="22"/>
          <w:szCs w:val="22"/>
        </w:rPr>
        <w:t xml:space="preserve"> at</w:t>
      </w:r>
      <w:r w:rsidRPr="001B64BC">
        <w:rPr>
          <w:rFonts w:asciiTheme="minorHAnsi" w:hAnsiTheme="minorHAnsi"/>
          <w:sz w:val="22"/>
          <w:szCs w:val="22"/>
        </w:rPr>
        <w:t xml:space="preserve"> </w:t>
      </w:r>
      <w:hyperlink r:id="rId17" w:history="1">
        <w:r w:rsidR="00530C7C">
          <w:rPr>
            <w:rStyle w:val="Hyperlink"/>
            <w:rFonts w:asciiTheme="minorHAnsi" w:hAnsiTheme="minorHAnsi"/>
            <w:sz w:val="22"/>
            <w:szCs w:val="22"/>
          </w:rPr>
          <w:t>http://dfat.gov.au/about-us/grants-tenders-funding/tenders/business-notifications/Pages/business-notifications.aspx</w:t>
        </w:r>
      </w:hyperlink>
      <w:r>
        <w:rPr>
          <w:rFonts w:asciiTheme="minorHAnsi" w:hAnsiTheme="minorHAnsi"/>
          <w:sz w:val="22"/>
          <w:szCs w:val="22"/>
        </w:rPr>
        <w:t>.</w:t>
      </w:r>
      <w:r w:rsidRPr="001B64BC">
        <w:rPr>
          <w:rFonts w:asciiTheme="minorHAnsi" w:hAnsiTheme="minorHAnsi"/>
          <w:sz w:val="22"/>
          <w:szCs w:val="22"/>
        </w:rPr>
        <w:t xml:space="preserve">  </w:t>
      </w:r>
    </w:p>
    <w:p w14:paraId="5846AC76" w14:textId="7954996C" w:rsidR="00CA2A37" w:rsidRDefault="008163D0" w:rsidP="008163D0">
      <w:pPr>
        <w:spacing w:before="60" w:after="120" w:line="264" w:lineRule="auto"/>
        <w:jc w:val="both"/>
        <w:rPr>
          <w:rFonts w:asciiTheme="minorHAnsi" w:hAnsiTheme="minorHAnsi" w:cs="Arial"/>
          <w:sz w:val="22"/>
          <w:szCs w:val="22"/>
        </w:rPr>
      </w:pPr>
      <w:r>
        <w:rPr>
          <w:rFonts w:asciiTheme="minorHAnsi" w:hAnsiTheme="minorHAnsi" w:cs="Arial"/>
          <w:sz w:val="22"/>
          <w:szCs w:val="22"/>
        </w:rPr>
        <w:t>T</w:t>
      </w:r>
      <w:r w:rsidRPr="001B64BC">
        <w:rPr>
          <w:rFonts w:asciiTheme="minorHAnsi" w:hAnsiTheme="minorHAnsi" w:cs="Arial"/>
          <w:sz w:val="22"/>
          <w:szCs w:val="22"/>
        </w:rPr>
        <w:t>he</w:t>
      </w:r>
      <w:r>
        <w:rPr>
          <w:rFonts w:asciiTheme="minorHAnsi" w:hAnsiTheme="minorHAnsi" w:cs="Arial"/>
          <w:sz w:val="22"/>
          <w:szCs w:val="22"/>
        </w:rPr>
        <w:t xml:space="preserve"> </w:t>
      </w:r>
      <w:r w:rsidR="00DC0FDC">
        <w:rPr>
          <w:rFonts w:asciiTheme="minorHAnsi" w:hAnsiTheme="minorHAnsi" w:cs="Arial"/>
          <w:sz w:val="22"/>
          <w:szCs w:val="22"/>
        </w:rPr>
        <w:t>QTAG</w:t>
      </w:r>
      <w:r>
        <w:rPr>
          <w:rFonts w:asciiTheme="minorHAnsi" w:hAnsiTheme="minorHAnsi" w:cs="Arial"/>
          <w:sz w:val="22"/>
          <w:szCs w:val="22"/>
        </w:rPr>
        <w:t xml:space="preserve">’s primary purpose is to provide </w:t>
      </w:r>
      <w:r w:rsidRPr="001B64BC">
        <w:rPr>
          <w:rFonts w:asciiTheme="minorHAnsi" w:hAnsiTheme="minorHAnsi" w:cs="Arial"/>
          <w:sz w:val="22"/>
          <w:szCs w:val="22"/>
        </w:rPr>
        <w:t>external and independent advice and</w:t>
      </w:r>
      <w:r>
        <w:rPr>
          <w:rFonts w:asciiTheme="minorHAnsi" w:hAnsiTheme="minorHAnsi" w:cs="Arial"/>
          <w:sz w:val="22"/>
          <w:szCs w:val="22"/>
        </w:rPr>
        <w:t xml:space="preserve"> assurance to AHC and GoPNG about the quality and performance of the two programs.  </w:t>
      </w:r>
      <w:r w:rsidR="002D742E">
        <w:rPr>
          <w:rFonts w:asciiTheme="minorHAnsi" w:hAnsiTheme="minorHAnsi" w:cs="Arial"/>
          <w:sz w:val="22"/>
          <w:szCs w:val="22"/>
        </w:rPr>
        <w:t xml:space="preserve">In addition, </w:t>
      </w:r>
      <w:r w:rsidR="00083276">
        <w:rPr>
          <w:rFonts w:asciiTheme="minorHAnsi" w:hAnsiTheme="minorHAnsi" w:cs="Arial"/>
          <w:sz w:val="22"/>
          <w:szCs w:val="22"/>
        </w:rPr>
        <w:t xml:space="preserve">over time </w:t>
      </w:r>
      <w:r w:rsidR="002D742E">
        <w:rPr>
          <w:rFonts w:asciiTheme="minorHAnsi" w:hAnsiTheme="minorHAnsi" w:cs="Arial"/>
          <w:sz w:val="22"/>
          <w:szCs w:val="22"/>
        </w:rPr>
        <w:t xml:space="preserve">the </w:t>
      </w:r>
      <w:r w:rsidR="00DC0FDC">
        <w:rPr>
          <w:rFonts w:asciiTheme="minorHAnsi" w:hAnsiTheme="minorHAnsi" w:cs="Arial"/>
          <w:sz w:val="22"/>
          <w:szCs w:val="22"/>
        </w:rPr>
        <w:t>QTAG</w:t>
      </w:r>
      <w:r w:rsidR="002D742E">
        <w:rPr>
          <w:rFonts w:asciiTheme="minorHAnsi" w:hAnsiTheme="minorHAnsi" w:cs="Arial"/>
          <w:sz w:val="22"/>
          <w:szCs w:val="22"/>
        </w:rPr>
        <w:t xml:space="preserve"> may be asked to provide assurance support to other </w:t>
      </w:r>
      <w:r w:rsidR="001F1C48">
        <w:rPr>
          <w:rFonts w:asciiTheme="minorHAnsi" w:hAnsiTheme="minorHAnsi" w:cs="Arial"/>
          <w:sz w:val="22"/>
          <w:szCs w:val="22"/>
        </w:rPr>
        <w:t xml:space="preserve">AHC </w:t>
      </w:r>
      <w:r w:rsidR="002D742E">
        <w:rPr>
          <w:rFonts w:asciiTheme="minorHAnsi" w:hAnsiTheme="minorHAnsi" w:cs="Arial"/>
          <w:sz w:val="22"/>
          <w:szCs w:val="22"/>
        </w:rPr>
        <w:t xml:space="preserve">programs in the governance portfolio </w:t>
      </w:r>
      <w:r w:rsidR="00083276">
        <w:rPr>
          <w:rFonts w:asciiTheme="minorHAnsi" w:hAnsiTheme="minorHAnsi" w:cs="Arial"/>
          <w:sz w:val="22"/>
          <w:szCs w:val="22"/>
        </w:rPr>
        <w:t xml:space="preserve">and broader portfolio </w:t>
      </w:r>
      <w:r w:rsidR="002D742E">
        <w:rPr>
          <w:rFonts w:asciiTheme="minorHAnsi" w:hAnsiTheme="minorHAnsi" w:cs="Arial"/>
          <w:sz w:val="22"/>
          <w:szCs w:val="22"/>
        </w:rPr>
        <w:t xml:space="preserve">on an as required basis. </w:t>
      </w:r>
      <w:r w:rsidR="002D742E">
        <w:rPr>
          <w:rFonts w:asciiTheme="minorHAnsi" w:hAnsiTheme="minorHAnsi"/>
          <w:sz w:val="22"/>
          <w:szCs w:val="22"/>
        </w:rPr>
        <w:t xml:space="preserve">The </w:t>
      </w:r>
      <w:r w:rsidR="00DC0FDC">
        <w:rPr>
          <w:rFonts w:asciiTheme="minorHAnsi" w:hAnsiTheme="minorHAnsi"/>
          <w:sz w:val="22"/>
          <w:szCs w:val="22"/>
        </w:rPr>
        <w:t>QTAG</w:t>
      </w:r>
      <w:r w:rsidR="002D742E">
        <w:rPr>
          <w:rFonts w:asciiTheme="minorHAnsi" w:hAnsiTheme="minorHAnsi"/>
          <w:sz w:val="22"/>
          <w:szCs w:val="22"/>
        </w:rPr>
        <w:t xml:space="preserve"> </w:t>
      </w:r>
      <w:r>
        <w:rPr>
          <w:rFonts w:asciiTheme="minorHAnsi" w:hAnsiTheme="minorHAnsi"/>
          <w:sz w:val="22"/>
          <w:szCs w:val="22"/>
        </w:rPr>
        <w:t xml:space="preserve">will </w:t>
      </w:r>
      <w:r w:rsidR="00ED64F2">
        <w:rPr>
          <w:rFonts w:asciiTheme="minorHAnsi" w:hAnsiTheme="minorHAnsi"/>
          <w:sz w:val="22"/>
          <w:szCs w:val="22"/>
        </w:rPr>
        <w:t xml:space="preserve">be a major tool in improving </w:t>
      </w:r>
      <w:r>
        <w:rPr>
          <w:rFonts w:asciiTheme="minorHAnsi" w:hAnsiTheme="minorHAnsi"/>
          <w:sz w:val="22"/>
          <w:szCs w:val="22"/>
        </w:rPr>
        <w:t xml:space="preserve">and maintaining </w:t>
      </w:r>
      <w:r w:rsidR="00ED64F2">
        <w:rPr>
          <w:rFonts w:asciiTheme="minorHAnsi" w:hAnsiTheme="minorHAnsi"/>
          <w:sz w:val="22"/>
          <w:szCs w:val="22"/>
        </w:rPr>
        <w:t xml:space="preserve">the quality and performance of Australian </w:t>
      </w:r>
      <w:r>
        <w:rPr>
          <w:rFonts w:asciiTheme="minorHAnsi" w:hAnsiTheme="minorHAnsi"/>
          <w:sz w:val="22"/>
          <w:szCs w:val="22"/>
        </w:rPr>
        <w:t xml:space="preserve">governance </w:t>
      </w:r>
      <w:r w:rsidR="00ED64F2">
        <w:rPr>
          <w:rFonts w:asciiTheme="minorHAnsi" w:hAnsiTheme="minorHAnsi"/>
          <w:sz w:val="22"/>
          <w:szCs w:val="22"/>
        </w:rPr>
        <w:t>assistance in PNG</w:t>
      </w:r>
      <w:r w:rsidR="002D742E">
        <w:rPr>
          <w:rFonts w:asciiTheme="minorHAnsi" w:hAnsiTheme="minorHAnsi"/>
          <w:sz w:val="22"/>
          <w:szCs w:val="22"/>
        </w:rPr>
        <w:t xml:space="preserve"> and managing proportionately the risks associated with new models of program delivery being implemented in the governance portfolio</w:t>
      </w:r>
      <w:r w:rsidR="00ED64F2">
        <w:rPr>
          <w:rFonts w:asciiTheme="minorHAnsi" w:hAnsiTheme="minorHAnsi"/>
          <w:sz w:val="22"/>
          <w:szCs w:val="22"/>
        </w:rPr>
        <w:t xml:space="preserve">.   </w:t>
      </w:r>
    </w:p>
    <w:p w14:paraId="2A531D96" w14:textId="28BF7243" w:rsidR="00500990" w:rsidRPr="001B64BC" w:rsidRDefault="00FE2600" w:rsidP="001B64BC">
      <w:pPr>
        <w:spacing w:before="60" w:after="120" w:line="22" w:lineRule="atLeast"/>
        <w:rPr>
          <w:rFonts w:asciiTheme="minorHAnsi" w:hAnsiTheme="minorHAnsi" w:cs="Arial"/>
          <w:sz w:val="22"/>
          <w:szCs w:val="22"/>
        </w:rPr>
      </w:pPr>
      <w:r w:rsidRPr="001B64BC">
        <w:rPr>
          <w:rFonts w:asciiTheme="minorHAnsi" w:hAnsiTheme="minorHAnsi" w:cs="Arial"/>
          <w:sz w:val="22"/>
          <w:szCs w:val="22"/>
        </w:rPr>
        <w:t>The</w:t>
      </w:r>
      <w:r w:rsidR="00500990" w:rsidRPr="001B64BC">
        <w:rPr>
          <w:rFonts w:asciiTheme="minorHAnsi" w:hAnsiTheme="minorHAnsi" w:cs="Arial"/>
          <w:sz w:val="22"/>
          <w:szCs w:val="22"/>
        </w:rPr>
        <w:t xml:space="preserve"> goal of the </w:t>
      </w:r>
      <w:r w:rsidR="00DC0FDC">
        <w:rPr>
          <w:rFonts w:asciiTheme="minorHAnsi" w:hAnsiTheme="minorHAnsi" w:cs="Arial"/>
          <w:sz w:val="22"/>
          <w:szCs w:val="22"/>
        </w:rPr>
        <w:t>QTAG</w:t>
      </w:r>
      <w:r w:rsidR="00500990" w:rsidRPr="001B64BC">
        <w:rPr>
          <w:rFonts w:asciiTheme="minorHAnsi" w:hAnsiTheme="minorHAnsi" w:cs="Arial"/>
          <w:sz w:val="22"/>
          <w:szCs w:val="22"/>
        </w:rPr>
        <w:t xml:space="preserve"> is:</w:t>
      </w:r>
    </w:p>
    <w:p w14:paraId="51A2BA7D" w14:textId="5F4BF8D7" w:rsidR="00500990" w:rsidRPr="001B64BC" w:rsidRDefault="004E2AAA" w:rsidP="001B64BC">
      <w:pPr>
        <w:spacing w:before="60" w:after="120" w:line="22" w:lineRule="atLeast"/>
        <w:ind w:left="851" w:right="849"/>
        <w:jc w:val="both"/>
        <w:rPr>
          <w:rFonts w:asciiTheme="minorHAnsi" w:hAnsiTheme="minorHAnsi" w:cs="Arial"/>
          <w:sz w:val="22"/>
          <w:szCs w:val="22"/>
        </w:rPr>
      </w:pPr>
      <w:r w:rsidRPr="001B64BC">
        <w:rPr>
          <w:rFonts w:asciiTheme="minorHAnsi" w:hAnsiTheme="minorHAnsi" w:cs="Arial"/>
          <w:i/>
          <w:iCs/>
          <w:sz w:val="22"/>
          <w:szCs w:val="22"/>
        </w:rPr>
        <w:t xml:space="preserve">To improve </w:t>
      </w:r>
      <w:r>
        <w:rPr>
          <w:rFonts w:asciiTheme="minorHAnsi" w:hAnsiTheme="minorHAnsi" w:cs="Arial"/>
          <w:i/>
          <w:iCs/>
          <w:sz w:val="22"/>
          <w:szCs w:val="22"/>
        </w:rPr>
        <w:t>the quality and performance of AHC</w:t>
      </w:r>
      <w:r w:rsidRPr="001B64BC">
        <w:rPr>
          <w:rFonts w:asciiTheme="minorHAnsi" w:hAnsiTheme="minorHAnsi" w:cs="Arial"/>
          <w:i/>
          <w:iCs/>
          <w:sz w:val="22"/>
          <w:szCs w:val="22"/>
        </w:rPr>
        <w:t xml:space="preserve"> </w:t>
      </w:r>
      <w:r>
        <w:rPr>
          <w:rFonts w:asciiTheme="minorHAnsi" w:hAnsiTheme="minorHAnsi" w:cs="Arial"/>
          <w:i/>
          <w:iCs/>
          <w:sz w:val="22"/>
          <w:szCs w:val="22"/>
        </w:rPr>
        <w:t xml:space="preserve">and GoPNG </w:t>
      </w:r>
      <w:r w:rsidRPr="001B64BC">
        <w:rPr>
          <w:rFonts w:asciiTheme="minorHAnsi" w:hAnsiTheme="minorHAnsi" w:cs="Arial"/>
          <w:i/>
          <w:iCs/>
          <w:sz w:val="22"/>
          <w:szCs w:val="22"/>
        </w:rPr>
        <w:t>program</w:t>
      </w:r>
      <w:r>
        <w:rPr>
          <w:rFonts w:asciiTheme="minorHAnsi" w:hAnsiTheme="minorHAnsi" w:cs="Arial"/>
          <w:i/>
          <w:iCs/>
          <w:sz w:val="22"/>
          <w:szCs w:val="22"/>
        </w:rPr>
        <w:t>s</w:t>
      </w:r>
      <w:r w:rsidRPr="001B64BC">
        <w:rPr>
          <w:rFonts w:asciiTheme="minorHAnsi" w:hAnsiTheme="minorHAnsi" w:cs="Arial"/>
          <w:i/>
          <w:iCs/>
          <w:sz w:val="22"/>
          <w:szCs w:val="22"/>
        </w:rPr>
        <w:t xml:space="preserve"> that support</w:t>
      </w:r>
      <w:r>
        <w:rPr>
          <w:rFonts w:asciiTheme="minorHAnsi" w:hAnsiTheme="minorHAnsi" w:cs="Arial"/>
          <w:i/>
          <w:iCs/>
          <w:sz w:val="22"/>
          <w:szCs w:val="22"/>
        </w:rPr>
        <w:t xml:space="preserve"> </w:t>
      </w:r>
      <w:r w:rsidR="00500990" w:rsidRPr="001B64BC">
        <w:rPr>
          <w:rFonts w:asciiTheme="minorHAnsi" w:hAnsiTheme="minorHAnsi" w:cs="Arial"/>
          <w:i/>
          <w:iCs/>
          <w:sz w:val="22"/>
          <w:szCs w:val="22"/>
        </w:rPr>
        <w:t xml:space="preserve">stability and </w:t>
      </w:r>
      <w:r w:rsidR="009F406D">
        <w:rPr>
          <w:rFonts w:asciiTheme="minorHAnsi" w:hAnsiTheme="minorHAnsi" w:cs="Arial"/>
          <w:i/>
          <w:iCs/>
          <w:sz w:val="22"/>
          <w:szCs w:val="22"/>
        </w:rPr>
        <w:t xml:space="preserve">inclusive </w:t>
      </w:r>
      <w:r w:rsidR="00500990" w:rsidRPr="001B64BC">
        <w:rPr>
          <w:rFonts w:asciiTheme="minorHAnsi" w:hAnsiTheme="minorHAnsi" w:cs="Arial"/>
          <w:i/>
          <w:iCs/>
          <w:sz w:val="22"/>
          <w:szCs w:val="22"/>
        </w:rPr>
        <w:t>growth in Papua New Guinea</w:t>
      </w:r>
    </w:p>
    <w:p w14:paraId="6AD933AF" w14:textId="00962B26" w:rsidR="00500990" w:rsidRPr="001B64BC" w:rsidRDefault="00500990" w:rsidP="001B64BC">
      <w:pPr>
        <w:spacing w:before="60" w:after="120" w:line="22" w:lineRule="atLeast"/>
        <w:rPr>
          <w:rFonts w:asciiTheme="minorHAnsi" w:hAnsiTheme="minorHAnsi" w:cs="Arial"/>
          <w:sz w:val="22"/>
          <w:szCs w:val="22"/>
        </w:rPr>
      </w:pPr>
      <w:r w:rsidRPr="001B64BC">
        <w:rPr>
          <w:rFonts w:asciiTheme="minorHAnsi" w:hAnsiTheme="minorHAnsi" w:cs="Arial"/>
          <w:sz w:val="22"/>
          <w:szCs w:val="22"/>
        </w:rPr>
        <w:t>The objective of the</w:t>
      </w:r>
      <w:r w:rsidR="00ED64F2">
        <w:rPr>
          <w:rFonts w:asciiTheme="minorHAnsi" w:hAnsiTheme="minorHAnsi" w:cs="Arial"/>
          <w:sz w:val="22"/>
          <w:szCs w:val="22"/>
        </w:rPr>
        <w:t xml:space="preserve"> </w:t>
      </w:r>
      <w:r w:rsidR="00DC0FDC">
        <w:rPr>
          <w:rFonts w:asciiTheme="minorHAnsi" w:hAnsiTheme="minorHAnsi" w:cs="Arial"/>
          <w:sz w:val="22"/>
          <w:szCs w:val="22"/>
        </w:rPr>
        <w:t>QTAG</w:t>
      </w:r>
      <w:r w:rsidRPr="001B64BC">
        <w:rPr>
          <w:rFonts w:asciiTheme="minorHAnsi" w:hAnsiTheme="minorHAnsi" w:cs="Arial"/>
          <w:sz w:val="22"/>
          <w:szCs w:val="22"/>
        </w:rPr>
        <w:t xml:space="preserve"> is:</w:t>
      </w:r>
    </w:p>
    <w:p w14:paraId="29A0BE75" w14:textId="77777777" w:rsidR="00500990" w:rsidRPr="001B64BC" w:rsidRDefault="00500990" w:rsidP="001B64BC">
      <w:pPr>
        <w:spacing w:before="60" w:after="120" w:line="22" w:lineRule="atLeast"/>
        <w:ind w:left="851" w:right="849"/>
        <w:jc w:val="both"/>
        <w:rPr>
          <w:rFonts w:asciiTheme="minorHAnsi" w:hAnsiTheme="minorHAnsi" w:cs="Arial"/>
          <w:i/>
          <w:iCs/>
          <w:sz w:val="22"/>
          <w:szCs w:val="22"/>
        </w:rPr>
      </w:pPr>
      <w:r w:rsidRPr="001B64BC">
        <w:rPr>
          <w:rFonts w:asciiTheme="minorHAnsi" w:hAnsiTheme="minorHAnsi" w:cs="Arial"/>
          <w:i/>
          <w:iCs/>
          <w:sz w:val="22"/>
          <w:szCs w:val="22"/>
        </w:rPr>
        <w:t xml:space="preserve">To </w:t>
      </w:r>
      <w:r w:rsidR="00ED64F2">
        <w:rPr>
          <w:rFonts w:asciiTheme="minorHAnsi" w:hAnsiTheme="minorHAnsi" w:cs="Arial"/>
          <w:i/>
          <w:iCs/>
          <w:sz w:val="22"/>
          <w:szCs w:val="22"/>
        </w:rPr>
        <w:t xml:space="preserve">enable AHC and GoPNG to make more informed </w:t>
      </w:r>
      <w:r w:rsidRPr="001B64BC">
        <w:rPr>
          <w:rFonts w:asciiTheme="minorHAnsi" w:hAnsiTheme="minorHAnsi" w:cs="Arial"/>
          <w:i/>
          <w:iCs/>
          <w:sz w:val="22"/>
          <w:szCs w:val="22"/>
        </w:rPr>
        <w:t>decision</w:t>
      </w:r>
      <w:r w:rsidR="00ED64F2">
        <w:rPr>
          <w:rFonts w:asciiTheme="minorHAnsi" w:hAnsiTheme="minorHAnsi" w:cs="Arial"/>
          <w:i/>
          <w:iCs/>
          <w:sz w:val="22"/>
          <w:szCs w:val="22"/>
        </w:rPr>
        <w:t xml:space="preserve">s and </w:t>
      </w:r>
      <w:r w:rsidR="004E2AAA">
        <w:rPr>
          <w:rFonts w:asciiTheme="minorHAnsi" w:hAnsiTheme="minorHAnsi" w:cs="Arial"/>
          <w:i/>
          <w:iCs/>
          <w:sz w:val="22"/>
          <w:szCs w:val="22"/>
        </w:rPr>
        <w:t xml:space="preserve">exercise </w:t>
      </w:r>
      <w:r w:rsidR="00ED64F2">
        <w:rPr>
          <w:rFonts w:asciiTheme="minorHAnsi" w:hAnsiTheme="minorHAnsi" w:cs="Arial"/>
          <w:i/>
          <w:iCs/>
          <w:sz w:val="22"/>
          <w:szCs w:val="22"/>
        </w:rPr>
        <w:t xml:space="preserve">greater </w:t>
      </w:r>
      <w:r w:rsidR="00F91F32" w:rsidRPr="001B64BC">
        <w:rPr>
          <w:rFonts w:asciiTheme="minorHAnsi" w:hAnsiTheme="minorHAnsi"/>
          <w:i/>
          <w:sz w:val="22"/>
          <w:szCs w:val="22"/>
        </w:rPr>
        <w:t>accountability</w:t>
      </w:r>
      <w:r w:rsidR="00ED64F2">
        <w:rPr>
          <w:rFonts w:asciiTheme="minorHAnsi" w:hAnsiTheme="minorHAnsi"/>
          <w:i/>
          <w:sz w:val="22"/>
          <w:szCs w:val="22"/>
        </w:rPr>
        <w:t xml:space="preserve"> </w:t>
      </w:r>
      <w:r w:rsidR="002D742E">
        <w:rPr>
          <w:rFonts w:asciiTheme="minorHAnsi" w:hAnsiTheme="minorHAnsi"/>
          <w:i/>
          <w:sz w:val="22"/>
          <w:szCs w:val="22"/>
        </w:rPr>
        <w:t xml:space="preserve">for </w:t>
      </w:r>
      <w:r w:rsidR="00ED64F2">
        <w:rPr>
          <w:rFonts w:asciiTheme="minorHAnsi" w:hAnsiTheme="minorHAnsi"/>
          <w:i/>
          <w:sz w:val="22"/>
          <w:szCs w:val="22"/>
        </w:rPr>
        <w:t xml:space="preserve">the performance and quality of </w:t>
      </w:r>
      <w:r w:rsidR="009F406D">
        <w:rPr>
          <w:rFonts w:asciiTheme="minorHAnsi" w:hAnsiTheme="minorHAnsi"/>
          <w:i/>
          <w:sz w:val="22"/>
          <w:szCs w:val="22"/>
        </w:rPr>
        <w:t xml:space="preserve">agreed strategies and </w:t>
      </w:r>
      <w:r w:rsidR="00F91F32" w:rsidRPr="001B64BC">
        <w:rPr>
          <w:rFonts w:asciiTheme="minorHAnsi" w:hAnsiTheme="minorHAnsi" w:cs="Arial"/>
          <w:i/>
          <w:iCs/>
          <w:sz w:val="22"/>
          <w:szCs w:val="22"/>
        </w:rPr>
        <w:t>selected programs</w:t>
      </w:r>
      <w:r w:rsidR="007F0C65">
        <w:rPr>
          <w:rFonts w:asciiTheme="minorHAnsi" w:hAnsiTheme="minorHAnsi" w:cs="Arial"/>
          <w:i/>
          <w:iCs/>
          <w:sz w:val="22"/>
          <w:szCs w:val="22"/>
        </w:rPr>
        <w:t>.</w:t>
      </w:r>
      <w:r w:rsidR="00F91F32" w:rsidRPr="001B64BC">
        <w:rPr>
          <w:rFonts w:asciiTheme="minorHAnsi" w:hAnsiTheme="minorHAnsi" w:cs="Arial"/>
          <w:i/>
          <w:iCs/>
          <w:sz w:val="22"/>
          <w:szCs w:val="22"/>
        </w:rPr>
        <w:t xml:space="preserve"> </w:t>
      </w:r>
    </w:p>
    <w:p w14:paraId="16B747FA" w14:textId="630A1657" w:rsidR="006B18F8" w:rsidRPr="001B64BC" w:rsidRDefault="002D742E" w:rsidP="001B64BC">
      <w:pPr>
        <w:pStyle w:val="ListParagraph"/>
        <w:tabs>
          <w:tab w:val="left" w:pos="567"/>
        </w:tabs>
        <w:spacing w:before="60" w:after="120" w:line="22" w:lineRule="atLeast"/>
        <w:ind w:left="0"/>
        <w:jc w:val="both"/>
        <w:rPr>
          <w:rFonts w:asciiTheme="minorHAnsi" w:hAnsiTheme="minorHAnsi"/>
          <w:sz w:val="22"/>
          <w:szCs w:val="22"/>
        </w:rPr>
      </w:pPr>
      <w:r>
        <w:rPr>
          <w:rFonts w:asciiTheme="minorHAnsi" w:hAnsiTheme="minorHAnsi"/>
          <w:sz w:val="22"/>
          <w:szCs w:val="22"/>
        </w:rPr>
        <w:t xml:space="preserve">To fulfil </w:t>
      </w:r>
      <w:r w:rsidR="006B18F8" w:rsidRPr="001B64BC">
        <w:rPr>
          <w:rFonts w:asciiTheme="minorHAnsi" w:hAnsiTheme="minorHAnsi"/>
          <w:sz w:val="22"/>
          <w:szCs w:val="22"/>
        </w:rPr>
        <w:t>this objective, the</w:t>
      </w:r>
      <w:r w:rsidR="00ED64F2">
        <w:rPr>
          <w:rFonts w:asciiTheme="minorHAnsi" w:hAnsiTheme="minorHAnsi"/>
          <w:sz w:val="22"/>
          <w:szCs w:val="22"/>
        </w:rPr>
        <w:t xml:space="preserve"> </w:t>
      </w:r>
      <w:r w:rsidR="00DC0FDC">
        <w:rPr>
          <w:rFonts w:asciiTheme="minorHAnsi" w:hAnsiTheme="minorHAnsi"/>
          <w:sz w:val="22"/>
          <w:szCs w:val="22"/>
        </w:rPr>
        <w:t>QTAG</w:t>
      </w:r>
      <w:r w:rsidR="006B18F8" w:rsidRPr="001B64BC">
        <w:rPr>
          <w:rFonts w:asciiTheme="minorHAnsi" w:hAnsiTheme="minorHAnsi"/>
          <w:sz w:val="22"/>
          <w:szCs w:val="22"/>
        </w:rPr>
        <w:t xml:space="preserve"> will </w:t>
      </w:r>
      <w:r w:rsidR="00F91F32" w:rsidRPr="001B64BC">
        <w:rPr>
          <w:rFonts w:asciiTheme="minorHAnsi" w:hAnsiTheme="minorHAnsi"/>
          <w:sz w:val="22"/>
          <w:szCs w:val="22"/>
        </w:rPr>
        <w:t xml:space="preserve">support the respective strategic oversight and decision-making bodies </w:t>
      </w:r>
      <w:r w:rsidR="00F40AEB" w:rsidRPr="001B64BC">
        <w:rPr>
          <w:rFonts w:asciiTheme="minorHAnsi" w:hAnsiTheme="minorHAnsi"/>
          <w:sz w:val="22"/>
          <w:szCs w:val="22"/>
        </w:rPr>
        <w:t xml:space="preserve">for the </w:t>
      </w:r>
      <w:r>
        <w:rPr>
          <w:rFonts w:asciiTheme="minorHAnsi" w:hAnsiTheme="minorHAnsi"/>
          <w:sz w:val="22"/>
          <w:szCs w:val="22"/>
        </w:rPr>
        <w:t>two</w:t>
      </w:r>
      <w:r w:rsidRPr="001B64BC">
        <w:rPr>
          <w:rFonts w:asciiTheme="minorHAnsi" w:hAnsiTheme="minorHAnsi"/>
          <w:sz w:val="22"/>
          <w:szCs w:val="22"/>
        </w:rPr>
        <w:t xml:space="preserve"> </w:t>
      </w:r>
      <w:r w:rsidR="00F40AEB" w:rsidRPr="001B64BC">
        <w:rPr>
          <w:rFonts w:asciiTheme="minorHAnsi" w:hAnsiTheme="minorHAnsi"/>
          <w:sz w:val="22"/>
          <w:szCs w:val="22"/>
        </w:rPr>
        <w:t>programs</w:t>
      </w:r>
      <w:r w:rsidR="00083276">
        <w:rPr>
          <w:rFonts w:asciiTheme="minorHAnsi" w:hAnsiTheme="minorHAnsi"/>
          <w:sz w:val="22"/>
          <w:szCs w:val="22"/>
        </w:rPr>
        <w:t xml:space="preserve"> within its initial purview</w:t>
      </w:r>
      <w:r w:rsidR="00CE4B6A">
        <w:rPr>
          <w:rFonts w:asciiTheme="minorHAnsi" w:hAnsiTheme="minorHAnsi"/>
          <w:sz w:val="22"/>
          <w:szCs w:val="22"/>
        </w:rPr>
        <w:t xml:space="preserve">: the Strategic Management Committee (SMC) for the PGF and the </w:t>
      </w:r>
      <w:r w:rsidR="00B93189">
        <w:rPr>
          <w:rFonts w:asciiTheme="minorHAnsi" w:hAnsiTheme="minorHAnsi"/>
          <w:sz w:val="22"/>
          <w:szCs w:val="22"/>
        </w:rPr>
        <w:t xml:space="preserve">Strategic Program Governance Meeting (SPGM) held between the </w:t>
      </w:r>
      <w:r w:rsidR="00EE419D">
        <w:rPr>
          <w:rFonts w:asciiTheme="minorHAnsi" w:hAnsiTheme="minorHAnsi"/>
          <w:sz w:val="22"/>
          <w:szCs w:val="22"/>
        </w:rPr>
        <w:t>Law and Justice Sector Working Group</w:t>
      </w:r>
      <w:r w:rsidR="00CE4B6A">
        <w:rPr>
          <w:rFonts w:asciiTheme="minorHAnsi" w:hAnsiTheme="minorHAnsi"/>
          <w:sz w:val="22"/>
          <w:szCs w:val="22"/>
        </w:rPr>
        <w:t xml:space="preserve"> </w:t>
      </w:r>
      <w:r w:rsidR="00B93189">
        <w:rPr>
          <w:rFonts w:asciiTheme="minorHAnsi" w:hAnsiTheme="minorHAnsi"/>
          <w:sz w:val="22"/>
          <w:szCs w:val="22"/>
        </w:rPr>
        <w:t xml:space="preserve">and AHC </w:t>
      </w:r>
      <w:r w:rsidR="00CE4B6A">
        <w:rPr>
          <w:rFonts w:asciiTheme="minorHAnsi" w:hAnsiTheme="minorHAnsi"/>
          <w:sz w:val="22"/>
          <w:szCs w:val="22"/>
        </w:rPr>
        <w:t>for JSS4D</w:t>
      </w:r>
      <w:r w:rsidR="00EE419D">
        <w:rPr>
          <w:rFonts w:asciiTheme="minorHAnsi" w:hAnsiTheme="minorHAnsi"/>
          <w:sz w:val="22"/>
          <w:szCs w:val="22"/>
        </w:rPr>
        <w:t xml:space="preserve">.  </w:t>
      </w:r>
      <w:r w:rsidR="00CE4B6A">
        <w:rPr>
          <w:rFonts w:asciiTheme="minorHAnsi" w:hAnsiTheme="minorHAnsi"/>
          <w:sz w:val="22"/>
          <w:szCs w:val="22"/>
        </w:rPr>
        <w:t xml:space="preserve">The </w:t>
      </w:r>
      <w:r w:rsidR="00DC0FDC">
        <w:rPr>
          <w:rFonts w:asciiTheme="minorHAnsi" w:hAnsiTheme="minorHAnsi"/>
          <w:sz w:val="22"/>
          <w:szCs w:val="22"/>
        </w:rPr>
        <w:t>QTAG</w:t>
      </w:r>
      <w:r w:rsidR="00CE4B6A">
        <w:rPr>
          <w:rFonts w:asciiTheme="minorHAnsi" w:hAnsiTheme="minorHAnsi"/>
          <w:sz w:val="22"/>
          <w:szCs w:val="22"/>
        </w:rPr>
        <w:t xml:space="preserve"> will deliver </w:t>
      </w:r>
      <w:r w:rsidR="00F91F32" w:rsidRPr="001B64BC">
        <w:rPr>
          <w:rFonts w:asciiTheme="minorHAnsi" w:hAnsiTheme="minorHAnsi"/>
          <w:sz w:val="22"/>
          <w:szCs w:val="22"/>
        </w:rPr>
        <w:t xml:space="preserve">three </w:t>
      </w:r>
      <w:r w:rsidR="00C9475D">
        <w:rPr>
          <w:rFonts w:asciiTheme="minorHAnsi" w:hAnsiTheme="minorHAnsi"/>
          <w:sz w:val="22"/>
          <w:szCs w:val="22"/>
        </w:rPr>
        <w:t>categories of work</w:t>
      </w:r>
      <w:r w:rsidR="006B18F8" w:rsidRPr="001B64BC">
        <w:rPr>
          <w:rFonts w:asciiTheme="minorHAnsi" w:hAnsiTheme="minorHAnsi"/>
          <w:sz w:val="22"/>
          <w:szCs w:val="22"/>
        </w:rPr>
        <w:t>:</w:t>
      </w:r>
    </w:p>
    <w:p w14:paraId="10510183" w14:textId="77777777" w:rsidR="006B18F8" w:rsidRPr="001B64BC" w:rsidRDefault="006B18F8" w:rsidP="001B64BC">
      <w:pPr>
        <w:pStyle w:val="ListParagraph"/>
        <w:tabs>
          <w:tab w:val="left" w:pos="567"/>
        </w:tabs>
        <w:spacing w:before="60" w:after="120" w:line="22" w:lineRule="atLeast"/>
        <w:ind w:left="0"/>
        <w:jc w:val="both"/>
        <w:rPr>
          <w:rFonts w:asciiTheme="minorHAnsi" w:hAnsiTheme="minorHAnsi"/>
          <w:sz w:val="22"/>
          <w:szCs w:val="22"/>
        </w:rPr>
      </w:pPr>
    </w:p>
    <w:p w14:paraId="0EB3C134" w14:textId="56F4B5D0" w:rsidR="00465324" w:rsidRDefault="00A063EC" w:rsidP="00DD6D90">
      <w:pPr>
        <w:pStyle w:val="ListParagraph"/>
        <w:numPr>
          <w:ilvl w:val="0"/>
          <w:numId w:val="7"/>
        </w:numPr>
        <w:spacing w:before="60" w:after="120" w:line="22" w:lineRule="atLeast"/>
        <w:contextualSpacing w:val="0"/>
        <w:rPr>
          <w:rFonts w:asciiTheme="minorHAnsi" w:hAnsiTheme="minorHAnsi" w:cs="Arial"/>
          <w:sz w:val="22"/>
          <w:szCs w:val="22"/>
        </w:rPr>
      </w:pPr>
      <w:r>
        <w:rPr>
          <w:rFonts w:asciiTheme="minorHAnsi" w:hAnsiTheme="minorHAnsi" w:cs="Arial"/>
          <w:sz w:val="22"/>
          <w:szCs w:val="22"/>
        </w:rPr>
        <w:t>Annual and other r</w:t>
      </w:r>
      <w:r w:rsidR="00EE419D">
        <w:rPr>
          <w:rFonts w:asciiTheme="minorHAnsi" w:hAnsiTheme="minorHAnsi" w:cs="Arial"/>
          <w:sz w:val="22"/>
          <w:szCs w:val="22"/>
        </w:rPr>
        <w:t>egular independent</w:t>
      </w:r>
      <w:r w:rsidR="00465324" w:rsidRPr="001B64BC">
        <w:rPr>
          <w:rFonts w:asciiTheme="minorHAnsi" w:hAnsiTheme="minorHAnsi" w:cs="Arial"/>
          <w:sz w:val="22"/>
          <w:szCs w:val="22"/>
        </w:rPr>
        <w:t xml:space="preserve"> review</w:t>
      </w:r>
      <w:r w:rsidR="00EE419D">
        <w:rPr>
          <w:rFonts w:asciiTheme="minorHAnsi" w:hAnsiTheme="minorHAnsi" w:cs="Arial"/>
          <w:sz w:val="22"/>
          <w:szCs w:val="22"/>
        </w:rPr>
        <w:t>s</w:t>
      </w:r>
      <w:r w:rsidR="00465324" w:rsidRPr="001B64BC">
        <w:rPr>
          <w:rFonts w:asciiTheme="minorHAnsi" w:hAnsiTheme="minorHAnsi" w:cs="Arial"/>
          <w:sz w:val="22"/>
          <w:szCs w:val="22"/>
        </w:rPr>
        <w:t xml:space="preserve"> of the </w:t>
      </w:r>
      <w:r w:rsidR="00562BC9">
        <w:rPr>
          <w:rFonts w:asciiTheme="minorHAnsi" w:hAnsiTheme="minorHAnsi" w:cs="Arial"/>
          <w:sz w:val="22"/>
          <w:szCs w:val="22"/>
        </w:rPr>
        <w:t xml:space="preserve">performance of the </w:t>
      </w:r>
      <w:r w:rsidR="00EE419D">
        <w:rPr>
          <w:rFonts w:asciiTheme="minorHAnsi" w:hAnsiTheme="minorHAnsi" w:cs="Arial"/>
          <w:sz w:val="22"/>
          <w:szCs w:val="22"/>
        </w:rPr>
        <w:t>PGF and JSS4D</w:t>
      </w:r>
      <w:r w:rsidR="00562BC9">
        <w:rPr>
          <w:rFonts w:asciiTheme="minorHAnsi" w:hAnsiTheme="minorHAnsi" w:cs="Arial"/>
          <w:sz w:val="22"/>
          <w:szCs w:val="22"/>
        </w:rPr>
        <w:t xml:space="preserve"> </w:t>
      </w:r>
      <w:r w:rsidR="00465324" w:rsidRPr="001B64BC">
        <w:rPr>
          <w:rFonts w:asciiTheme="minorHAnsi" w:hAnsiTheme="minorHAnsi" w:cs="Arial"/>
          <w:sz w:val="22"/>
          <w:szCs w:val="22"/>
        </w:rPr>
        <w:t>program</w:t>
      </w:r>
      <w:r w:rsidR="00562BC9">
        <w:rPr>
          <w:rFonts w:asciiTheme="minorHAnsi" w:hAnsiTheme="minorHAnsi" w:cs="Arial"/>
          <w:sz w:val="22"/>
          <w:szCs w:val="22"/>
        </w:rPr>
        <w:t>s</w:t>
      </w:r>
      <w:r w:rsidR="00465324" w:rsidRPr="001B64BC">
        <w:rPr>
          <w:rFonts w:asciiTheme="minorHAnsi" w:hAnsiTheme="minorHAnsi" w:cs="Arial"/>
          <w:sz w:val="22"/>
          <w:szCs w:val="22"/>
        </w:rPr>
        <w:t xml:space="preserve"> and provision of a report and recommendations to the </w:t>
      </w:r>
      <w:r w:rsidR="002D742E">
        <w:rPr>
          <w:rFonts w:asciiTheme="minorHAnsi" w:hAnsiTheme="minorHAnsi" w:cs="Arial"/>
          <w:sz w:val="22"/>
          <w:szCs w:val="22"/>
        </w:rPr>
        <w:t>Governments of Australia and PNG</w:t>
      </w:r>
      <w:r w:rsidR="00465324" w:rsidRPr="001B64BC">
        <w:rPr>
          <w:rFonts w:asciiTheme="minorHAnsi" w:hAnsiTheme="minorHAnsi" w:cs="Arial"/>
          <w:sz w:val="22"/>
          <w:szCs w:val="22"/>
        </w:rPr>
        <w:t xml:space="preserve">.  </w:t>
      </w:r>
    </w:p>
    <w:p w14:paraId="2107ADBA" w14:textId="77777777" w:rsidR="006B18F8" w:rsidRDefault="006B18F8" w:rsidP="00DD6D90">
      <w:pPr>
        <w:pStyle w:val="ListParagraph"/>
        <w:numPr>
          <w:ilvl w:val="0"/>
          <w:numId w:val="7"/>
        </w:numPr>
        <w:spacing w:before="60" w:after="120" w:line="22" w:lineRule="atLeast"/>
        <w:ind w:left="714" w:hanging="357"/>
        <w:contextualSpacing w:val="0"/>
        <w:rPr>
          <w:rFonts w:asciiTheme="minorHAnsi" w:hAnsiTheme="minorHAnsi" w:cs="Arial"/>
          <w:sz w:val="22"/>
          <w:szCs w:val="22"/>
        </w:rPr>
      </w:pPr>
      <w:r w:rsidRPr="001B64BC">
        <w:rPr>
          <w:rFonts w:asciiTheme="minorHAnsi" w:hAnsiTheme="minorHAnsi" w:cs="Arial"/>
          <w:sz w:val="22"/>
          <w:szCs w:val="22"/>
        </w:rPr>
        <w:t xml:space="preserve">Quality assurance of </w:t>
      </w:r>
      <w:r w:rsidR="00ED64F2">
        <w:rPr>
          <w:rFonts w:asciiTheme="minorHAnsi" w:hAnsiTheme="minorHAnsi" w:cs="Arial"/>
          <w:sz w:val="22"/>
          <w:szCs w:val="22"/>
        </w:rPr>
        <w:t>key program documents</w:t>
      </w:r>
      <w:r w:rsidR="000E6C46">
        <w:rPr>
          <w:rFonts w:asciiTheme="minorHAnsi" w:hAnsiTheme="minorHAnsi" w:cs="Arial"/>
          <w:sz w:val="22"/>
          <w:szCs w:val="22"/>
        </w:rPr>
        <w:t xml:space="preserve"> as</w:t>
      </w:r>
      <w:r w:rsidR="000E6C46" w:rsidRPr="000E6C46">
        <w:rPr>
          <w:rFonts w:asciiTheme="minorHAnsi" w:hAnsiTheme="minorHAnsi" w:cs="Arial"/>
          <w:sz w:val="22"/>
          <w:szCs w:val="22"/>
        </w:rPr>
        <w:t xml:space="preserve"> requested by the AHC</w:t>
      </w:r>
      <w:r w:rsidR="00ED64F2">
        <w:rPr>
          <w:rFonts w:asciiTheme="minorHAnsi" w:hAnsiTheme="minorHAnsi" w:cs="Arial"/>
          <w:sz w:val="22"/>
          <w:szCs w:val="22"/>
        </w:rPr>
        <w:t>;</w:t>
      </w:r>
    </w:p>
    <w:p w14:paraId="2D0746E4" w14:textId="77777777" w:rsidR="00465324" w:rsidRPr="00465324" w:rsidRDefault="004E3974" w:rsidP="004E3974">
      <w:pPr>
        <w:pStyle w:val="ListParagraph"/>
        <w:numPr>
          <w:ilvl w:val="0"/>
          <w:numId w:val="7"/>
        </w:numPr>
        <w:spacing w:before="60" w:after="120" w:line="22" w:lineRule="atLeast"/>
        <w:contextualSpacing w:val="0"/>
        <w:rPr>
          <w:rFonts w:asciiTheme="minorHAnsi" w:hAnsiTheme="minorHAnsi" w:cs="Arial"/>
          <w:sz w:val="22"/>
          <w:szCs w:val="22"/>
        </w:rPr>
      </w:pPr>
      <w:r>
        <w:rPr>
          <w:rFonts w:asciiTheme="minorHAnsi" w:hAnsiTheme="minorHAnsi" w:cs="Arial"/>
          <w:sz w:val="22"/>
          <w:szCs w:val="22"/>
        </w:rPr>
        <w:t>S</w:t>
      </w:r>
      <w:r w:rsidRPr="004E3974">
        <w:rPr>
          <w:rFonts w:asciiTheme="minorHAnsi" w:hAnsiTheme="minorHAnsi" w:cs="Arial"/>
          <w:sz w:val="22"/>
          <w:szCs w:val="22"/>
        </w:rPr>
        <w:t xml:space="preserve">upporting AHC </w:t>
      </w:r>
      <w:r>
        <w:rPr>
          <w:rFonts w:asciiTheme="minorHAnsi" w:hAnsiTheme="minorHAnsi" w:cs="Arial"/>
          <w:sz w:val="22"/>
          <w:szCs w:val="22"/>
        </w:rPr>
        <w:t xml:space="preserve">aid program teams to undertake </w:t>
      </w:r>
      <w:r w:rsidR="00A133A9">
        <w:rPr>
          <w:rFonts w:asciiTheme="minorHAnsi" w:hAnsiTheme="minorHAnsi" w:cs="Arial"/>
          <w:sz w:val="22"/>
          <w:szCs w:val="22"/>
        </w:rPr>
        <w:t>a</w:t>
      </w:r>
      <w:r w:rsidR="00C5462D">
        <w:rPr>
          <w:rFonts w:asciiTheme="minorHAnsi" w:hAnsiTheme="minorHAnsi" w:cs="Arial"/>
          <w:sz w:val="22"/>
          <w:szCs w:val="22"/>
        </w:rPr>
        <w:t>id quality process</w:t>
      </w:r>
      <w:r w:rsidR="00A133A9">
        <w:rPr>
          <w:rFonts w:asciiTheme="minorHAnsi" w:hAnsiTheme="minorHAnsi" w:cs="Arial"/>
          <w:sz w:val="22"/>
          <w:szCs w:val="22"/>
        </w:rPr>
        <w:t>es</w:t>
      </w:r>
      <w:r w:rsidR="00C5462D">
        <w:rPr>
          <w:rFonts w:asciiTheme="minorHAnsi" w:hAnsiTheme="minorHAnsi" w:cs="Arial"/>
          <w:sz w:val="22"/>
          <w:szCs w:val="22"/>
        </w:rPr>
        <w:t xml:space="preserve">, including </w:t>
      </w:r>
      <w:r w:rsidRPr="004E3974">
        <w:rPr>
          <w:rFonts w:asciiTheme="minorHAnsi" w:hAnsiTheme="minorHAnsi" w:cs="Arial"/>
          <w:sz w:val="22"/>
          <w:szCs w:val="22"/>
        </w:rPr>
        <w:t>annual quality check</w:t>
      </w:r>
      <w:r>
        <w:rPr>
          <w:rFonts w:asciiTheme="minorHAnsi" w:hAnsiTheme="minorHAnsi" w:cs="Arial"/>
          <w:sz w:val="22"/>
          <w:szCs w:val="22"/>
        </w:rPr>
        <w:t>s</w:t>
      </w:r>
      <w:r w:rsidR="002D742E">
        <w:rPr>
          <w:rFonts w:asciiTheme="minorHAnsi" w:hAnsiTheme="minorHAnsi" w:cs="Arial"/>
          <w:sz w:val="22"/>
          <w:szCs w:val="22"/>
        </w:rPr>
        <w:t>.</w:t>
      </w:r>
      <w:r w:rsidR="00465324" w:rsidRPr="001B64BC">
        <w:rPr>
          <w:rFonts w:asciiTheme="minorHAnsi" w:hAnsiTheme="minorHAnsi" w:cs="Arial"/>
          <w:sz w:val="22"/>
          <w:szCs w:val="22"/>
        </w:rPr>
        <w:t xml:space="preserve"> </w:t>
      </w:r>
    </w:p>
    <w:p w14:paraId="0B37761E" w14:textId="77777777" w:rsidR="006B18F8" w:rsidRPr="006952E7" w:rsidRDefault="0064402B" w:rsidP="006952E7">
      <w:pPr>
        <w:pStyle w:val="Heading2"/>
        <w:spacing w:after="240"/>
      </w:pPr>
      <w:bookmarkStart w:id="11" w:name="_Toc434224046"/>
      <w:r w:rsidRPr="006952E7">
        <w:lastRenderedPageBreak/>
        <w:t>Delivery approach</w:t>
      </w:r>
      <w:bookmarkEnd w:id="11"/>
    </w:p>
    <w:p w14:paraId="69BB15D7" w14:textId="0169374F" w:rsidR="00ED64F2" w:rsidRPr="00F024F7" w:rsidRDefault="00ED64F2" w:rsidP="00ED64F2">
      <w:pPr>
        <w:autoSpaceDE w:val="0"/>
        <w:autoSpaceDN w:val="0"/>
        <w:adjustRightInd w:val="0"/>
        <w:spacing w:line="276" w:lineRule="auto"/>
        <w:rPr>
          <w:rFonts w:ascii="Calibri" w:hAnsi="Calibri"/>
          <w:sz w:val="22"/>
        </w:rPr>
      </w:pPr>
      <w:r>
        <w:rPr>
          <w:rFonts w:ascii="Calibri" w:hAnsi="Calibri"/>
          <w:bCs/>
          <w:sz w:val="22"/>
          <w:szCs w:val="22"/>
        </w:rPr>
        <w:t xml:space="preserve">Given the breadth of governance issues covered by the </w:t>
      </w:r>
      <w:r w:rsidR="00EE419D">
        <w:rPr>
          <w:rFonts w:ascii="Calibri" w:hAnsi="Calibri"/>
          <w:bCs/>
          <w:sz w:val="22"/>
          <w:szCs w:val="22"/>
        </w:rPr>
        <w:t>PGF and JSS4D</w:t>
      </w:r>
      <w:r w:rsidR="00562BC9">
        <w:rPr>
          <w:rFonts w:ascii="Calibri" w:hAnsi="Calibri"/>
          <w:bCs/>
          <w:sz w:val="22"/>
          <w:szCs w:val="22"/>
        </w:rPr>
        <w:t xml:space="preserve"> </w:t>
      </w:r>
      <w:r>
        <w:rPr>
          <w:rFonts w:ascii="Calibri" w:hAnsi="Calibri"/>
          <w:bCs/>
          <w:sz w:val="22"/>
          <w:szCs w:val="22"/>
        </w:rPr>
        <w:t xml:space="preserve">programs and the challenging operating </w:t>
      </w:r>
      <w:r w:rsidRPr="00F024F7">
        <w:rPr>
          <w:rFonts w:ascii="Calibri" w:hAnsi="Calibri"/>
          <w:bCs/>
          <w:sz w:val="22"/>
          <w:szCs w:val="22"/>
        </w:rPr>
        <w:t>environment</w:t>
      </w:r>
      <w:r>
        <w:rPr>
          <w:rFonts w:ascii="Calibri" w:hAnsi="Calibri"/>
          <w:bCs/>
          <w:sz w:val="22"/>
          <w:szCs w:val="22"/>
        </w:rPr>
        <w:t xml:space="preserve"> in Papua New Guinea, the </w:t>
      </w:r>
      <w:r w:rsidR="00DC0FDC">
        <w:rPr>
          <w:rFonts w:ascii="Calibri" w:hAnsi="Calibri"/>
          <w:bCs/>
          <w:sz w:val="22"/>
          <w:szCs w:val="22"/>
        </w:rPr>
        <w:t>QTAG</w:t>
      </w:r>
      <w:r w:rsidRPr="00F024F7">
        <w:rPr>
          <w:rFonts w:ascii="Calibri" w:hAnsi="Calibri"/>
          <w:bCs/>
          <w:sz w:val="22"/>
          <w:szCs w:val="22"/>
        </w:rPr>
        <w:t xml:space="preserve"> </w:t>
      </w:r>
      <w:r w:rsidRPr="00F024F7">
        <w:rPr>
          <w:rFonts w:ascii="Calibri" w:hAnsi="Calibri"/>
          <w:sz w:val="22"/>
        </w:rPr>
        <w:t xml:space="preserve">demands significant management as well as technical skills and experience.  The SP will be highly competent </w:t>
      </w:r>
      <w:r>
        <w:rPr>
          <w:rFonts w:ascii="Calibri" w:hAnsi="Calibri"/>
          <w:sz w:val="22"/>
        </w:rPr>
        <w:t>and able to demonstrate</w:t>
      </w:r>
      <w:r w:rsidRPr="00F024F7">
        <w:rPr>
          <w:rFonts w:ascii="Calibri" w:hAnsi="Calibri"/>
          <w:sz w:val="22"/>
        </w:rPr>
        <w:t xml:space="preserve">: </w:t>
      </w:r>
    </w:p>
    <w:p w14:paraId="4941DB1B" w14:textId="77777777" w:rsidR="002D0CB9" w:rsidRPr="002D0CB9" w:rsidRDefault="00ED64F2" w:rsidP="00DD6D90">
      <w:pPr>
        <w:pStyle w:val="List-number-1"/>
        <w:numPr>
          <w:ilvl w:val="0"/>
          <w:numId w:val="10"/>
        </w:numPr>
        <w:spacing w:before="60" w:after="120" w:line="276" w:lineRule="auto"/>
        <w:ind w:left="714" w:hanging="357"/>
        <w:rPr>
          <w:rFonts w:ascii="Calibri" w:hAnsi="Calibri"/>
          <w:i/>
          <w:sz w:val="22"/>
        </w:rPr>
      </w:pPr>
      <w:r>
        <w:rPr>
          <w:rFonts w:ascii="Calibri" w:hAnsi="Calibri"/>
          <w:sz w:val="22"/>
        </w:rPr>
        <w:t xml:space="preserve">Experience </w:t>
      </w:r>
      <w:r w:rsidR="00205075">
        <w:rPr>
          <w:rFonts w:ascii="Calibri" w:hAnsi="Calibri"/>
          <w:sz w:val="22"/>
        </w:rPr>
        <w:t xml:space="preserve">of </w:t>
      </w:r>
      <w:r>
        <w:rPr>
          <w:rFonts w:ascii="Calibri" w:hAnsi="Calibri"/>
          <w:sz w:val="22"/>
        </w:rPr>
        <w:t>major program monitoring and evaluation exercises</w:t>
      </w:r>
      <w:r w:rsidR="00205075">
        <w:rPr>
          <w:rFonts w:ascii="Calibri" w:hAnsi="Calibri"/>
          <w:sz w:val="22"/>
        </w:rPr>
        <w:t xml:space="preserve"> (design, management</w:t>
      </w:r>
      <w:r w:rsidR="00BC304B">
        <w:rPr>
          <w:rFonts w:ascii="Calibri" w:hAnsi="Calibri"/>
          <w:sz w:val="22"/>
        </w:rPr>
        <w:t>,</w:t>
      </w:r>
      <w:r w:rsidR="00772698">
        <w:rPr>
          <w:rFonts w:ascii="Calibri" w:hAnsi="Calibri"/>
          <w:sz w:val="22"/>
        </w:rPr>
        <w:t xml:space="preserve"> </w:t>
      </w:r>
      <w:r w:rsidR="00205075">
        <w:rPr>
          <w:rFonts w:ascii="Calibri" w:hAnsi="Calibri"/>
          <w:sz w:val="22"/>
        </w:rPr>
        <w:t>delivery</w:t>
      </w:r>
      <w:r w:rsidR="00BC304B">
        <w:rPr>
          <w:rFonts w:ascii="Calibri" w:hAnsi="Calibri"/>
          <w:sz w:val="22"/>
        </w:rPr>
        <w:t xml:space="preserve"> and review</w:t>
      </w:r>
      <w:r w:rsidR="00205075">
        <w:rPr>
          <w:rFonts w:ascii="Calibri" w:hAnsi="Calibri"/>
          <w:sz w:val="22"/>
        </w:rPr>
        <w:t>), including in the governance sphere</w:t>
      </w:r>
      <w:r w:rsidR="00AB373B">
        <w:rPr>
          <w:rFonts w:ascii="Calibri" w:hAnsi="Calibri"/>
          <w:sz w:val="22"/>
        </w:rPr>
        <w:t xml:space="preserve"> in different contexts</w:t>
      </w:r>
      <w:r w:rsidR="00772698">
        <w:rPr>
          <w:rFonts w:ascii="Calibri" w:hAnsi="Calibri"/>
          <w:sz w:val="22"/>
        </w:rPr>
        <w:t>;</w:t>
      </w:r>
      <w:r w:rsidR="00205075">
        <w:rPr>
          <w:rFonts w:ascii="Calibri" w:hAnsi="Calibri"/>
          <w:sz w:val="22"/>
        </w:rPr>
        <w:t xml:space="preserve"> </w:t>
      </w:r>
    </w:p>
    <w:p w14:paraId="7E7F7A44" w14:textId="77777777" w:rsidR="00ED64F2" w:rsidRPr="00ED64F2" w:rsidRDefault="002D0CB9" w:rsidP="00DD6D90">
      <w:pPr>
        <w:pStyle w:val="List-number-1"/>
        <w:numPr>
          <w:ilvl w:val="0"/>
          <w:numId w:val="10"/>
        </w:numPr>
        <w:spacing w:before="60" w:after="120" w:line="276" w:lineRule="auto"/>
        <w:ind w:left="714" w:hanging="357"/>
        <w:rPr>
          <w:rFonts w:ascii="Calibri" w:hAnsi="Calibri"/>
          <w:i/>
          <w:sz w:val="22"/>
        </w:rPr>
      </w:pPr>
      <w:r>
        <w:rPr>
          <w:rFonts w:ascii="Calibri" w:hAnsi="Calibri"/>
          <w:sz w:val="22"/>
        </w:rPr>
        <w:t>A</w:t>
      </w:r>
      <w:r w:rsidR="00205075">
        <w:rPr>
          <w:rFonts w:ascii="Calibri" w:hAnsi="Calibri"/>
          <w:sz w:val="22"/>
        </w:rPr>
        <w:t xml:space="preserve">bility to </w:t>
      </w:r>
      <w:r w:rsidR="00ED64F2">
        <w:rPr>
          <w:rFonts w:ascii="Calibri" w:hAnsi="Calibri"/>
          <w:sz w:val="22"/>
        </w:rPr>
        <w:t>communicat</w:t>
      </w:r>
      <w:r w:rsidR="00205075">
        <w:rPr>
          <w:rFonts w:ascii="Calibri" w:hAnsi="Calibri"/>
          <w:sz w:val="22"/>
        </w:rPr>
        <w:t>e</w:t>
      </w:r>
      <w:r w:rsidR="00ED64F2">
        <w:rPr>
          <w:rFonts w:ascii="Calibri" w:hAnsi="Calibri"/>
          <w:sz w:val="22"/>
        </w:rPr>
        <w:t xml:space="preserve"> results effectively to senior managers;</w:t>
      </w:r>
    </w:p>
    <w:p w14:paraId="7B826C46" w14:textId="3C7B8C25" w:rsidR="00ED64F2" w:rsidRPr="00205075" w:rsidRDefault="00ED64F2" w:rsidP="00DD6D90">
      <w:pPr>
        <w:pStyle w:val="List-number-1"/>
        <w:numPr>
          <w:ilvl w:val="0"/>
          <w:numId w:val="10"/>
        </w:numPr>
        <w:spacing w:before="60" w:after="120" w:line="276" w:lineRule="auto"/>
        <w:ind w:left="714" w:hanging="357"/>
        <w:rPr>
          <w:rFonts w:ascii="Calibri" w:hAnsi="Calibri"/>
          <w:i/>
          <w:sz w:val="22"/>
        </w:rPr>
      </w:pPr>
      <w:r>
        <w:rPr>
          <w:rFonts w:ascii="Calibri" w:hAnsi="Calibri"/>
          <w:sz w:val="22"/>
        </w:rPr>
        <w:t xml:space="preserve">Access to world-class expertise from both within and </w:t>
      </w:r>
      <w:r>
        <w:rPr>
          <w:rFonts w:asciiTheme="minorHAnsi" w:hAnsiTheme="minorHAnsi" w:cs="Arial"/>
          <w:sz w:val="22"/>
          <w:szCs w:val="22"/>
        </w:rPr>
        <w:t>outside the Australasian/Pacific region</w:t>
      </w:r>
      <w:r>
        <w:rPr>
          <w:rFonts w:ascii="Calibri" w:hAnsi="Calibri"/>
          <w:sz w:val="22"/>
        </w:rPr>
        <w:t xml:space="preserve"> relevant to the range of governance issues addressed by the </w:t>
      </w:r>
      <w:r w:rsidR="00FA0842">
        <w:rPr>
          <w:rFonts w:ascii="Calibri" w:hAnsi="Calibri"/>
          <w:sz w:val="22"/>
        </w:rPr>
        <w:t>PGF and JSS4D</w:t>
      </w:r>
      <w:r w:rsidR="00562BC9">
        <w:rPr>
          <w:rFonts w:ascii="Calibri" w:hAnsi="Calibri"/>
          <w:sz w:val="22"/>
        </w:rPr>
        <w:t xml:space="preserve"> </w:t>
      </w:r>
      <w:r>
        <w:rPr>
          <w:rFonts w:ascii="Calibri" w:hAnsi="Calibri"/>
          <w:sz w:val="22"/>
        </w:rPr>
        <w:t>programs, as well as skills in program strategy development, design, management (including monitoring) and evaluation;</w:t>
      </w:r>
    </w:p>
    <w:p w14:paraId="5580B715" w14:textId="77777777" w:rsidR="00205075" w:rsidRPr="00205075" w:rsidRDefault="00205075" w:rsidP="00DD6D90">
      <w:pPr>
        <w:pStyle w:val="List-number-1"/>
        <w:numPr>
          <w:ilvl w:val="0"/>
          <w:numId w:val="10"/>
        </w:numPr>
        <w:spacing w:before="60" w:after="120" w:line="276" w:lineRule="auto"/>
        <w:ind w:left="714" w:hanging="357"/>
        <w:rPr>
          <w:rFonts w:ascii="Calibri" w:hAnsi="Calibri"/>
          <w:i/>
          <w:sz w:val="22"/>
        </w:rPr>
      </w:pPr>
      <w:r>
        <w:rPr>
          <w:rFonts w:ascii="Calibri" w:hAnsi="Calibri"/>
          <w:sz w:val="22"/>
        </w:rPr>
        <w:t>Experience in successfully providing flexible and responsive advisory and quality assurance services;</w:t>
      </w:r>
    </w:p>
    <w:p w14:paraId="45FC91FF" w14:textId="77777777" w:rsidR="00ED64F2" w:rsidRPr="00E008BA" w:rsidRDefault="00ED64F2" w:rsidP="00DD6D90">
      <w:pPr>
        <w:pStyle w:val="List-number-1"/>
        <w:numPr>
          <w:ilvl w:val="0"/>
          <w:numId w:val="10"/>
        </w:numPr>
        <w:spacing w:before="60" w:after="120" w:line="276" w:lineRule="auto"/>
        <w:ind w:left="714" w:hanging="357"/>
        <w:rPr>
          <w:rFonts w:ascii="Calibri" w:hAnsi="Calibri"/>
          <w:i/>
          <w:sz w:val="22"/>
        </w:rPr>
      </w:pPr>
      <w:r w:rsidRPr="00E008BA">
        <w:rPr>
          <w:rFonts w:ascii="Calibri" w:hAnsi="Calibri"/>
          <w:sz w:val="22"/>
        </w:rPr>
        <w:t>Strong relationship management</w:t>
      </w:r>
      <w:r w:rsidR="00205075" w:rsidRPr="00E008BA">
        <w:rPr>
          <w:rFonts w:ascii="Calibri" w:hAnsi="Calibri"/>
          <w:sz w:val="22"/>
        </w:rPr>
        <w:t xml:space="preserve"> skills</w:t>
      </w:r>
      <w:r w:rsidRPr="00E008BA">
        <w:rPr>
          <w:rFonts w:ascii="Calibri" w:hAnsi="Calibri"/>
          <w:sz w:val="22"/>
        </w:rPr>
        <w:t xml:space="preserve">, with a track-record in building constructive, productive relationships through monitoring and evaluation engagements with clients and those being assessed, working in participatory ways wherever appropriate; </w:t>
      </w:r>
    </w:p>
    <w:p w14:paraId="0579B6A9" w14:textId="77777777" w:rsidR="00772698" w:rsidRPr="00E008BA" w:rsidRDefault="00772698" w:rsidP="00DD6D90">
      <w:pPr>
        <w:pStyle w:val="List-number-1"/>
        <w:numPr>
          <w:ilvl w:val="0"/>
          <w:numId w:val="10"/>
        </w:numPr>
        <w:spacing w:before="60" w:after="120" w:line="276" w:lineRule="auto"/>
        <w:ind w:left="714" w:hanging="357"/>
        <w:rPr>
          <w:rFonts w:ascii="Calibri" w:hAnsi="Calibri"/>
          <w:i/>
          <w:sz w:val="22"/>
        </w:rPr>
      </w:pPr>
      <w:r w:rsidRPr="00E008BA">
        <w:rPr>
          <w:rFonts w:ascii="Calibri" w:hAnsi="Calibri"/>
          <w:sz w:val="22"/>
        </w:rPr>
        <w:t xml:space="preserve">Knowledge and experience </w:t>
      </w:r>
      <w:r w:rsidR="003839BD" w:rsidRPr="00E008BA">
        <w:rPr>
          <w:rFonts w:ascii="Calibri" w:hAnsi="Calibri"/>
          <w:sz w:val="22"/>
        </w:rPr>
        <w:t xml:space="preserve">of </w:t>
      </w:r>
      <w:r w:rsidR="00802B6C" w:rsidRPr="00E008BA">
        <w:rPr>
          <w:rFonts w:ascii="Calibri" w:hAnsi="Calibri"/>
          <w:sz w:val="22"/>
        </w:rPr>
        <w:t xml:space="preserve">working in </w:t>
      </w:r>
      <w:r w:rsidR="00562BC9">
        <w:rPr>
          <w:rFonts w:ascii="Calibri" w:hAnsi="Calibri"/>
          <w:sz w:val="22"/>
        </w:rPr>
        <w:t xml:space="preserve">contexts similar to </w:t>
      </w:r>
      <w:r w:rsidRPr="00E008BA">
        <w:rPr>
          <w:rFonts w:ascii="Calibri" w:hAnsi="Calibri"/>
          <w:sz w:val="22"/>
        </w:rPr>
        <w:t>PNG;</w:t>
      </w:r>
    </w:p>
    <w:p w14:paraId="29612EC3" w14:textId="77777777" w:rsidR="00ED64F2" w:rsidRPr="00E008BA" w:rsidRDefault="00ED64F2" w:rsidP="00DD6D90">
      <w:pPr>
        <w:pStyle w:val="List-number-1"/>
        <w:numPr>
          <w:ilvl w:val="0"/>
          <w:numId w:val="10"/>
        </w:numPr>
        <w:spacing w:before="60" w:after="120" w:line="276" w:lineRule="auto"/>
        <w:ind w:left="714" w:hanging="357"/>
        <w:rPr>
          <w:rFonts w:ascii="Calibri" w:hAnsi="Calibri"/>
          <w:sz w:val="22"/>
        </w:rPr>
      </w:pPr>
      <w:r w:rsidRPr="00E008BA">
        <w:rPr>
          <w:rFonts w:ascii="Calibri" w:hAnsi="Calibri"/>
          <w:sz w:val="22"/>
        </w:rPr>
        <w:t xml:space="preserve">Ability to work effectively in </w:t>
      </w:r>
      <w:r w:rsidR="006E215F">
        <w:rPr>
          <w:rFonts w:ascii="Calibri" w:hAnsi="Calibri"/>
          <w:sz w:val="22"/>
        </w:rPr>
        <w:t xml:space="preserve">complex governance </w:t>
      </w:r>
      <w:r w:rsidRPr="00E008BA">
        <w:rPr>
          <w:rFonts w:ascii="Calibri" w:hAnsi="Calibri"/>
          <w:sz w:val="22"/>
        </w:rPr>
        <w:t>environments and an understanding of the challenges and requirements of working in Papua New Guinea;</w:t>
      </w:r>
    </w:p>
    <w:p w14:paraId="104BBF9E" w14:textId="77777777" w:rsidR="00ED64F2" w:rsidRPr="00E008BA" w:rsidRDefault="00ED64F2" w:rsidP="00DD6D90">
      <w:pPr>
        <w:pStyle w:val="List-number-1"/>
        <w:numPr>
          <w:ilvl w:val="0"/>
          <w:numId w:val="10"/>
        </w:numPr>
        <w:spacing w:before="60" w:after="120" w:line="276" w:lineRule="auto"/>
        <w:rPr>
          <w:rFonts w:ascii="Calibri" w:hAnsi="Calibri"/>
          <w:i/>
          <w:sz w:val="22"/>
        </w:rPr>
      </w:pPr>
      <w:r w:rsidRPr="00E008BA">
        <w:rPr>
          <w:rFonts w:ascii="Calibri" w:hAnsi="Calibri"/>
          <w:sz w:val="22"/>
        </w:rPr>
        <w:t xml:space="preserve">Commitment to addressing and actively promoting women’s empowerment and equality within advisory and M&amp;E engagements. </w:t>
      </w:r>
    </w:p>
    <w:p w14:paraId="4502BC88" w14:textId="5149D980" w:rsidR="00205075" w:rsidRPr="00E008BA" w:rsidRDefault="00ED64F2" w:rsidP="00ED64F2">
      <w:pPr>
        <w:spacing w:before="60" w:after="120" w:line="264" w:lineRule="auto"/>
        <w:rPr>
          <w:rFonts w:asciiTheme="minorHAnsi" w:hAnsiTheme="minorHAnsi" w:cs="Arial"/>
          <w:sz w:val="22"/>
          <w:szCs w:val="22"/>
        </w:rPr>
      </w:pPr>
      <w:r w:rsidRPr="00E008BA">
        <w:rPr>
          <w:rFonts w:asciiTheme="minorHAnsi" w:hAnsiTheme="minorHAnsi" w:cs="Arial"/>
          <w:sz w:val="22"/>
          <w:szCs w:val="22"/>
        </w:rPr>
        <w:t xml:space="preserve">The </w:t>
      </w:r>
      <w:r w:rsidR="00DC0FDC">
        <w:rPr>
          <w:rFonts w:asciiTheme="minorHAnsi" w:hAnsiTheme="minorHAnsi" w:cs="Arial"/>
          <w:sz w:val="22"/>
          <w:szCs w:val="22"/>
        </w:rPr>
        <w:t>QTAG</w:t>
      </w:r>
      <w:r w:rsidRPr="00E008BA">
        <w:rPr>
          <w:rFonts w:asciiTheme="minorHAnsi" w:hAnsiTheme="minorHAnsi" w:cs="Arial"/>
          <w:sz w:val="22"/>
          <w:szCs w:val="22"/>
        </w:rPr>
        <w:t xml:space="preserve"> will need to be able to supply experts, sometimes at short notice, who can provide high quality advice and guidance across the range of thematic areas covered by the </w:t>
      </w:r>
      <w:r w:rsidR="0035631D">
        <w:rPr>
          <w:rFonts w:asciiTheme="minorHAnsi" w:hAnsiTheme="minorHAnsi" w:cs="Arial"/>
          <w:sz w:val="22"/>
          <w:szCs w:val="22"/>
        </w:rPr>
        <w:t xml:space="preserve">PGF </w:t>
      </w:r>
      <w:r w:rsidR="00F0242D">
        <w:rPr>
          <w:rFonts w:asciiTheme="minorHAnsi" w:hAnsiTheme="minorHAnsi" w:cs="Arial"/>
          <w:sz w:val="22"/>
          <w:szCs w:val="22"/>
        </w:rPr>
        <w:t xml:space="preserve">and </w:t>
      </w:r>
      <w:r w:rsidR="00AF49A7">
        <w:rPr>
          <w:rFonts w:asciiTheme="minorHAnsi" w:hAnsiTheme="minorHAnsi" w:cs="Arial"/>
          <w:sz w:val="22"/>
          <w:szCs w:val="22"/>
        </w:rPr>
        <w:t xml:space="preserve">JSS4D </w:t>
      </w:r>
      <w:r w:rsidRPr="00E008BA">
        <w:rPr>
          <w:rFonts w:asciiTheme="minorHAnsi" w:hAnsiTheme="minorHAnsi" w:cs="Arial"/>
          <w:sz w:val="22"/>
          <w:szCs w:val="22"/>
        </w:rPr>
        <w:t>programs.   Technical expertise in program design</w:t>
      </w:r>
      <w:r w:rsidR="00772698" w:rsidRPr="00E008BA">
        <w:rPr>
          <w:rFonts w:asciiTheme="minorHAnsi" w:hAnsiTheme="minorHAnsi" w:cs="Arial"/>
          <w:sz w:val="22"/>
          <w:szCs w:val="22"/>
        </w:rPr>
        <w:t xml:space="preserve">, management, </w:t>
      </w:r>
      <w:r w:rsidRPr="00E008BA">
        <w:rPr>
          <w:rFonts w:asciiTheme="minorHAnsi" w:hAnsiTheme="minorHAnsi" w:cs="Arial"/>
          <w:sz w:val="22"/>
          <w:szCs w:val="22"/>
        </w:rPr>
        <w:t xml:space="preserve">monitoring and evaluation will also be needed.  </w:t>
      </w:r>
    </w:p>
    <w:p w14:paraId="150786B9" w14:textId="1929EC8D" w:rsidR="003839BD" w:rsidRDefault="00083276" w:rsidP="00ED64F2">
      <w:pPr>
        <w:spacing w:before="60" w:after="120" w:line="264" w:lineRule="auto"/>
        <w:rPr>
          <w:rFonts w:asciiTheme="minorHAnsi" w:hAnsiTheme="minorHAnsi" w:cs="Arial"/>
          <w:sz w:val="22"/>
          <w:szCs w:val="22"/>
        </w:rPr>
      </w:pPr>
      <w:r>
        <w:rPr>
          <w:rFonts w:asciiTheme="minorHAnsi" w:hAnsiTheme="minorHAnsi" w:cs="Arial"/>
          <w:sz w:val="22"/>
          <w:szCs w:val="22"/>
        </w:rPr>
        <w:t xml:space="preserve">The </w:t>
      </w:r>
      <w:r w:rsidR="00DC0FDC">
        <w:rPr>
          <w:rFonts w:asciiTheme="minorHAnsi" w:hAnsiTheme="minorHAnsi" w:cs="Arial"/>
          <w:sz w:val="22"/>
          <w:szCs w:val="22"/>
        </w:rPr>
        <w:t>QTAG</w:t>
      </w:r>
      <w:r w:rsidR="003839BD" w:rsidRPr="00E008BA">
        <w:rPr>
          <w:rFonts w:asciiTheme="minorHAnsi" w:hAnsiTheme="minorHAnsi" w:cs="Arial"/>
          <w:sz w:val="22"/>
          <w:szCs w:val="22"/>
        </w:rPr>
        <w:t xml:space="preserve"> will provide three categories of support</w:t>
      </w:r>
      <w:r w:rsidR="00C9475D" w:rsidRPr="00E008BA">
        <w:rPr>
          <w:rFonts w:asciiTheme="minorHAnsi" w:hAnsiTheme="minorHAnsi" w:cs="Arial"/>
          <w:sz w:val="22"/>
          <w:szCs w:val="22"/>
        </w:rPr>
        <w:t>:</w:t>
      </w:r>
    </w:p>
    <w:p w14:paraId="5CC82E76" w14:textId="77777777" w:rsidR="00933297" w:rsidRPr="00933297" w:rsidRDefault="003839BD" w:rsidP="00972E6B">
      <w:pPr>
        <w:spacing w:before="180" w:after="120" w:line="264" w:lineRule="auto"/>
        <w:rPr>
          <w:rFonts w:asciiTheme="minorHAnsi" w:hAnsiTheme="minorHAnsi" w:cs="Arial"/>
          <w:sz w:val="24"/>
          <w:szCs w:val="22"/>
          <w:u w:val="single"/>
        </w:rPr>
      </w:pPr>
      <w:r w:rsidRPr="003F279F">
        <w:rPr>
          <w:rFonts w:asciiTheme="minorHAnsi" w:hAnsiTheme="minorHAnsi" w:cs="Arial"/>
          <w:sz w:val="24"/>
          <w:szCs w:val="22"/>
          <w:u w:val="single"/>
        </w:rPr>
        <w:t>Category</w:t>
      </w:r>
      <w:r>
        <w:rPr>
          <w:rFonts w:asciiTheme="minorHAnsi" w:hAnsiTheme="minorHAnsi" w:cs="Arial"/>
          <w:sz w:val="24"/>
          <w:szCs w:val="22"/>
          <w:u w:val="single"/>
        </w:rPr>
        <w:t xml:space="preserve"> </w:t>
      </w:r>
      <w:r w:rsidR="00933297">
        <w:rPr>
          <w:rFonts w:asciiTheme="minorHAnsi" w:hAnsiTheme="minorHAnsi" w:cs="Arial"/>
          <w:sz w:val="24"/>
          <w:szCs w:val="22"/>
          <w:u w:val="single"/>
        </w:rPr>
        <w:t>1</w:t>
      </w:r>
      <w:r w:rsidR="00FA0842">
        <w:rPr>
          <w:rFonts w:asciiTheme="minorHAnsi" w:hAnsiTheme="minorHAnsi" w:cs="Arial"/>
          <w:sz w:val="24"/>
          <w:szCs w:val="22"/>
          <w:u w:val="single"/>
        </w:rPr>
        <w:t>: Regular Independent Reviews</w:t>
      </w:r>
    </w:p>
    <w:p w14:paraId="06AB5B1C" w14:textId="7864AA05" w:rsidR="00933297" w:rsidRPr="001B64BC" w:rsidRDefault="00083276" w:rsidP="00933297">
      <w:pPr>
        <w:spacing w:before="60" w:after="120" w:line="264" w:lineRule="auto"/>
        <w:rPr>
          <w:rFonts w:asciiTheme="minorHAnsi" w:hAnsiTheme="minorHAnsi"/>
          <w:sz w:val="22"/>
          <w:szCs w:val="22"/>
          <w:lang w:eastAsia="en-AU"/>
        </w:rPr>
      </w:pPr>
      <w:r>
        <w:rPr>
          <w:rFonts w:asciiTheme="minorHAnsi" w:hAnsiTheme="minorHAnsi"/>
          <w:sz w:val="22"/>
          <w:szCs w:val="22"/>
          <w:lang w:eastAsia="en-AU"/>
        </w:rPr>
        <w:t xml:space="preserve">The </w:t>
      </w:r>
      <w:r w:rsidR="00DC0FDC">
        <w:rPr>
          <w:rFonts w:asciiTheme="minorHAnsi" w:hAnsiTheme="minorHAnsi"/>
          <w:sz w:val="22"/>
          <w:szCs w:val="22"/>
          <w:lang w:eastAsia="en-AU"/>
        </w:rPr>
        <w:t>QTAG</w:t>
      </w:r>
      <w:r w:rsidR="003839BD">
        <w:rPr>
          <w:rFonts w:asciiTheme="minorHAnsi" w:hAnsiTheme="minorHAnsi"/>
          <w:sz w:val="22"/>
          <w:szCs w:val="22"/>
          <w:lang w:eastAsia="en-AU"/>
        </w:rPr>
        <w:t xml:space="preserve"> will </w:t>
      </w:r>
      <w:r w:rsidR="00C9475D">
        <w:rPr>
          <w:rFonts w:asciiTheme="minorHAnsi" w:hAnsiTheme="minorHAnsi"/>
          <w:sz w:val="22"/>
          <w:szCs w:val="22"/>
          <w:lang w:eastAsia="en-AU"/>
        </w:rPr>
        <w:t>design and deliver</w:t>
      </w:r>
      <w:r w:rsidR="003839BD">
        <w:rPr>
          <w:rFonts w:asciiTheme="minorHAnsi" w:hAnsiTheme="minorHAnsi"/>
          <w:sz w:val="22"/>
          <w:szCs w:val="22"/>
          <w:lang w:eastAsia="en-AU"/>
        </w:rPr>
        <w:t xml:space="preserve"> an annual program of </w:t>
      </w:r>
      <w:r w:rsidR="006E3B7B">
        <w:rPr>
          <w:rFonts w:asciiTheme="minorHAnsi" w:hAnsiTheme="minorHAnsi"/>
          <w:sz w:val="22"/>
          <w:szCs w:val="22"/>
          <w:lang w:eastAsia="en-AU"/>
        </w:rPr>
        <w:t>performance r</w:t>
      </w:r>
      <w:r w:rsidR="003839BD">
        <w:rPr>
          <w:rFonts w:asciiTheme="minorHAnsi" w:hAnsiTheme="minorHAnsi"/>
          <w:sz w:val="22"/>
          <w:szCs w:val="22"/>
          <w:lang w:eastAsia="en-AU"/>
        </w:rPr>
        <w:t xml:space="preserve">eviews for the PGF and JSS4D.  </w:t>
      </w:r>
      <w:r w:rsidR="00933297" w:rsidRPr="001B64BC">
        <w:rPr>
          <w:rFonts w:asciiTheme="minorHAnsi" w:hAnsiTheme="minorHAnsi"/>
          <w:sz w:val="22"/>
          <w:szCs w:val="22"/>
          <w:lang w:eastAsia="en-AU"/>
        </w:rPr>
        <w:t>The Annual Reviews will involve:</w:t>
      </w:r>
    </w:p>
    <w:p w14:paraId="76D2E669" w14:textId="48DB88FD" w:rsidR="00933297" w:rsidRPr="001B64BC" w:rsidRDefault="00933297" w:rsidP="00DD6D90">
      <w:pPr>
        <w:pStyle w:val="ListParagraph"/>
        <w:numPr>
          <w:ilvl w:val="0"/>
          <w:numId w:val="8"/>
        </w:numPr>
        <w:spacing w:before="60" w:after="120" w:line="264" w:lineRule="auto"/>
        <w:contextualSpacing w:val="0"/>
        <w:rPr>
          <w:rFonts w:asciiTheme="minorHAnsi" w:hAnsiTheme="minorHAnsi"/>
          <w:sz w:val="22"/>
          <w:szCs w:val="22"/>
          <w:lang w:eastAsia="en-AU"/>
        </w:rPr>
      </w:pPr>
      <w:r w:rsidRPr="001B64BC">
        <w:rPr>
          <w:rFonts w:asciiTheme="minorHAnsi" w:hAnsiTheme="minorHAnsi"/>
          <w:sz w:val="22"/>
          <w:szCs w:val="22"/>
          <w:lang w:eastAsia="en-AU"/>
        </w:rPr>
        <w:t xml:space="preserve">Design of an effective annual review process for each of the </w:t>
      </w:r>
      <w:r w:rsidR="0035631D">
        <w:rPr>
          <w:rFonts w:asciiTheme="minorHAnsi" w:hAnsiTheme="minorHAnsi"/>
          <w:sz w:val="22"/>
          <w:szCs w:val="22"/>
          <w:lang w:eastAsia="en-AU"/>
        </w:rPr>
        <w:t xml:space="preserve">PGF’s and JSS4D’s </w:t>
      </w:r>
      <w:r w:rsidRPr="001B64BC">
        <w:rPr>
          <w:rFonts w:asciiTheme="minorHAnsi" w:hAnsiTheme="minorHAnsi"/>
          <w:sz w:val="22"/>
          <w:szCs w:val="22"/>
          <w:lang w:eastAsia="en-AU"/>
        </w:rPr>
        <w:t>program</w:t>
      </w:r>
      <w:r w:rsidR="0035631D">
        <w:rPr>
          <w:rFonts w:asciiTheme="minorHAnsi" w:hAnsiTheme="minorHAnsi"/>
          <w:sz w:val="22"/>
          <w:szCs w:val="22"/>
          <w:lang w:eastAsia="en-AU"/>
        </w:rPr>
        <w:t>s</w:t>
      </w:r>
      <w:r w:rsidRPr="001B64BC">
        <w:rPr>
          <w:rFonts w:asciiTheme="minorHAnsi" w:hAnsiTheme="minorHAnsi"/>
          <w:sz w:val="22"/>
          <w:szCs w:val="22"/>
          <w:lang w:eastAsia="en-AU"/>
        </w:rPr>
        <w:t xml:space="preserve"> that meets both </w:t>
      </w:r>
      <w:r>
        <w:rPr>
          <w:rFonts w:asciiTheme="minorHAnsi" w:hAnsiTheme="minorHAnsi"/>
          <w:sz w:val="22"/>
          <w:szCs w:val="22"/>
          <w:lang w:eastAsia="en-AU"/>
        </w:rPr>
        <w:t>AHC</w:t>
      </w:r>
      <w:r w:rsidRPr="001B64BC">
        <w:rPr>
          <w:rFonts w:asciiTheme="minorHAnsi" w:hAnsiTheme="minorHAnsi"/>
          <w:sz w:val="22"/>
          <w:szCs w:val="22"/>
          <w:lang w:eastAsia="en-AU"/>
        </w:rPr>
        <w:t xml:space="preserve"> and GoPNG requirements;</w:t>
      </w:r>
    </w:p>
    <w:p w14:paraId="13DE2E8D" w14:textId="77777777" w:rsidR="00933297" w:rsidRPr="001B64BC" w:rsidRDefault="00933297" w:rsidP="00DD6D90">
      <w:pPr>
        <w:pStyle w:val="ListParagraph"/>
        <w:numPr>
          <w:ilvl w:val="0"/>
          <w:numId w:val="8"/>
        </w:numPr>
        <w:spacing w:before="60" w:after="120" w:line="264" w:lineRule="auto"/>
        <w:contextualSpacing w:val="0"/>
        <w:rPr>
          <w:rFonts w:asciiTheme="minorHAnsi" w:hAnsiTheme="minorHAnsi"/>
          <w:sz w:val="22"/>
          <w:szCs w:val="22"/>
          <w:lang w:eastAsia="en-AU"/>
        </w:rPr>
      </w:pPr>
      <w:r w:rsidRPr="001B64BC">
        <w:rPr>
          <w:rFonts w:asciiTheme="minorHAnsi" w:hAnsiTheme="minorHAnsi"/>
          <w:sz w:val="22"/>
          <w:szCs w:val="22"/>
          <w:lang w:eastAsia="en-AU"/>
        </w:rPr>
        <w:t xml:space="preserve">Assessment of the </w:t>
      </w:r>
      <w:r w:rsidR="006E3B7B">
        <w:rPr>
          <w:rFonts w:asciiTheme="minorHAnsi" w:hAnsiTheme="minorHAnsi"/>
          <w:sz w:val="22"/>
          <w:szCs w:val="22"/>
          <w:lang w:eastAsia="en-AU"/>
        </w:rPr>
        <w:t xml:space="preserve">overall annual </w:t>
      </w:r>
      <w:r w:rsidRPr="001B64BC">
        <w:rPr>
          <w:rFonts w:asciiTheme="minorHAnsi" w:hAnsiTheme="minorHAnsi"/>
          <w:sz w:val="22"/>
          <w:szCs w:val="22"/>
          <w:lang w:eastAsia="en-AU"/>
        </w:rPr>
        <w:t xml:space="preserve">performance of the </w:t>
      </w:r>
      <w:r w:rsidR="0035631D">
        <w:rPr>
          <w:rFonts w:asciiTheme="minorHAnsi" w:hAnsiTheme="minorHAnsi"/>
          <w:sz w:val="22"/>
          <w:szCs w:val="22"/>
          <w:lang w:eastAsia="en-AU"/>
        </w:rPr>
        <w:t>PGF</w:t>
      </w:r>
      <w:r w:rsidR="00F0242D">
        <w:rPr>
          <w:rFonts w:asciiTheme="minorHAnsi" w:hAnsiTheme="minorHAnsi"/>
          <w:sz w:val="22"/>
          <w:szCs w:val="22"/>
          <w:lang w:eastAsia="en-AU"/>
        </w:rPr>
        <w:t xml:space="preserve"> and </w:t>
      </w:r>
      <w:r w:rsidR="0035631D">
        <w:rPr>
          <w:rFonts w:asciiTheme="minorHAnsi" w:hAnsiTheme="minorHAnsi"/>
          <w:sz w:val="22"/>
          <w:szCs w:val="22"/>
          <w:lang w:eastAsia="en-AU"/>
        </w:rPr>
        <w:t xml:space="preserve">JSS4D </w:t>
      </w:r>
      <w:r w:rsidRPr="001B64BC">
        <w:rPr>
          <w:rFonts w:asciiTheme="minorHAnsi" w:hAnsiTheme="minorHAnsi"/>
          <w:sz w:val="22"/>
          <w:szCs w:val="22"/>
          <w:lang w:eastAsia="en-AU"/>
        </w:rPr>
        <w:t xml:space="preserve">program against their respective results frameworks and </w:t>
      </w:r>
      <w:r w:rsidR="004E2AAA" w:rsidRPr="004E2AAA">
        <w:rPr>
          <w:rFonts w:asciiTheme="minorHAnsi" w:hAnsiTheme="minorHAnsi"/>
          <w:sz w:val="22"/>
          <w:szCs w:val="22"/>
          <w:lang w:eastAsia="en-AU"/>
        </w:rPr>
        <w:t>gender aspects of the programs</w:t>
      </w:r>
      <w:r w:rsidR="004E2AAA">
        <w:rPr>
          <w:rFonts w:asciiTheme="minorHAnsi" w:hAnsiTheme="minorHAnsi"/>
          <w:sz w:val="22"/>
          <w:szCs w:val="22"/>
          <w:lang w:eastAsia="en-AU"/>
        </w:rPr>
        <w:t xml:space="preserve">. The assessment will also include </w:t>
      </w:r>
      <w:r w:rsidR="00972E6B">
        <w:rPr>
          <w:rFonts w:asciiTheme="minorHAnsi" w:hAnsiTheme="minorHAnsi"/>
          <w:sz w:val="22"/>
          <w:szCs w:val="22"/>
          <w:lang w:eastAsia="en-AU"/>
        </w:rPr>
        <w:t xml:space="preserve">the adequacy of </w:t>
      </w:r>
      <w:r w:rsidR="00F0242D">
        <w:rPr>
          <w:rFonts w:asciiTheme="minorHAnsi" w:hAnsiTheme="minorHAnsi"/>
          <w:sz w:val="22"/>
          <w:szCs w:val="22"/>
          <w:lang w:eastAsia="en-AU"/>
        </w:rPr>
        <w:t>facility</w:t>
      </w:r>
      <w:r w:rsidR="004E2AAA">
        <w:rPr>
          <w:rFonts w:asciiTheme="minorHAnsi" w:hAnsiTheme="minorHAnsi"/>
          <w:sz w:val="22"/>
          <w:szCs w:val="22"/>
          <w:lang w:eastAsia="en-AU"/>
        </w:rPr>
        <w:t>-level</w:t>
      </w:r>
      <w:r w:rsidR="00F0242D">
        <w:rPr>
          <w:rFonts w:asciiTheme="minorHAnsi" w:hAnsiTheme="minorHAnsi"/>
          <w:sz w:val="22"/>
          <w:szCs w:val="22"/>
          <w:lang w:eastAsia="en-AU"/>
        </w:rPr>
        <w:t xml:space="preserve"> and </w:t>
      </w:r>
      <w:r w:rsidRPr="001B64BC">
        <w:rPr>
          <w:rFonts w:asciiTheme="minorHAnsi" w:hAnsiTheme="minorHAnsi"/>
          <w:sz w:val="22"/>
          <w:szCs w:val="22"/>
          <w:lang w:eastAsia="en-AU"/>
        </w:rPr>
        <w:t>program-level monitoring and evaluation systems.  If appropriate, make recommendations to improve either the frameworks or systems;</w:t>
      </w:r>
    </w:p>
    <w:p w14:paraId="4DAC99FC" w14:textId="1067B51A" w:rsidR="00933297" w:rsidRPr="001B64BC" w:rsidRDefault="00933297" w:rsidP="00DD6D90">
      <w:pPr>
        <w:pStyle w:val="ListParagraph"/>
        <w:numPr>
          <w:ilvl w:val="0"/>
          <w:numId w:val="8"/>
        </w:numPr>
        <w:spacing w:before="60" w:after="120" w:line="264" w:lineRule="auto"/>
        <w:contextualSpacing w:val="0"/>
        <w:rPr>
          <w:rFonts w:asciiTheme="minorHAnsi" w:hAnsiTheme="minorHAnsi"/>
          <w:sz w:val="22"/>
          <w:szCs w:val="22"/>
          <w:lang w:eastAsia="en-AU"/>
        </w:rPr>
      </w:pPr>
      <w:r>
        <w:rPr>
          <w:rFonts w:asciiTheme="minorHAnsi" w:hAnsiTheme="minorHAnsi"/>
          <w:sz w:val="22"/>
          <w:szCs w:val="22"/>
          <w:lang w:eastAsia="en-AU"/>
        </w:rPr>
        <w:t>Performance r</w:t>
      </w:r>
      <w:r w:rsidRPr="001B64BC">
        <w:rPr>
          <w:rFonts w:asciiTheme="minorHAnsi" w:hAnsiTheme="minorHAnsi"/>
          <w:sz w:val="22"/>
          <w:szCs w:val="22"/>
          <w:lang w:eastAsia="en-AU"/>
        </w:rPr>
        <w:t xml:space="preserve">eview of a sample of </w:t>
      </w:r>
      <w:r w:rsidR="00F0242D">
        <w:rPr>
          <w:rFonts w:asciiTheme="minorHAnsi" w:hAnsiTheme="minorHAnsi"/>
          <w:sz w:val="22"/>
          <w:szCs w:val="22"/>
          <w:lang w:eastAsia="en-AU"/>
        </w:rPr>
        <w:t xml:space="preserve">programs, </w:t>
      </w:r>
      <w:r>
        <w:rPr>
          <w:rFonts w:asciiTheme="minorHAnsi" w:hAnsiTheme="minorHAnsi"/>
          <w:sz w:val="22"/>
          <w:szCs w:val="22"/>
          <w:lang w:eastAsia="en-AU"/>
        </w:rPr>
        <w:t xml:space="preserve">initiatives </w:t>
      </w:r>
      <w:r w:rsidR="003839BD">
        <w:rPr>
          <w:rFonts w:asciiTheme="minorHAnsi" w:hAnsiTheme="minorHAnsi"/>
          <w:sz w:val="22"/>
          <w:szCs w:val="22"/>
          <w:lang w:eastAsia="en-AU"/>
        </w:rPr>
        <w:t xml:space="preserve">or elements </w:t>
      </w:r>
      <w:r w:rsidRPr="001B64BC">
        <w:rPr>
          <w:rFonts w:asciiTheme="minorHAnsi" w:hAnsiTheme="minorHAnsi"/>
          <w:sz w:val="22"/>
          <w:szCs w:val="22"/>
          <w:lang w:eastAsia="en-AU"/>
        </w:rPr>
        <w:t xml:space="preserve">under </w:t>
      </w:r>
      <w:r w:rsidR="00F0242D">
        <w:rPr>
          <w:rFonts w:asciiTheme="minorHAnsi" w:hAnsiTheme="minorHAnsi"/>
          <w:sz w:val="22"/>
          <w:szCs w:val="22"/>
          <w:lang w:eastAsia="en-AU"/>
        </w:rPr>
        <w:t xml:space="preserve">the </w:t>
      </w:r>
      <w:r w:rsidR="0035631D">
        <w:rPr>
          <w:rFonts w:asciiTheme="minorHAnsi" w:hAnsiTheme="minorHAnsi"/>
          <w:sz w:val="22"/>
          <w:szCs w:val="22"/>
          <w:lang w:eastAsia="en-AU"/>
        </w:rPr>
        <w:t xml:space="preserve">PGF </w:t>
      </w:r>
      <w:r w:rsidR="00F0242D">
        <w:rPr>
          <w:rFonts w:asciiTheme="minorHAnsi" w:hAnsiTheme="minorHAnsi"/>
          <w:sz w:val="22"/>
          <w:szCs w:val="22"/>
          <w:lang w:eastAsia="en-AU"/>
        </w:rPr>
        <w:t xml:space="preserve">and </w:t>
      </w:r>
      <w:r w:rsidR="0035631D">
        <w:rPr>
          <w:rFonts w:asciiTheme="minorHAnsi" w:hAnsiTheme="minorHAnsi"/>
          <w:sz w:val="22"/>
          <w:szCs w:val="22"/>
          <w:lang w:eastAsia="en-AU"/>
        </w:rPr>
        <w:t>JSS4</w:t>
      </w:r>
      <w:r w:rsidR="00083276">
        <w:rPr>
          <w:rFonts w:asciiTheme="minorHAnsi" w:hAnsiTheme="minorHAnsi"/>
          <w:sz w:val="22"/>
          <w:szCs w:val="22"/>
          <w:lang w:eastAsia="en-AU"/>
        </w:rPr>
        <w:t>D program</w:t>
      </w:r>
      <w:r w:rsidR="003839BD">
        <w:rPr>
          <w:rFonts w:asciiTheme="minorHAnsi" w:hAnsiTheme="minorHAnsi"/>
          <w:sz w:val="22"/>
          <w:szCs w:val="22"/>
          <w:lang w:eastAsia="en-AU"/>
        </w:rPr>
        <w:t xml:space="preserve">.  For </w:t>
      </w:r>
      <w:r w:rsidRPr="001B64BC">
        <w:rPr>
          <w:rFonts w:asciiTheme="minorHAnsi" w:hAnsiTheme="minorHAnsi"/>
          <w:sz w:val="22"/>
          <w:szCs w:val="22"/>
          <w:lang w:eastAsia="en-AU"/>
        </w:rPr>
        <w:t xml:space="preserve">the </w:t>
      </w:r>
      <w:r w:rsidR="003839BD">
        <w:rPr>
          <w:rFonts w:asciiTheme="minorHAnsi" w:hAnsiTheme="minorHAnsi"/>
          <w:sz w:val="22"/>
          <w:szCs w:val="22"/>
          <w:lang w:eastAsia="en-AU"/>
        </w:rPr>
        <w:t xml:space="preserve">PGF, </w:t>
      </w:r>
      <w:r w:rsidRPr="001B64BC">
        <w:rPr>
          <w:rFonts w:asciiTheme="minorHAnsi" w:hAnsiTheme="minorHAnsi"/>
          <w:sz w:val="22"/>
          <w:szCs w:val="22"/>
          <w:lang w:eastAsia="en-AU"/>
        </w:rPr>
        <w:t xml:space="preserve">sampling should ensure that all significant, active </w:t>
      </w:r>
      <w:r>
        <w:rPr>
          <w:rFonts w:asciiTheme="minorHAnsi" w:hAnsiTheme="minorHAnsi"/>
          <w:sz w:val="22"/>
          <w:szCs w:val="22"/>
          <w:lang w:eastAsia="en-AU"/>
        </w:rPr>
        <w:t xml:space="preserve">initiatives </w:t>
      </w:r>
      <w:r w:rsidRPr="001B64BC">
        <w:rPr>
          <w:rFonts w:asciiTheme="minorHAnsi" w:hAnsiTheme="minorHAnsi"/>
          <w:sz w:val="22"/>
          <w:szCs w:val="22"/>
          <w:lang w:eastAsia="en-AU"/>
        </w:rPr>
        <w:t xml:space="preserve">(of 2 or more years in duration) are reviewed at least once in a </w:t>
      </w:r>
      <w:r w:rsidR="008704FF">
        <w:rPr>
          <w:rFonts w:asciiTheme="minorHAnsi" w:hAnsiTheme="minorHAnsi"/>
          <w:sz w:val="22"/>
          <w:szCs w:val="22"/>
          <w:lang w:eastAsia="en-AU"/>
        </w:rPr>
        <w:t>four</w:t>
      </w:r>
      <w:r w:rsidRPr="001B64BC">
        <w:rPr>
          <w:rFonts w:asciiTheme="minorHAnsi" w:hAnsiTheme="minorHAnsi"/>
          <w:sz w:val="22"/>
          <w:szCs w:val="22"/>
          <w:lang w:eastAsia="en-AU"/>
        </w:rPr>
        <w:t xml:space="preserve"> year period</w:t>
      </w:r>
      <w:r w:rsidR="00401CE8">
        <w:rPr>
          <w:rFonts w:asciiTheme="minorHAnsi" w:hAnsiTheme="minorHAnsi"/>
          <w:sz w:val="22"/>
          <w:szCs w:val="22"/>
          <w:lang w:eastAsia="en-AU"/>
        </w:rPr>
        <w:t xml:space="preserve">.  For JSS4D, the </w:t>
      </w:r>
      <w:r w:rsidR="00DC0FDC">
        <w:rPr>
          <w:rFonts w:asciiTheme="minorHAnsi" w:hAnsiTheme="minorHAnsi"/>
          <w:sz w:val="22"/>
          <w:szCs w:val="22"/>
          <w:lang w:eastAsia="en-AU"/>
        </w:rPr>
        <w:t>QTAG</w:t>
      </w:r>
      <w:r w:rsidR="00401CE8">
        <w:rPr>
          <w:rFonts w:asciiTheme="minorHAnsi" w:hAnsiTheme="minorHAnsi"/>
          <w:sz w:val="22"/>
          <w:szCs w:val="22"/>
          <w:lang w:eastAsia="en-AU"/>
        </w:rPr>
        <w:t xml:space="preserve"> will sample from the main program</w:t>
      </w:r>
      <w:r w:rsidR="00530C7C">
        <w:rPr>
          <w:rFonts w:asciiTheme="minorHAnsi" w:hAnsiTheme="minorHAnsi"/>
          <w:sz w:val="22"/>
          <w:szCs w:val="22"/>
          <w:lang w:eastAsia="en-AU"/>
        </w:rPr>
        <w:t xml:space="preserve"> components</w:t>
      </w:r>
      <w:r w:rsidR="00401CE8">
        <w:rPr>
          <w:rFonts w:asciiTheme="minorHAnsi" w:hAnsiTheme="minorHAnsi"/>
          <w:sz w:val="22"/>
          <w:szCs w:val="22"/>
          <w:lang w:eastAsia="en-AU"/>
        </w:rPr>
        <w:t>;</w:t>
      </w:r>
    </w:p>
    <w:p w14:paraId="719C2C50" w14:textId="77777777" w:rsidR="00933297" w:rsidRPr="001B64BC" w:rsidRDefault="006E3B7B" w:rsidP="00DD6D90">
      <w:pPr>
        <w:pStyle w:val="ListParagraph"/>
        <w:numPr>
          <w:ilvl w:val="0"/>
          <w:numId w:val="8"/>
        </w:numPr>
        <w:spacing w:before="60" w:after="120" w:line="264" w:lineRule="auto"/>
        <w:contextualSpacing w:val="0"/>
        <w:rPr>
          <w:rFonts w:asciiTheme="minorHAnsi" w:hAnsiTheme="minorHAnsi"/>
          <w:sz w:val="22"/>
          <w:szCs w:val="22"/>
          <w:lang w:eastAsia="en-AU"/>
        </w:rPr>
      </w:pPr>
      <w:r>
        <w:rPr>
          <w:rFonts w:asciiTheme="minorHAnsi" w:hAnsiTheme="minorHAnsi"/>
          <w:sz w:val="22"/>
          <w:szCs w:val="22"/>
          <w:lang w:eastAsia="en-AU"/>
        </w:rPr>
        <w:t>Contribute to the a</w:t>
      </w:r>
      <w:r w:rsidR="00933297" w:rsidRPr="001B64BC">
        <w:rPr>
          <w:rFonts w:asciiTheme="minorHAnsi" w:hAnsiTheme="minorHAnsi"/>
          <w:sz w:val="22"/>
          <w:szCs w:val="22"/>
          <w:lang w:eastAsia="en-AU"/>
        </w:rPr>
        <w:t xml:space="preserve">ssessment of </w:t>
      </w:r>
      <w:r w:rsidR="00933297">
        <w:rPr>
          <w:rFonts w:asciiTheme="minorHAnsi" w:hAnsiTheme="minorHAnsi"/>
          <w:sz w:val="22"/>
          <w:szCs w:val="22"/>
          <w:lang w:eastAsia="en-AU"/>
        </w:rPr>
        <w:t>contractor(s)</w:t>
      </w:r>
      <w:r w:rsidR="00933297" w:rsidRPr="001B64BC">
        <w:rPr>
          <w:rFonts w:asciiTheme="minorHAnsi" w:hAnsiTheme="minorHAnsi"/>
          <w:sz w:val="22"/>
          <w:szCs w:val="22"/>
          <w:lang w:eastAsia="en-AU"/>
        </w:rPr>
        <w:t xml:space="preserve"> performance for each of the programs </w:t>
      </w:r>
      <w:r w:rsidR="00F82E80">
        <w:rPr>
          <w:rFonts w:asciiTheme="minorHAnsi" w:hAnsiTheme="minorHAnsi"/>
          <w:sz w:val="22"/>
          <w:szCs w:val="22"/>
          <w:lang w:eastAsia="en-AU"/>
        </w:rPr>
        <w:t xml:space="preserve">to inform </w:t>
      </w:r>
      <w:r w:rsidR="00972E6B">
        <w:rPr>
          <w:rFonts w:asciiTheme="minorHAnsi" w:hAnsiTheme="minorHAnsi"/>
          <w:sz w:val="22"/>
          <w:szCs w:val="22"/>
          <w:lang w:eastAsia="en-AU"/>
        </w:rPr>
        <w:t>AHC</w:t>
      </w:r>
      <w:r w:rsidR="00F82E80">
        <w:rPr>
          <w:rFonts w:asciiTheme="minorHAnsi" w:hAnsiTheme="minorHAnsi"/>
          <w:sz w:val="22"/>
          <w:szCs w:val="22"/>
          <w:lang w:eastAsia="en-AU"/>
        </w:rPr>
        <w:t xml:space="preserve">’s annual </w:t>
      </w:r>
      <w:r w:rsidR="00F82E80" w:rsidRPr="001B64BC">
        <w:rPr>
          <w:rFonts w:asciiTheme="minorHAnsi" w:hAnsiTheme="minorHAnsi"/>
          <w:sz w:val="22"/>
          <w:szCs w:val="22"/>
          <w:lang w:eastAsia="en-AU"/>
        </w:rPr>
        <w:t>contractor performance assessment</w:t>
      </w:r>
      <w:r w:rsidR="00933297" w:rsidRPr="001B64BC">
        <w:rPr>
          <w:rFonts w:asciiTheme="minorHAnsi" w:hAnsiTheme="minorHAnsi"/>
          <w:sz w:val="22"/>
          <w:szCs w:val="22"/>
          <w:lang w:eastAsia="en-AU"/>
        </w:rPr>
        <w:t>;</w:t>
      </w:r>
    </w:p>
    <w:p w14:paraId="0F5CFC1E" w14:textId="77777777" w:rsidR="00933297" w:rsidRPr="001B64BC" w:rsidRDefault="00933297" w:rsidP="00DD6D90">
      <w:pPr>
        <w:pStyle w:val="ListParagraph"/>
        <w:numPr>
          <w:ilvl w:val="0"/>
          <w:numId w:val="8"/>
        </w:numPr>
        <w:spacing w:before="60" w:after="120" w:line="264" w:lineRule="auto"/>
        <w:contextualSpacing w:val="0"/>
        <w:rPr>
          <w:rFonts w:asciiTheme="minorHAnsi" w:hAnsiTheme="minorHAnsi"/>
          <w:sz w:val="22"/>
          <w:szCs w:val="22"/>
          <w:lang w:eastAsia="en-AU"/>
        </w:rPr>
      </w:pPr>
      <w:r w:rsidRPr="001B64BC">
        <w:rPr>
          <w:rFonts w:asciiTheme="minorHAnsi" w:hAnsiTheme="minorHAnsi"/>
          <w:sz w:val="22"/>
          <w:szCs w:val="22"/>
          <w:lang w:eastAsia="en-AU"/>
        </w:rPr>
        <w:t>Review of the programs’ approach to risk assessment, management and reporting and, if appropriate, provide recommendations for improvement;</w:t>
      </w:r>
    </w:p>
    <w:p w14:paraId="7D40B288" w14:textId="759B4DEE" w:rsidR="003F279F" w:rsidRDefault="00933297" w:rsidP="00401CE8">
      <w:pPr>
        <w:pStyle w:val="ListParagraph"/>
        <w:numPr>
          <w:ilvl w:val="0"/>
          <w:numId w:val="8"/>
        </w:numPr>
        <w:spacing w:before="60" w:after="120" w:line="264" w:lineRule="auto"/>
        <w:ind w:left="714" w:hanging="357"/>
        <w:contextualSpacing w:val="0"/>
        <w:rPr>
          <w:rFonts w:asciiTheme="minorHAnsi" w:hAnsiTheme="minorHAnsi"/>
          <w:sz w:val="22"/>
          <w:szCs w:val="22"/>
          <w:lang w:eastAsia="en-AU"/>
        </w:rPr>
      </w:pPr>
      <w:r w:rsidRPr="001B64BC">
        <w:rPr>
          <w:rFonts w:asciiTheme="minorHAnsi" w:hAnsiTheme="minorHAnsi"/>
          <w:sz w:val="22"/>
          <w:szCs w:val="22"/>
          <w:lang w:eastAsia="en-AU"/>
        </w:rPr>
        <w:lastRenderedPageBreak/>
        <w:t xml:space="preserve">Provide an overall assessment of the effectiveness and efficiency of the </w:t>
      </w:r>
      <w:r w:rsidR="0035631D">
        <w:rPr>
          <w:rFonts w:asciiTheme="minorHAnsi" w:hAnsiTheme="minorHAnsi"/>
          <w:sz w:val="22"/>
          <w:szCs w:val="22"/>
          <w:lang w:eastAsia="en-AU"/>
        </w:rPr>
        <w:t xml:space="preserve">PGF </w:t>
      </w:r>
      <w:r w:rsidR="001862D6">
        <w:rPr>
          <w:rFonts w:asciiTheme="minorHAnsi" w:hAnsiTheme="minorHAnsi"/>
          <w:sz w:val="22"/>
          <w:szCs w:val="22"/>
          <w:lang w:eastAsia="en-AU"/>
        </w:rPr>
        <w:t xml:space="preserve">and </w:t>
      </w:r>
      <w:r w:rsidR="0035631D">
        <w:rPr>
          <w:rFonts w:asciiTheme="minorHAnsi" w:hAnsiTheme="minorHAnsi"/>
          <w:sz w:val="22"/>
          <w:szCs w:val="22"/>
          <w:lang w:eastAsia="en-AU"/>
        </w:rPr>
        <w:t xml:space="preserve">JS4D </w:t>
      </w:r>
      <w:r w:rsidRPr="001B64BC">
        <w:rPr>
          <w:rFonts w:asciiTheme="minorHAnsi" w:hAnsiTheme="minorHAnsi"/>
          <w:sz w:val="22"/>
          <w:szCs w:val="22"/>
          <w:lang w:eastAsia="en-AU"/>
        </w:rPr>
        <w:t>program and, if appropriate, provide recommendations for improvement</w:t>
      </w:r>
      <w:r w:rsidR="003F279F">
        <w:rPr>
          <w:rFonts w:asciiTheme="minorHAnsi" w:hAnsiTheme="minorHAnsi"/>
          <w:sz w:val="22"/>
          <w:szCs w:val="22"/>
          <w:lang w:eastAsia="en-AU"/>
        </w:rPr>
        <w:t>;</w:t>
      </w:r>
    </w:p>
    <w:p w14:paraId="360E0EFB" w14:textId="5D9188E5" w:rsidR="00401CE8" w:rsidRDefault="003F279F" w:rsidP="00401CE8">
      <w:pPr>
        <w:pStyle w:val="ListParagraph"/>
        <w:numPr>
          <w:ilvl w:val="0"/>
          <w:numId w:val="8"/>
        </w:numPr>
        <w:spacing w:before="60" w:after="120" w:line="264" w:lineRule="auto"/>
        <w:ind w:left="714" w:hanging="357"/>
        <w:contextualSpacing w:val="0"/>
        <w:rPr>
          <w:rFonts w:asciiTheme="minorHAnsi" w:hAnsiTheme="minorHAnsi"/>
          <w:sz w:val="22"/>
          <w:szCs w:val="22"/>
          <w:lang w:eastAsia="en-AU"/>
        </w:rPr>
      </w:pPr>
      <w:r>
        <w:rPr>
          <w:rFonts w:asciiTheme="minorHAnsi" w:hAnsiTheme="minorHAnsi"/>
          <w:sz w:val="22"/>
          <w:szCs w:val="22"/>
          <w:lang w:eastAsia="en-AU"/>
        </w:rPr>
        <w:t xml:space="preserve">Report to the </w:t>
      </w:r>
      <w:r w:rsidR="00CE4B6A">
        <w:rPr>
          <w:rFonts w:asciiTheme="minorHAnsi" w:hAnsiTheme="minorHAnsi"/>
          <w:sz w:val="22"/>
          <w:szCs w:val="22"/>
          <w:lang w:eastAsia="en-AU"/>
        </w:rPr>
        <w:t xml:space="preserve">SMC (PGF) and </w:t>
      </w:r>
      <w:r w:rsidR="00B93189">
        <w:rPr>
          <w:rFonts w:asciiTheme="minorHAnsi" w:hAnsiTheme="minorHAnsi"/>
          <w:sz w:val="22"/>
          <w:szCs w:val="22"/>
          <w:lang w:eastAsia="en-AU"/>
        </w:rPr>
        <w:t>SPGM</w:t>
      </w:r>
      <w:r w:rsidR="00CE4B6A">
        <w:rPr>
          <w:rFonts w:asciiTheme="minorHAnsi" w:hAnsiTheme="minorHAnsi"/>
          <w:sz w:val="22"/>
          <w:szCs w:val="22"/>
          <w:lang w:eastAsia="en-AU"/>
        </w:rPr>
        <w:t xml:space="preserve"> (JSS4D)</w:t>
      </w:r>
      <w:r w:rsidR="00462463">
        <w:rPr>
          <w:rFonts w:asciiTheme="minorHAnsi" w:hAnsiTheme="minorHAnsi"/>
          <w:sz w:val="22"/>
          <w:szCs w:val="22"/>
          <w:lang w:eastAsia="en-AU"/>
        </w:rPr>
        <w:t xml:space="preserve"> as required</w:t>
      </w:r>
      <w:r w:rsidR="00F82E80">
        <w:rPr>
          <w:rFonts w:asciiTheme="minorHAnsi" w:hAnsiTheme="minorHAnsi"/>
          <w:sz w:val="22"/>
          <w:szCs w:val="22"/>
          <w:lang w:eastAsia="en-AU"/>
        </w:rPr>
        <w:t>.</w:t>
      </w:r>
    </w:p>
    <w:p w14:paraId="54618B86" w14:textId="254334D1" w:rsidR="00401CE8" w:rsidRPr="00E008BA" w:rsidRDefault="00401CE8" w:rsidP="00401CE8">
      <w:pPr>
        <w:spacing w:before="60" w:after="120" w:line="264" w:lineRule="auto"/>
        <w:rPr>
          <w:rFonts w:asciiTheme="minorHAnsi" w:hAnsiTheme="minorHAnsi"/>
          <w:b/>
          <w:sz w:val="22"/>
          <w:szCs w:val="22"/>
          <w:lang w:eastAsia="en-AU"/>
        </w:rPr>
      </w:pPr>
      <w:r w:rsidRPr="00E008BA">
        <w:rPr>
          <w:rFonts w:asciiTheme="minorHAnsi" w:hAnsiTheme="minorHAnsi"/>
          <w:sz w:val="22"/>
          <w:szCs w:val="22"/>
          <w:lang w:eastAsia="en-AU"/>
        </w:rPr>
        <w:t xml:space="preserve">In designing and scheduling the </w:t>
      </w:r>
      <w:r w:rsidR="00C9475D" w:rsidRPr="00E008BA">
        <w:rPr>
          <w:rFonts w:asciiTheme="minorHAnsi" w:hAnsiTheme="minorHAnsi"/>
          <w:sz w:val="22"/>
          <w:szCs w:val="22"/>
          <w:lang w:eastAsia="en-AU"/>
        </w:rPr>
        <w:t>a</w:t>
      </w:r>
      <w:r w:rsidRPr="00E008BA">
        <w:rPr>
          <w:rFonts w:asciiTheme="minorHAnsi" w:hAnsiTheme="minorHAnsi"/>
          <w:sz w:val="22"/>
          <w:szCs w:val="22"/>
          <w:lang w:eastAsia="en-AU"/>
        </w:rPr>
        <w:t xml:space="preserve">nnual </w:t>
      </w:r>
      <w:r w:rsidR="00C9475D" w:rsidRPr="00E008BA">
        <w:rPr>
          <w:rFonts w:asciiTheme="minorHAnsi" w:hAnsiTheme="minorHAnsi"/>
          <w:sz w:val="22"/>
          <w:szCs w:val="22"/>
          <w:lang w:eastAsia="en-AU"/>
        </w:rPr>
        <w:t>program of R</w:t>
      </w:r>
      <w:r w:rsidRPr="00E008BA">
        <w:rPr>
          <w:rFonts w:asciiTheme="minorHAnsi" w:hAnsiTheme="minorHAnsi"/>
          <w:sz w:val="22"/>
          <w:szCs w:val="22"/>
          <w:lang w:eastAsia="en-AU"/>
        </w:rPr>
        <w:t>eview</w:t>
      </w:r>
      <w:r w:rsidR="00C9475D" w:rsidRPr="00E008BA">
        <w:rPr>
          <w:rFonts w:asciiTheme="minorHAnsi" w:hAnsiTheme="minorHAnsi"/>
          <w:sz w:val="22"/>
          <w:szCs w:val="22"/>
          <w:lang w:eastAsia="en-AU"/>
        </w:rPr>
        <w:t>s</w:t>
      </w:r>
      <w:r w:rsidRPr="00E008BA">
        <w:rPr>
          <w:rFonts w:asciiTheme="minorHAnsi" w:hAnsiTheme="minorHAnsi"/>
          <w:sz w:val="22"/>
          <w:szCs w:val="22"/>
          <w:lang w:eastAsia="en-AU"/>
        </w:rPr>
        <w:t xml:space="preserve">, </w:t>
      </w:r>
      <w:r w:rsidR="00C9475D" w:rsidRPr="00E008BA">
        <w:rPr>
          <w:rFonts w:asciiTheme="minorHAnsi" w:hAnsiTheme="minorHAnsi"/>
          <w:sz w:val="22"/>
          <w:szCs w:val="22"/>
          <w:lang w:eastAsia="en-AU"/>
        </w:rPr>
        <w:t xml:space="preserve">the SP should ensure that the enquiry and outputs, as far as possible, </w:t>
      </w:r>
      <w:r w:rsidR="00530C7C">
        <w:rPr>
          <w:rFonts w:asciiTheme="minorHAnsi" w:hAnsiTheme="minorHAnsi"/>
          <w:sz w:val="22"/>
          <w:szCs w:val="22"/>
          <w:lang w:eastAsia="en-AU"/>
        </w:rPr>
        <w:t xml:space="preserve">also </w:t>
      </w:r>
      <w:r w:rsidR="00530C7C" w:rsidRPr="00E008BA">
        <w:rPr>
          <w:rFonts w:asciiTheme="minorHAnsi" w:hAnsiTheme="minorHAnsi"/>
          <w:sz w:val="22"/>
          <w:szCs w:val="22"/>
          <w:lang w:eastAsia="en-AU"/>
        </w:rPr>
        <w:t xml:space="preserve">service </w:t>
      </w:r>
      <w:r w:rsidRPr="00E008BA">
        <w:rPr>
          <w:rFonts w:asciiTheme="minorHAnsi" w:hAnsiTheme="minorHAnsi"/>
          <w:sz w:val="22"/>
          <w:szCs w:val="22"/>
          <w:lang w:eastAsia="en-AU"/>
        </w:rPr>
        <w:t>AHC</w:t>
      </w:r>
      <w:r w:rsidR="00C9475D" w:rsidRPr="00E008BA">
        <w:rPr>
          <w:rFonts w:asciiTheme="minorHAnsi" w:hAnsiTheme="minorHAnsi"/>
          <w:sz w:val="22"/>
          <w:szCs w:val="22"/>
          <w:lang w:eastAsia="en-AU"/>
        </w:rPr>
        <w:t>’s</w:t>
      </w:r>
      <w:r w:rsidRPr="00E008BA">
        <w:rPr>
          <w:rFonts w:asciiTheme="minorHAnsi" w:hAnsiTheme="minorHAnsi"/>
          <w:sz w:val="22"/>
          <w:szCs w:val="22"/>
          <w:lang w:eastAsia="en-AU"/>
        </w:rPr>
        <w:t xml:space="preserve"> annual </w:t>
      </w:r>
      <w:r w:rsidR="00C9475D" w:rsidRPr="00E008BA">
        <w:rPr>
          <w:rFonts w:asciiTheme="minorHAnsi" w:hAnsiTheme="minorHAnsi"/>
          <w:sz w:val="22"/>
          <w:szCs w:val="22"/>
          <w:lang w:eastAsia="en-AU"/>
        </w:rPr>
        <w:t xml:space="preserve">performance </w:t>
      </w:r>
      <w:r w:rsidRPr="00E008BA">
        <w:rPr>
          <w:rFonts w:asciiTheme="minorHAnsi" w:hAnsiTheme="minorHAnsi"/>
          <w:sz w:val="22"/>
          <w:szCs w:val="22"/>
          <w:lang w:eastAsia="en-AU"/>
        </w:rPr>
        <w:t>reporting requirements</w:t>
      </w:r>
      <w:r w:rsidR="00530C7C">
        <w:rPr>
          <w:rFonts w:asciiTheme="minorHAnsi" w:hAnsiTheme="minorHAnsi"/>
          <w:sz w:val="22"/>
          <w:szCs w:val="22"/>
          <w:lang w:eastAsia="en-AU"/>
        </w:rPr>
        <w:t xml:space="preserve"> as well as the </w:t>
      </w:r>
      <w:r w:rsidR="00DC0FDC">
        <w:rPr>
          <w:rFonts w:asciiTheme="minorHAnsi" w:hAnsiTheme="minorHAnsi"/>
          <w:sz w:val="22"/>
          <w:szCs w:val="22"/>
          <w:lang w:eastAsia="en-AU"/>
        </w:rPr>
        <w:t>QTAG</w:t>
      </w:r>
      <w:r w:rsidRPr="00E008BA">
        <w:rPr>
          <w:rFonts w:asciiTheme="minorHAnsi" w:hAnsiTheme="minorHAnsi"/>
          <w:sz w:val="22"/>
          <w:szCs w:val="22"/>
          <w:lang w:eastAsia="en-AU"/>
        </w:rPr>
        <w:t xml:space="preserve">’s primary </w:t>
      </w:r>
      <w:r w:rsidR="00C9475D" w:rsidRPr="00E008BA">
        <w:rPr>
          <w:rFonts w:asciiTheme="minorHAnsi" w:hAnsiTheme="minorHAnsi"/>
          <w:sz w:val="22"/>
          <w:szCs w:val="22"/>
          <w:lang w:eastAsia="en-AU"/>
        </w:rPr>
        <w:t>objective</w:t>
      </w:r>
      <w:r w:rsidRPr="00E008BA">
        <w:rPr>
          <w:rFonts w:asciiTheme="minorHAnsi" w:hAnsiTheme="minorHAnsi"/>
          <w:sz w:val="22"/>
          <w:szCs w:val="22"/>
          <w:lang w:eastAsia="en-AU"/>
        </w:rPr>
        <w:t>.</w:t>
      </w:r>
      <w:r w:rsidR="00FA0842">
        <w:rPr>
          <w:rFonts w:asciiTheme="minorHAnsi" w:hAnsiTheme="minorHAnsi"/>
          <w:sz w:val="22"/>
          <w:szCs w:val="22"/>
          <w:lang w:eastAsia="en-AU"/>
        </w:rPr>
        <w:t xml:space="preserve">  The SP </w:t>
      </w:r>
      <w:r w:rsidR="00AF48E0">
        <w:rPr>
          <w:rFonts w:asciiTheme="minorHAnsi" w:hAnsiTheme="minorHAnsi"/>
          <w:sz w:val="22"/>
          <w:szCs w:val="22"/>
          <w:lang w:eastAsia="en-AU"/>
        </w:rPr>
        <w:t xml:space="preserve">may also </w:t>
      </w:r>
      <w:r w:rsidR="00FA0842">
        <w:rPr>
          <w:rFonts w:asciiTheme="minorHAnsi" w:hAnsiTheme="minorHAnsi"/>
          <w:sz w:val="22"/>
          <w:szCs w:val="22"/>
          <w:lang w:eastAsia="en-AU"/>
        </w:rPr>
        <w:t>use this regular annual work to undertake any broader periodic reviews required of the programs, such as mid-term or end of program reviews.</w:t>
      </w:r>
      <w:r w:rsidRPr="00E008BA">
        <w:rPr>
          <w:rFonts w:asciiTheme="minorHAnsi" w:hAnsiTheme="minorHAnsi"/>
          <w:sz w:val="22"/>
          <w:szCs w:val="22"/>
          <w:lang w:eastAsia="en-AU"/>
        </w:rPr>
        <w:t xml:space="preserve">  </w:t>
      </w:r>
      <w:r w:rsidR="00036BBE" w:rsidRPr="00E008BA">
        <w:rPr>
          <w:rFonts w:asciiTheme="minorHAnsi" w:hAnsiTheme="minorHAnsi"/>
          <w:b/>
          <w:sz w:val="22"/>
          <w:szCs w:val="22"/>
          <w:lang w:eastAsia="en-AU"/>
        </w:rPr>
        <w:t xml:space="preserve">  </w:t>
      </w:r>
    </w:p>
    <w:p w14:paraId="3D327370" w14:textId="254E53DE" w:rsidR="000E25D8" w:rsidRPr="000E25D8" w:rsidRDefault="000E25D8" w:rsidP="00401CE8">
      <w:pPr>
        <w:spacing w:before="60" w:after="120" w:line="264" w:lineRule="auto"/>
        <w:rPr>
          <w:rFonts w:asciiTheme="minorHAnsi" w:hAnsiTheme="minorHAnsi"/>
          <w:sz w:val="22"/>
          <w:szCs w:val="22"/>
          <w:lang w:eastAsia="en-AU"/>
        </w:rPr>
      </w:pPr>
      <w:r w:rsidRPr="00E008BA">
        <w:rPr>
          <w:rFonts w:asciiTheme="minorHAnsi" w:hAnsiTheme="minorHAnsi"/>
          <w:sz w:val="22"/>
          <w:szCs w:val="22"/>
          <w:lang w:eastAsia="en-AU"/>
        </w:rPr>
        <w:t xml:space="preserve">The GoPNG </w:t>
      </w:r>
      <w:r w:rsidR="00AF48E0">
        <w:rPr>
          <w:rFonts w:asciiTheme="minorHAnsi" w:hAnsiTheme="minorHAnsi"/>
          <w:sz w:val="22"/>
          <w:szCs w:val="22"/>
          <w:lang w:eastAsia="en-AU"/>
        </w:rPr>
        <w:t>may</w:t>
      </w:r>
      <w:r w:rsidR="001862D6">
        <w:rPr>
          <w:rFonts w:asciiTheme="minorHAnsi" w:hAnsiTheme="minorHAnsi"/>
          <w:sz w:val="22"/>
          <w:szCs w:val="22"/>
          <w:lang w:eastAsia="en-AU"/>
        </w:rPr>
        <w:t xml:space="preserve"> </w:t>
      </w:r>
      <w:r w:rsidR="00802B6C" w:rsidRPr="00E008BA">
        <w:rPr>
          <w:rFonts w:asciiTheme="minorHAnsi" w:hAnsiTheme="minorHAnsi"/>
          <w:sz w:val="22"/>
          <w:szCs w:val="22"/>
          <w:lang w:eastAsia="en-AU"/>
        </w:rPr>
        <w:t xml:space="preserve">provide a </w:t>
      </w:r>
      <w:r w:rsidRPr="00E008BA">
        <w:rPr>
          <w:rFonts w:asciiTheme="minorHAnsi" w:hAnsiTheme="minorHAnsi"/>
          <w:sz w:val="22"/>
          <w:szCs w:val="22"/>
          <w:lang w:eastAsia="en-AU"/>
        </w:rPr>
        <w:t xml:space="preserve">representative to participate in the Annual Reviews with </w:t>
      </w:r>
      <w:r w:rsidR="00DC0FDC">
        <w:rPr>
          <w:rFonts w:asciiTheme="minorHAnsi" w:hAnsiTheme="minorHAnsi"/>
          <w:sz w:val="22"/>
          <w:szCs w:val="22"/>
          <w:lang w:eastAsia="en-AU"/>
        </w:rPr>
        <w:t>QTAG</w:t>
      </w:r>
      <w:r w:rsidRPr="00E008BA">
        <w:rPr>
          <w:rFonts w:asciiTheme="minorHAnsi" w:hAnsiTheme="minorHAnsi"/>
          <w:sz w:val="22"/>
          <w:szCs w:val="22"/>
          <w:lang w:eastAsia="en-AU"/>
        </w:rPr>
        <w:t>.</w:t>
      </w:r>
      <w:r>
        <w:rPr>
          <w:rFonts w:asciiTheme="minorHAnsi" w:hAnsiTheme="minorHAnsi"/>
          <w:sz w:val="22"/>
          <w:szCs w:val="22"/>
          <w:lang w:eastAsia="en-AU"/>
        </w:rPr>
        <w:t xml:space="preserve"> </w:t>
      </w:r>
    </w:p>
    <w:p w14:paraId="53836EC5" w14:textId="77777777" w:rsidR="00ED64F2" w:rsidRPr="00933297" w:rsidRDefault="00C9475D" w:rsidP="00972E6B">
      <w:pPr>
        <w:spacing w:before="180" w:after="120" w:line="264" w:lineRule="auto"/>
        <w:rPr>
          <w:rFonts w:asciiTheme="minorHAnsi" w:hAnsiTheme="minorHAnsi" w:cs="Arial"/>
          <w:sz w:val="24"/>
          <w:szCs w:val="22"/>
          <w:u w:val="single"/>
        </w:rPr>
      </w:pPr>
      <w:r w:rsidRPr="003F279F">
        <w:rPr>
          <w:rFonts w:asciiTheme="minorHAnsi" w:hAnsiTheme="minorHAnsi" w:cs="Arial"/>
          <w:sz w:val="24"/>
          <w:szCs w:val="22"/>
          <w:u w:val="single"/>
        </w:rPr>
        <w:t>Category 2</w:t>
      </w:r>
      <w:r w:rsidR="00FA0842">
        <w:rPr>
          <w:rFonts w:asciiTheme="minorHAnsi" w:hAnsiTheme="minorHAnsi" w:cs="Arial"/>
          <w:sz w:val="24"/>
          <w:szCs w:val="22"/>
          <w:u w:val="single"/>
        </w:rPr>
        <w:t>: Quality Assurance</w:t>
      </w:r>
    </w:p>
    <w:p w14:paraId="743D68A9" w14:textId="48F42651" w:rsidR="00BF451C" w:rsidRDefault="003F279F" w:rsidP="00C9475D">
      <w:pPr>
        <w:spacing w:before="60" w:after="120" w:line="276" w:lineRule="auto"/>
        <w:rPr>
          <w:rFonts w:asciiTheme="minorHAnsi" w:hAnsiTheme="minorHAnsi" w:cs="Arial"/>
          <w:sz w:val="22"/>
          <w:szCs w:val="22"/>
        </w:rPr>
      </w:pPr>
      <w:r>
        <w:rPr>
          <w:rFonts w:asciiTheme="minorHAnsi" w:hAnsiTheme="minorHAnsi"/>
          <w:sz w:val="22"/>
          <w:szCs w:val="22"/>
        </w:rPr>
        <w:t>T</w:t>
      </w:r>
      <w:r w:rsidR="00082C48" w:rsidRPr="001B64BC">
        <w:rPr>
          <w:rFonts w:asciiTheme="minorHAnsi" w:hAnsiTheme="minorHAnsi" w:cs="Arial"/>
          <w:sz w:val="22"/>
          <w:szCs w:val="22"/>
        </w:rPr>
        <w:t xml:space="preserve">he SP will </w:t>
      </w:r>
      <w:r w:rsidR="00C9475D">
        <w:rPr>
          <w:rFonts w:asciiTheme="minorHAnsi" w:hAnsiTheme="minorHAnsi" w:cs="Arial"/>
          <w:sz w:val="22"/>
          <w:szCs w:val="22"/>
        </w:rPr>
        <w:t xml:space="preserve">quality assure key written </w:t>
      </w:r>
      <w:r w:rsidR="00FA0842">
        <w:rPr>
          <w:rFonts w:asciiTheme="minorHAnsi" w:hAnsiTheme="minorHAnsi" w:cs="Arial"/>
          <w:sz w:val="22"/>
          <w:szCs w:val="22"/>
        </w:rPr>
        <w:t xml:space="preserve">program documents </w:t>
      </w:r>
      <w:r w:rsidR="00C9475D">
        <w:rPr>
          <w:rFonts w:asciiTheme="minorHAnsi" w:hAnsiTheme="minorHAnsi" w:cs="Arial"/>
          <w:sz w:val="22"/>
          <w:szCs w:val="22"/>
        </w:rPr>
        <w:t>from the PGF and JSS4D</w:t>
      </w:r>
      <w:r w:rsidR="000E6C46">
        <w:rPr>
          <w:rFonts w:asciiTheme="minorHAnsi" w:hAnsiTheme="minorHAnsi" w:cs="Arial"/>
          <w:sz w:val="22"/>
          <w:szCs w:val="22"/>
        </w:rPr>
        <w:t xml:space="preserve"> on a demand-led basis</w:t>
      </w:r>
      <w:r w:rsidR="00BF451C">
        <w:rPr>
          <w:rFonts w:asciiTheme="minorHAnsi" w:hAnsiTheme="minorHAnsi" w:cs="Arial"/>
          <w:sz w:val="22"/>
          <w:szCs w:val="22"/>
        </w:rPr>
        <w:t>.  These will include</w:t>
      </w:r>
      <w:r w:rsidR="00B67AC1">
        <w:rPr>
          <w:rFonts w:asciiTheme="minorHAnsi" w:hAnsiTheme="minorHAnsi" w:cs="Arial"/>
          <w:sz w:val="22"/>
          <w:szCs w:val="22"/>
        </w:rPr>
        <w:t>:</w:t>
      </w:r>
    </w:p>
    <w:p w14:paraId="72E50737" w14:textId="77777777" w:rsidR="00BF451C" w:rsidRDefault="00BF451C" w:rsidP="00BF451C">
      <w:pPr>
        <w:pStyle w:val="ListParagraph"/>
        <w:numPr>
          <w:ilvl w:val="0"/>
          <w:numId w:val="14"/>
        </w:numPr>
        <w:spacing w:before="60" w:after="120" w:line="276" w:lineRule="auto"/>
        <w:rPr>
          <w:rFonts w:asciiTheme="minorHAnsi" w:hAnsiTheme="minorHAnsi" w:cs="Arial"/>
          <w:sz w:val="22"/>
          <w:szCs w:val="22"/>
        </w:rPr>
      </w:pPr>
      <w:r>
        <w:rPr>
          <w:rFonts w:asciiTheme="minorHAnsi" w:hAnsiTheme="minorHAnsi" w:cs="Arial"/>
          <w:sz w:val="22"/>
          <w:szCs w:val="22"/>
        </w:rPr>
        <w:t>Outputs relating to significant program management processes</w:t>
      </w:r>
      <w:r w:rsidR="00656756">
        <w:rPr>
          <w:rFonts w:asciiTheme="minorHAnsi" w:hAnsiTheme="minorHAnsi" w:cs="Arial"/>
          <w:sz w:val="22"/>
          <w:szCs w:val="22"/>
        </w:rPr>
        <w:t xml:space="preserve"> including</w:t>
      </w:r>
      <w:r>
        <w:rPr>
          <w:rFonts w:asciiTheme="minorHAnsi" w:hAnsiTheme="minorHAnsi" w:cs="Arial"/>
          <w:sz w:val="22"/>
          <w:szCs w:val="22"/>
        </w:rPr>
        <w:t xml:space="preserve">: new or revised program strategies; </w:t>
      </w:r>
      <w:r w:rsidRPr="001B64BC">
        <w:rPr>
          <w:rFonts w:asciiTheme="minorHAnsi" w:hAnsiTheme="minorHAnsi" w:cs="Arial"/>
          <w:sz w:val="22"/>
          <w:szCs w:val="22"/>
        </w:rPr>
        <w:t>designs for major new activities</w:t>
      </w:r>
      <w:r>
        <w:rPr>
          <w:rFonts w:asciiTheme="minorHAnsi" w:hAnsiTheme="minorHAnsi" w:cs="Arial"/>
          <w:sz w:val="22"/>
          <w:szCs w:val="22"/>
        </w:rPr>
        <w:t xml:space="preserve">; program </w:t>
      </w:r>
      <w:r w:rsidRPr="001B64BC">
        <w:rPr>
          <w:rFonts w:asciiTheme="minorHAnsi" w:hAnsiTheme="minorHAnsi" w:cs="Arial"/>
          <w:sz w:val="22"/>
          <w:szCs w:val="22"/>
        </w:rPr>
        <w:t xml:space="preserve">monitoring and evaluation </w:t>
      </w:r>
      <w:r w:rsidR="001B00C7">
        <w:rPr>
          <w:rFonts w:asciiTheme="minorHAnsi" w:hAnsiTheme="minorHAnsi" w:cs="Arial"/>
          <w:sz w:val="22"/>
          <w:szCs w:val="22"/>
        </w:rPr>
        <w:t xml:space="preserve">plans </w:t>
      </w:r>
      <w:r>
        <w:rPr>
          <w:rFonts w:asciiTheme="minorHAnsi" w:hAnsiTheme="minorHAnsi" w:cs="Arial"/>
          <w:sz w:val="22"/>
          <w:szCs w:val="22"/>
        </w:rPr>
        <w:t xml:space="preserve">and risk management arrangements; </w:t>
      </w:r>
      <w:r w:rsidR="00656756">
        <w:rPr>
          <w:rFonts w:asciiTheme="minorHAnsi" w:hAnsiTheme="minorHAnsi" w:cs="Arial"/>
          <w:sz w:val="22"/>
          <w:szCs w:val="22"/>
        </w:rPr>
        <w:t xml:space="preserve">and </w:t>
      </w:r>
      <w:r w:rsidR="001862D6">
        <w:rPr>
          <w:rFonts w:asciiTheme="minorHAnsi" w:hAnsiTheme="minorHAnsi" w:cs="Arial"/>
          <w:sz w:val="22"/>
          <w:szCs w:val="22"/>
        </w:rPr>
        <w:t>communication/</w:t>
      </w:r>
      <w:r>
        <w:rPr>
          <w:rFonts w:asciiTheme="minorHAnsi" w:hAnsiTheme="minorHAnsi" w:cs="Arial"/>
          <w:sz w:val="22"/>
          <w:szCs w:val="22"/>
        </w:rPr>
        <w:t>dissemination/promotion strategies;</w:t>
      </w:r>
      <w:r w:rsidR="00656756">
        <w:rPr>
          <w:rFonts w:asciiTheme="minorHAnsi" w:hAnsiTheme="minorHAnsi" w:cs="Arial"/>
          <w:sz w:val="22"/>
          <w:szCs w:val="22"/>
        </w:rPr>
        <w:t xml:space="preserve"> and</w:t>
      </w:r>
    </w:p>
    <w:p w14:paraId="5752B181" w14:textId="77777777" w:rsidR="00BF451C" w:rsidRDefault="00BF451C" w:rsidP="00BF451C">
      <w:pPr>
        <w:pStyle w:val="ListParagraph"/>
        <w:numPr>
          <w:ilvl w:val="0"/>
          <w:numId w:val="14"/>
        </w:numPr>
        <w:spacing w:before="60" w:after="120" w:line="276" w:lineRule="auto"/>
        <w:rPr>
          <w:rFonts w:asciiTheme="minorHAnsi" w:hAnsiTheme="minorHAnsi" w:cs="Arial"/>
          <w:sz w:val="22"/>
          <w:szCs w:val="22"/>
        </w:rPr>
      </w:pPr>
      <w:r>
        <w:rPr>
          <w:rFonts w:asciiTheme="minorHAnsi" w:hAnsiTheme="minorHAnsi" w:cs="Arial"/>
          <w:sz w:val="22"/>
          <w:szCs w:val="22"/>
        </w:rPr>
        <w:t>Outputs relating to the implementation of the program</w:t>
      </w:r>
      <w:r w:rsidR="00656756">
        <w:rPr>
          <w:rFonts w:asciiTheme="minorHAnsi" w:hAnsiTheme="minorHAnsi" w:cs="Arial"/>
          <w:sz w:val="22"/>
          <w:szCs w:val="22"/>
        </w:rPr>
        <w:t xml:space="preserve"> including</w:t>
      </w:r>
      <w:r>
        <w:rPr>
          <w:rFonts w:asciiTheme="minorHAnsi" w:hAnsiTheme="minorHAnsi" w:cs="Arial"/>
          <w:sz w:val="22"/>
          <w:szCs w:val="22"/>
        </w:rPr>
        <w:t xml:space="preserve">: performance assessments and </w:t>
      </w:r>
      <w:r w:rsidR="001B00C7">
        <w:rPr>
          <w:rFonts w:asciiTheme="minorHAnsi" w:hAnsiTheme="minorHAnsi" w:cs="Arial"/>
          <w:sz w:val="22"/>
          <w:szCs w:val="22"/>
        </w:rPr>
        <w:t xml:space="preserve">performance </w:t>
      </w:r>
      <w:r>
        <w:rPr>
          <w:rFonts w:asciiTheme="minorHAnsi" w:hAnsiTheme="minorHAnsi" w:cs="Arial"/>
          <w:sz w:val="22"/>
          <w:szCs w:val="22"/>
        </w:rPr>
        <w:t xml:space="preserve">reports; </w:t>
      </w:r>
      <w:r w:rsidR="00656756">
        <w:rPr>
          <w:rFonts w:asciiTheme="minorHAnsi" w:hAnsiTheme="minorHAnsi" w:cs="Arial"/>
          <w:sz w:val="22"/>
          <w:szCs w:val="22"/>
        </w:rPr>
        <w:t xml:space="preserve">and </w:t>
      </w:r>
      <w:r>
        <w:rPr>
          <w:rFonts w:asciiTheme="minorHAnsi" w:hAnsiTheme="minorHAnsi" w:cs="Arial"/>
          <w:sz w:val="22"/>
          <w:szCs w:val="22"/>
        </w:rPr>
        <w:t>key pieces of analysis or research</w:t>
      </w:r>
      <w:r w:rsidR="00B36D3A">
        <w:rPr>
          <w:rFonts w:asciiTheme="minorHAnsi" w:hAnsiTheme="minorHAnsi" w:cs="Arial"/>
          <w:sz w:val="22"/>
          <w:szCs w:val="22"/>
        </w:rPr>
        <w:t>.</w:t>
      </w:r>
      <w:r>
        <w:rPr>
          <w:rFonts w:asciiTheme="minorHAnsi" w:hAnsiTheme="minorHAnsi" w:cs="Arial"/>
          <w:sz w:val="22"/>
          <w:szCs w:val="22"/>
        </w:rPr>
        <w:t xml:space="preserve"> </w:t>
      </w:r>
    </w:p>
    <w:p w14:paraId="1A708AB1" w14:textId="781A6AAE" w:rsidR="00972E6B" w:rsidRPr="00B67AC1" w:rsidRDefault="00B67AC1" w:rsidP="00B67AC1">
      <w:pPr>
        <w:spacing w:before="60" w:after="120" w:line="276" w:lineRule="auto"/>
        <w:rPr>
          <w:rFonts w:asciiTheme="minorHAnsi" w:hAnsiTheme="minorHAnsi" w:cs="Arial"/>
          <w:sz w:val="22"/>
          <w:szCs w:val="22"/>
        </w:rPr>
      </w:pPr>
      <w:r w:rsidRPr="00B36D3A">
        <w:rPr>
          <w:rFonts w:asciiTheme="minorHAnsi" w:hAnsiTheme="minorHAnsi" w:cs="Arial"/>
          <w:sz w:val="22"/>
          <w:szCs w:val="22"/>
        </w:rPr>
        <w:t xml:space="preserve">This work will be </w:t>
      </w:r>
      <w:r w:rsidR="00656756">
        <w:rPr>
          <w:rFonts w:asciiTheme="minorHAnsi" w:hAnsiTheme="minorHAnsi" w:cs="Arial"/>
          <w:sz w:val="22"/>
          <w:szCs w:val="22"/>
        </w:rPr>
        <w:t>undertaken</w:t>
      </w:r>
      <w:r w:rsidR="003F279F" w:rsidRPr="00B36D3A">
        <w:rPr>
          <w:rFonts w:asciiTheme="minorHAnsi" w:hAnsiTheme="minorHAnsi" w:cs="Arial"/>
          <w:sz w:val="22"/>
          <w:szCs w:val="22"/>
        </w:rPr>
        <w:t xml:space="preserve"> </w:t>
      </w:r>
      <w:r w:rsidR="00530C7C" w:rsidRPr="00B36D3A">
        <w:rPr>
          <w:rFonts w:asciiTheme="minorHAnsi" w:hAnsiTheme="minorHAnsi" w:cs="Arial"/>
          <w:sz w:val="22"/>
          <w:szCs w:val="22"/>
        </w:rPr>
        <w:t>as required</w:t>
      </w:r>
      <w:r w:rsidR="003F279F" w:rsidRPr="00B36D3A">
        <w:rPr>
          <w:rFonts w:asciiTheme="minorHAnsi" w:hAnsiTheme="minorHAnsi" w:cs="Arial"/>
          <w:sz w:val="22"/>
          <w:szCs w:val="22"/>
        </w:rPr>
        <w:t xml:space="preserve"> and</w:t>
      </w:r>
      <w:r w:rsidR="00530C7C" w:rsidRPr="00B36D3A">
        <w:rPr>
          <w:rFonts w:asciiTheme="minorHAnsi" w:hAnsiTheme="minorHAnsi" w:cs="Arial"/>
          <w:sz w:val="22"/>
          <w:szCs w:val="22"/>
        </w:rPr>
        <w:t xml:space="preserve"> </w:t>
      </w:r>
      <w:r w:rsidR="005D5EF0" w:rsidRPr="00B36D3A">
        <w:rPr>
          <w:rFonts w:asciiTheme="minorHAnsi" w:hAnsiTheme="minorHAnsi" w:cs="Arial"/>
          <w:sz w:val="22"/>
          <w:szCs w:val="22"/>
        </w:rPr>
        <w:t>contracted on an output</w:t>
      </w:r>
      <w:r w:rsidR="003F279F" w:rsidRPr="00B36D3A">
        <w:rPr>
          <w:rFonts w:asciiTheme="minorHAnsi" w:hAnsiTheme="minorHAnsi" w:cs="Arial"/>
          <w:sz w:val="22"/>
          <w:szCs w:val="22"/>
        </w:rPr>
        <w:t xml:space="preserve"> basis</w:t>
      </w:r>
      <w:r w:rsidR="001F1C48">
        <w:rPr>
          <w:rFonts w:asciiTheme="minorHAnsi" w:hAnsiTheme="minorHAnsi" w:cs="Arial"/>
          <w:sz w:val="22"/>
          <w:szCs w:val="22"/>
        </w:rPr>
        <w:t xml:space="preserve"> through a Services Order</w:t>
      </w:r>
      <w:r w:rsidR="003F279F" w:rsidRPr="00B36D3A">
        <w:rPr>
          <w:rFonts w:asciiTheme="minorHAnsi" w:hAnsiTheme="minorHAnsi" w:cs="Arial"/>
          <w:sz w:val="22"/>
          <w:szCs w:val="22"/>
        </w:rPr>
        <w:t xml:space="preserve">.   </w:t>
      </w:r>
      <w:r w:rsidR="00B36D3A" w:rsidRPr="00B36D3A">
        <w:rPr>
          <w:rFonts w:asciiTheme="minorHAnsi" w:hAnsiTheme="minorHAnsi" w:cs="Arial"/>
          <w:sz w:val="22"/>
          <w:szCs w:val="22"/>
        </w:rPr>
        <w:t xml:space="preserve">Activity levels will be determined by demand. </w:t>
      </w:r>
      <w:r w:rsidR="00594CA2" w:rsidRPr="00B36D3A">
        <w:rPr>
          <w:rFonts w:asciiTheme="minorHAnsi" w:hAnsiTheme="minorHAnsi" w:cs="Arial"/>
          <w:sz w:val="22"/>
          <w:szCs w:val="22"/>
        </w:rPr>
        <w:t xml:space="preserve">The majority of requests will </w:t>
      </w:r>
      <w:r w:rsidR="00B36D3A" w:rsidRPr="00B36D3A">
        <w:rPr>
          <w:rFonts w:asciiTheme="minorHAnsi" w:hAnsiTheme="minorHAnsi" w:cs="Arial"/>
          <w:sz w:val="22"/>
          <w:szCs w:val="22"/>
        </w:rPr>
        <w:t xml:space="preserve">be for </w:t>
      </w:r>
      <w:r w:rsidR="001F1C48">
        <w:rPr>
          <w:rFonts w:asciiTheme="minorHAnsi" w:hAnsiTheme="minorHAnsi" w:cs="Arial"/>
          <w:sz w:val="22"/>
          <w:szCs w:val="22"/>
        </w:rPr>
        <w:t xml:space="preserve">desk based </w:t>
      </w:r>
      <w:r w:rsidR="00B36D3A" w:rsidRPr="00B36D3A">
        <w:rPr>
          <w:rFonts w:asciiTheme="minorHAnsi" w:hAnsiTheme="minorHAnsi" w:cs="Arial"/>
          <w:sz w:val="22"/>
          <w:szCs w:val="22"/>
        </w:rPr>
        <w:t xml:space="preserve">short-term assistance, </w:t>
      </w:r>
      <w:r w:rsidR="00594CA2" w:rsidRPr="00B36D3A">
        <w:rPr>
          <w:rFonts w:asciiTheme="minorHAnsi" w:hAnsiTheme="minorHAnsi" w:cs="Arial"/>
          <w:sz w:val="22"/>
          <w:szCs w:val="22"/>
        </w:rPr>
        <w:t>requir</w:t>
      </w:r>
      <w:r w:rsidR="00B36D3A" w:rsidRPr="00B36D3A">
        <w:rPr>
          <w:rFonts w:asciiTheme="minorHAnsi" w:hAnsiTheme="minorHAnsi" w:cs="Arial"/>
          <w:sz w:val="22"/>
          <w:szCs w:val="22"/>
        </w:rPr>
        <w:t>ing</w:t>
      </w:r>
      <w:r w:rsidR="00594CA2" w:rsidRPr="00B36D3A">
        <w:rPr>
          <w:rFonts w:asciiTheme="minorHAnsi" w:hAnsiTheme="minorHAnsi" w:cs="Arial"/>
          <w:sz w:val="22"/>
          <w:szCs w:val="22"/>
        </w:rPr>
        <w:t xml:space="preserve"> 1 to </w:t>
      </w:r>
      <w:r w:rsidR="00B36D3A" w:rsidRPr="00B36D3A">
        <w:rPr>
          <w:rFonts w:asciiTheme="minorHAnsi" w:hAnsiTheme="minorHAnsi" w:cs="Arial"/>
          <w:sz w:val="22"/>
          <w:szCs w:val="22"/>
        </w:rPr>
        <w:t xml:space="preserve">3 </w:t>
      </w:r>
      <w:r w:rsidR="00594CA2" w:rsidRPr="00B36D3A">
        <w:rPr>
          <w:rFonts w:asciiTheme="minorHAnsi" w:hAnsiTheme="minorHAnsi" w:cs="Arial"/>
          <w:sz w:val="22"/>
          <w:szCs w:val="22"/>
        </w:rPr>
        <w:t>days input</w:t>
      </w:r>
      <w:r w:rsidR="00B36D3A" w:rsidRPr="00B36D3A">
        <w:rPr>
          <w:rFonts w:asciiTheme="minorHAnsi" w:hAnsiTheme="minorHAnsi" w:cs="Arial"/>
          <w:sz w:val="22"/>
          <w:szCs w:val="22"/>
        </w:rPr>
        <w:t>,</w:t>
      </w:r>
      <w:r w:rsidR="00594CA2" w:rsidRPr="00B36D3A">
        <w:rPr>
          <w:rFonts w:asciiTheme="minorHAnsi" w:hAnsiTheme="minorHAnsi" w:cs="Arial"/>
          <w:sz w:val="22"/>
          <w:szCs w:val="22"/>
        </w:rPr>
        <w:t xml:space="preserve"> but</w:t>
      </w:r>
      <w:r w:rsidR="00B36D3A" w:rsidRPr="00B36D3A">
        <w:rPr>
          <w:rFonts w:asciiTheme="minorHAnsi" w:hAnsiTheme="minorHAnsi" w:cs="Arial"/>
          <w:sz w:val="22"/>
          <w:szCs w:val="22"/>
        </w:rPr>
        <w:t xml:space="preserve"> some program outputs may require greater </w:t>
      </w:r>
      <w:r w:rsidR="00DC0FDC">
        <w:rPr>
          <w:rFonts w:asciiTheme="minorHAnsi" w:hAnsiTheme="minorHAnsi" w:cs="Arial"/>
          <w:sz w:val="22"/>
          <w:szCs w:val="22"/>
        </w:rPr>
        <w:t>QTAG</w:t>
      </w:r>
      <w:r w:rsidR="00B36D3A" w:rsidRPr="00B36D3A">
        <w:rPr>
          <w:rFonts w:asciiTheme="minorHAnsi" w:hAnsiTheme="minorHAnsi" w:cs="Arial"/>
          <w:sz w:val="22"/>
          <w:szCs w:val="22"/>
        </w:rPr>
        <w:t xml:space="preserve"> input to allow for interaction with AHC and program contractors as part of the quality assurance process</w:t>
      </w:r>
      <w:r w:rsidR="003F279F" w:rsidRPr="00B36D3A">
        <w:rPr>
          <w:rFonts w:asciiTheme="minorHAnsi" w:hAnsiTheme="minorHAnsi" w:cs="Arial"/>
          <w:sz w:val="22"/>
          <w:szCs w:val="22"/>
        </w:rPr>
        <w:t>.</w:t>
      </w:r>
      <w:r w:rsidR="003F279F">
        <w:rPr>
          <w:rFonts w:asciiTheme="minorHAnsi" w:hAnsiTheme="minorHAnsi" w:cs="Arial"/>
          <w:sz w:val="22"/>
          <w:szCs w:val="22"/>
        </w:rPr>
        <w:t xml:space="preserve">  The SP</w:t>
      </w:r>
      <w:r w:rsidR="00B36D3A">
        <w:rPr>
          <w:rFonts w:asciiTheme="minorHAnsi" w:hAnsiTheme="minorHAnsi" w:cs="Arial"/>
          <w:sz w:val="22"/>
          <w:szCs w:val="22"/>
        </w:rPr>
        <w:t xml:space="preserve"> </w:t>
      </w:r>
      <w:r w:rsidR="00462463">
        <w:rPr>
          <w:rFonts w:asciiTheme="minorHAnsi" w:hAnsiTheme="minorHAnsi" w:cs="Arial"/>
          <w:sz w:val="22"/>
          <w:szCs w:val="22"/>
        </w:rPr>
        <w:t>may</w:t>
      </w:r>
      <w:r w:rsidR="003F279F">
        <w:rPr>
          <w:rFonts w:asciiTheme="minorHAnsi" w:hAnsiTheme="minorHAnsi" w:cs="Arial"/>
          <w:sz w:val="22"/>
          <w:szCs w:val="22"/>
        </w:rPr>
        <w:t xml:space="preserve"> be required to </w:t>
      </w:r>
      <w:r w:rsidR="0007330F" w:rsidRPr="00B67AC1">
        <w:rPr>
          <w:rFonts w:asciiTheme="minorHAnsi" w:hAnsiTheme="minorHAnsi" w:cs="Arial"/>
          <w:sz w:val="22"/>
          <w:szCs w:val="22"/>
        </w:rPr>
        <w:t xml:space="preserve">provide </w:t>
      </w:r>
      <w:r w:rsidR="00082C48" w:rsidRPr="00B67AC1">
        <w:rPr>
          <w:rFonts w:asciiTheme="minorHAnsi" w:hAnsiTheme="minorHAnsi" w:cs="Arial"/>
          <w:sz w:val="22"/>
          <w:szCs w:val="22"/>
        </w:rPr>
        <w:t>quick turn-around support</w:t>
      </w:r>
      <w:r w:rsidR="003F279F">
        <w:rPr>
          <w:rFonts w:asciiTheme="minorHAnsi" w:hAnsiTheme="minorHAnsi" w:cs="Arial"/>
          <w:sz w:val="22"/>
          <w:szCs w:val="22"/>
        </w:rPr>
        <w:t xml:space="preserve"> efficiently and effectively</w:t>
      </w:r>
      <w:r w:rsidR="00082C48" w:rsidRPr="00B67AC1">
        <w:rPr>
          <w:rFonts w:asciiTheme="minorHAnsi" w:hAnsiTheme="minorHAnsi" w:cs="Arial"/>
          <w:sz w:val="22"/>
          <w:szCs w:val="22"/>
        </w:rPr>
        <w:t>.</w:t>
      </w:r>
      <w:r w:rsidR="00972E6B" w:rsidRPr="00B67AC1">
        <w:rPr>
          <w:rFonts w:asciiTheme="minorHAnsi" w:hAnsiTheme="minorHAnsi" w:cs="Arial"/>
          <w:sz w:val="22"/>
          <w:szCs w:val="22"/>
        </w:rPr>
        <w:t xml:space="preserve"> </w:t>
      </w:r>
      <w:r w:rsidR="00C9475D" w:rsidRPr="00B67AC1">
        <w:rPr>
          <w:rFonts w:asciiTheme="minorHAnsi" w:hAnsiTheme="minorHAnsi" w:cs="Arial"/>
          <w:sz w:val="22"/>
          <w:szCs w:val="22"/>
        </w:rPr>
        <w:t xml:space="preserve"> </w:t>
      </w:r>
      <w:r w:rsidR="003F279F">
        <w:rPr>
          <w:rFonts w:asciiTheme="minorHAnsi" w:hAnsiTheme="minorHAnsi" w:cs="Arial"/>
          <w:sz w:val="22"/>
          <w:szCs w:val="22"/>
        </w:rPr>
        <w:t xml:space="preserve">Quality assurance products </w:t>
      </w:r>
      <w:r w:rsidR="00972E6B" w:rsidRPr="00B67AC1">
        <w:rPr>
          <w:rFonts w:asciiTheme="minorHAnsi" w:hAnsiTheme="minorHAnsi" w:cs="Arial"/>
          <w:sz w:val="22"/>
          <w:szCs w:val="22"/>
        </w:rPr>
        <w:t xml:space="preserve">will be </w:t>
      </w:r>
      <w:r w:rsidR="00CE4B6A">
        <w:rPr>
          <w:rFonts w:asciiTheme="minorHAnsi" w:hAnsiTheme="minorHAnsi" w:cs="Arial"/>
          <w:sz w:val="22"/>
          <w:szCs w:val="22"/>
        </w:rPr>
        <w:t xml:space="preserve">submitted to </w:t>
      </w:r>
      <w:r w:rsidR="00656756">
        <w:rPr>
          <w:rFonts w:asciiTheme="minorHAnsi" w:hAnsiTheme="minorHAnsi" w:cs="Arial"/>
          <w:sz w:val="22"/>
          <w:szCs w:val="22"/>
        </w:rPr>
        <w:t xml:space="preserve">the </w:t>
      </w:r>
      <w:r w:rsidR="00CE4B6A">
        <w:rPr>
          <w:rFonts w:asciiTheme="minorHAnsi" w:hAnsiTheme="minorHAnsi" w:cs="Arial"/>
          <w:sz w:val="22"/>
          <w:szCs w:val="22"/>
        </w:rPr>
        <w:t xml:space="preserve">AHC </w:t>
      </w:r>
      <w:r w:rsidR="00972E6B" w:rsidRPr="00B67AC1">
        <w:rPr>
          <w:rFonts w:asciiTheme="minorHAnsi" w:hAnsiTheme="minorHAnsi" w:cs="Arial"/>
          <w:sz w:val="22"/>
          <w:szCs w:val="22"/>
        </w:rPr>
        <w:t xml:space="preserve">in the form of a completed assessment template, to be developed by the </w:t>
      </w:r>
      <w:r w:rsidR="00DC0FDC">
        <w:rPr>
          <w:rFonts w:asciiTheme="minorHAnsi" w:hAnsiTheme="minorHAnsi" w:cs="Arial"/>
          <w:sz w:val="22"/>
          <w:szCs w:val="22"/>
        </w:rPr>
        <w:t>QTAG</w:t>
      </w:r>
      <w:r w:rsidR="00972E6B" w:rsidRPr="00B67AC1">
        <w:rPr>
          <w:rFonts w:asciiTheme="minorHAnsi" w:hAnsiTheme="minorHAnsi" w:cs="Arial"/>
          <w:sz w:val="22"/>
          <w:szCs w:val="22"/>
        </w:rPr>
        <w:t xml:space="preserve"> and </w:t>
      </w:r>
      <w:r w:rsidR="00F14E1C">
        <w:rPr>
          <w:rFonts w:asciiTheme="minorHAnsi" w:hAnsiTheme="minorHAnsi" w:cs="Arial"/>
          <w:sz w:val="22"/>
          <w:szCs w:val="22"/>
        </w:rPr>
        <w:t xml:space="preserve">agreed </w:t>
      </w:r>
      <w:r w:rsidR="00972E6B" w:rsidRPr="00B67AC1">
        <w:rPr>
          <w:rFonts w:asciiTheme="minorHAnsi" w:hAnsiTheme="minorHAnsi" w:cs="Arial"/>
          <w:sz w:val="22"/>
          <w:szCs w:val="22"/>
        </w:rPr>
        <w:t xml:space="preserve">by the respective strategic </w:t>
      </w:r>
      <w:r w:rsidR="003F279F">
        <w:rPr>
          <w:rFonts w:asciiTheme="minorHAnsi" w:hAnsiTheme="minorHAnsi" w:cs="Arial"/>
          <w:sz w:val="22"/>
          <w:szCs w:val="22"/>
        </w:rPr>
        <w:t>oversight bodies for each program</w:t>
      </w:r>
      <w:r w:rsidR="00972E6B" w:rsidRPr="00B67AC1">
        <w:rPr>
          <w:rFonts w:asciiTheme="minorHAnsi" w:hAnsiTheme="minorHAnsi" w:cs="Arial"/>
          <w:sz w:val="22"/>
          <w:szCs w:val="22"/>
        </w:rPr>
        <w:t xml:space="preserve">. </w:t>
      </w:r>
      <w:r w:rsidR="00F14E1C">
        <w:rPr>
          <w:rFonts w:asciiTheme="minorHAnsi" w:hAnsiTheme="minorHAnsi" w:cs="Arial"/>
          <w:sz w:val="22"/>
          <w:szCs w:val="22"/>
        </w:rPr>
        <w:t xml:space="preserve"> Standard response times for the different types of </w:t>
      </w:r>
      <w:r w:rsidR="00B36D3A">
        <w:rPr>
          <w:rFonts w:asciiTheme="minorHAnsi" w:hAnsiTheme="minorHAnsi" w:cs="Arial"/>
          <w:sz w:val="22"/>
          <w:szCs w:val="22"/>
        </w:rPr>
        <w:t xml:space="preserve">program </w:t>
      </w:r>
      <w:r w:rsidR="00F14E1C">
        <w:rPr>
          <w:rFonts w:asciiTheme="minorHAnsi" w:hAnsiTheme="minorHAnsi" w:cs="Arial"/>
          <w:sz w:val="22"/>
          <w:szCs w:val="22"/>
        </w:rPr>
        <w:t xml:space="preserve">outputs reviewed will be agreed during the </w:t>
      </w:r>
      <w:r w:rsidR="00A67955">
        <w:rPr>
          <w:rFonts w:asciiTheme="minorHAnsi" w:hAnsiTheme="minorHAnsi" w:cs="Arial"/>
          <w:sz w:val="22"/>
          <w:szCs w:val="22"/>
        </w:rPr>
        <w:t>set up</w:t>
      </w:r>
      <w:r w:rsidR="00F14E1C">
        <w:rPr>
          <w:rFonts w:asciiTheme="minorHAnsi" w:hAnsiTheme="minorHAnsi" w:cs="Arial"/>
          <w:sz w:val="22"/>
          <w:szCs w:val="22"/>
        </w:rPr>
        <w:t xml:space="preserve"> period between the SP and AHC. </w:t>
      </w:r>
    </w:p>
    <w:p w14:paraId="6A856032" w14:textId="77777777" w:rsidR="00C9475D" w:rsidRPr="003F279F" w:rsidRDefault="003F279F" w:rsidP="00C9475D">
      <w:pPr>
        <w:spacing w:before="60" w:after="120" w:line="276" w:lineRule="auto"/>
        <w:rPr>
          <w:rFonts w:asciiTheme="minorHAnsi" w:hAnsiTheme="minorHAnsi" w:cs="Arial"/>
          <w:sz w:val="24"/>
          <w:szCs w:val="22"/>
          <w:u w:val="single"/>
        </w:rPr>
      </w:pPr>
      <w:r w:rsidRPr="003F279F">
        <w:rPr>
          <w:rFonts w:asciiTheme="minorHAnsi" w:hAnsiTheme="minorHAnsi" w:cs="Arial"/>
          <w:sz w:val="24"/>
          <w:szCs w:val="22"/>
          <w:u w:val="single"/>
        </w:rPr>
        <w:t>Category 3</w:t>
      </w:r>
      <w:r w:rsidR="00FA0842">
        <w:rPr>
          <w:rFonts w:asciiTheme="minorHAnsi" w:hAnsiTheme="minorHAnsi" w:cs="Arial"/>
          <w:sz w:val="24"/>
          <w:szCs w:val="22"/>
          <w:u w:val="single"/>
        </w:rPr>
        <w:t xml:space="preserve">: Program Quality </w:t>
      </w:r>
      <w:r w:rsidR="00A133A9">
        <w:rPr>
          <w:rFonts w:asciiTheme="minorHAnsi" w:hAnsiTheme="minorHAnsi" w:cs="Arial"/>
          <w:sz w:val="24"/>
          <w:szCs w:val="22"/>
          <w:u w:val="single"/>
        </w:rPr>
        <w:t>processes</w:t>
      </w:r>
    </w:p>
    <w:p w14:paraId="19C84B56" w14:textId="0AB577CB" w:rsidR="00F14E1C" w:rsidRDefault="003F279F" w:rsidP="00F14E1C">
      <w:pPr>
        <w:spacing w:before="60" w:after="120" w:line="264" w:lineRule="auto"/>
        <w:rPr>
          <w:rFonts w:asciiTheme="minorHAnsi" w:hAnsiTheme="minorHAnsi" w:cs="Arial"/>
          <w:sz w:val="22"/>
          <w:szCs w:val="22"/>
        </w:rPr>
      </w:pPr>
      <w:r>
        <w:rPr>
          <w:rFonts w:asciiTheme="minorHAnsi" w:hAnsiTheme="minorHAnsi" w:cs="Arial"/>
          <w:sz w:val="22"/>
          <w:szCs w:val="22"/>
        </w:rPr>
        <w:t xml:space="preserve">This category relates to </w:t>
      </w:r>
      <w:r w:rsidR="00A7085B">
        <w:rPr>
          <w:rFonts w:asciiTheme="minorHAnsi" w:hAnsiTheme="minorHAnsi" w:cs="Arial"/>
          <w:sz w:val="22"/>
          <w:szCs w:val="22"/>
        </w:rPr>
        <w:t>su</w:t>
      </w:r>
      <w:r w:rsidR="00A133A9">
        <w:rPr>
          <w:rFonts w:asciiTheme="minorHAnsi" w:hAnsiTheme="minorHAnsi" w:cs="Arial"/>
          <w:sz w:val="22"/>
          <w:szCs w:val="22"/>
        </w:rPr>
        <w:t>pporting the AHC internal aid</w:t>
      </w:r>
      <w:r w:rsidR="00A7085B">
        <w:rPr>
          <w:rFonts w:asciiTheme="minorHAnsi" w:hAnsiTheme="minorHAnsi" w:cs="Arial"/>
          <w:sz w:val="22"/>
          <w:szCs w:val="22"/>
        </w:rPr>
        <w:t xml:space="preserve"> quality process</w:t>
      </w:r>
      <w:r w:rsidR="009A6244">
        <w:rPr>
          <w:rFonts w:asciiTheme="minorHAnsi" w:hAnsiTheme="minorHAnsi" w:cs="Arial"/>
          <w:sz w:val="22"/>
          <w:szCs w:val="22"/>
        </w:rPr>
        <w:t>es</w:t>
      </w:r>
      <w:r w:rsidR="006176C2">
        <w:rPr>
          <w:rFonts w:asciiTheme="minorHAnsi" w:hAnsiTheme="minorHAnsi" w:cs="Arial"/>
          <w:sz w:val="22"/>
          <w:szCs w:val="22"/>
        </w:rPr>
        <w:t>.</w:t>
      </w:r>
      <w:r w:rsidR="00CE4B6A">
        <w:rPr>
          <w:rFonts w:asciiTheme="minorHAnsi" w:hAnsiTheme="minorHAnsi" w:cs="Arial"/>
          <w:sz w:val="22"/>
          <w:szCs w:val="22"/>
        </w:rPr>
        <w:t xml:space="preserve">  </w:t>
      </w:r>
      <w:r w:rsidR="00F14E1C">
        <w:rPr>
          <w:rFonts w:asciiTheme="minorHAnsi" w:hAnsiTheme="minorHAnsi" w:cs="Arial"/>
          <w:sz w:val="22"/>
          <w:szCs w:val="22"/>
        </w:rPr>
        <w:t>Th</w:t>
      </w:r>
      <w:r w:rsidR="006176C2">
        <w:rPr>
          <w:rFonts w:asciiTheme="minorHAnsi" w:hAnsiTheme="minorHAnsi" w:cs="Arial"/>
          <w:sz w:val="22"/>
          <w:szCs w:val="22"/>
        </w:rPr>
        <w:t xml:space="preserve">is </w:t>
      </w:r>
      <w:r w:rsidR="009A6244">
        <w:rPr>
          <w:rFonts w:asciiTheme="minorHAnsi" w:hAnsiTheme="minorHAnsi" w:cs="Arial"/>
          <w:sz w:val="22"/>
          <w:szCs w:val="22"/>
        </w:rPr>
        <w:t>may</w:t>
      </w:r>
      <w:r w:rsidR="006176C2">
        <w:rPr>
          <w:rFonts w:asciiTheme="minorHAnsi" w:hAnsiTheme="minorHAnsi" w:cs="Arial"/>
          <w:sz w:val="22"/>
          <w:szCs w:val="22"/>
        </w:rPr>
        <w:t xml:space="preserve"> involve </w:t>
      </w:r>
      <w:r w:rsidR="005E395D">
        <w:rPr>
          <w:rFonts w:asciiTheme="minorHAnsi" w:hAnsiTheme="minorHAnsi" w:cs="Arial"/>
          <w:sz w:val="22"/>
          <w:szCs w:val="22"/>
        </w:rPr>
        <w:t>independent quality assurance and moderation of A</w:t>
      </w:r>
      <w:r w:rsidR="009A6244">
        <w:rPr>
          <w:rFonts w:asciiTheme="minorHAnsi" w:hAnsiTheme="minorHAnsi" w:cs="Arial"/>
          <w:sz w:val="22"/>
          <w:szCs w:val="22"/>
        </w:rPr>
        <w:t xml:space="preserve">nnual </w:t>
      </w:r>
      <w:r w:rsidR="00790820">
        <w:rPr>
          <w:rFonts w:asciiTheme="minorHAnsi" w:hAnsiTheme="minorHAnsi" w:cs="Arial"/>
          <w:sz w:val="22"/>
          <w:szCs w:val="22"/>
        </w:rPr>
        <w:t>Q</w:t>
      </w:r>
      <w:r w:rsidR="009A6244">
        <w:rPr>
          <w:rFonts w:asciiTheme="minorHAnsi" w:hAnsiTheme="minorHAnsi" w:cs="Arial"/>
          <w:sz w:val="22"/>
          <w:szCs w:val="22"/>
        </w:rPr>
        <w:t xml:space="preserve">uality </w:t>
      </w:r>
      <w:r w:rsidR="00790820">
        <w:rPr>
          <w:rFonts w:asciiTheme="minorHAnsi" w:hAnsiTheme="minorHAnsi" w:cs="Arial"/>
          <w:sz w:val="22"/>
          <w:szCs w:val="22"/>
        </w:rPr>
        <w:t>C</w:t>
      </w:r>
      <w:r w:rsidR="009A6244">
        <w:rPr>
          <w:rFonts w:asciiTheme="minorHAnsi" w:hAnsiTheme="minorHAnsi" w:cs="Arial"/>
          <w:sz w:val="22"/>
          <w:szCs w:val="22"/>
        </w:rPr>
        <w:t>hecks</w:t>
      </w:r>
      <w:r w:rsidR="00790820">
        <w:rPr>
          <w:rFonts w:asciiTheme="minorHAnsi" w:hAnsiTheme="minorHAnsi" w:cs="Arial"/>
          <w:sz w:val="22"/>
          <w:szCs w:val="22"/>
        </w:rPr>
        <w:t xml:space="preserve"> developed by the AHC</w:t>
      </w:r>
      <w:r w:rsidR="009A6244">
        <w:rPr>
          <w:rFonts w:asciiTheme="minorHAnsi" w:hAnsiTheme="minorHAnsi" w:cs="Arial"/>
          <w:sz w:val="22"/>
          <w:szCs w:val="22"/>
        </w:rPr>
        <w:t xml:space="preserve"> and</w:t>
      </w:r>
      <w:r w:rsidR="00790820">
        <w:rPr>
          <w:rFonts w:asciiTheme="minorHAnsi" w:hAnsiTheme="minorHAnsi" w:cs="Arial"/>
          <w:sz w:val="22"/>
          <w:szCs w:val="22"/>
        </w:rPr>
        <w:t xml:space="preserve"> facilitation of annual performance discussions</w:t>
      </w:r>
      <w:r w:rsidR="00230881" w:rsidRPr="001B64BC">
        <w:rPr>
          <w:rFonts w:asciiTheme="minorHAnsi" w:hAnsiTheme="minorHAnsi" w:cs="Arial"/>
          <w:sz w:val="22"/>
          <w:szCs w:val="22"/>
        </w:rPr>
        <w:t xml:space="preserve"> with DFAT and </w:t>
      </w:r>
      <w:r w:rsidR="00BD1734" w:rsidRPr="001B64BC">
        <w:rPr>
          <w:rFonts w:asciiTheme="minorHAnsi" w:hAnsiTheme="minorHAnsi" w:cs="Arial"/>
          <w:sz w:val="22"/>
          <w:szCs w:val="22"/>
        </w:rPr>
        <w:t xml:space="preserve">program </w:t>
      </w:r>
      <w:r w:rsidR="00230881" w:rsidRPr="001B64BC">
        <w:rPr>
          <w:rFonts w:asciiTheme="minorHAnsi" w:hAnsiTheme="minorHAnsi" w:cs="Arial"/>
          <w:sz w:val="22"/>
          <w:szCs w:val="22"/>
        </w:rPr>
        <w:t>staff</w:t>
      </w:r>
      <w:r w:rsidR="00BD1734" w:rsidRPr="001B64BC">
        <w:rPr>
          <w:rFonts w:asciiTheme="minorHAnsi" w:hAnsiTheme="minorHAnsi" w:cs="Arial"/>
          <w:sz w:val="22"/>
          <w:szCs w:val="22"/>
        </w:rPr>
        <w:t>.</w:t>
      </w:r>
      <w:r w:rsidR="00ED64F2">
        <w:rPr>
          <w:rFonts w:asciiTheme="minorHAnsi" w:hAnsiTheme="minorHAnsi" w:cs="Arial"/>
          <w:sz w:val="22"/>
          <w:szCs w:val="22"/>
        </w:rPr>
        <w:t xml:space="preserve">  </w:t>
      </w:r>
      <w:r w:rsidR="00F14E1C">
        <w:rPr>
          <w:rFonts w:asciiTheme="minorHAnsi" w:hAnsiTheme="minorHAnsi" w:cs="Arial"/>
          <w:sz w:val="22"/>
          <w:szCs w:val="22"/>
        </w:rPr>
        <w:t>Exceptionally</w:t>
      </w:r>
      <w:r w:rsidR="00ED64F2">
        <w:rPr>
          <w:rFonts w:asciiTheme="minorHAnsi" w:hAnsiTheme="minorHAnsi" w:cs="Arial"/>
          <w:sz w:val="22"/>
          <w:szCs w:val="22"/>
        </w:rPr>
        <w:t xml:space="preserve">, the SP may also be asked </w:t>
      </w:r>
      <w:r w:rsidR="00F14E1C">
        <w:rPr>
          <w:rFonts w:asciiTheme="minorHAnsi" w:hAnsiTheme="minorHAnsi" w:cs="Arial"/>
          <w:sz w:val="22"/>
          <w:szCs w:val="22"/>
        </w:rPr>
        <w:t xml:space="preserve">to conduct a </w:t>
      </w:r>
      <w:r w:rsidR="00ED64F2">
        <w:rPr>
          <w:rFonts w:asciiTheme="minorHAnsi" w:hAnsiTheme="minorHAnsi" w:cs="Arial"/>
          <w:sz w:val="22"/>
          <w:szCs w:val="22"/>
        </w:rPr>
        <w:t xml:space="preserve">deep-dive </w:t>
      </w:r>
      <w:r w:rsidR="00F14E1C">
        <w:rPr>
          <w:rFonts w:asciiTheme="minorHAnsi" w:hAnsiTheme="minorHAnsi" w:cs="Arial"/>
          <w:sz w:val="22"/>
          <w:szCs w:val="22"/>
        </w:rPr>
        <w:t>assessment</w:t>
      </w:r>
      <w:r w:rsidR="00ED64F2">
        <w:rPr>
          <w:rFonts w:asciiTheme="minorHAnsi" w:hAnsiTheme="minorHAnsi" w:cs="Arial"/>
          <w:sz w:val="22"/>
          <w:szCs w:val="22"/>
        </w:rPr>
        <w:t>, to explore a</w:t>
      </w:r>
      <w:r w:rsidR="00F14E1C">
        <w:rPr>
          <w:rFonts w:asciiTheme="minorHAnsi" w:hAnsiTheme="minorHAnsi" w:cs="Arial"/>
          <w:sz w:val="22"/>
          <w:szCs w:val="22"/>
        </w:rPr>
        <w:t>n issue of</w:t>
      </w:r>
      <w:r w:rsidR="00ED64F2">
        <w:rPr>
          <w:rFonts w:asciiTheme="minorHAnsi" w:hAnsiTheme="minorHAnsi" w:cs="Arial"/>
          <w:sz w:val="22"/>
          <w:szCs w:val="22"/>
        </w:rPr>
        <w:t xml:space="preserve"> particular </w:t>
      </w:r>
      <w:r w:rsidR="00F14E1C">
        <w:rPr>
          <w:rFonts w:asciiTheme="minorHAnsi" w:hAnsiTheme="minorHAnsi" w:cs="Arial"/>
          <w:sz w:val="22"/>
          <w:szCs w:val="22"/>
        </w:rPr>
        <w:t xml:space="preserve">importance </w:t>
      </w:r>
      <w:r w:rsidR="00ED64F2">
        <w:rPr>
          <w:rFonts w:asciiTheme="minorHAnsi" w:hAnsiTheme="minorHAnsi" w:cs="Arial"/>
          <w:sz w:val="22"/>
          <w:szCs w:val="22"/>
        </w:rPr>
        <w:t>in more depth.</w:t>
      </w:r>
    </w:p>
    <w:p w14:paraId="33FEEEAC" w14:textId="6EC15C78" w:rsidR="00083276" w:rsidRDefault="00F14E1C" w:rsidP="00F14E1C">
      <w:pPr>
        <w:spacing w:before="60" w:after="120" w:line="264" w:lineRule="auto"/>
        <w:rPr>
          <w:rFonts w:asciiTheme="minorHAnsi" w:hAnsiTheme="minorHAnsi" w:cs="Arial"/>
          <w:sz w:val="22"/>
          <w:szCs w:val="22"/>
        </w:rPr>
      </w:pPr>
      <w:r>
        <w:rPr>
          <w:rFonts w:asciiTheme="minorHAnsi" w:hAnsiTheme="minorHAnsi" w:cs="Arial"/>
          <w:sz w:val="22"/>
          <w:szCs w:val="22"/>
        </w:rPr>
        <w:t>Like category 2 work, category 3 requests will be on an as required basis</w:t>
      </w:r>
      <w:r w:rsidR="005D5EF0">
        <w:rPr>
          <w:rFonts w:asciiTheme="minorHAnsi" w:hAnsiTheme="minorHAnsi" w:cs="Arial"/>
          <w:sz w:val="22"/>
          <w:szCs w:val="22"/>
        </w:rPr>
        <w:t xml:space="preserve"> and contracted on an output basis</w:t>
      </w:r>
      <w:r>
        <w:rPr>
          <w:rFonts w:asciiTheme="minorHAnsi" w:hAnsiTheme="minorHAnsi" w:cs="Arial"/>
          <w:sz w:val="22"/>
          <w:szCs w:val="22"/>
        </w:rPr>
        <w:t xml:space="preserve">.  The form and timeframe for </w:t>
      </w:r>
      <w:r w:rsidR="00DC0FDC">
        <w:rPr>
          <w:rFonts w:asciiTheme="minorHAnsi" w:hAnsiTheme="minorHAnsi" w:cs="Arial"/>
          <w:sz w:val="22"/>
          <w:szCs w:val="22"/>
        </w:rPr>
        <w:t>QTAG</w:t>
      </w:r>
      <w:r>
        <w:rPr>
          <w:rFonts w:asciiTheme="minorHAnsi" w:hAnsiTheme="minorHAnsi" w:cs="Arial"/>
          <w:sz w:val="22"/>
          <w:szCs w:val="22"/>
        </w:rPr>
        <w:t xml:space="preserve"> responses</w:t>
      </w:r>
      <w:r w:rsidR="00287A77">
        <w:rPr>
          <w:rFonts w:asciiTheme="minorHAnsi" w:hAnsiTheme="minorHAnsi" w:cs="Arial"/>
          <w:sz w:val="22"/>
          <w:szCs w:val="22"/>
        </w:rPr>
        <w:t xml:space="preserve"> under category 3</w:t>
      </w:r>
      <w:r>
        <w:rPr>
          <w:rFonts w:asciiTheme="minorHAnsi" w:hAnsiTheme="minorHAnsi" w:cs="Arial"/>
          <w:sz w:val="22"/>
          <w:szCs w:val="22"/>
        </w:rPr>
        <w:t xml:space="preserve"> will be agreed with </w:t>
      </w:r>
      <w:r w:rsidR="00656756">
        <w:rPr>
          <w:rFonts w:asciiTheme="minorHAnsi" w:hAnsiTheme="minorHAnsi" w:cs="Arial"/>
          <w:sz w:val="22"/>
          <w:szCs w:val="22"/>
        </w:rPr>
        <w:t xml:space="preserve">the </w:t>
      </w:r>
      <w:r>
        <w:rPr>
          <w:rFonts w:asciiTheme="minorHAnsi" w:hAnsiTheme="minorHAnsi" w:cs="Arial"/>
          <w:sz w:val="22"/>
          <w:szCs w:val="22"/>
        </w:rPr>
        <w:t xml:space="preserve">AHC on a case-by-case basis. </w:t>
      </w:r>
    </w:p>
    <w:p w14:paraId="5616FA73" w14:textId="77777777" w:rsidR="00083276" w:rsidRDefault="00083276" w:rsidP="00F14E1C">
      <w:pPr>
        <w:spacing w:before="60" w:after="120" w:line="264" w:lineRule="auto"/>
        <w:rPr>
          <w:rFonts w:asciiTheme="minorHAnsi" w:hAnsiTheme="minorHAnsi" w:cs="Arial"/>
          <w:sz w:val="22"/>
          <w:szCs w:val="22"/>
        </w:rPr>
      </w:pPr>
    </w:p>
    <w:p w14:paraId="4A92EFEF" w14:textId="7A5CECCB" w:rsidR="00C9475D" w:rsidRPr="00D62034" w:rsidRDefault="00083276" w:rsidP="00F14E1C">
      <w:pPr>
        <w:spacing w:before="60" w:after="120" w:line="264" w:lineRule="auto"/>
        <w:rPr>
          <w:rFonts w:asciiTheme="minorHAnsi" w:hAnsiTheme="minorHAnsi"/>
          <w:sz w:val="22"/>
        </w:rPr>
      </w:pPr>
      <w:r>
        <w:rPr>
          <w:rFonts w:asciiTheme="minorHAnsi" w:hAnsiTheme="minorHAnsi" w:cs="Arial"/>
          <w:sz w:val="22"/>
          <w:szCs w:val="22"/>
        </w:rPr>
        <w:t>Other similar services not described in the categories above may be needed over time, and Tenderers / the SP may suggest such services.</w:t>
      </w:r>
    </w:p>
    <w:p w14:paraId="020B7BB8" w14:textId="77777777" w:rsidR="00933297" w:rsidRPr="006952E7" w:rsidRDefault="00D34E8A" w:rsidP="006952E7">
      <w:pPr>
        <w:pStyle w:val="Heading2"/>
        <w:spacing w:after="240"/>
      </w:pPr>
      <w:bookmarkStart w:id="12" w:name="_Toc434224047"/>
      <w:r w:rsidRPr="006952E7">
        <w:t>Term</w:t>
      </w:r>
      <w:bookmarkEnd w:id="12"/>
      <w:r w:rsidRPr="006952E7">
        <w:t xml:space="preserve"> </w:t>
      </w:r>
    </w:p>
    <w:p w14:paraId="0D95F7CC" w14:textId="598B5FB7" w:rsidR="00944CFC" w:rsidRPr="000D79A2" w:rsidRDefault="005D5EF0" w:rsidP="000D79A2">
      <w:pPr>
        <w:spacing w:before="60" w:after="120" w:line="264" w:lineRule="auto"/>
        <w:rPr>
          <w:rFonts w:asciiTheme="minorHAnsi" w:hAnsiTheme="minorHAnsi" w:cs="Arial"/>
          <w:i/>
          <w:sz w:val="22"/>
          <w:szCs w:val="22"/>
        </w:rPr>
      </w:pPr>
      <w:r>
        <w:rPr>
          <w:rFonts w:asciiTheme="minorHAnsi" w:hAnsiTheme="minorHAnsi" w:cs="Arial"/>
          <w:sz w:val="22"/>
          <w:szCs w:val="22"/>
        </w:rPr>
        <w:t xml:space="preserve">The </w:t>
      </w:r>
      <w:r w:rsidR="00083276">
        <w:rPr>
          <w:rFonts w:asciiTheme="minorHAnsi" w:hAnsiTheme="minorHAnsi" w:cs="Arial"/>
          <w:sz w:val="22"/>
          <w:szCs w:val="22"/>
        </w:rPr>
        <w:t xml:space="preserve">initial </w:t>
      </w:r>
      <w:r w:rsidRPr="00287D17">
        <w:rPr>
          <w:rFonts w:ascii="Calibri" w:hAnsi="Calibri"/>
          <w:sz w:val="22"/>
        </w:rPr>
        <w:t xml:space="preserve">term of </w:t>
      </w:r>
      <w:r>
        <w:rPr>
          <w:rFonts w:ascii="Calibri" w:hAnsi="Calibri"/>
          <w:sz w:val="22"/>
        </w:rPr>
        <w:t xml:space="preserve">the </w:t>
      </w:r>
      <w:r w:rsidR="00DC0FDC">
        <w:rPr>
          <w:rFonts w:ascii="Calibri" w:hAnsi="Calibri"/>
          <w:sz w:val="22"/>
        </w:rPr>
        <w:t>QTAG</w:t>
      </w:r>
      <w:r>
        <w:rPr>
          <w:rFonts w:ascii="Calibri" w:hAnsi="Calibri"/>
          <w:sz w:val="22"/>
        </w:rPr>
        <w:t xml:space="preserve"> </w:t>
      </w:r>
      <w:r w:rsidRPr="00287D17">
        <w:rPr>
          <w:rFonts w:ascii="Calibri" w:hAnsi="Calibri"/>
          <w:sz w:val="22"/>
        </w:rPr>
        <w:t xml:space="preserve">is </w:t>
      </w:r>
      <w:r w:rsidR="007A66B6">
        <w:rPr>
          <w:rFonts w:ascii="Calibri" w:hAnsi="Calibri"/>
          <w:sz w:val="22"/>
        </w:rPr>
        <w:t>for three (3) years</w:t>
      </w:r>
      <w:r w:rsidR="00083276" w:rsidRPr="00D62034">
        <w:rPr>
          <w:rFonts w:ascii="Calibri" w:hAnsi="Calibri"/>
          <w:color w:val="FF0000"/>
          <w:sz w:val="22"/>
        </w:rPr>
        <w:t xml:space="preserve"> </w:t>
      </w:r>
      <w:r w:rsidR="00F423F1">
        <w:rPr>
          <w:rFonts w:ascii="Calibri" w:hAnsi="Calibri"/>
          <w:sz w:val="22"/>
        </w:rPr>
        <w:t>in the first instance</w:t>
      </w:r>
      <w:r w:rsidRPr="00287D17">
        <w:rPr>
          <w:rFonts w:ascii="Calibri" w:hAnsi="Calibri"/>
          <w:sz w:val="22"/>
        </w:rPr>
        <w:t>, with option</w:t>
      </w:r>
      <w:r w:rsidR="00083276">
        <w:rPr>
          <w:rFonts w:ascii="Calibri" w:hAnsi="Calibri"/>
          <w:sz w:val="22"/>
        </w:rPr>
        <w:t>s</w:t>
      </w:r>
      <w:r w:rsidRPr="00287D17">
        <w:rPr>
          <w:rFonts w:ascii="Calibri" w:hAnsi="Calibri"/>
          <w:sz w:val="22"/>
        </w:rPr>
        <w:t xml:space="preserve"> to extend </w:t>
      </w:r>
      <w:r w:rsidR="00BC58D0">
        <w:rPr>
          <w:rFonts w:ascii="Calibri" w:hAnsi="Calibri"/>
          <w:sz w:val="22"/>
        </w:rPr>
        <w:t xml:space="preserve">for further </w:t>
      </w:r>
      <w:r w:rsidR="009C4308">
        <w:rPr>
          <w:rFonts w:ascii="Calibri" w:hAnsi="Calibri"/>
          <w:sz w:val="22"/>
        </w:rPr>
        <w:t>period</w:t>
      </w:r>
      <w:r w:rsidR="00083276">
        <w:rPr>
          <w:rFonts w:ascii="Calibri" w:hAnsi="Calibri"/>
          <w:sz w:val="22"/>
        </w:rPr>
        <w:t>s</w:t>
      </w:r>
      <w:r w:rsidR="009C4308">
        <w:rPr>
          <w:rFonts w:ascii="Calibri" w:hAnsi="Calibri"/>
          <w:sz w:val="22"/>
        </w:rPr>
        <w:t xml:space="preserve"> </w:t>
      </w:r>
      <w:r w:rsidR="00083276">
        <w:rPr>
          <w:rFonts w:ascii="Calibri" w:hAnsi="Calibri"/>
          <w:sz w:val="22"/>
        </w:rPr>
        <w:t xml:space="preserve">as required for a total of up to 10 years (initial term plus options) </w:t>
      </w:r>
      <w:r w:rsidRPr="00287D17">
        <w:rPr>
          <w:rFonts w:ascii="Calibri" w:hAnsi="Calibri"/>
          <w:sz w:val="22"/>
        </w:rPr>
        <w:t xml:space="preserve">, subject to </w:t>
      </w:r>
      <w:r w:rsidR="00083276">
        <w:rPr>
          <w:rFonts w:ascii="Calibri" w:hAnsi="Calibri"/>
          <w:sz w:val="22"/>
        </w:rPr>
        <w:t xml:space="preserve">DFAT’s determination which among other things will consider </w:t>
      </w:r>
      <w:r w:rsidRPr="00287D17">
        <w:rPr>
          <w:rFonts w:ascii="Calibri" w:hAnsi="Calibri"/>
          <w:sz w:val="22"/>
        </w:rPr>
        <w:t>progress</w:t>
      </w:r>
      <w:r w:rsidR="00083276">
        <w:rPr>
          <w:rFonts w:ascii="Calibri" w:hAnsi="Calibri"/>
          <w:sz w:val="22"/>
        </w:rPr>
        <w:t xml:space="preserve">, </w:t>
      </w:r>
      <w:r w:rsidRPr="00287D17">
        <w:rPr>
          <w:rFonts w:ascii="Calibri" w:hAnsi="Calibri"/>
          <w:sz w:val="22"/>
        </w:rPr>
        <w:t>results</w:t>
      </w:r>
      <w:r w:rsidR="00083276">
        <w:rPr>
          <w:rFonts w:asciiTheme="minorHAnsi" w:hAnsiTheme="minorHAnsi" w:cs="Arial"/>
          <w:i/>
          <w:sz w:val="22"/>
          <w:szCs w:val="22"/>
        </w:rPr>
        <w:t xml:space="preserve">, </w:t>
      </w:r>
      <w:r w:rsidR="00083276" w:rsidRPr="00D62034">
        <w:rPr>
          <w:rFonts w:asciiTheme="minorHAnsi" w:hAnsiTheme="minorHAnsi" w:cs="Arial"/>
          <w:sz w:val="22"/>
          <w:szCs w:val="22"/>
        </w:rPr>
        <w:t>budget,</w:t>
      </w:r>
      <w:r w:rsidR="00083276">
        <w:rPr>
          <w:rFonts w:asciiTheme="minorHAnsi" w:hAnsiTheme="minorHAnsi" w:cs="Arial"/>
          <w:i/>
          <w:sz w:val="22"/>
          <w:szCs w:val="22"/>
        </w:rPr>
        <w:t xml:space="preserve"> </w:t>
      </w:r>
      <w:r>
        <w:rPr>
          <w:rFonts w:asciiTheme="minorHAnsi" w:hAnsiTheme="minorHAnsi" w:cs="Arial"/>
          <w:sz w:val="22"/>
          <w:szCs w:val="22"/>
        </w:rPr>
        <w:t xml:space="preserve">and need among AHC programs.  </w:t>
      </w:r>
    </w:p>
    <w:p w14:paraId="4D4FF832" w14:textId="77777777" w:rsidR="00944CFC" w:rsidRDefault="00944CFC" w:rsidP="001121EC">
      <w:pPr>
        <w:rPr>
          <w:lang w:eastAsia="en-AU"/>
        </w:rPr>
      </w:pPr>
    </w:p>
    <w:p w14:paraId="0FF171A8" w14:textId="77777777" w:rsidR="00DC2CD4" w:rsidRPr="006952E7" w:rsidRDefault="00DC2CD4" w:rsidP="006952E7">
      <w:pPr>
        <w:pStyle w:val="Heading1"/>
        <w:rPr>
          <w:rFonts w:eastAsia="Calibri"/>
          <w:szCs w:val="26"/>
        </w:rPr>
      </w:pPr>
      <w:bookmarkStart w:id="13" w:name="_Toc434224048"/>
      <w:r w:rsidRPr="006952E7">
        <w:rPr>
          <w:rFonts w:eastAsia="Calibri"/>
          <w:szCs w:val="26"/>
        </w:rPr>
        <w:lastRenderedPageBreak/>
        <w:t xml:space="preserve">3. </w:t>
      </w:r>
      <w:r w:rsidRPr="006952E7">
        <w:rPr>
          <w:rFonts w:eastAsia="Calibri"/>
          <w:szCs w:val="26"/>
        </w:rPr>
        <w:tab/>
        <w:t>Implementation Arrangements</w:t>
      </w:r>
      <w:bookmarkEnd w:id="13"/>
    </w:p>
    <w:p w14:paraId="3CA1E531" w14:textId="77777777" w:rsidR="0021193A" w:rsidRPr="006952E7" w:rsidRDefault="0021193A" w:rsidP="006952E7">
      <w:pPr>
        <w:pStyle w:val="Heading2"/>
        <w:spacing w:after="240"/>
      </w:pPr>
      <w:bookmarkStart w:id="14" w:name="_Toc434224049"/>
      <w:r w:rsidRPr="006952E7">
        <w:t xml:space="preserve">Management and </w:t>
      </w:r>
      <w:r w:rsidR="009B0231" w:rsidRPr="006952E7">
        <w:t>g</w:t>
      </w:r>
      <w:r w:rsidRPr="006952E7">
        <w:t xml:space="preserve">overnance </w:t>
      </w:r>
      <w:r w:rsidR="009B0231" w:rsidRPr="006952E7">
        <w:t>a</w:t>
      </w:r>
      <w:r w:rsidRPr="006952E7">
        <w:t>rrangements</w:t>
      </w:r>
      <w:bookmarkEnd w:id="14"/>
      <w:r w:rsidRPr="006952E7">
        <w:t xml:space="preserve"> </w:t>
      </w:r>
    </w:p>
    <w:p w14:paraId="29E25441" w14:textId="77777777" w:rsidR="00DC467F" w:rsidRPr="00DC467F" w:rsidRDefault="00DC467F" w:rsidP="00DC467F">
      <w:pPr>
        <w:spacing w:before="180" w:after="120" w:line="264" w:lineRule="auto"/>
        <w:rPr>
          <w:rFonts w:asciiTheme="minorHAnsi" w:hAnsiTheme="minorHAnsi" w:cs="Arial"/>
          <w:sz w:val="24"/>
          <w:szCs w:val="22"/>
          <w:u w:val="single"/>
        </w:rPr>
      </w:pPr>
      <w:r w:rsidRPr="00DC467F">
        <w:rPr>
          <w:rFonts w:asciiTheme="minorHAnsi" w:hAnsiTheme="minorHAnsi" w:cs="Arial"/>
          <w:sz w:val="24"/>
          <w:szCs w:val="22"/>
          <w:u w:val="single"/>
        </w:rPr>
        <w:t>Roles and responsibilities</w:t>
      </w:r>
    </w:p>
    <w:p w14:paraId="72F3A8A1" w14:textId="6D6D5928" w:rsidR="009322D5" w:rsidRDefault="00BE6FFC" w:rsidP="00D62034">
      <w:pPr>
        <w:spacing w:before="60" w:after="120" w:line="264" w:lineRule="auto"/>
        <w:rPr>
          <w:rFonts w:asciiTheme="minorHAnsi" w:hAnsiTheme="minorHAnsi" w:cs="Arial"/>
          <w:sz w:val="22"/>
          <w:szCs w:val="22"/>
        </w:rPr>
      </w:pPr>
      <w:r>
        <w:rPr>
          <w:rFonts w:asciiTheme="minorHAnsi" w:hAnsiTheme="minorHAnsi" w:cs="Arial"/>
          <w:sz w:val="22"/>
          <w:szCs w:val="22"/>
        </w:rPr>
        <w:t xml:space="preserve">The </w:t>
      </w:r>
      <w:r w:rsidR="00DC0FDC">
        <w:rPr>
          <w:rFonts w:asciiTheme="minorHAnsi" w:hAnsiTheme="minorHAnsi" w:cs="Arial"/>
          <w:sz w:val="22"/>
          <w:szCs w:val="22"/>
        </w:rPr>
        <w:t>QTAG</w:t>
      </w:r>
      <w:r>
        <w:rPr>
          <w:rFonts w:asciiTheme="minorHAnsi" w:hAnsiTheme="minorHAnsi" w:cs="Arial"/>
          <w:sz w:val="22"/>
          <w:szCs w:val="22"/>
        </w:rPr>
        <w:t xml:space="preserve"> will report on strategic aspects of the </w:t>
      </w:r>
      <w:r w:rsidR="00036BBE">
        <w:rPr>
          <w:rFonts w:asciiTheme="minorHAnsi" w:hAnsiTheme="minorHAnsi" w:cs="Arial"/>
          <w:sz w:val="22"/>
          <w:szCs w:val="22"/>
        </w:rPr>
        <w:t>PGF and JSS4D</w:t>
      </w:r>
      <w:r w:rsidR="00462463">
        <w:rPr>
          <w:rFonts w:asciiTheme="minorHAnsi" w:hAnsiTheme="minorHAnsi" w:cs="Arial"/>
          <w:sz w:val="22"/>
          <w:szCs w:val="22"/>
        </w:rPr>
        <w:t xml:space="preserve">, including </w:t>
      </w:r>
      <w:r w:rsidR="007034AA">
        <w:rPr>
          <w:rFonts w:asciiTheme="minorHAnsi" w:hAnsiTheme="minorHAnsi" w:cs="Arial"/>
          <w:sz w:val="22"/>
          <w:szCs w:val="22"/>
        </w:rPr>
        <w:t xml:space="preserve">significant </w:t>
      </w:r>
      <w:r>
        <w:rPr>
          <w:rFonts w:asciiTheme="minorHAnsi" w:hAnsiTheme="minorHAnsi" w:cs="Arial"/>
          <w:sz w:val="22"/>
          <w:szCs w:val="22"/>
        </w:rPr>
        <w:t>issues of aid management</w:t>
      </w:r>
      <w:r w:rsidR="001862D6">
        <w:rPr>
          <w:rFonts w:asciiTheme="minorHAnsi" w:hAnsiTheme="minorHAnsi" w:cs="Arial"/>
          <w:sz w:val="22"/>
          <w:szCs w:val="22"/>
        </w:rPr>
        <w:t xml:space="preserve">, </w:t>
      </w:r>
      <w:r>
        <w:rPr>
          <w:rFonts w:asciiTheme="minorHAnsi" w:hAnsiTheme="minorHAnsi" w:cs="Arial"/>
          <w:sz w:val="22"/>
          <w:szCs w:val="22"/>
        </w:rPr>
        <w:t xml:space="preserve">delivery </w:t>
      </w:r>
      <w:r w:rsidR="001862D6">
        <w:rPr>
          <w:rFonts w:asciiTheme="minorHAnsi" w:hAnsiTheme="minorHAnsi" w:cs="Arial"/>
          <w:sz w:val="22"/>
          <w:szCs w:val="22"/>
        </w:rPr>
        <w:t>and risk</w:t>
      </w:r>
      <w:r w:rsidR="00462463">
        <w:rPr>
          <w:rFonts w:asciiTheme="minorHAnsi" w:hAnsiTheme="minorHAnsi" w:cs="Arial"/>
          <w:sz w:val="22"/>
          <w:szCs w:val="22"/>
        </w:rPr>
        <w:t>,</w:t>
      </w:r>
      <w:r w:rsidR="001862D6">
        <w:rPr>
          <w:rFonts w:asciiTheme="minorHAnsi" w:hAnsiTheme="minorHAnsi" w:cs="Arial"/>
          <w:sz w:val="22"/>
          <w:szCs w:val="22"/>
        </w:rPr>
        <w:t xml:space="preserve"> </w:t>
      </w:r>
      <w:r>
        <w:rPr>
          <w:rFonts w:asciiTheme="minorHAnsi" w:hAnsiTheme="minorHAnsi" w:cs="Arial"/>
          <w:sz w:val="22"/>
          <w:szCs w:val="22"/>
        </w:rPr>
        <w:t xml:space="preserve">to </w:t>
      </w:r>
      <w:r w:rsidR="00BD22B5">
        <w:rPr>
          <w:rFonts w:asciiTheme="minorHAnsi" w:hAnsiTheme="minorHAnsi" w:cs="Arial"/>
          <w:sz w:val="22"/>
          <w:szCs w:val="22"/>
        </w:rPr>
        <w:t xml:space="preserve">the </w:t>
      </w:r>
      <w:r w:rsidR="00462463">
        <w:rPr>
          <w:rFonts w:asciiTheme="minorHAnsi" w:hAnsiTheme="minorHAnsi" w:cs="Arial"/>
          <w:sz w:val="22"/>
          <w:szCs w:val="22"/>
        </w:rPr>
        <w:t>AHC; and</w:t>
      </w:r>
      <w:r w:rsidR="00462463" w:rsidRPr="00462463">
        <w:rPr>
          <w:rFonts w:asciiTheme="minorHAnsi" w:hAnsiTheme="minorHAnsi" w:cs="Arial"/>
          <w:sz w:val="22"/>
          <w:szCs w:val="22"/>
        </w:rPr>
        <w:t xml:space="preserve"> </w:t>
      </w:r>
      <w:r w:rsidR="00462463">
        <w:rPr>
          <w:rFonts w:asciiTheme="minorHAnsi" w:hAnsiTheme="minorHAnsi" w:cs="Arial"/>
          <w:sz w:val="22"/>
          <w:szCs w:val="22"/>
        </w:rPr>
        <w:t xml:space="preserve">report </w:t>
      </w:r>
      <w:r w:rsidR="00462463" w:rsidRPr="00462463">
        <w:rPr>
          <w:rFonts w:asciiTheme="minorHAnsi" w:hAnsiTheme="minorHAnsi" w:cs="Arial"/>
          <w:sz w:val="22"/>
          <w:szCs w:val="22"/>
        </w:rPr>
        <w:t xml:space="preserve">to the SMC and SPGM </w:t>
      </w:r>
      <w:r w:rsidR="00462463">
        <w:rPr>
          <w:rFonts w:asciiTheme="minorHAnsi" w:hAnsiTheme="minorHAnsi" w:cs="Arial"/>
          <w:sz w:val="22"/>
          <w:szCs w:val="22"/>
        </w:rPr>
        <w:t>as required</w:t>
      </w:r>
      <w:r w:rsidRPr="00462463">
        <w:rPr>
          <w:rFonts w:asciiTheme="minorHAnsi" w:hAnsiTheme="minorHAnsi" w:cs="Arial"/>
          <w:sz w:val="22"/>
          <w:szCs w:val="22"/>
        </w:rPr>
        <w:t>.</w:t>
      </w:r>
      <w:r w:rsidR="000E25D8">
        <w:rPr>
          <w:rFonts w:asciiTheme="minorHAnsi" w:hAnsiTheme="minorHAnsi" w:cs="Arial"/>
          <w:sz w:val="22"/>
          <w:szCs w:val="22"/>
        </w:rPr>
        <w:t xml:space="preserve">  Program activities in the Autonomous Region of Bougainville are under separate strategic steering bodies and, where appropriate, the </w:t>
      </w:r>
      <w:r w:rsidR="00DC0FDC">
        <w:rPr>
          <w:rFonts w:asciiTheme="minorHAnsi" w:hAnsiTheme="minorHAnsi" w:cs="Arial"/>
          <w:sz w:val="22"/>
          <w:szCs w:val="22"/>
        </w:rPr>
        <w:t>QTAG</w:t>
      </w:r>
      <w:r w:rsidR="000E25D8">
        <w:rPr>
          <w:rFonts w:asciiTheme="minorHAnsi" w:hAnsiTheme="minorHAnsi" w:cs="Arial"/>
          <w:sz w:val="22"/>
          <w:szCs w:val="22"/>
        </w:rPr>
        <w:t xml:space="preserve"> will report to these bodies.  </w:t>
      </w:r>
      <w:r w:rsidR="00036BBE">
        <w:rPr>
          <w:rFonts w:asciiTheme="minorHAnsi" w:hAnsiTheme="minorHAnsi" w:cs="Arial"/>
          <w:sz w:val="22"/>
          <w:szCs w:val="22"/>
        </w:rPr>
        <w:t xml:space="preserve">Reporting arrangements for </w:t>
      </w:r>
      <w:r w:rsidR="00E008BA">
        <w:rPr>
          <w:rFonts w:asciiTheme="minorHAnsi" w:hAnsiTheme="minorHAnsi" w:cs="Arial"/>
          <w:sz w:val="22"/>
          <w:szCs w:val="22"/>
        </w:rPr>
        <w:t>C</w:t>
      </w:r>
      <w:r w:rsidR="00036BBE">
        <w:rPr>
          <w:rFonts w:asciiTheme="minorHAnsi" w:hAnsiTheme="minorHAnsi" w:cs="Arial"/>
          <w:sz w:val="22"/>
          <w:szCs w:val="22"/>
        </w:rPr>
        <w:t xml:space="preserve">ategory 3 work will be agreed on a case by case basis. </w:t>
      </w:r>
    </w:p>
    <w:p w14:paraId="089921F3" w14:textId="7837FFF5" w:rsidR="00923738" w:rsidRDefault="00BE6FFC" w:rsidP="00D62034">
      <w:pPr>
        <w:spacing w:before="60" w:after="120" w:line="264" w:lineRule="auto"/>
        <w:rPr>
          <w:rFonts w:asciiTheme="minorHAnsi" w:hAnsiTheme="minorHAnsi"/>
          <w:sz w:val="22"/>
          <w:szCs w:val="22"/>
          <w:lang w:eastAsia="en-AU"/>
        </w:rPr>
      </w:pPr>
      <w:r>
        <w:rPr>
          <w:rFonts w:asciiTheme="minorHAnsi" w:hAnsiTheme="minorHAnsi" w:cs="Arial"/>
          <w:sz w:val="22"/>
          <w:szCs w:val="22"/>
        </w:rPr>
        <w:t>C</w:t>
      </w:r>
      <w:r w:rsidRPr="001B64BC">
        <w:rPr>
          <w:rFonts w:asciiTheme="minorHAnsi" w:hAnsiTheme="minorHAnsi" w:cs="Arial"/>
          <w:sz w:val="22"/>
          <w:szCs w:val="22"/>
        </w:rPr>
        <w:t>lose and constructive working relationships</w:t>
      </w:r>
      <w:r>
        <w:rPr>
          <w:rFonts w:asciiTheme="minorHAnsi" w:hAnsiTheme="minorHAnsi" w:cs="Arial"/>
          <w:sz w:val="22"/>
          <w:szCs w:val="22"/>
        </w:rPr>
        <w:t xml:space="preserve"> </w:t>
      </w:r>
      <w:r w:rsidRPr="001B64BC">
        <w:rPr>
          <w:rFonts w:asciiTheme="minorHAnsi" w:hAnsiTheme="minorHAnsi" w:cs="Arial"/>
          <w:sz w:val="22"/>
          <w:szCs w:val="22"/>
        </w:rPr>
        <w:t>will need to be established with</w:t>
      </w:r>
      <w:r>
        <w:rPr>
          <w:rFonts w:asciiTheme="minorHAnsi" w:hAnsiTheme="minorHAnsi" w:cs="Arial"/>
          <w:sz w:val="22"/>
          <w:szCs w:val="22"/>
        </w:rPr>
        <w:t xml:space="preserve"> these stakeholders and, importantly, with the </w:t>
      </w:r>
      <w:r w:rsidR="00BD22B5">
        <w:rPr>
          <w:rFonts w:asciiTheme="minorHAnsi" w:hAnsiTheme="minorHAnsi" w:cs="Arial"/>
          <w:sz w:val="22"/>
          <w:szCs w:val="22"/>
        </w:rPr>
        <w:t xml:space="preserve">PGF’s </w:t>
      </w:r>
      <w:r w:rsidR="001862D6">
        <w:rPr>
          <w:rFonts w:asciiTheme="minorHAnsi" w:hAnsiTheme="minorHAnsi" w:cs="Arial"/>
          <w:sz w:val="22"/>
          <w:szCs w:val="22"/>
        </w:rPr>
        <w:t xml:space="preserve">and </w:t>
      </w:r>
      <w:r w:rsidR="00BD22B5">
        <w:rPr>
          <w:rFonts w:asciiTheme="minorHAnsi" w:hAnsiTheme="minorHAnsi" w:cs="Arial"/>
          <w:sz w:val="22"/>
          <w:szCs w:val="22"/>
        </w:rPr>
        <w:t xml:space="preserve">JSS4D’s </w:t>
      </w:r>
      <w:r w:rsidR="00FD5939">
        <w:rPr>
          <w:rFonts w:asciiTheme="minorHAnsi" w:hAnsiTheme="minorHAnsi" w:cs="Arial"/>
          <w:sz w:val="22"/>
          <w:szCs w:val="22"/>
        </w:rPr>
        <w:t>o</w:t>
      </w:r>
      <w:r>
        <w:rPr>
          <w:rFonts w:asciiTheme="minorHAnsi" w:hAnsiTheme="minorHAnsi" w:cs="Arial"/>
          <w:sz w:val="22"/>
          <w:szCs w:val="22"/>
        </w:rPr>
        <w:t xml:space="preserve">wn management and delivery units, </w:t>
      </w:r>
      <w:r w:rsidRPr="001B64BC">
        <w:rPr>
          <w:rFonts w:asciiTheme="minorHAnsi" w:hAnsiTheme="minorHAnsi" w:cs="Arial"/>
          <w:sz w:val="22"/>
          <w:szCs w:val="22"/>
        </w:rPr>
        <w:t>based on a clear understanding of respective roles and responsibilities</w:t>
      </w:r>
      <w:r>
        <w:rPr>
          <w:rFonts w:asciiTheme="minorHAnsi" w:hAnsiTheme="minorHAnsi" w:cs="Arial"/>
          <w:sz w:val="22"/>
          <w:szCs w:val="22"/>
        </w:rPr>
        <w:t xml:space="preserve">. </w:t>
      </w:r>
      <w:r w:rsidR="00021929">
        <w:rPr>
          <w:rFonts w:asciiTheme="minorHAnsi" w:hAnsiTheme="minorHAnsi" w:cs="Arial"/>
          <w:sz w:val="22"/>
          <w:szCs w:val="22"/>
        </w:rPr>
        <w:t xml:space="preserve"> </w:t>
      </w:r>
      <w:r w:rsidR="00462463" w:rsidRPr="00462463">
        <w:rPr>
          <w:rFonts w:asciiTheme="minorHAnsi" w:hAnsiTheme="minorHAnsi" w:cs="Arial"/>
          <w:sz w:val="22"/>
          <w:szCs w:val="22"/>
        </w:rPr>
        <w:t>Establishing and maintaining effective relationships with PGF and JSSD4 will be a key performance indictor for delivering these services.</w:t>
      </w:r>
      <w:r w:rsidR="00462463">
        <w:rPr>
          <w:rFonts w:asciiTheme="minorHAnsi" w:hAnsiTheme="minorHAnsi" w:cs="Arial"/>
          <w:sz w:val="22"/>
          <w:szCs w:val="22"/>
        </w:rPr>
        <w:t xml:space="preserve"> </w:t>
      </w:r>
      <w:r w:rsidR="00C5339C">
        <w:rPr>
          <w:rFonts w:asciiTheme="minorHAnsi" w:hAnsiTheme="minorHAnsi" w:cs="Arial"/>
          <w:sz w:val="22"/>
          <w:szCs w:val="22"/>
        </w:rPr>
        <w:t xml:space="preserve">Tenderers should explain in their bids how they will go about this.  </w:t>
      </w:r>
      <w:r w:rsidR="007034AA" w:rsidRPr="00036BBE">
        <w:rPr>
          <w:rFonts w:asciiTheme="minorHAnsi" w:hAnsiTheme="minorHAnsi"/>
          <w:sz w:val="22"/>
          <w:szCs w:val="22"/>
          <w:lang w:eastAsia="en-AU"/>
        </w:rPr>
        <w:t>The</w:t>
      </w:r>
      <w:r w:rsidR="007034AA">
        <w:rPr>
          <w:rFonts w:asciiTheme="minorHAnsi" w:hAnsiTheme="minorHAnsi"/>
          <w:b/>
          <w:sz w:val="22"/>
          <w:szCs w:val="22"/>
          <w:lang w:eastAsia="en-AU"/>
        </w:rPr>
        <w:t xml:space="preserve"> </w:t>
      </w:r>
      <w:r w:rsidR="007034AA" w:rsidRPr="00036BBE">
        <w:rPr>
          <w:rFonts w:asciiTheme="minorHAnsi" w:hAnsiTheme="minorHAnsi"/>
          <w:sz w:val="22"/>
          <w:szCs w:val="22"/>
          <w:lang w:eastAsia="en-AU"/>
        </w:rPr>
        <w:t>SP</w:t>
      </w:r>
      <w:r w:rsidR="007034AA">
        <w:rPr>
          <w:rFonts w:asciiTheme="minorHAnsi" w:hAnsiTheme="minorHAnsi"/>
          <w:sz w:val="22"/>
          <w:szCs w:val="22"/>
          <w:lang w:eastAsia="en-AU"/>
        </w:rPr>
        <w:t xml:space="preserve"> should, as far as possible, take assurance from performance and management data generated by the PGF and JSS4D to ensure the Annual Reviews and other quality assurance activities are delivered efficiently.  The </w:t>
      </w:r>
      <w:r w:rsidR="00DC0FDC">
        <w:rPr>
          <w:rFonts w:asciiTheme="minorHAnsi" w:hAnsiTheme="minorHAnsi"/>
          <w:sz w:val="22"/>
          <w:szCs w:val="22"/>
          <w:lang w:eastAsia="en-AU"/>
        </w:rPr>
        <w:t>QTAG</w:t>
      </w:r>
      <w:r w:rsidR="007034AA">
        <w:rPr>
          <w:rFonts w:asciiTheme="minorHAnsi" w:hAnsiTheme="minorHAnsi"/>
          <w:sz w:val="22"/>
          <w:szCs w:val="22"/>
          <w:lang w:eastAsia="en-AU"/>
        </w:rPr>
        <w:t xml:space="preserve"> is not intended to duplicate PGF or JSS4D monitoring and evaluation systems.  </w:t>
      </w:r>
      <w:r w:rsidR="00923738">
        <w:rPr>
          <w:rFonts w:asciiTheme="minorHAnsi" w:hAnsiTheme="minorHAnsi"/>
          <w:sz w:val="22"/>
          <w:szCs w:val="22"/>
          <w:lang w:eastAsia="en-AU"/>
        </w:rPr>
        <w:t xml:space="preserve">For this reason, </w:t>
      </w:r>
      <w:r w:rsidR="00A73D35">
        <w:rPr>
          <w:rFonts w:asciiTheme="minorHAnsi" w:hAnsiTheme="minorHAnsi"/>
          <w:sz w:val="22"/>
          <w:szCs w:val="22"/>
          <w:lang w:eastAsia="en-AU"/>
        </w:rPr>
        <w:t xml:space="preserve">the most recent </w:t>
      </w:r>
      <w:r w:rsidR="00923738">
        <w:rPr>
          <w:rFonts w:asciiTheme="minorHAnsi" w:hAnsiTheme="minorHAnsi"/>
          <w:sz w:val="22"/>
          <w:szCs w:val="22"/>
          <w:lang w:eastAsia="en-AU"/>
        </w:rPr>
        <w:t xml:space="preserve">program performance reports (including annual progress reports, and DFAT Aid Quality Checks) should be available </w:t>
      </w:r>
      <w:r w:rsidR="00923738" w:rsidRPr="00A73D35">
        <w:rPr>
          <w:rFonts w:asciiTheme="minorHAnsi" w:hAnsiTheme="minorHAnsi"/>
          <w:sz w:val="22"/>
          <w:szCs w:val="22"/>
          <w:lang w:eastAsia="en-AU"/>
        </w:rPr>
        <w:t>in draft</w:t>
      </w:r>
      <w:r w:rsidR="00923738">
        <w:rPr>
          <w:rFonts w:asciiTheme="minorHAnsi" w:hAnsiTheme="minorHAnsi"/>
          <w:sz w:val="22"/>
          <w:szCs w:val="22"/>
          <w:lang w:eastAsia="en-AU"/>
        </w:rPr>
        <w:t xml:space="preserve"> </w:t>
      </w:r>
      <w:r w:rsidR="00A73D35">
        <w:rPr>
          <w:rFonts w:asciiTheme="minorHAnsi" w:hAnsiTheme="minorHAnsi"/>
          <w:sz w:val="22"/>
          <w:szCs w:val="22"/>
          <w:lang w:eastAsia="en-AU"/>
        </w:rPr>
        <w:t xml:space="preserve">form if necessary </w:t>
      </w:r>
      <w:r w:rsidR="00923738">
        <w:rPr>
          <w:rFonts w:asciiTheme="minorHAnsi" w:hAnsiTheme="minorHAnsi"/>
          <w:sz w:val="22"/>
          <w:szCs w:val="22"/>
          <w:lang w:eastAsia="en-AU"/>
        </w:rPr>
        <w:t xml:space="preserve">from the </w:t>
      </w:r>
      <w:r w:rsidR="00BD22B5">
        <w:rPr>
          <w:rFonts w:asciiTheme="minorHAnsi" w:hAnsiTheme="minorHAnsi"/>
          <w:sz w:val="22"/>
          <w:szCs w:val="22"/>
          <w:lang w:eastAsia="en-AU"/>
        </w:rPr>
        <w:t xml:space="preserve">PGF </w:t>
      </w:r>
      <w:r w:rsidR="001862D6">
        <w:rPr>
          <w:rFonts w:asciiTheme="minorHAnsi" w:hAnsiTheme="minorHAnsi"/>
          <w:sz w:val="22"/>
          <w:szCs w:val="22"/>
          <w:lang w:eastAsia="en-AU"/>
        </w:rPr>
        <w:t xml:space="preserve">and </w:t>
      </w:r>
      <w:r w:rsidR="00BD22B5">
        <w:rPr>
          <w:rFonts w:asciiTheme="minorHAnsi" w:hAnsiTheme="minorHAnsi"/>
          <w:sz w:val="22"/>
          <w:szCs w:val="22"/>
          <w:lang w:eastAsia="en-AU"/>
        </w:rPr>
        <w:t>JSS4D</w:t>
      </w:r>
      <w:r w:rsidR="001862D6">
        <w:rPr>
          <w:rFonts w:asciiTheme="minorHAnsi" w:hAnsiTheme="minorHAnsi"/>
          <w:sz w:val="22"/>
          <w:szCs w:val="22"/>
          <w:lang w:eastAsia="en-AU"/>
        </w:rPr>
        <w:t xml:space="preserve"> </w:t>
      </w:r>
      <w:r w:rsidR="00923738">
        <w:rPr>
          <w:rFonts w:asciiTheme="minorHAnsi" w:hAnsiTheme="minorHAnsi"/>
          <w:sz w:val="22"/>
          <w:szCs w:val="22"/>
          <w:lang w:eastAsia="en-AU"/>
        </w:rPr>
        <w:t>program</w:t>
      </w:r>
      <w:r w:rsidR="00FD5939">
        <w:rPr>
          <w:rFonts w:asciiTheme="minorHAnsi" w:hAnsiTheme="minorHAnsi"/>
          <w:sz w:val="22"/>
          <w:szCs w:val="22"/>
          <w:lang w:eastAsia="en-AU"/>
        </w:rPr>
        <w:t>s</w:t>
      </w:r>
      <w:r w:rsidR="00923738">
        <w:rPr>
          <w:rFonts w:asciiTheme="minorHAnsi" w:hAnsiTheme="minorHAnsi"/>
          <w:sz w:val="22"/>
          <w:szCs w:val="22"/>
          <w:lang w:eastAsia="en-AU"/>
        </w:rPr>
        <w:t xml:space="preserve"> for</w:t>
      </w:r>
      <w:r w:rsidR="00907BD8">
        <w:rPr>
          <w:rFonts w:asciiTheme="minorHAnsi" w:hAnsiTheme="minorHAnsi"/>
          <w:sz w:val="22"/>
          <w:szCs w:val="22"/>
          <w:lang w:eastAsia="en-AU"/>
        </w:rPr>
        <w:t xml:space="preserve"> validation during the</w:t>
      </w:r>
      <w:r w:rsidR="00923738">
        <w:rPr>
          <w:rFonts w:asciiTheme="minorHAnsi" w:hAnsiTheme="minorHAnsi"/>
          <w:sz w:val="22"/>
          <w:szCs w:val="22"/>
          <w:lang w:eastAsia="en-AU"/>
        </w:rPr>
        <w:t xml:space="preserve"> Annual Review </w:t>
      </w:r>
      <w:r w:rsidR="00907BD8">
        <w:rPr>
          <w:rFonts w:asciiTheme="minorHAnsi" w:hAnsiTheme="minorHAnsi"/>
          <w:sz w:val="22"/>
          <w:szCs w:val="22"/>
          <w:lang w:eastAsia="en-AU"/>
        </w:rPr>
        <w:t>process</w:t>
      </w:r>
      <w:r w:rsidR="00923738">
        <w:rPr>
          <w:rFonts w:asciiTheme="minorHAnsi" w:hAnsiTheme="minorHAnsi"/>
          <w:sz w:val="22"/>
          <w:szCs w:val="22"/>
          <w:lang w:eastAsia="en-AU"/>
        </w:rPr>
        <w:t>.</w:t>
      </w:r>
    </w:p>
    <w:p w14:paraId="75B82BAF" w14:textId="29F8D73C" w:rsidR="00BE6FFC" w:rsidRDefault="00907BD8" w:rsidP="00D62034">
      <w:pPr>
        <w:spacing w:before="60" w:after="120" w:line="264" w:lineRule="auto"/>
        <w:rPr>
          <w:rFonts w:asciiTheme="minorHAnsi" w:hAnsiTheme="minorHAnsi" w:cs="Arial"/>
          <w:sz w:val="22"/>
          <w:szCs w:val="22"/>
        </w:rPr>
      </w:pPr>
      <w:r>
        <w:rPr>
          <w:rFonts w:asciiTheme="minorHAnsi" w:hAnsiTheme="minorHAnsi" w:cs="Arial"/>
          <w:sz w:val="22"/>
          <w:szCs w:val="22"/>
        </w:rPr>
        <w:t>Effective working relationships</w:t>
      </w:r>
      <w:r w:rsidR="00021929">
        <w:rPr>
          <w:rFonts w:asciiTheme="minorHAnsi" w:hAnsiTheme="minorHAnsi" w:cs="Arial"/>
          <w:sz w:val="22"/>
          <w:szCs w:val="22"/>
        </w:rPr>
        <w:t xml:space="preserve"> will also require appropriate use of the </w:t>
      </w:r>
      <w:r w:rsidR="00DC0FDC">
        <w:rPr>
          <w:rFonts w:asciiTheme="minorHAnsi" w:hAnsiTheme="minorHAnsi" w:cs="Arial"/>
          <w:sz w:val="22"/>
          <w:szCs w:val="22"/>
        </w:rPr>
        <w:t>QTAG</w:t>
      </w:r>
      <w:r w:rsidR="00021929">
        <w:rPr>
          <w:rFonts w:asciiTheme="minorHAnsi" w:hAnsiTheme="minorHAnsi" w:cs="Arial"/>
          <w:sz w:val="22"/>
          <w:szCs w:val="22"/>
        </w:rPr>
        <w:t xml:space="preserve"> by AHC and GoPNG: </w:t>
      </w:r>
      <w:r w:rsidR="007034AA">
        <w:rPr>
          <w:rFonts w:asciiTheme="minorHAnsi" w:hAnsiTheme="minorHAnsi" w:cs="Arial"/>
          <w:sz w:val="22"/>
          <w:szCs w:val="22"/>
        </w:rPr>
        <w:t xml:space="preserve">the </w:t>
      </w:r>
      <w:r w:rsidR="00DC0FDC">
        <w:rPr>
          <w:rFonts w:asciiTheme="minorHAnsi" w:hAnsiTheme="minorHAnsi" w:cs="Arial"/>
          <w:sz w:val="22"/>
          <w:szCs w:val="22"/>
        </w:rPr>
        <w:t>QTAG</w:t>
      </w:r>
      <w:r w:rsidR="00021929">
        <w:rPr>
          <w:rFonts w:asciiTheme="minorHAnsi" w:hAnsiTheme="minorHAnsi" w:cs="Arial"/>
          <w:sz w:val="22"/>
          <w:szCs w:val="22"/>
        </w:rPr>
        <w:t xml:space="preserve"> </w:t>
      </w:r>
      <w:r w:rsidR="007034AA">
        <w:rPr>
          <w:rFonts w:asciiTheme="minorHAnsi" w:hAnsiTheme="minorHAnsi" w:cs="Arial"/>
          <w:sz w:val="22"/>
          <w:szCs w:val="22"/>
        </w:rPr>
        <w:t xml:space="preserve">mechanism </w:t>
      </w:r>
      <w:r w:rsidR="00021929">
        <w:rPr>
          <w:rFonts w:asciiTheme="minorHAnsi" w:hAnsiTheme="minorHAnsi" w:cs="Arial"/>
          <w:sz w:val="22"/>
          <w:szCs w:val="22"/>
        </w:rPr>
        <w:t xml:space="preserve">is intended to support </w:t>
      </w:r>
      <w:r w:rsidR="007034AA">
        <w:rPr>
          <w:rFonts w:asciiTheme="minorHAnsi" w:hAnsiTheme="minorHAnsi" w:cs="Arial"/>
          <w:sz w:val="22"/>
          <w:szCs w:val="22"/>
        </w:rPr>
        <w:t>both</w:t>
      </w:r>
      <w:r w:rsidR="00021929">
        <w:rPr>
          <w:rFonts w:asciiTheme="minorHAnsi" w:hAnsiTheme="minorHAnsi" w:cs="Arial"/>
          <w:sz w:val="22"/>
          <w:szCs w:val="22"/>
        </w:rPr>
        <w:t xml:space="preserve"> Governments and </w:t>
      </w:r>
      <w:r w:rsidR="007034AA">
        <w:rPr>
          <w:rFonts w:asciiTheme="minorHAnsi" w:hAnsiTheme="minorHAnsi" w:cs="Arial"/>
          <w:sz w:val="22"/>
          <w:szCs w:val="22"/>
        </w:rPr>
        <w:t xml:space="preserve">program </w:t>
      </w:r>
      <w:r w:rsidR="00021929">
        <w:rPr>
          <w:rFonts w:asciiTheme="minorHAnsi" w:hAnsiTheme="minorHAnsi" w:cs="Arial"/>
          <w:sz w:val="22"/>
          <w:szCs w:val="22"/>
        </w:rPr>
        <w:t xml:space="preserve">implementing partners </w:t>
      </w:r>
      <w:r w:rsidR="007034AA">
        <w:rPr>
          <w:rFonts w:asciiTheme="minorHAnsi" w:hAnsiTheme="minorHAnsi" w:cs="Arial"/>
          <w:sz w:val="22"/>
          <w:szCs w:val="22"/>
        </w:rPr>
        <w:t>on strategic aspects of</w:t>
      </w:r>
      <w:r w:rsidR="00630850">
        <w:rPr>
          <w:rFonts w:asciiTheme="minorHAnsi" w:hAnsiTheme="minorHAnsi" w:cs="Arial"/>
          <w:sz w:val="22"/>
          <w:szCs w:val="22"/>
        </w:rPr>
        <w:t xml:space="preserve"> PGF and JSS4D</w:t>
      </w:r>
      <w:r w:rsidR="007034AA">
        <w:rPr>
          <w:rFonts w:asciiTheme="minorHAnsi" w:hAnsiTheme="minorHAnsi" w:cs="Arial"/>
          <w:sz w:val="22"/>
          <w:szCs w:val="22"/>
        </w:rPr>
        <w:t xml:space="preserve"> </w:t>
      </w:r>
      <w:r w:rsidR="00F346D5">
        <w:rPr>
          <w:rFonts w:asciiTheme="minorHAnsi" w:hAnsiTheme="minorHAnsi" w:cs="Arial"/>
          <w:sz w:val="22"/>
          <w:szCs w:val="22"/>
        </w:rPr>
        <w:t xml:space="preserve">program delivery </w:t>
      </w:r>
      <w:r w:rsidR="007034AA">
        <w:rPr>
          <w:rFonts w:asciiTheme="minorHAnsi" w:hAnsiTheme="minorHAnsi" w:cs="Arial"/>
          <w:sz w:val="22"/>
          <w:szCs w:val="22"/>
        </w:rPr>
        <w:t xml:space="preserve">and in doing so </w:t>
      </w:r>
      <w:r w:rsidR="00021929">
        <w:rPr>
          <w:rFonts w:asciiTheme="minorHAnsi" w:hAnsiTheme="minorHAnsi" w:cs="Arial"/>
          <w:sz w:val="22"/>
          <w:szCs w:val="22"/>
        </w:rPr>
        <w:t xml:space="preserve">help </w:t>
      </w:r>
      <w:r>
        <w:rPr>
          <w:rFonts w:asciiTheme="minorHAnsi" w:hAnsiTheme="minorHAnsi" w:cs="Arial"/>
          <w:sz w:val="22"/>
          <w:szCs w:val="22"/>
        </w:rPr>
        <w:t xml:space="preserve">maintain and </w:t>
      </w:r>
      <w:r w:rsidR="00021929">
        <w:rPr>
          <w:rFonts w:asciiTheme="minorHAnsi" w:hAnsiTheme="minorHAnsi" w:cs="Arial"/>
          <w:sz w:val="22"/>
          <w:szCs w:val="22"/>
        </w:rPr>
        <w:t>build mutual trust</w:t>
      </w:r>
      <w:r w:rsidR="007034AA">
        <w:rPr>
          <w:rFonts w:asciiTheme="minorHAnsi" w:hAnsiTheme="minorHAnsi" w:cs="Arial"/>
          <w:sz w:val="22"/>
          <w:szCs w:val="22"/>
        </w:rPr>
        <w:t xml:space="preserve">; it is not designed to intervene in operational management disputes arising between AHC and implementing partners.  </w:t>
      </w:r>
    </w:p>
    <w:p w14:paraId="3570D28F" w14:textId="411AAB6B" w:rsidR="00A73D35" w:rsidRDefault="00A73D35" w:rsidP="00D62034">
      <w:pPr>
        <w:spacing w:before="60" w:after="120" w:line="264" w:lineRule="auto"/>
        <w:rPr>
          <w:rFonts w:asciiTheme="minorHAnsi" w:hAnsiTheme="minorHAnsi" w:cs="Arial"/>
          <w:sz w:val="22"/>
          <w:szCs w:val="22"/>
        </w:rPr>
      </w:pPr>
      <w:r>
        <w:rPr>
          <w:rFonts w:asciiTheme="minorHAnsi" w:hAnsiTheme="minorHAnsi" w:cs="Arial"/>
          <w:sz w:val="22"/>
          <w:szCs w:val="22"/>
        </w:rPr>
        <w:t xml:space="preserve">The </w:t>
      </w:r>
      <w:r w:rsidR="00DC0FDC">
        <w:rPr>
          <w:rFonts w:asciiTheme="minorHAnsi" w:hAnsiTheme="minorHAnsi" w:cs="Arial"/>
          <w:sz w:val="22"/>
          <w:szCs w:val="22"/>
        </w:rPr>
        <w:t>QTAG</w:t>
      </w:r>
      <w:r>
        <w:rPr>
          <w:rFonts w:asciiTheme="minorHAnsi" w:hAnsiTheme="minorHAnsi" w:cs="Arial"/>
          <w:sz w:val="22"/>
          <w:szCs w:val="22"/>
        </w:rPr>
        <w:t xml:space="preserve"> will consult closely with the AHC and (via the AHC) with DFAT Canberra during the design of the Annual Reviews and representatives of AHC and DFAT are expected to attend key meetings during the Reviews (as appropriate). The AHC will also</w:t>
      </w:r>
      <w:r w:rsidR="00624390">
        <w:rPr>
          <w:rFonts w:asciiTheme="minorHAnsi" w:hAnsiTheme="minorHAnsi" w:cs="Arial"/>
          <w:sz w:val="22"/>
          <w:szCs w:val="22"/>
        </w:rPr>
        <w:t xml:space="preserve"> </w:t>
      </w:r>
      <w:r>
        <w:rPr>
          <w:rFonts w:asciiTheme="minorHAnsi" w:hAnsiTheme="minorHAnsi" w:cs="Arial"/>
          <w:sz w:val="22"/>
          <w:szCs w:val="22"/>
        </w:rPr>
        <w:t xml:space="preserve">facilitate the review process but the design and implementation of the process remains the responsibility of the SP.   </w:t>
      </w:r>
    </w:p>
    <w:p w14:paraId="444A86B3" w14:textId="2C6D1737" w:rsidR="00DC467F" w:rsidRDefault="00DC0FDC" w:rsidP="00D62034">
      <w:pPr>
        <w:spacing w:before="60" w:after="120" w:line="264" w:lineRule="auto"/>
        <w:rPr>
          <w:rFonts w:asciiTheme="minorHAnsi" w:hAnsiTheme="minorHAnsi" w:cs="Arial"/>
          <w:sz w:val="22"/>
          <w:szCs w:val="22"/>
        </w:rPr>
      </w:pPr>
      <w:r>
        <w:rPr>
          <w:rFonts w:asciiTheme="minorHAnsi" w:hAnsiTheme="minorHAnsi" w:cs="Arial"/>
          <w:sz w:val="22"/>
          <w:szCs w:val="22"/>
        </w:rPr>
        <w:t>QTAG</w:t>
      </w:r>
      <w:r w:rsidR="007034AA">
        <w:rPr>
          <w:rFonts w:asciiTheme="minorHAnsi" w:hAnsiTheme="minorHAnsi" w:cs="Arial"/>
          <w:sz w:val="22"/>
          <w:szCs w:val="22"/>
        </w:rPr>
        <w:t xml:space="preserve"> recommendations will be provided to </w:t>
      </w:r>
      <w:r w:rsidR="007C4BA2">
        <w:rPr>
          <w:rFonts w:asciiTheme="minorHAnsi" w:hAnsiTheme="minorHAnsi" w:cs="Arial"/>
          <w:sz w:val="22"/>
          <w:szCs w:val="22"/>
        </w:rPr>
        <w:t>the</w:t>
      </w:r>
      <w:r w:rsidR="00462463">
        <w:rPr>
          <w:rFonts w:asciiTheme="minorHAnsi" w:hAnsiTheme="minorHAnsi" w:cs="Arial"/>
          <w:sz w:val="22"/>
          <w:szCs w:val="22"/>
        </w:rPr>
        <w:t xml:space="preserve"> AHC, and to the</w:t>
      </w:r>
      <w:r w:rsidR="007C4BA2">
        <w:rPr>
          <w:rFonts w:asciiTheme="minorHAnsi" w:hAnsiTheme="minorHAnsi" w:cs="Arial"/>
          <w:sz w:val="22"/>
          <w:szCs w:val="22"/>
        </w:rPr>
        <w:t xml:space="preserve"> SMC </w:t>
      </w:r>
      <w:r w:rsidR="007034AA">
        <w:rPr>
          <w:rFonts w:asciiTheme="minorHAnsi" w:hAnsiTheme="minorHAnsi" w:cs="Arial"/>
          <w:sz w:val="22"/>
          <w:szCs w:val="22"/>
        </w:rPr>
        <w:t xml:space="preserve">and </w:t>
      </w:r>
      <w:r w:rsidR="00B93189">
        <w:rPr>
          <w:rFonts w:asciiTheme="minorHAnsi" w:hAnsiTheme="minorHAnsi" w:cs="Arial"/>
          <w:sz w:val="22"/>
          <w:szCs w:val="22"/>
        </w:rPr>
        <w:t>SPGM</w:t>
      </w:r>
      <w:r w:rsidR="007C4BA2">
        <w:rPr>
          <w:rFonts w:asciiTheme="minorHAnsi" w:hAnsiTheme="minorHAnsi" w:cs="Arial"/>
          <w:sz w:val="22"/>
          <w:szCs w:val="22"/>
        </w:rPr>
        <w:t xml:space="preserve"> </w:t>
      </w:r>
      <w:r w:rsidR="00462463">
        <w:rPr>
          <w:rFonts w:asciiTheme="minorHAnsi" w:hAnsiTheme="minorHAnsi" w:cs="Arial"/>
          <w:sz w:val="22"/>
          <w:szCs w:val="22"/>
        </w:rPr>
        <w:t xml:space="preserve">as required, </w:t>
      </w:r>
      <w:r w:rsidR="007034AA">
        <w:rPr>
          <w:rFonts w:asciiTheme="minorHAnsi" w:hAnsiTheme="minorHAnsi" w:cs="Arial"/>
          <w:sz w:val="22"/>
          <w:szCs w:val="22"/>
        </w:rPr>
        <w:t xml:space="preserve">but </w:t>
      </w:r>
      <w:r w:rsidR="007C4BA2">
        <w:rPr>
          <w:rFonts w:asciiTheme="minorHAnsi" w:hAnsiTheme="minorHAnsi" w:cs="Arial"/>
          <w:sz w:val="22"/>
          <w:szCs w:val="22"/>
        </w:rPr>
        <w:t xml:space="preserve">decisions regarding whether to accept these or not remain a matter for </w:t>
      </w:r>
      <w:r w:rsidR="00462463">
        <w:rPr>
          <w:rFonts w:asciiTheme="minorHAnsi" w:hAnsiTheme="minorHAnsi" w:cs="Arial"/>
          <w:sz w:val="22"/>
          <w:szCs w:val="22"/>
        </w:rPr>
        <w:t xml:space="preserve">AHC and </w:t>
      </w:r>
      <w:r w:rsidR="007C4BA2">
        <w:rPr>
          <w:rFonts w:asciiTheme="minorHAnsi" w:hAnsiTheme="minorHAnsi" w:cs="Arial"/>
          <w:sz w:val="22"/>
          <w:szCs w:val="22"/>
        </w:rPr>
        <w:t xml:space="preserve">these bodies.   Similarly, </w:t>
      </w:r>
      <w:r>
        <w:rPr>
          <w:rFonts w:asciiTheme="minorHAnsi" w:hAnsiTheme="minorHAnsi" w:cs="Arial"/>
          <w:sz w:val="22"/>
          <w:szCs w:val="22"/>
        </w:rPr>
        <w:t>QTAG</w:t>
      </w:r>
      <w:r w:rsidR="00BE6FFC">
        <w:rPr>
          <w:rFonts w:asciiTheme="minorHAnsi" w:hAnsiTheme="minorHAnsi" w:cs="Arial"/>
          <w:sz w:val="22"/>
          <w:szCs w:val="22"/>
        </w:rPr>
        <w:t xml:space="preserve"> </w:t>
      </w:r>
      <w:r w:rsidR="007C4BA2">
        <w:rPr>
          <w:rFonts w:asciiTheme="minorHAnsi" w:hAnsiTheme="minorHAnsi" w:cs="Arial"/>
          <w:sz w:val="22"/>
          <w:szCs w:val="22"/>
        </w:rPr>
        <w:t xml:space="preserve">analysis </w:t>
      </w:r>
      <w:r w:rsidR="00BE6FFC">
        <w:rPr>
          <w:rFonts w:asciiTheme="minorHAnsi" w:hAnsiTheme="minorHAnsi" w:cs="Arial"/>
          <w:sz w:val="22"/>
          <w:szCs w:val="22"/>
        </w:rPr>
        <w:t xml:space="preserve">will inform the choices made by the </w:t>
      </w:r>
      <w:r w:rsidR="007C4BA2">
        <w:rPr>
          <w:rFonts w:asciiTheme="minorHAnsi" w:hAnsiTheme="minorHAnsi" w:cs="Arial"/>
          <w:sz w:val="22"/>
          <w:szCs w:val="22"/>
        </w:rPr>
        <w:t>PGF and JSS4D contractors</w:t>
      </w:r>
      <w:r w:rsidR="00BE6FFC">
        <w:rPr>
          <w:rFonts w:asciiTheme="minorHAnsi" w:hAnsiTheme="minorHAnsi" w:cs="Arial"/>
          <w:sz w:val="22"/>
          <w:szCs w:val="22"/>
        </w:rPr>
        <w:t xml:space="preserve">, but responsibility for </w:t>
      </w:r>
      <w:r w:rsidR="007C4BA2">
        <w:rPr>
          <w:rFonts w:asciiTheme="minorHAnsi" w:hAnsiTheme="minorHAnsi" w:cs="Arial"/>
          <w:sz w:val="22"/>
          <w:szCs w:val="22"/>
        </w:rPr>
        <w:t xml:space="preserve">the </w:t>
      </w:r>
      <w:r w:rsidR="00BE6FFC">
        <w:rPr>
          <w:rFonts w:asciiTheme="minorHAnsi" w:hAnsiTheme="minorHAnsi" w:cs="Arial"/>
          <w:sz w:val="22"/>
          <w:szCs w:val="22"/>
        </w:rPr>
        <w:t xml:space="preserve">management decisions </w:t>
      </w:r>
      <w:r w:rsidR="007C4BA2">
        <w:rPr>
          <w:rFonts w:asciiTheme="minorHAnsi" w:hAnsiTheme="minorHAnsi" w:cs="Arial"/>
          <w:sz w:val="22"/>
          <w:szCs w:val="22"/>
        </w:rPr>
        <w:t xml:space="preserve">taken </w:t>
      </w:r>
      <w:r w:rsidR="00BE6FFC">
        <w:rPr>
          <w:rFonts w:asciiTheme="minorHAnsi" w:hAnsiTheme="minorHAnsi" w:cs="Arial"/>
          <w:sz w:val="22"/>
          <w:szCs w:val="22"/>
        </w:rPr>
        <w:t xml:space="preserve">will remain with the programs themselves and their respective governance bodies. </w:t>
      </w:r>
    </w:p>
    <w:p w14:paraId="7A1E5731" w14:textId="664E5B40" w:rsidR="00DC467F" w:rsidRPr="001B64BC" w:rsidRDefault="00DC467F">
      <w:pPr>
        <w:spacing w:before="60" w:after="120" w:line="264" w:lineRule="auto"/>
        <w:rPr>
          <w:rFonts w:asciiTheme="minorHAnsi" w:hAnsiTheme="minorHAnsi" w:cs="Arial"/>
          <w:sz w:val="22"/>
        </w:rPr>
      </w:pPr>
      <w:r w:rsidRPr="001B64BC">
        <w:rPr>
          <w:rFonts w:asciiTheme="minorHAnsi" w:hAnsiTheme="minorHAnsi" w:cs="Arial"/>
          <w:sz w:val="22"/>
        </w:rPr>
        <w:t xml:space="preserve">As far as possible, the Annual Review reports submitted to the respective </w:t>
      </w:r>
      <w:r>
        <w:rPr>
          <w:rFonts w:asciiTheme="minorHAnsi" w:hAnsiTheme="minorHAnsi" w:cs="Arial"/>
          <w:sz w:val="22"/>
        </w:rPr>
        <w:t xml:space="preserve">strategic oversight committees </w:t>
      </w:r>
      <w:r w:rsidRPr="001B64BC">
        <w:rPr>
          <w:rFonts w:asciiTheme="minorHAnsi" w:hAnsiTheme="minorHAnsi" w:cs="Arial"/>
          <w:sz w:val="22"/>
        </w:rPr>
        <w:t xml:space="preserve">should be agreed with the relevant program </w:t>
      </w:r>
      <w:r>
        <w:rPr>
          <w:rFonts w:asciiTheme="minorHAnsi" w:hAnsiTheme="minorHAnsi" w:cs="Arial"/>
          <w:sz w:val="22"/>
        </w:rPr>
        <w:t>service providers/</w:t>
      </w:r>
      <w:r w:rsidRPr="001B64BC">
        <w:rPr>
          <w:rFonts w:asciiTheme="minorHAnsi" w:hAnsiTheme="minorHAnsi" w:cs="Arial"/>
          <w:sz w:val="22"/>
        </w:rPr>
        <w:t>team leaders (or equivalent).  However, integrity should not be compromised and if agreement is not possible, the</w:t>
      </w:r>
      <w:r>
        <w:rPr>
          <w:rFonts w:asciiTheme="minorHAnsi" w:hAnsiTheme="minorHAnsi" w:cs="Arial"/>
          <w:sz w:val="22"/>
        </w:rPr>
        <w:t xml:space="preserve"> </w:t>
      </w:r>
      <w:r w:rsidR="00DC0FDC">
        <w:rPr>
          <w:rFonts w:asciiTheme="minorHAnsi" w:hAnsiTheme="minorHAnsi" w:cs="Arial"/>
          <w:sz w:val="22"/>
        </w:rPr>
        <w:t>QTAG</w:t>
      </w:r>
      <w:r w:rsidRPr="001B64BC">
        <w:rPr>
          <w:rFonts w:asciiTheme="minorHAnsi" w:hAnsiTheme="minorHAnsi" w:cs="Arial"/>
          <w:sz w:val="22"/>
        </w:rPr>
        <w:t xml:space="preserve"> will indicate which of its conclusions are disputed and why.</w:t>
      </w:r>
    </w:p>
    <w:p w14:paraId="7903EEA7" w14:textId="670F81E3" w:rsidR="00BE6FFC" w:rsidRDefault="00BE6FFC" w:rsidP="00D62034">
      <w:pPr>
        <w:spacing w:before="60" w:after="120" w:line="264" w:lineRule="auto"/>
        <w:rPr>
          <w:rFonts w:asciiTheme="minorHAnsi" w:hAnsiTheme="minorHAnsi" w:cs="Arial"/>
          <w:sz w:val="22"/>
          <w:szCs w:val="22"/>
        </w:rPr>
      </w:pPr>
      <w:r>
        <w:rPr>
          <w:rFonts w:asciiTheme="minorHAnsi" w:hAnsiTheme="minorHAnsi"/>
          <w:sz w:val="22"/>
        </w:rPr>
        <w:t>T</w:t>
      </w:r>
      <w:r w:rsidRPr="001B64BC">
        <w:rPr>
          <w:rFonts w:asciiTheme="minorHAnsi" w:hAnsiTheme="minorHAnsi"/>
          <w:sz w:val="22"/>
        </w:rPr>
        <w:t>he</w:t>
      </w:r>
      <w:r>
        <w:rPr>
          <w:rFonts w:asciiTheme="minorHAnsi" w:hAnsiTheme="minorHAnsi"/>
          <w:sz w:val="22"/>
        </w:rPr>
        <w:t xml:space="preserve"> </w:t>
      </w:r>
      <w:r w:rsidR="00DC0FDC">
        <w:rPr>
          <w:rFonts w:asciiTheme="minorHAnsi" w:hAnsiTheme="minorHAnsi"/>
          <w:sz w:val="22"/>
        </w:rPr>
        <w:t>QTAG</w:t>
      </w:r>
      <w:r w:rsidRPr="001B64BC">
        <w:rPr>
          <w:rFonts w:asciiTheme="minorHAnsi" w:hAnsiTheme="minorHAnsi"/>
          <w:sz w:val="22"/>
        </w:rPr>
        <w:t xml:space="preserve"> </w:t>
      </w:r>
      <w:r>
        <w:rPr>
          <w:rFonts w:asciiTheme="minorHAnsi" w:hAnsiTheme="minorHAnsi"/>
          <w:sz w:val="22"/>
        </w:rPr>
        <w:t>will remain responsible</w:t>
      </w:r>
      <w:r w:rsidR="00DC467F">
        <w:rPr>
          <w:rFonts w:asciiTheme="minorHAnsi" w:hAnsiTheme="minorHAnsi"/>
          <w:sz w:val="22"/>
        </w:rPr>
        <w:t xml:space="preserve"> to </w:t>
      </w:r>
      <w:r w:rsidRPr="001B64BC">
        <w:rPr>
          <w:rFonts w:asciiTheme="minorHAnsi" w:hAnsiTheme="minorHAnsi" w:cs="Arial"/>
          <w:sz w:val="22"/>
        </w:rPr>
        <w:t xml:space="preserve">and report to </w:t>
      </w:r>
      <w:r>
        <w:rPr>
          <w:rFonts w:asciiTheme="minorHAnsi" w:hAnsiTheme="minorHAnsi" w:cs="Arial"/>
          <w:sz w:val="22"/>
        </w:rPr>
        <w:t xml:space="preserve">AHC and GoPNG, as the major shareholders in the </w:t>
      </w:r>
      <w:r w:rsidR="00CF14C6">
        <w:rPr>
          <w:rFonts w:asciiTheme="minorHAnsi" w:hAnsiTheme="minorHAnsi" w:cs="Arial"/>
          <w:sz w:val="22"/>
        </w:rPr>
        <w:t xml:space="preserve">two </w:t>
      </w:r>
      <w:r>
        <w:rPr>
          <w:rFonts w:asciiTheme="minorHAnsi" w:hAnsiTheme="minorHAnsi" w:cs="Arial"/>
          <w:sz w:val="22"/>
        </w:rPr>
        <w:t>programs</w:t>
      </w:r>
      <w:r w:rsidRPr="001B64BC">
        <w:rPr>
          <w:rFonts w:asciiTheme="minorHAnsi" w:hAnsiTheme="minorHAnsi" w:cs="Arial"/>
          <w:sz w:val="22"/>
        </w:rPr>
        <w:t xml:space="preserve">.  </w:t>
      </w:r>
    </w:p>
    <w:p w14:paraId="26E7869D" w14:textId="77777777" w:rsidR="00BE6FFC" w:rsidRPr="00DC467F" w:rsidRDefault="00DC467F">
      <w:pPr>
        <w:spacing w:before="180" w:after="120" w:line="264" w:lineRule="auto"/>
        <w:rPr>
          <w:rFonts w:asciiTheme="minorHAnsi" w:hAnsiTheme="minorHAnsi" w:cs="Arial"/>
          <w:sz w:val="24"/>
          <w:szCs w:val="22"/>
          <w:u w:val="single"/>
        </w:rPr>
      </w:pPr>
      <w:r>
        <w:rPr>
          <w:rFonts w:asciiTheme="minorHAnsi" w:hAnsiTheme="minorHAnsi" w:cs="Arial"/>
          <w:sz w:val="24"/>
          <w:szCs w:val="22"/>
          <w:u w:val="single"/>
        </w:rPr>
        <w:t>Annual work-planning</w:t>
      </w:r>
    </w:p>
    <w:p w14:paraId="1B23F7F3" w14:textId="58F6C0EC" w:rsidR="00F346D5" w:rsidRDefault="00DC467F" w:rsidP="00D62034">
      <w:pPr>
        <w:spacing w:before="60" w:after="120" w:line="264" w:lineRule="auto"/>
        <w:rPr>
          <w:rFonts w:asciiTheme="minorHAnsi" w:hAnsiTheme="minorHAnsi" w:cs="Arial"/>
          <w:sz w:val="22"/>
        </w:rPr>
      </w:pPr>
      <w:r w:rsidRPr="00D43D75">
        <w:rPr>
          <w:rFonts w:asciiTheme="minorHAnsi" w:hAnsiTheme="minorHAnsi" w:cs="Arial"/>
          <w:sz w:val="22"/>
        </w:rPr>
        <w:t xml:space="preserve">The SP should submit a draft </w:t>
      </w:r>
      <w:r w:rsidR="001862D6">
        <w:rPr>
          <w:rFonts w:asciiTheme="minorHAnsi" w:hAnsiTheme="minorHAnsi" w:cs="Arial"/>
          <w:sz w:val="22"/>
        </w:rPr>
        <w:t xml:space="preserve">detailed </w:t>
      </w:r>
      <w:r w:rsidR="00907BD8" w:rsidRPr="00D43D75">
        <w:rPr>
          <w:rFonts w:asciiTheme="minorHAnsi" w:hAnsiTheme="minorHAnsi" w:cs="Arial"/>
          <w:sz w:val="22"/>
        </w:rPr>
        <w:t>work program</w:t>
      </w:r>
      <w:r w:rsidRPr="00D43D75">
        <w:rPr>
          <w:rFonts w:asciiTheme="minorHAnsi" w:hAnsiTheme="minorHAnsi" w:cs="Arial"/>
          <w:sz w:val="22"/>
        </w:rPr>
        <w:t xml:space="preserve"> </w:t>
      </w:r>
      <w:r w:rsidR="00BE6B67" w:rsidRPr="00D43D75">
        <w:rPr>
          <w:rFonts w:asciiTheme="minorHAnsi" w:hAnsiTheme="minorHAnsi" w:cs="Arial"/>
          <w:sz w:val="22"/>
        </w:rPr>
        <w:t xml:space="preserve">to AHC in late May each year, covering the scheduling of Annual Reviews, </w:t>
      </w:r>
      <w:r w:rsidRPr="00D43D75">
        <w:rPr>
          <w:rFonts w:asciiTheme="minorHAnsi" w:hAnsiTheme="minorHAnsi" w:cs="Arial"/>
          <w:sz w:val="22"/>
        </w:rPr>
        <w:t>budget and resourcing requirements</w:t>
      </w:r>
      <w:r w:rsidR="00907BD8" w:rsidRPr="00D43D75">
        <w:rPr>
          <w:rFonts w:asciiTheme="minorHAnsi" w:hAnsiTheme="minorHAnsi" w:cs="Arial"/>
          <w:sz w:val="22"/>
        </w:rPr>
        <w:t xml:space="preserve">. </w:t>
      </w:r>
      <w:r w:rsidR="00BE6B67" w:rsidRPr="00D43D75">
        <w:rPr>
          <w:rFonts w:asciiTheme="minorHAnsi" w:hAnsiTheme="minorHAnsi" w:cs="Arial"/>
          <w:sz w:val="22"/>
        </w:rPr>
        <w:t>This</w:t>
      </w:r>
      <w:r w:rsidR="00907BD8" w:rsidRPr="00D43D75">
        <w:rPr>
          <w:rFonts w:asciiTheme="minorHAnsi" w:hAnsiTheme="minorHAnsi" w:cs="Arial"/>
          <w:sz w:val="22"/>
        </w:rPr>
        <w:t xml:space="preserve"> will include any additional assessments already agreed by the SMC or SPGM for the </w:t>
      </w:r>
      <w:r w:rsidR="00DC0FDC">
        <w:rPr>
          <w:rFonts w:asciiTheme="minorHAnsi" w:hAnsiTheme="minorHAnsi" w:cs="Arial"/>
          <w:sz w:val="22"/>
        </w:rPr>
        <w:t>QTAG</w:t>
      </w:r>
      <w:r w:rsidR="00907BD8" w:rsidRPr="00D43D75">
        <w:rPr>
          <w:rFonts w:asciiTheme="minorHAnsi" w:hAnsiTheme="minorHAnsi" w:cs="Arial"/>
          <w:sz w:val="22"/>
        </w:rPr>
        <w:t xml:space="preserve">.   </w:t>
      </w:r>
      <w:r w:rsidR="00BE6B67" w:rsidRPr="00D43D75">
        <w:rPr>
          <w:rFonts w:asciiTheme="minorHAnsi" w:hAnsiTheme="minorHAnsi" w:cs="Arial"/>
          <w:sz w:val="22"/>
        </w:rPr>
        <w:t>A</w:t>
      </w:r>
      <w:r w:rsidR="00BE6B67">
        <w:rPr>
          <w:rFonts w:asciiTheme="minorHAnsi" w:hAnsiTheme="minorHAnsi" w:cs="Arial"/>
          <w:sz w:val="22"/>
        </w:rPr>
        <w:t xml:space="preserve"> d</w:t>
      </w:r>
      <w:r w:rsidR="00907BD8">
        <w:rPr>
          <w:rFonts w:asciiTheme="minorHAnsi" w:hAnsiTheme="minorHAnsi" w:cs="Arial"/>
          <w:sz w:val="22"/>
        </w:rPr>
        <w:t xml:space="preserve">etailed plan for </w:t>
      </w:r>
      <w:r w:rsidR="00BE6B67">
        <w:rPr>
          <w:rFonts w:asciiTheme="minorHAnsi" w:hAnsiTheme="minorHAnsi" w:cs="Arial"/>
          <w:sz w:val="22"/>
        </w:rPr>
        <w:t xml:space="preserve">each </w:t>
      </w:r>
      <w:r w:rsidR="00907BD8">
        <w:rPr>
          <w:rFonts w:asciiTheme="minorHAnsi" w:hAnsiTheme="minorHAnsi" w:cs="Arial"/>
          <w:sz w:val="22"/>
        </w:rPr>
        <w:t xml:space="preserve">Annual </w:t>
      </w:r>
      <w:r w:rsidR="00F346D5">
        <w:rPr>
          <w:rFonts w:asciiTheme="minorHAnsi" w:hAnsiTheme="minorHAnsi" w:cs="Arial"/>
          <w:sz w:val="22"/>
        </w:rPr>
        <w:t>R</w:t>
      </w:r>
      <w:r>
        <w:rPr>
          <w:rFonts w:asciiTheme="minorHAnsi" w:hAnsiTheme="minorHAnsi" w:cs="Arial"/>
          <w:sz w:val="22"/>
        </w:rPr>
        <w:t>eview</w:t>
      </w:r>
      <w:r w:rsidR="00907BD8">
        <w:rPr>
          <w:rFonts w:asciiTheme="minorHAnsi" w:hAnsiTheme="minorHAnsi" w:cs="Arial"/>
          <w:sz w:val="22"/>
        </w:rPr>
        <w:t xml:space="preserve">, </w:t>
      </w:r>
      <w:r w:rsidR="00BE6B67">
        <w:rPr>
          <w:rFonts w:asciiTheme="minorHAnsi" w:hAnsiTheme="minorHAnsi" w:cs="Arial"/>
          <w:sz w:val="22"/>
        </w:rPr>
        <w:t xml:space="preserve">including </w:t>
      </w:r>
      <w:r w:rsidR="00907BD8">
        <w:rPr>
          <w:rFonts w:asciiTheme="minorHAnsi" w:hAnsiTheme="minorHAnsi" w:cs="Arial"/>
          <w:sz w:val="22"/>
        </w:rPr>
        <w:t xml:space="preserve">implementation arrangements and the </w:t>
      </w:r>
      <w:r w:rsidR="00BE6B67">
        <w:rPr>
          <w:rFonts w:asciiTheme="minorHAnsi" w:hAnsiTheme="minorHAnsi" w:cs="Arial"/>
          <w:sz w:val="22"/>
        </w:rPr>
        <w:t xml:space="preserve">proposed sample of components selected for more detailed review, </w:t>
      </w:r>
      <w:r w:rsidR="008E29DB">
        <w:rPr>
          <w:rFonts w:asciiTheme="minorHAnsi" w:hAnsiTheme="minorHAnsi" w:cs="Arial"/>
          <w:sz w:val="22"/>
        </w:rPr>
        <w:lastRenderedPageBreak/>
        <w:t>will be developed in consultation with the SMC, SPGM and AHC, with finalised plans</w:t>
      </w:r>
      <w:r w:rsidR="00BE6B67">
        <w:rPr>
          <w:rFonts w:asciiTheme="minorHAnsi" w:hAnsiTheme="minorHAnsi" w:cs="Arial"/>
          <w:sz w:val="22"/>
        </w:rPr>
        <w:t xml:space="preserve"> submitted </w:t>
      </w:r>
      <w:r w:rsidR="008E29DB">
        <w:rPr>
          <w:rFonts w:asciiTheme="minorHAnsi" w:hAnsiTheme="minorHAnsi" w:cs="Arial"/>
          <w:sz w:val="22"/>
        </w:rPr>
        <w:t xml:space="preserve">at least 2 weeks </w:t>
      </w:r>
      <w:r w:rsidR="00BE6B67">
        <w:rPr>
          <w:rFonts w:asciiTheme="minorHAnsi" w:hAnsiTheme="minorHAnsi" w:cs="Arial"/>
          <w:sz w:val="22"/>
        </w:rPr>
        <w:t>in advance of the reviews themselves.</w:t>
      </w:r>
    </w:p>
    <w:p w14:paraId="4DEBE09F" w14:textId="0D540750" w:rsidR="00DC467F" w:rsidRDefault="00F346D5" w:rsidP="00D62034">
      <w:pPr>
        <w:spacing w:before="60" w:after="120" w:line="264" w:lineRule="auto"/>
        <w:rPr>
          <w:rFonts w:asciiTheme="minorHAnsi" w:hAnsiTheme="minorHAnsi" w:cs="Arial"/>
          <w:sz w:val="22"/>
        </w:rPr>
      </w:pPr>
      <w:r>
        <w:rPr>
          <w:rFonts w:asciiTheme="minorHAnsi" w:hAnsiTheme="minorHAnsi" w:cs="Arial"/>
          <w:sz w:val="22"/>
        </w:rPr>
        <w:t xml:space="preserve">The SP should make the provision </w:t>
      </w:r>
      <w:r w:rsidR="00566144">
        <w:rPr>
          <w:rFonts w:asciiTheme="minorHAnsi" w:hAnsiTheme="minorHAnsi" w:cs="Arial"/>
          <w:sz w:val="22"/>
        </w:rPr>
        <w:t xml:space="preserve">for a senior representative </w:t>
      </w:r>
      <w:r>
        <w:rPr>
          <w:rFonts w:asciiTheme="minorHAnsi" w:hAnsiTheme="minorHAnsi" w:cs="Arial"/>
          <w:sz w:val="22"/>
        </w:rPr>
        <w:t xml:space="preserve">to attend the six monthly SMC meetings for the PGF, as an observer and to present the </w:t>
      </w:r>
      <w:r w:rsidR="00DC0FDC">
        <w:rPr>
          <w:rFonts w:asciiTheme="minorHAnsi" w:hAnsiTheme="minorHAnsi" w:cs="Arial"/>
          <w:sz w:val="22"/>
        </w:rPr>
        <w:t>QTAG</w:t>
      </w:r>
      <w:r>
        <w:rPr>
          <w:rFonts w:asciiTheme="minorHAnsi" w:hAnsiTheme="minorHAnsi" w:cs="Arial"/>
          <w:sz w:val="22"/>
        </w:rPr>
        <w:t xml:space="preserve">’s mid-year report and Annual Review.   Requirements to attend the </w:t>
      </w:r>
      <w:r w:rsidR="00B93189">
        <w:rPr>
          <w:rFonts w:asciiTheme="minorHAnsi" w:hAnsiTheme="minorHAnsi" w:cs="Arial"/>
          <w:sz w:val="22"/>
        </w:rPr>
        <w:t>SPGM</w:t>
      </w:r>
      <w:r>
        <w:rPr>
          <w:rFonts w:asciiTheme="minorHAnsi" w:hAnsiTheme="minorHAnsi" w:cs="Arial"/>
          <w:sz w:val="22"/>
        </w:rPr>
        <w:t xml:space="preserve"> are expected to be similar.</w:t>
      </w:r>
    </w:p>
    <w:p w14:paraId="6D150834" w14:textId="48FB6856" w:rsidR="00DC467F" w:rsidRDefault="00DC467F" w:rsidP="00D62034">
      <w:pPr>
        <w:spacing w:before="60" w:after="120" w:line="264" w:lineRule="auto"/>
        <w:rPr>
          <w:rFonts w:asciiTheme="minorHAnsi" w:hAnsiTheme="minorHAnsi" w:cs="Arial"/>
          <w:sz w:val="22"/>
        </w:rPr>
      </w:pPr>
      <w:r>
        <w:rPr>
          <w:rFonts w:asciiTheme="minorHAnsi" w:hAnsiTheme="minorHAnsi" w:cs="Arial"/>
          <w:sz w:val="22"/>
        </w:rPr>
        <w:t xml:space="preserve">Development of the draft </w:t>
      </w:r>
      <w:r w:rsidR="005D0A87">
        <w:rPr>
          <w:rFonts w:asciiTheme="minorHAnsi" w:hAnsiTheme="minorHAnsi" w:cs="Arial"/>
          <w:sz w:val="22"/>
        </w:rPr>
        <w:t xml:space="preserve">annual </w:t>
      </w:r>
      <w:r w:rsidR="00BE6B67">
        <w:rPr>
          <w:rFonts w:asciiTheme="minorHAnsi" w:hAnsiTheme="minorHAnsi" w:cs="Arial"/>
          <w:sz w:val="22"/>
        </w:rPr>
        <w:t xml:space="preserve">work program and </w:t>
      </w:r>
      <w:r w:rsidR="00D43D75">
        <w:rPr>
          <w:rFonts w:asciiTheme="minorHAnsi" w:hAnsiTheme="minorHAnsi" w:cs="Arial"/>
          <w:sz w:val="22"/>
        </w:rPr>
        <w:t xml:space="preserve">the </w:t>
      </w:r>
      <w:r w:rsidR="00BE6B67">
        <w:rPr>
          <w:rFonts w:asciiTheme="minorHAnsi" w:hAnsiTheme="minorHAnsi" w:cs="Arial"/>
          <w:sz w:val="22"/>
        </w:rPr>
        <w:t>detailed plans for Annual Reviews</w:t>
      </w:r>
      <w:r w:rsidR="00546247" w:rsidRPr="00546247">
        <w:rPr>
          <w:b/>
          <w:color w:val="008000"/>
        </w:rPr>
        <w:t xml:space="preserve"> </w:t>
      </w:r>
      <w:r w:rsidR="00546247" w:rsidRPr="00546247">
        <w:rPr>
          <w:rFonts w:asciiTheme="minorHAnsi" w:hAnsiTheme="minorHAnsi" w:cs="Arial"/>
          <w:sz w:val="22"/>
        </w:rPr>
        <w:t>including scheduling</w:t>
      </w:r>
      <w:r w:rsidR="00BE6B67">
        <w:rPr>
          <w:rFonts w:asciiTheme="minorHAnsi" w:hAnsiTheme="minorHAnsi" w:cs="Arial"/>
          <w:sz w:val="22"/>
        </w:rPr>
        <w:t xml:space="preserve"> </w:t>
      </w:r>
      <w:r>
        <w:rPr>
          <w:rFonts w:asciiTheme="minorHAnsi" w:hAnsiTheme="minorHAnsi" w:cs="Arial"/>
          <w:sz w:val="22"/>
        </w:rPr>
        <w:t xml:space="preserve">will be informed by </w:t>
      </w:r>
      <w:r w:rsidR="00F346D5">
        <w:rPr>
          <w:rFonts w:asciiTheme="minorHAnsi" w:hAnsiTheme="minorHAnsi" w:cs="Arial"/>
          <w:sz w:val="22"/>
        </w:rPr>
        <w:t xml:space="preserve">consultation </w:t>
      </w:r>
      <w:r>
        <w:rPr>
          <w:rFonts w:asciiTheme="minorHAnsi" w:hAnsiTheme="minorHAnsi" w:cs="Arial"/>
          <w:sz w:val="22"/>
        </w:rPr>
        <w:t xml:space="preserve">with the members of the </w:t>
      </w:r>
      <w:r w:rsidR="00F346D5">
        <w:rPr>
          <w:rFonts w:asciiTheme="minorHAnsi" w:hAnsiTheme="minorHAnsi" w:cs="Arial"/>
          <w:sz w:val="22"/>
        </w:rPr>
        <w:t xml:space="preserve">SMC and </w:t>
      </w:r>
      <w:r w:rsidR="00B93189">
        <w:rPr>
          <w:rFonts w:asciiTheme="minorHAnsi" w:hAnsiTheme="minorHAnsi" w:cs="Arial"/>
          <w:sz w:val="22"/>
        </w:rPr>
        <w:t>SPGM</w:t>
      </w:r>
      <w:r w:rsidR="00F346D5">
        <w:rPr>
          <w:rFonts w:asciiTheme="minorHAnsi" w:hAnsiTheme="minorHAnsi" w:cs="Arial"/>
          <w:sz w:val="22"/>
        </w:rPr>
        <w:t xml:space="preserve"> as well as AHC</w:t>
      </w:r>
      <w:r w:rsidR="00D43D75">
        <w:rPr>
          <w:rFonts w:asciiTheme="minorHAnsi" w:hAnsiTheme="minorHAnsi" w:cs="Arial"/>
          <w:sz w:val="22"/>
        </w:rPr>
        <w:t xml:space="preserve"> and the programs themselves</w:t>
      </w:r>
      <w:r>
        <w:rPr>
          <w:rFonts w:asciiTheme="minorHAnsi" w:hAnsiTheme="minorHAnsi" w:cs="Arial"/>
          <w:sz w:val="22"/>
        </w:rPr>
        <w:t xml:space="preserve">, to ensure any significant concerns are considered.  It will also be informed by the findings from the </w:t>
      </w:r>
      <w:r w:rsidR="00D43D75">
        <w:rPr>
          <w:rFonts w:asciiTheme="minorHAnsi" w:hAnsiTheme="minorHAnsi" w:cs="Arial"/>
          <w:sz w:val="22"/>
        </w:rPr>
        <w:t xml:space="preserve">previous year’s </w:t>
      </w:r>
      <w:r>
        <w:rPr>
          <w:rFonts w:asciiTheme="minorHAnsi" w:hAnsiTheme="minorHAnsi" w:cs="Arial"/>
          <w:sz w:val="22"/>
        </w:rPr>
        <w:t xml:space="preserve">Annual </w:t>
      </w:r>
      <w:r w:rsidR="00F346D5">
        <w:rPr>
          <w:rFonts w:asciiTheme="minorHAnsi" w:hAnsiTheme="minorHAnsi" w:cs="Arial"/>
          <w:sz w:val="22"/>
        </w:rPr>
        <w:t>R</w:t>
      </w:r>
      <w:r>
        <w:rPr>
          <w:rFonts w:asciiTheme="minorHAnsi" w:hAnsiTheme="minorHAnsi" w:cs="Arial"/>
          <w:sz w:val="22"/>
        </w:rPr>
        <w:t>eview exercise</w:t>
      </w:r>
      <w:r w:rsidR="00D43D75">
        <w:rPr>
          <w:rFonts w:asciiTheme="minorHAnsi" w:hAnsiTheme="minorHAnsi" w:cs="Arial"/>
          <w:sz w:val="22"/>
        </w:rPr>
        <w:t>s</w:t>
      </w:r>
      <w:r>
        <w:rPr>
          <w:rFonts w:asciiTheme="minorHAnsi" w:hAnsiTheme="minorHAnsi" w:cs="Arial"/>
          <w:sz w:val="22"/>
        </w:rPr>
        <w:t xml:space="preserve"> and the </w:t>
      </w:r>
      <w:r w:rsidR="00630850">
        <w:rPr>
          <w:rFonts w:asciiTheme="minorHAnsi" w:hAnsiTheme="minorHAnsi" w:cs="Arial"/>
          <w:sz w:val="22"/>
        </w:rPr>
        <w:t>PGF and JSS4D’s</w:t>
      </w:r>
      <w:r>
        <w:rPr>
          <w:rFonts w:asciiTheme="minorHAnsi" w:hAnsiTheme="minorHAnsi" w:cs="Arial"/>
          <w:sz w:val="22"/>
        </w:rPr>
        <w:t xml:space="preserve"> own annual work-plans.</w:t>
      </w:r>
    </w:p>
    <w:p w14:paraId="5AE8A7ED" w14:textId="77777777" w:rsidR="001F1C48" w:rsidRPr="001B64BC" w:rsidRDefault="001F1C48" w:rsidP="00DC467F">
      <w:pPr>
        <w:spacing w:before="60" w:after="120" w:line="264" w:lineRule="auto"/>
        <w:jc w:val="both"/>
        <w:rPr>
          <w:rFonts w:asciiTheme="minorHAnsi" w:hAnsiTheme="minorHAnsi" w:cs="Arial"/>
          <w:sz w:val="22"/>
        </w:rPr>
      </w:pPr>
      <w:r>
        <w:rPr>
          <w:rFonts w:asciiTheme="minorHAnsi" w:hAnsiTheme="minorHAnsi" w:cs="Arial"/>
          <w:sz w:val="22"/>
        </w:rPr>
        <w:t>Following agreement between the SP and the AHC of the annual workplan</w:t>
      </w:r>
      <w:r w:rsidR="002F3E4E">
        <w:rPr>
          <w:rFonts w:asciiTheme="minorHAnsi" w:hAnsiTheme="minorHAnsi" w:cs="Arial"/>
          <w:sz w:val="22"/>
        </w:rPr>
        <w:t>,</w:t>
      </w:r>
      <w:r>
        <w:rPr>
          <w:rFonts w:asciiTheme="minorHAnsi" w:hAnsiTheme="minorHAnsi" w:cs="Arial"/>
          <w:sz w:val="22"/>
        </w:rPr>
        <w:t xml:space="preserve"> the AHC will issue a Services Order for the work. </w:t>
      </w:r>
    </w:p>
    <w:p w14:paraId="2A7F24D0" w14:textId="77777777" w:rsidR="00DC467F" w:rsidRPr="00DC467F" w:rsidRDefault="00DC467F" w:rsidP="00DC467F">
      <w:pPr>
        <w:spacing w:before="180" w:after="120" w:line="264" w:lineRule="auto"/>
        <w:rPr>
          <w:rFonts w:asciiTheme="minorHAnsi" w:hAnsiTheme="minorHAnsi" w:cs="Arial"/>
          <w:sz w:val="24"/>
          <w:szCs w:val="22"/>
          <w:u w:val="single"/>
        </w:rPr>
      </w:pPr>
      <w:r>
        <w:rPr>
          <w:rFonts w:asciiTheme="minorHAnsi" w:hAnsiTheme="minorHAnsi" w:cs="Arial"/>
          <w:sz w:val="24"/>
          <w:szCs w:val="22"/>
          <w:u w:val="single"/>
        </w:rPr>
        <w:t>Demand-led work</w:t>
      </w:r>
    </w:p>
    <w:p w14:paraId="6AB400BF" w14:textId="66FE4A97" w:rsidR="00594CA2" w:rsidRDefault="00594CA2" w:rsidP="00FD1F53">
      <w:pPr>
        <w:spacing w:before="60" w:after="120" w:line="264" w:lineRule="auto"/>
        <w:rPr>
          <w:rFonts w:asciiTheme="minorHAnsi" w:hAnsiTheme="minorHAnsi" w:cs="Arial"/>
          <w:sz w:val="22"/>
        </w:rPr>
      </w:pPr>
      <w:r>
        <w:rPr>
          <w:rFonts w:asciiTheme="minorHAnsi" w:hAnsiTheme="minorHAnsi" w:cs="Arial"/>
          <w:sz w:val="22"/>
        </w:rPr>
        <w:t>All r</w:t>
      </w:r>
      <w:r w:rsidR="00136FEB" w:rsidRPr="001B64BC">
        <w:rPr>
          <w:rFonts w:asciiTheme="minorHAnsi" w:hAnsiTheme="minorHAnsi" w:cs="Arial"/>
          <w:sz w:val="22"/>
        </w:rPr>
        <w:t xml:space="preserve">equests for </w:t>
      </w:r>
      <w:r w:rsidR="00DC0FDC">
        <w:rPr>
          <w:rFonts w:asciiTheme="minorHAnsi" w:hAnsiTheme="minorHAnsi" w:cs="Arial"/>
          <w:sz w:val="22"/>
        </w:rPr>
        <w:t>QTAG</w:t>
      </w:r>
      <w:r>
        <w:rPr>
          <w:rFonts w:asciiTheme="minorHAnsi" w:hAnsiTheme="minorHAnsi" w:cs="Arial"/>
          <w:sz w:val="22"/>
        </w:rPr>
        <w:t xml:space="preserve"> </w:t>
      </w:r>
      <w:r w:rsidR="000E3717">
        <w:rPr>
          <w:rFonts w:asciiTheme="minorHAnsi" w:hAnsiTheme="minorHAnsi" w:cs="Arial"/>
          <w:sz w:val="22"/>
        </w:rPr>
        <w:t xml:space="preserve">work </w:t>
      </w:r>
      <w:r w:rsidR="00624390">
        <w:rPr>
          <w:rFonts w:asciiTheme="minorHAnsi" w:hAnsiTheme="minorHAnsi" w:cs="Arial"/>
          <w:sz w:val="22"/>
        </w:rPr>
        <w:t>may</w:t>
      </w:r>
      <w:r>
        <w:rPr>
          <w:rFonts w:asciiTheme="minorHAnsi" w:hAnsiTheme="minorHAnsi" w:cs="Arial"/>
          <w:sz w:val="22"/>
        </w:rPr>
        <w:t xml:space="preserve"> be commissioned by the </w:t>
      </w:r>
      <w:r w:rsidR="00624390">
        <w:rPr>
          <w:rFonts w:asciiTheme="minorHAnsi" w:hAnsiTheme="minorHAnsi" w:cs="Arial"/>
          <w:sz w:val="22"/>
        </w:rPr>
        <w:t xml:space="preserve">AHC, </w:t>
      </w:r>
      <w:r w:rsidR="00630850">
        <w:rPr>
          <w:rFonts w:asciiTheme="minorHAnsi" w:hAnsiTheme="minorHAnsi" w:cs="Arial"/>
          <w:sz w:val="22"/>
        </w:rPr>
        <w:t>SMC and</w:t>
      </w:r>
      <w:r w:rsidR="00624390">
        <w:rPr>
          <w:rFonts w:asciiTheme="minorHAnsi" w:hAnsiTheme="minorHAnsi" w:cs="Arial"/>
          <w:sz w:val="22"/>
        </w:rPr>
        <w:t>/or</w:t>
      </w:r>
      <w:r w:rsidR="00630850">
        <w:rPr>
          <w:rFonts w:asciiTheme="minorHAnsi" w:hAnsiTheme="minorHAnsi" w:cs="Arial"/>
          <w:sz w:val="22"/>
        </w:rPr>
        <w:t xml:space="preserve"> SPGM</w:t>
      </w:r>
      <w:r>
        <w:rPr>
          <w:rFonts w:asciiTheme="minorHAnsi" w:hAnsiTheme="minorHAnsi" w:cs="Arial"/>
          <w:sz w:val="22"/>
        </w:rPr>
        <w:t xml:space="preserve">.  </w:t>
      </w:r>
      <w:r w:rsidR="00CE5E38">
        <w:rPr>
          <w:rFonts w:asciiTheme="minorHAnsi" w:hAnsiTheme="minorHAnsi" w:cs="Arial"/>
          <w:sz w:val="22"/>
        </w:rPr>
        <w:t xml:space="preserve">For </w:t>
      </w:r>
      <w:r>
        <w:rPr>
          <w:rFonts w:asciiTheme="minorHAnsi" w:hAnsiTheme="minorHAnsi" w:cs="Arial"/>
          <w:sz w:val="22"/>
        </w:rPr>
        <w:t>practicab</w:t>
      </w:r>
      <w:r w:rsidR="00CE5E38">
        <w:rPr>
          <w:rFonts w:asciiTheme="minorHAnsi" w:hAnsiTheme="minorHAnsi" w:cs="Arial"/>
          <w:sz w:val="22"/>
        </w:rPr>
        <w:t>i</w:t>
      </w:r>
      <w:r>
        <w:rPr>
          <w:rFonts w:asciiTheme="minorHAnsi" w:hAnsiTheme="minorHAnsi" w:cs="Arial"/>
          <w:sz w:val="22"/>
        </w:rPr>
        <w:t>l</w:t>
      </w:r>
      <w:r w:rsidR="00CE5E38">
        <w:rPr>
          <w:rFonts w:asciiTheme="minorHAnsi" w:hAnsiTheme="minorHAnsi" w:cs="Arial"/>
          <w:sz w:val="22"/>
        </w:rPr>
        <w:t>ity</w:t>
      </w:r>
      <w:r>
        <w:rPr>
          <w:rFonts w:asciiTheme="minorHAnsi" w:hAnsiTheme="minorHAnsi" w:cs="Arial"/>
          <w:sz w:val="22"/>
        </w:rPr>
        <w:t xml:space="preserve"> </w:t>
      </w:r>
      <w:r w:rsidR="00CE5E38">
        <w:rPr>
          <w:rFonts w:asciiTheme="minorHAnsi" w:hAnsiTheme="minorHAnsi" w:cs="Arial"/>
          <w:sz w:val="22"/>
        </w:rPr>
        <w:t>reasons</w:t>
      </w:r>
      <w:r>
        <w:rPr>
          <w:rFonts w:asciiTheme="minorHAnsi" w:hAnsiTheme="minorHAnsi" w:cs="Arial"/>
          <w:sz w:val="22"/>
        </w:rPr>
        <w:t xml:space="preserve">, </w:t>
      </w:r>
      <w:r w:rsidR="00624390">
        <w:rPr>
          <w:rFonts w:asciiTheme="minorHAnsi" w:hAnsiTheme="minorHAnsi" w:cs="Arial"/>
          <w:sz w:val="22"/>
        </w:rPr>
        <w:t xml:space="preserve">it is expected that </w:t>
      </w:r>
      <w:r>
        <w:rPr>
          <w:rFonts w:asciiTheme="minorHAnsi" w:hAnsiTheme="minorHAnsi" w:cs="Arial"/>
          <w:sz w:val="22"/>
        </w:rPr>
        <w:t>these bodies will agree</w:t>
      </w:r>
      <w:r w:rsidR="00630850">
        <w:rPr>
          <w:rFonts w:asciiTheme="minorHAnsi" w:hAnsiTheme="minorHAnsi" w:cs="Arial"/>
          <w:sz w:val="22"/>
        </w:rPr>
        <w:t xml:space="preserve"> on</w:t>
      </w:r>
      <w:r>
        <w:rPr>
          <w:rFonts w:asciiTheme="minorHAnsi" w:hAnsiTheme="minorHAnsi" w:cs="Arial"/>
          <w:sz w:val="22"/>
        </w:rPr>
        <w:t xml:space="preserve"> a standard list of program documents</w:t>
      </w:r>
      <w:r w:rsidR="00BC5A8A">
        <w:rPr>
          <w:rFonts w:asciiTheme="minorHAnsi" w:hAnsiTheme="minorHAnsi" w:cs="Arial"/>
          <w:sz w:val="22"/>
        </w:rPr>
        <w:t>/output</w:t>
      </w:r>
      <w:r>
        <w:rPr>
          <w:rFonts w:asciiTheme="minorHAnsi" w:hAnsiTheme="minorHAnsi" w:cs="Arial"/>
          <w:sz w:val="22"/>
        </w:rPr>
        <w:t xml:space="preserve"> that should be subject to </w:t>
      </w:r>
      <w:r w:rsidR="00DC0FDC">
        <w:rPr>
          <w:rFonts w:asciiTheme="minorHAnsi" w:hAnsiTheme="minorHAnsi" w:cs="Arial"/>
          <w:sz w:val="22"/>
        </w:rPr>
        <w:t>QTAG</w:t>
      </w:r>
      <w:r>
        <w:rPr>
          <w:rFonts w:asciiTheme="minorHAnsi" w:hAnsiTheme="minorHAnsi" w:cs="Arial"/>
          <w:sz w:val="22"/>
        </w:rPr>
        <w:t xml:space="preserve"> quality assurance and commissioning authority </w:t>
      </w:r>
      <w:r w:rsidR="00624390">
        <w:rPr>
          <w:rFonts w:asciiTheme="minorHAnsi" w:hAnsiTheme="minorHAnsi" w:cs="Arial"/>
          <w:sz w:val="22"/>
        </w:rPr>
        <w:t xml:space="preserve">will be by </w:t>
      </w:r>
      <w:r>
        <w:rPr>
          <w:rFonts w:asciiTheme="minorHAnsi" w:hAnsiTheme="minorHAnsi" w:cs="Arial"/>
          <w:sz w:val="22"/>
        </w:rPr>
        <w:t xml:space="preserve">the AHC.  </w:t>
      </w:r>
      <w:r w:rsidR="00566144">
        <w:rPr>
          <w:rFonts w:asciiTheme="minorHAnsi" w:hAnsiTheme="minorHAnsi" w:cs="Arial"/>
          <w:sz w:val="22"/>
        </w:rPr>
        <w:t>Th</w:t>
      </w:r>
      <w:r w:rsidR="00624390">
        <w:rPr>
          <w:rFonts w:asciiTheme="minorHAnsi" w:hAnsiTheme="minorHAnsi" w:cs="Arial"/>
          <w:sz w:val="22"/>
        </w:rPr>
        <w:t xml:space="preserve">e AHC </w:t>
      </w:r>
      <w:r w:rsidR="00CE5E38">
        <w:rPr>
          <w:rFonts w:asciiTheme="minorHAnsi" w:hAnsiTheme="minorHAnsi" w:cs="Arial"/>
          <w:sz w:val="22"/>
        </w:rPr>
        <w:t xml:space="preserve">will be responsible for ensuring requests for </w:t>
      </w:r>
      <w:r w:rsidR="00DC0FDC">
        <w:rPr>
          <w:rFonts w:asciiTheme="minorHAnsi" w:hAnsiTheme="minorHAnsi" w:cs="Arial"/>
          <w:sz w:val="22"/>
        </w:rPr>
        <w:t>QTAG</w:t>
      </w:r>
      <w:r w:rsidR="00CE5E38">
        <w:rPr>
          <w:rFonts w:asciiTheme="minorHAnsi" w:hAnsiTheme="minorHAnsi" w:cs="Arial"/>
          <w:sz w:val="22"/>
        </w:rPr>
        <w:t xml:space="preserve"> are in line with its objectives and terms of reference</w:t>
      </w:r>
      <w:r w:rsidR="00630850">
        <w:rPr>
          <w:rFonts w:asciiTheme="minorHAnsi" w:hAnsiTheme="minorHAnsi" w:cs="Arial"/>
          <w:sz w:val="22"/>
        </w:rPr>
        <w:t xml:space="preserve"> and adequately budgeted with appropriate financial approval to undertake required work</w:t>
      </w:r>
      <w:r w:rsidR="00CE5E38">
        <w:rPr>
          <w:rFonts w:asciiTheme="minorHAnsi" w:hAnsiTheme="minorHAnsi" w:cs="Arial"/>
          <w:sz w:val="22"/>
        </w:rPr>
        <w:t xml:space="preserve">.  </w:t>
      </w:r>
      <w:r>
        <w:rPr>
          <w:rFonts w:asciiTheme="minorHAnsi" w:hAnsiTheme="minorHAnsi" w:cs="Arial"/>
          <w:sz w:val="22"/>
        </w:rPr>
        <w:t xml:space="preserve">In case of exceptional requests for </w:t>
      </w:r>
      <w:r w:rsidR="00DC0FDC">
        <w:rPr>
          <w:rFonts w:asciiTheme="minorHAnsi" w:hAnsiTheme="minorHAnsi" w:cs="Arial"/>
          <w:sz w:val="22"/>
        </w:rPr>
        <w:t>QTAG</w:t>
      </w:r>
      <w:r>
        <w:rPr>
          <w:rFonts w:asciiTheme="minorHAnsi" w:hAnsiTheme="minorHAnsi" w:cs="Arial"/>
          <w:sz w:val="22"/>
        </w:rPr>
        <w:t xml:space="preserve"> support, approval may be obtained </w:t>
      </w:r>
      <w:r w:rsidR="00462463">
        <w:rPr>
          <w:rFonts w:asciiTheme="minorHAnsi" w:hAnsiTheme="minorHAnsi" w:cs="Arial"/>
          <w:sz w:val="22"/>
        </w:rPr>
        <w:t xml:space="preserve">if required </w:t>
      </w:r>
      <w:r>
        <w:rPr>
          <w:rFonts w:asciiTheme="minorHAnsi" w:hAnsiTheme="minorHAnsi" w:cs="Arial"/>
          <w:sz w:val="22"/>
        </w:rPr>
        <w:t xml:space="preserve">from the relevant strategic management body out of session.   </w:t>
      </w:r>
    </w:p>
    <w:p w14:paraId="525873B7" w14:textId="77777777" w:rsidR="00136FEB" w:rsidRPr="00465324" w:rsidRDefault="00136FEB" w:rsidP="001B64BC">
      <w:pPr>
        <w:spacing w:before="60" w:after="120" w:line="264" w:lineRule="auto"/>
        <w:jc w:val="both"/>
        <w:rPr>
          <w:rFonts w:asciiTheme="minorHAnsi" w:hAnsiTheme="minorHAnsi" w:cs="Arial"/>
          <w:sz w:val="22"/>
        </w:rPr>
      </w:pPr>
      <w:r w:rsidRPr="001B64BC">
        <w:rPr>
          <w:rFonts w:asciiTheme="minorHAnsi" w:hAnsiTheme="minorHAnsi" w:cs="Arial"/>
          <w:sz w:val="22"/>
        </w:rPr>
        <w:t xml:space="preserve">The </w:t>
      </w:r>
      <w:r w:rsidR="00EF3147">
        <w:rPr>
          <w:rFonts w:asciiTheme="minorHAnsi" w:hAnsiTheme="minorHAnsi" w:cs="Arial"/>
          <w:sz w:val="22"/>
        </w:rPr>
        <w:t>specific requirements for each discrete piece of work, the resource inputs and costs and reporting requirements f</w:t>
      </w:r>
      <w:r w:rsidRPr="001B64BC">
        <w:rPr>
          <w:rFonts w:asciiTheme="minorHAnsi" w:hAnsiTheme="minorHAnsi" w:cs="Arial"/>
          <w:sz w:val="22"/>
        </w:rPr>
        <w:t xml:space="preserve">or each </w:t>
      </w:r>
      <w:r w:rsidR="00EF3147">
        <w:rPr>
          <w:rFonts w:asciiTheme="minorHAnsi" w:hAnsiTheme="minorHAnsi" w:cs="Arial"/>
          <w:sz w:val="22"/>
        </w:rPr>
        <w:t xml:space="preserve">discrete </w:t>
      </w:r>
      <w:r w:rsidRPr="001B64BC">
        <w:rPr>
          <w:rFonts w:asciiTheme="minorHAnsi" w:hAnsiTheme="minorHAnsi" w:cs="Arial"/>
          <w:sz w:val="22"/>
        </w:rPr>
        <w:t xml:space="preserve">request will be agreed in advance with </w:t>
      </w:r>
      <w:r w:rsidR="00EF3147">
        <w:rPr>
          <w:rFonts w:asciiTheme="minorHAnsi" w:hAnsiTheme="minorHAnsi" w:cs="Arial"/>
          <w:sz w:val="22"/>
        </w:rPr>
        <w:t>AHC</w:t>
      </w:r>
      <w:r w:rsidR="00EF3147" w:rsidRPr="001B64BC">
        <w:rPr>
          <w:rFonts w:asciiTheme="minorHAnsi" w:hAnsiTheme="minorHAnsi" w:cs="Arial"/>
          <w:sz w:val="22"/>
        </w:rPr>
        <w:t xml:space="preserve"> </w:t>
      </w:r>
      <w:r w:rsidRPr="001B64BC">
        <w:rPr>
          <w:rFonts w:asciiTheme="minorHAnsi" w:hAnsiTheme="minorHAnsi" w:cs="Arial"/>
          <w:sz w:val="22"/>
        </w:rPr>
        <w:t xml:space="preserve">and </w:t>
      </w:r>
      <w:r w:rsidR="00EF3147">
        <w:rPr>
          <w:rFonts w:asciiTheme="minorHAnsi" w:hAnsiTheme="minorHAnsi" w:cs="Arial"/>
          <w:sz w:val="22"/>
        </w:rPr>
        <w:t>detailed in a Services Order issued by the AHC.</w:t>
      </w:r>
      <w:r w:rsidRPr="001B64BC">
        <w:rPr>
          <w:rFonts w:asciiTheme="minorHAnsi" w:hAnsiTheme="minorHAnsi" w:cs="Arial"/>
          <w:sz w:val="22"/>
        </w:rPr>
        <w:t xml:space="preserve"> </w:t>
      </w:r>
      <w:r w:rsidR="00AE4FE7">
        <w:rPr>
          <w:rFonts w:asciiTheme="minorHAnsi" w:hAnsiTheme="minorHAnsi" w:cs="Arial"/>
          <w:sz w:val="22"/>
        </w:rPr>
        <w:t xml:space="preserve">In their proposals, tenderers </w:t>
      </w:r>
      <w:r w:rsidRPr="00465324">
        <w:rPr>
          <w:rFonts w:asciiTheme="minorHAnsi" w:hAnsiTheme="minorHAnsi" w:cs="Arial"/>
          <w:sz w:val="22"/>
        </w:rPr>
        <w:t>should suggest practicable ways to ensure the efficiency of that process.</w:t>
      </w:r>
      <w:r w:rsidR="009854C5">
        <w:rPr>
          <w:rFonts w:asciiTheme="minorHAnsi" w:hAnsiTheme="minorHAnsi" w:cs="Arial"/>
          <w:sz w:val="22"/>
        </w:rPr>
        <w:t xml:space="preserve">  A streamlined process will be finalised in consultation with AHC and the SP during the set up period.   </w:t>
      </w:r>
    </w:p>
    <w:p w14:paraId="3740B464" w14:textId="77777777" w:rsidR="00F14E1C" w:rsidRPr="00F14E1C" w:rsidRDefault="00F14E1C" w:rsidP="00F14E1C">
      <w:pPr>
        <w:spacing w:before="180" w:after="120" w:line="264" w:lineRule="auto"/>
        <w:rPr>
          <w:rFonts w:asciiTheme="minorHAnsi" w:hAnsiTheme="minorHAnsi" w:cs="Arial"/>
          <w:sz w:val="24"/>
          <w:szCs w:val="22"/>
          <w:u w:val="single"/>
        </w:rPr>
      </w:pPr>
      <w:r>
        <w:rPr>
          <w:rFonts w:asciiTheme="minorHAnsi" w:hAnsiTheme="minorHAnsi" w:cs="Arial"/>
          <w:sz w:val="24"/>
          <w:szCs w:val="22"/>
          <w:u w:val="single"/>
        </w:rPr>
        <w:t xml:space="preserve">Relationships with </w:t>
      </w:r>
      <w:r w:rsidR="005D0A87">
        <w:rPr>
          <w:rFonts w:asciiTheme="minorHAnsi" w:hAnsiTheme="minorHAnsi" w:cs="Arial"/>
          <w:sz w:val="24"/>
          <w:szCs w:val="22"/>
          <w:u w:val="single"/>
        </w:rPr>
        <w:t xml:space="preserve">other </w:t>
      </w:r>
      <w:r>
        <w:rPr>
          <w:rFonts w:asciiTheme="minorHAnsi" w:hAnsiTheme="minorHAnsi" w:cs="Arial"/>
          <w:sz w:val="24"/>
          <w:szCs w:val="22"/>
          <w:u w:val="single"/>
        </w:rPr>
        <w:t>AHC governance programs</w:t>
      </w:r>
      <w:r w:rsidR="000E3717">
        <w:rPr>
          <w:rFonts w:asciiTheme="minorHAnsi" w:hAnsiTheme="minorHAnsi" w:cs="Arial"/>
          <w:sz w:val="24"/>
          <w:szCs w:val="22"/>
          <w:u w:val="single"/>
        </w:rPr>
        <w:t xml:space="preserve"> </w:t>
      </w:r>
    </w:p>
    <w:p w14:paraId="48552124" w14:textId="222D3C32" w:rsidR="00F14E1C" w:rsidRDefault="004000D7" w:rsidP="00BF0E61">
      <w:pPr>
        <w:spacing w:before="60" w:after="120" w:line="264" w:lineRule="auto"/>
        <w:rPr>
          <w:rFonts w:asciiTheme="minorHAnsi" w:hAnsiTheme="minorHAnsi"/>
          <w:sz w:val="22"/>
          <w:szCs w:val="22"/>
        </w:rPr>
      </w:pPr>
      <w:r>
        <w:rPr>
          <w:rFonts w:asciiTheme="minorHAnsi" w:hAnsiTheme="minorHAnsi"/>
          <w:sz w:val="22"/>
          <w:szCs w:val="22"/>
        </w:rPr>
        <w:t xml:space="preserve">In </w:t>
      </w:r>
      <w:r w:rsidRPr="00BF0E61">
        <w:rPr>
          <w:rFonts w:asciiTheme="minorHAnsi" w:hAnsiTheme="minorHAnsi" w:cs="Arial"/>
          <w:sz w:val="22"/>
        </w:rPr>
        <w:t>addition</w:t>
      </w:r>
      <w:r>
        <w:rPr>
          <w:rFonts w:asciiTheme="minorHAnsi" w:hAnsiTheme="minorHAnsi"/>
          <w:sz w:val="22"/>
          <w:szCs w:val="22"/>
        </w:rPr>
        <w:t xml:space="preserve"> to the PGF and JSS4D programs, AHC has a number of other programs, which include expertise that may be relevant to the </w:t>
      </w:r>
      <w:r w:rsidR="00DC0FDC">
        <w:rPr>
          <w:rFonts w:asciiTheme="minorHAnsi" w:hAnsiTheme="minorHAnsi"/>
          <w:sz w:val="22"/>
          <w:szCs w:val="22"/>
        </w:rPr>
        <w:t>QTAG</w:t>
      </w:r>
      <w:r>
        <w:rPr>
          <w:rFonts w:asciiTheme="minorHAnsi" w:hAnsiTheme="minorHAnsi"/>
          <w:sz w:val="22"/>
          <w:szCs w:val="22"/>
        </w:rPr>
        <w:t xml:space="preserve">.  Notable among these is DFAT’s regional </w:t>
      </w:r>
      <w:r w:rsidR="00F14E1C" w:rsidRPr="00CE5E38">
        <w:rPr>
          <w:rFonts w:asciiTheme="minorHAnsi" w:hAnsiTheme="minorHAnsi"/>
          <w:sz w:val="22"/>
          <w:szCs w:val="22"/>
        </w:rPr>
        <w:t xml:space="preserve">Pacific Women Shaping Pacific Development (PWSPD) </w:t>
      </w:r>
      <w:r>
        <w:rPr>
          <w:rFonts w:asciiTheme="minorHAnsi" w:hAnsiTheme="minorHAnsi"/>
          <w:sz w:val="22"/>
          <w:szCs w:val="22"/>
        </w:rPr>
        <w:t xml:space="preserve">program, which </w:t>
      </w:r>
      <w:r w:rsidR="00F14E1C" w:rsidRPr="00CE5E38">
        <w:rPr>
          <w:rFonts w:asciiTheme="minorHAnsi" w:hAnsiTheme="minorHAnsi"/>
          <w:sz w:val="22"/>
          <w:szCs w:val="22"/>
        </w:rPr>
        <w:t>support</w:t>
      </w:r>
      <w:r>
        <w:rPr>
          <w:rFonts w:asciiTheme="minorHAnsi" w:hAnsiTheme="minorHAnsi"/>
          <w:sz w:val="22"/>
          <w:szCs w:val="22"/>
        </w:rPr>
        <w:t>s</w:t>
      </w:r>
      <w:r w:rsidR="00F14E1C" w:rsidRPr="00CE5E38">
        <w:rPr>
          <w:rFonts w:asciiTheme="minorHAnsi" w:hAnsiTheme="minorHAnsi"/>
          <w:sz w:val="22"/>
          <w:szCs w:val="22"/>
        </w:rPr>
        <w:t xml:space="preserve"> a significant range of activities Papua New Guinea</w:t>
      </w:r>
      <w:r>
        <w:rPr>
          <w:rFonts w:asciiTheme="minorHAnsi" w:hAnsiTheme="minorHAnsi"/>
          <w:sz w:val="22"/>
          <w:szCs w:val="22"/>
        </w:rPr>
        <w:t xml:space="preserve">.  This program includes significant gender expertise and is expected to achieve </w:t>
      </w:r>
      <w:r w:rsidR="00F14E1C" w:rsidRPr="00CE5E38">
        <w:rPr>
          <w:rFonts w:asciiTheme="minorHAnsi" w:hAnsiTheme="minorHAnsi"/>
          <w:sz w:val="22"/>
          <w:szCs w:val="22"/>
        </w:rPr>
        <w:t>a high degree of collaboration and cooperation with both the PGF and JSS4D programs.</w:t>
      </w:r>
    </w:p>
    <w:p w14:paraId="04E5407E" w14:textId="6B006A05" w:rsidR="004000D7" w:rsidRDefault="004000D7" w:rsidP="00BF0E61">
      <w:pPr>
        <w:spacing w:before="60" w:after="120" w:line="264" w:lineRule="auto"/>
        <w:jc w:val="both"/>
        <w:rPr>
          <w:rFonts w:asciiTheme="minorHAnsi" w:hAnsiTheme="minorHAnsi"/>
          <w:sz w:val="22"/>
          <w:szCs w:val="22"/>
        </w:rPr>
      </w:pPr>
      <w:r>
        <w:rPr>
          <w:rFonts w:asciiTheme="minorHAnsi" w:hAnsiTheme="minorHAnsi"/>
          <w:sz w:val="22"/>
          <w:szCs w:val="22"/>
        </w:rPr>
        <w:t xml:space="preserve">In order </w:t>
      </w:r>
      <w:r w:rsidRPr="00BF0E61">
        <w:rPr>
          <w:rFonts w:asciiTheme="minorHAnsi" w:hAnsiTheme="minorHAnsi" w:cs="Arial"/>
          <w:sz w:val="22"/>
        </w:rPr>
        <w:t>to</w:t>
      </w:r>
      <w:r>
        <w:rPr>
          <w:rFonts w:asciiTheme="minorHAnsi" w:hAnsiTheme="minorHAnsi"/>
          <w:sz w:val="22"/>
          <w:szCs w:val="22"/>
        </w:rPr>
        <w:t xml:space="preserve"> avoid duplication of skills, there may be opportunities for the </w:t>
      </w:r>
      <w:r w:rsidR="00DC0FDC">
        <w:rPr>
          <w:rFonts w:asciiTheme="minorHAnsi" w:hAnsiTheme="minorHAnsi"/>
          <w:sz w:val="22"/>
          <w:szCs w:val="22"/>
        </w:rPr>
        <w:t>QTAG</w:t>
      </w:r>
      <w:r>
        <w:rPr>
          <w:rFonts w:asciiTheme="minorHAnsi" w:hAnsiTheme="minorHAnsi"/>
          <w:sz w:val="22"/>
          <w:szCs w:val="22"/>
        </w:rPr>
        <w:t xml:space="preserve"> to </w:t>
      </w:r>
      <w:r w:rsidR="00462463">
        <w:rPr>
          <w:rFonts w:asciiTheme="minorHAnsi" w:hAnsiTheme="minorHAnsi"/>
          <w:sz w:val="22"/>
          <w:szCs w:val="22"/>
        </w:rPr>
        <w:t>collaborate</w:t>
      </w:r>
      <w:r w:rsidR="000E3717">
        <w:rPr>
          <w:rFonts w:asciiTheme="minorHAnsi" w:hAnsiTheme="minorHAnsi"/>
          <w:sz w:val="22"/>
          <w:szCs w:val="22"/>
        </w:rPr>
        <w:t xml:space="preserve"> </w:t>
      </w:r>
      <w:r w:rsidR="00462463">
        <w:rPr>
          <w:rFonts w:asciiTheme="minorHAnsi" w:hAnsiTheme="minorHAnsi"/>
          <w:sz w:val="22"/>
          <w:szCs w:val="22"/>
        </w:rPr>
        <w:t xml:space="preserve">with </w:t>
      </w:r>
      <w:r>
        <w:rPr>
          <w:rFonts w:asciiTheme="minorHAnsi" w:hAnsiTheme="minorHAnsi"/>
          <w:sz w:val="22"/>
          <w:szCs w:val="22"/>
        </w:rPr>
        <w:t xml:space="preserve">the expertise of existing programs </w:t>
      </w:r>
      <w:r w:rsidR="000E3717">
        <w:rPr>
          <w:rFonts w:asciiTheme="minorHAnsi" w:hAnsiTheme="minorHAnsi"/>
          <w:sz w:val="22"/>
          <w:szCs w:val="22"/>
        </w:rPr>
        <w:t xml:space="preserve">(such as the Pacific Women) </w:t>
      </w:r>
      <w:r>
        <w:rPr>
          <w:rFonts w:asciiTheme="minorHAnsi" w:hAnsiTheme="minorHAnsi"/>
          <w:sz w:val="22"/>
          <w:szCs w:val="22"/>
        </w:rPr>
        <w:t xml:space="preserve">to address aspects of, for example, the Annual Reviews, where this is feasible and does not involve any conflict of interest.   </w:t>
      </w:r>
    </w:p>
    <w:p w14:paraId="69E7D027" w14:textId="4270DAF3" w:rsidR="004000D7" w:rsidRPr="00CE5E38" w:rsidRDefault="004000D7" w:rsidP="00BF0E61">
      <w:pPr>
        <w:spacing w:before="60" w:after="120" w:line="264" w:lineRule="auto"/>
        <w:jc w:val="both"/>
        <w:rPr>
          <w:rFonts w:asciiTheme="minorHAnsi" w:hAnsiTheme="minorHAnsi"/>
          <w:sz w:val="22"/>
          <w:szCs w:val="22"/>
        </w:rPr>
      </w:pPr>
      <w:r w:rsidRPr="00BF0E61">
        <w:rPr>
          <w:rFonts w:asciiTheme="minorHAnsi" w:hAnsiTheme="minorHAnsi" w:cs="Arial"/>
          <w:sz w:val="22"/>
        </w:rPr>
        <w:t>Tenderers</w:t>
      </w:r>
      <w:r>
        <w:rPr>
          <w:rFonts w:asciiTheme="minorHAnsi" w:hAnsiTheme="minorHAnsi"/>
          <w:sz w:val="22"/>
          <w:szCs w:val="22"/>
        </w:rPr>
        <w:t xml:space="preserve"> should include in their proposals how they anticipate coordinating the activities of the </w:t>
      </w:r>
      <w:r w:rsidR="00DC0FDC">
        <w:rPr>
          <w:rFonts w:asciiTheme="minorHAnsi" w:hAnsiTheme="minorHAnsi"/>
          <w:sz w:val="22"/>
          <w:szCs w:val="22"/>
        </w:rPr>
        <w:t>QTAG</w:t>
      </w:r>
      <w:r>
        <w:rPr>
          <w:rFonts w:asciiTheme="minorHAnsi" w:hAnsiTheme="minorHAnsi"/>
          <w:sz w:val="22"/>
          <w:szCs w:val="22"/>
        </w:rPr>
        <w:t xml:space="preserve"> with the other relevant AHC programs.</w:t>
      </w:r>
    </w:p>
    <w:p w14:paraId="7D2952B6" w14:textId="7E8C6D6C" w:rsidR="00FD1F53" w:rsidRPr="00FD1F53" w:rsidRDefault="00964A2E" w:rsidP="00FD1F53">
      <w:pPr>
        <w:spacing w:before="180" w:after="120" w:line="264" w:lineRule="auto"/>
        <w:rPr>
          <w:rFonts w:asciiTheme="minorHAnsi" w:hAnsiTheme="minorHAnsi" w:cs="Arial"/>
          <w:sz w:val="24"/>
          <w:szCs w:val="22"/>
          <w:u w:val="single"/>
        </w:rPr>
      </w:pPr>
      <w:r>
        <w:rPr>
          <w:rFonts w:asciiTheme="minorHAnsi" w:hAnsiTheme="minorHAnsi" w:cs="Arial"/>
          <w:sz w:val="24"/>
          <w:szCs w:val="22"/>
          <w:u w:val="single"/>
        </w:rPr>
        <w:t xml:space="preserve">(Indicative) </w:t>
      </w:r>
      <w:r w:rsidR="00FD1F53" w:rsidRPr="00FD1F53">
        <w:rPr>
          <w:rFonts w:asciiTheme="minorHAnsi" w:hAnsiTheme="minorHAnsi" w:cs="Arial"/>
          <w:sz w:val="24"/>
          <w:szCs w:val="22"/>
          <w:u w:val="single"/>
        </w:rPr>
        <w:t>Resourcing</w:t>
      </w:r>
      <w:r w:rsidR="00E202A8">
        <w:rPr>
          <w:rFonts w:asciiTheme="minorHAnsi" w:hAnsiTheme="minorHAnsi" w:cs="Arial"/>
          <w:sz w:val="24"/>
          <w:szCs w:val="22"/>
          <w:u w:val="single"/>
        </w:rPr>
        <w:t xml:space="preserve"> the </w:t>
      </w:r>
      <w:r w:rsidR="00DC0FDC">
        <w:rPr>
          <w:rFonts w:asciiTheme="minorHAnsi" w:hAnsiTheme="minorHAnsi" w:cs="Arial"/>
          <w:sz w:val="24"/>
          <w:szCs w:val="22"/>
          <w:u w:val="single"/>
        </w:rPr>
        <w:t>QTAG</w:t>
      </w:r>
    </w:p>
    <w:p w14:paraId="35571B8F" w14:textId="6C4EBD92" w:rsidR="00465324" w:rsidRDefault="00465324" w:rsidP="00BF0E61">
      <w:pPr>
        <w:spacing w:before="60" w:after="120" w:line="264" w:lineRule="auto"/>
        <w:rPr>
          <w:rFonts w:asciiTheme="minorHAnsi" w:hAnsiTheme="minorHAnsi"/>
          <w:color w:val="000000" w:themeColor="text1"/>
          <w:sz w:val="22"/>
          <w:lang w:eastAsia="en-AU"/>
        </w:rPr>
      </w:pPr>
      <w:r w:rsidRPr="001B64BC">
        <w:rPr>
          <w:rFonts w:asciiTheme="minorHAnsi" w:hAnsiTheme="minorHAnsi"/>
          <w:color w:val="000000" w:themeColor="text1"/>
          <w:sz w:val="22"/>
          <w:lang w:eastAsia="en-AU"/>
        </w:rPr>
        <w:t xml:space="preserve">Tenderers </w:t>
      </w:r>
      <w:r w:rsidR="00E202A8">
        <w:rPr>
          <w:rFonts w:asciiTheme="minorHAnsi" w:hAnsiTheme="minorHAnsi"/>
          <w:color w:val="000000" w:themeColor="text1"/>
          <w:sz w:val="22"/>
          <w:lang w:eastAsia="en-AU"/>
        </w:rPr>
        <w:t xml:space="preserve">should </w:t>
      </w:r>
      <w:r w:rsidRPr="001B64BC">
        <w:rPr>
          <w:rFonts w:asciiTheme="minorHAnsi" w:hAnsiTheme="minorHAnsi"/>
          <w:color w:val="000000" w:themeColor="text1"/>
          <w:sz w:val="22"/>
          <w:lang w:eastAsia="en-AU"/>
        </w:rPr>
        <w:t xml:space="preserve">explain in their </w:t>
      </w:r>
      <w:r w:rsidRPr="00BF0E61">
        <w:rPr>
          <w:rFonts w:asciiTheme="minorHAnsi" w:hAnsiTheme="minorHAnsi"/>
          <w:sz w:val="22"/>
          <w:szCs w:val="22"/>
        </w:rPr>
        <w:t>proposals</w:t>
      </w:r>
      <w:r w:rsidRPr="001B64BC">
        <w:rPr>
          <w:rFonts w:asciiTheme="minorHAnsi" w:hAnsiTheme="minorHAnsi"/>
          <w:color w:val="000000" w:themeColor="text1"/>
          <w:sz w:val="22"/>
          <w:lang w:eastAsia="en-AU"/>
        </w:rPr>
        <w:t xml:space="preserve"> </w:t>
      </w:r>
      <w:r w:rsidR="003A3D41">
        <w:rPr>
          <w:rFonts w:asciiTheme="minorHAnsi" w:hAnsiTheme="minorHAnsi"/>
          <w:color w:val="000000" w:themeColor="text1"/>
          <w:sz w:val="22"/>
          <w:lang w:eastAsia="en-AU"/>
        </w:rPr>
        <w:t xml:space="preserve">the internal governance arrangements they will establish to </w:t>
      </w:r>
      <w:r w:rsidR="003A3D41" w:rsidRPr="00BF0E61">
        <w:rPr>
          <w:rFonts w:asciiTheme="minorHAnsi" w:hAnsiTheme="minorHAnsi" w:cs="Arial"/>
          <w:sz w:val="22"/>
        </w:rPr>
        <w:t>ensure</w:t>
      </w:r>
      <w:r w:rsidR="003A3D41">
        <w:rPr>
          <w:rFonts w:asciiTheme="minorHAnsi" w:hAnsiTheme="minorHAnsi"/>
          <w:color w:val="000000" w:themeColor="text1"/>
          <w:sz w:val="22"/>
          <w:lang w:eastAsia="en-AU"/>
        </w:rPr>
        <w:t xml:space="preserve"> </w:t>
      </w:r>
      <w:r w:rsidR="00613350">
        <w:rPr>
          <w:rFonts w:asciiTheme="minorHAnsi" w:hAnsiTheme="minorHAnsi"/>
          <w:color w:val="000000" w:themeColor="text1"/>
          <w:sz w:val="22"/>
          <w:lang w:eastAsia="en-AU"/>
        </w:rPr>
        <w:t xml:space="preserve">efficient management and </w:t>
      </w:r>
      <w:r w:rsidR="00613350" w:rsidRPr="00613350">
        <w:rPr>
          <w:rFonts w:asciiTheme="minorHAnsi" w:hAnsiTheme="minorHAnsi"/>
          <w:color w:val="000000" w:themeColor="text1"/>
          <w:sz w:val="22"/>
          <w:lang w:eastAsia="en-AU"/>
        </w:rPr>
        <w:t>liaison with the AHC</w:t>
      </w:r>
      <w:r w:rsidR="00613350">
        <w:rPr>
          <w:rFonts w:asciiTheme="minorHAnsi" w:hAnsiTheme="minorHAnsi"/>
          <w:color w:val="000000" w:themeColor="text1"/>
          <w:sz w:val="22"/>
          <w:lang w:eastAsia="en-AU"/>
        </w:rPr>
        <w:t xml:space="preserve"> and </w:t>
      </w:r>
      <w:r w:rsidR="003A3D41">
        <w:rPr>
          <w:rFonts w:asciiTheme="minorHAnsi" w:hAnsiTheme="minorHAnsi"/>
          <w:color w:val="000000" w:themeColor="text1"/>
          <w:sz w:val="22"/>
          <w:lang w:eastAsia="en-AU"/>
        </w:rPr>
        <w:t xml:space="preserve">effective </w:t>
      </w:r>
      <w:r w:rsidR="00613350">
        <w:rPr>
          <w:rFonts w:asciiTheme="minorHAnsi" w:hAnsiTheme="minorHAnsi"/>
          <w:color w:val="000000" w:themeColor="text1"/>
          <w:sz w:val="22"/>
          <w:lang w:eastAsia="en-AU"/>
        </w:rPr>
        <w:t xml:space="preserve">service </w:t>
      </w:r>
      <w:r w:rsidR="003A3D41">
        <w:rPr>
          <w:rFonts w:asciiTheme="minorHAnsi" w:hAnsiTheme="minorHAnsi"/>
          <w:color w:val="000000" w:themeColor="text1"/>
          <w:sz w:val="22"/>
          <w:lang w:eastAsia="en-AU"/>
        </w:rPr>
        <w:t>delivery.</w:t>
      </w:r>
      <w:r w:rsidR="00613350">
        <w:rPr>
          <w:rFonts w:asciiTheme="minorHAnsi" w:hAnsiTheme="minorHAnsi"/>
          <w:color w:val="000000" w:themeColor="text1"/>
          <w:sz w:val="22"/>
          <w:lang w:eastAsia="en-AU"/>
        </w:rPr>
        <w:t xml:space="preserve"> </w:t>
      </w:r>
      <w:r w:rsidR="003A3D41">
        <w:rPr>
          <w:rFonts w:asciiTheme="minorHAnsi" w:hAnsiTheme="minorHAnsi"/>
          <w:color w:val="000000" w:themeColor="text1"/>
          <w:sz w:val="22"/>
          <w:lang w:eastAsia="en-AU"/>
        </w:rPr>
        <w:t xml:space="preserve">In particular, they should explain how </w:t>
      </w:r>
      <w:r w:rsidRPr="001B64BC">
        <w:rPr>
          <w:rFonts w:asciiTheme="minorHAnsi" w:hAnsiTheme="minorHAnsi"/>
          <w:color w:val="000000" w:themeColor="text1"/>
          <w:sz w:val="22"/>
          <w:lang w:eastAsia="en-AU"/>
        </w:rPr>
        <w:t xml:space="preserve">they will access the full range of expertise required to support the </w:t>
      </w:r>
      <w:r w:rsidR="00BD22B5">
        <w:rPr>
          <w:rFonts w:asciiTheme="minorHAnsi" w:hAnsiTheme="minorHAnsi"/>
          <w:color w:val="000000" w:themeColor="text1"/>
          <w:sz w:val="22"/>
          <w:lang w:eastAsia="en-AU"/>
        </w:rPr>
        <w:t xml:space="preserve">PGF </w:t>
      </w:r>
      <w:r w:rsidR="000E3717">
        <w:rPr>
          <w:rFonts w:asciiTheme="minorHAnsi" w:hAnsiTheme="minorHAnsi"/>
          <w:color w:val="000000" w:themeColor="text1"/>
          <w:sz w:val="22"/>
          <w:lang w:eastAsia="en-AU"/>
        </w:rPr>
        <w:t xml:space="preserve">and </w:t>
      </w:r>
      <w:r w:rsidR="00BD22B5">
        <w:rPr>
          <w:rFonts w:asciiTheme="minorHAnsi" w:hAnsiTheme="minorHAnsi"/>
          <w:color w:val="000000" w:themeColor="text1"/>
          <w:sz w:val="22"/>
          <w:lang w:eastAsia="en-AU"/>
        </w:rPr>
        <w:t xml:space="preserve">JSS4D </w:t>
      </w:r>
      <w:r w:rsidRPr="001B64BC">
        <w:rPr>
          <w:rFonts w:asciiTheme="minorHAnsi" w:hAnsiTheme="minorHAnsi"/>
          <w:color w:val="000000" w:themeColor="text1"/>
          <w:sz w:val="22"/>
          <w:lang w:eastAsia="en-AU"/>
        </w:rPr>
        <w:t>program</w:t>
      </w:r>
      <w:r w:rsidR="00BA779B">
        <w:rPr>
          <w:rFonts w:asciiTheme="minorHAnsi" w:hAnsiTheme="minorHAnsi"/>
          <w:color w:val="000000" w:themeColor="text1"/>
          <w:sz w:val="22"/>
          <w:lang w:eastAsia="en-AU"/>
        </w:rPr>
        <w:t>s</w:t>
      </w:r>
      <w:r w:rsidRPr="001B64BC">
        <w:rPr>
          <w:rFonts w:asciiTheme="minorHAnsi" w:hAnsiTheme="minorHAnsi"/>
          <w:color w:val="000000" w:themeColor="text1"/>
          <w:sz w:val="22"/>
          <w:lang w:eastAsia="en-AU"/>
        </w:rPr>
        <w:t xml:space="preserve"> </w:t>
      </w:r>
      <w:r w:rsidR="00FD1F53">
        <w:rPr>
          <w:rFonts w:asciiTheme="minorHAnsi" w:hAnsiTheme="minorHAnsi"/>
          <w:color w:val="000000" w:themeColor="text1"/>
          <w:sz w:val="22"/>
          <w:lang w:eastAsia="en-AU"/>
        </w:rPr>
        <w:t xml:space="preserve">in the </w:t>
      </w:r>
      <w:r w:rsidR="00CF14C6">
        <w:rPr>
          <w:rFonts w:asciiTheme="minorHAnsi" w:hAnsiTheme="minorHAnsi"/>
          <w:color w:val="000000" w:themeColor="text1"/>
          <w:sz w:val="22"/>
          <w:lang w:eastAsia="en-AU"/>
        </w:rPr>
        <w:t xml:space="preserve">categories of work </w:t>
      </w:r>
      <w:r w:rsidR="003A3D41">
        <w:rPr>
          <w:rFonts w:asciiTheme="minorHAnsi" w:hAnsiTheme="minorHAnsi"/>
          <w:color w:val="000000" w:themeColor="text1"/>
          <w:sz w:val="22"/>
          <w:lang w:eastAsia="en-AU"/>
        </w:rPr>
        <w:t xml:space="preserve">specified </w:t>
      </w:r>
      <w:r w:rsidRPr="001B64BC">
        <w:rPr>
          <w:rFonts w:asciiTheme="minorHAnsi" w:hAnsiTheme="minorHAnsi"/>
          <w:color w:val="000000" w:themeColor="text1"/>
          <w:sz w:val="22"/>
          <w:lang w:eastAsia="en-AU"/>
        </w:rPr>
        <w:t>on a periodic basis</w:t>
      </w:r>
      <w:r w:rsidR="00613350">
        <w:rPr>
          <w:rFonts w:asciiTheme="minorHAnsi" w:hAnsiTheme="minorHAnsi"/>
          <w:color w:val="000000" w:themeColor="text1"/>
          <w:sz w:val="22"/>
          <w:lang w:eastAsia="en-AU"/>
        </w:rPr>
        <w:t xml:space="preserve">.  </w:t>
      </w:r>
      <w:r w:rsidR="00CF14C6">
        <w:rPr>
          <w:rFonts w:asciiTheme="minorHAnsi" w:hAnsiTheme="minorHAnsi"/>
          <w:color w:val="000000" w:themeColor="text1"/>
          <w:sz w:val="22"/>
          <w:lang w:eastAsia="en-AU"/>
        </w:rPr>
        <w:t xml:space="preserve">As far as possible, proposals should identify the experts and skills that tenderers will mobilise under the </w:t>
      </w:r>
      <w:r w:rsidR="00DC0FDC">
        <w:rPr>
          <w:rFonts w:asciiTheme="minorHAnsi" w:hAnsiTheme="minorHAnsi"/>
          <w:color w:val="000000" w:themeColor="text1"/>
          <w:sz w:val="22"/>
          <w:lang w:eastAsia="en-AU"/>
        </w:rPr>
        <w:t>QTAG</w:t>
      </w:r>
      <w:r w:rsidR="00CF14C6">
        <w:rPr>
          <w:rFonts w:asciiTheme="minorHAnsi" w:hAnsiTheme="minorHAnsi"/>
          <w:color w:val="000000" w:themeColor="text1"/>
          <w:sz w:val="22"/>
          <w:lang w:eastAsia="en-AU"/>
        </w:rPr>
        <w:t>.</w:t>
      </w:r>
    </w:p>
    <w:p w14:paraId="69C91822" w14:textId="23CB7543" w:rsidR="00613350" w:rsidRDefault="00613350" w:rsidP="00613350">
      <w:pPr>
        <w:spacing w:before="60" w:after="120" w:line="264" w:lineRule="auto"/>
        <w:rPr>
          <w:rFonts w:asciiTheme="minorHAnsi" w:hAnsiTheme="minorHAnsi"/>
          <w:color w:val="000000" w:themeColor="text1"/>
          <w:sz w:val="22"/>
          <w:lang w:eastAsia="en-AU"/>
        </w:rPr>
      </w:pPr>
      <w:r>
        <w:rPr>
          <w:rFonts w:asciiTheme="minorHAnsi" w:hAnsiTheme="minorHAnsi"/>
          <w:color w:val="000000" w:themeColor="text1"/>
          <w:sz w:val="22"/>
          <w:lang w:eastAsia="en-AU"/>
        </w:rPr>
        <w:t xml:space="preserve">Tenderers should also include how they will ensure the necessary continuity of </w:t>
      </w:r>
      <w:r w:rsidR="00DC0FDC">
        <w:rPr>
          <w:rFonts w:asciiTheme="minorHAnsi" w:hAnsiTheme="minorHAnsi"/>
          <w:color w:val="000000" w:themeColor="text1"/>
          <w:sz w:val="22"/>
          <w:lang w:eastAsia="en-AU"/>
        </w:rPr>
        <w:t>QTAG</w:t>
      </w:r>
      <w:r>
        <w:rPr>
          <w:rFonts w:asciiTheme="minorHAnsi" w:hAnsiTheme="minorHAnsi"/>
          <w:color w:val="000000" w:themeColor="text1"/>
          <w:sz w:val="22"/>
          <w:lang w:eastAsia="en-AU"/>
        </w:rPr>
        <w:t xml:space="preserve"> engagement with the AHC and the </w:t>
      </w:r>
      <w:r w:rsidRPr="00613350">
        <w:rPr>
          <w:rFonts w:asciiTheme="minorHAnsi" w:hAnsiTheme="minorHAnsi"/>
          <w:color w:val="000000" w:themeColor="text1"/>
          <w:sz w:val="22"/>
          <w:lang w:eastAsia="en-AU"/>
        </w:rPr>
        <w:t xml:space="preserve">practical </w:t>
      </w:r>
      <w:r>
        <w:rPr>
          <w:rFonts w:asciiTheme="minorHAnsi" w:hAnsiTheme="minorHAnsi"/>
          <w:color w:val="000000" w:themeColor="text1"/>
          <w:sz w:val="22"/>
          <w:lang w:eastAsia="en-AU"/>
        </w:rPr>
        <w:t xml:space="preserve">arrangements to </w:t>
      </w:r>
      <w:r w:rsidRPr="00613350">
        <w:rPr>
          <w:rFonts w:asciiTheme="minorHAnsi" w:hAnsiTheme="minorHAnsi"/>
          <w:color w:val="000000" w:themeColor="text1"/>
          <w:sz w:val="22"/>
          <w:lang w:eastAsia="en-AU"/>
        </w:rPr>
        <w:t xml:space="preserve">manage </w:t>
      </w:r>
      <w:r>
        <w:rPr>
          <w:rFonts w:asciiTheme="minorHAnsi" w:hAnsiTheme="minorHAnsi"/>
          <w:color w:val="000000" w:themeColor="text1"/>
          <w:sz w:val="22"/>
          <w:lang w:eastAsia="en-AU"/>
        </w:rPr>
        <w:t xml:space="preserve">and maintain </w:t>
      </w:r>
      <w:r w:rsidRPr="00613350">
        <w:rPr>
          <w:rFonts w:asciiTheme="minorHAnsi" w:hAnsiTheme="minorHAnsi"/>
          <w:color w:val="000000" w:themeColor="text1"/>
          <w:sz w:val="22"/>
          <w:lang w:eastAsia="en-AU"/>
        </w:rPr>
        <w:t>key relationships with AHC, GoPNG, PGF and JSS4D</w:t>
      </w:r>
      <w:r>
        <w:rPr>
          <w:rFonts w:asciiTheme="minorHAnsi" w:hAnsiTheme="minorHAnsi"/>
          <w:color w:val="000000" w:themeColor="text1"/>
          <w:sz w:val="22"/>
          <w:lang w:eastAsia="en-AU"/>
        </w:rPr>
        <w:t>.</w:t>
      </w:r>
    </w:p>
    <w:p w14:paraId="62AFD2BA" w14:textId="77777777" w:rsidR="00F14E1C" w:rsidRDefault="0065249A" w:rsidP="0065249A">
      <w:pPr>
        <w:spacing w:before="60" w:after="120" w:line="264" w:lineRule="auto"/>
      </w:pPr>
      <w:r>
        <w:rPr>
          <w:rFonts w:asciiTheme="minorHAnsi" w:hAnsiTheme="minorHAnsi"/>
          <w:color w:val="000000" w:themeColor="text1"/>
          <w:sz w:val="22"/>
          <w:lang w:eastAsia="en-AU"/>
        </w:rPr>
        <w:lastRenderedPageBreak/>
        <w:t xml:space="preserve">For Category 1 work, tenderers should outline the anticipated approach to the Annual Review process and </w:t>
      </w:r>
      <w:r w:rsidR="00624390">
        <w:rPr>
          <w:rFonts w:asciiTheme="minorHAnsi" w:hAnsiTheme="minorHAnsi"/>
          <w:color w:val="000000" w:themeColor="text1"/>
          <w:sz w:val="22"/>
          <w:lang w:eastAsia="en-AU"/>
        </w:rPr>
        <w:t xml:space="preserve">other regular reviews and </w:t>
      </w:r>
      <w:r>
        <w:rPr>
          <w:rFonts w:asciiTheme="minorHAnsi" w:hAnsiTheme="minorHAnsi"/>
          <w:color w:val="000000" w:themeColor="text1"/>
          <w:sz w:val="22"/>
          <w:lang w:eastAsia="en-AU"/>
        </w:rPr>
        <w:t>indicative budget including management fees.  For Category 2 and 3 activities, tenderers should specify proposed daily rate(s) for the expertise provided, including management fees.</w:t>
      </w:r>
    </w:p>
    <w:p w14:paraId="0E340583" w14:textId="77777777" w:rsidR="002F04F1" w:rsidRPr="006952E7" w:rsidRDefault="00964A2E" w:rsidP="006952E7">
      <w:pPr>
        <w:pStyle w:val="Heading2"/>
        <w:spacing w:after="240"/>
      </w:pPr>
      <w:bookmarkStart w:id="15" w:name="_Toc434224050"/>
      <w:r>
        <w:rPr>
          <w:rFonts w:asciiTheme="minorHAnsi" w:hAnsiTheme="minorHAnsi"/>
          <w:u w:val="single"/>
        </w:rPr>
        <w:t xml:space="preserve">(Indicative) </w:t>
      </w:r>
      <w:r w:rsidR="002F04F1" w:rsidRPr="006952E7">
        <w:t>Implementation</w:t>
      </w:r>
      <w:bookmarkEnd w:id="15"/>
      <w:r w:rsidR="002F04F1" w:rsidRPr="006952E7">
        <w:t xml:space="preserve"> </w:t>
      </w:r>
    </w:p>
    <w:p w14:paraId="7CC42131" w14:textId="77777777" w:rsidR="00502A22" w:rsidRPr="00502A22" w:rsidRDefault="00843F16" w:rsidP="00502A22">
      <w:pPr>
        <w:spacing w:before="180" w:after="120" w:line="264" w:lineRule="auto"/>
        <w:rPr>
          <w:rFonts w:asciiTheme="minorHAnsi" w:hAnsiTheme="minorHAnsi" w:cs="Arial"/>
          <w:sz w:val="24"/>
          <w:szCs w:val="22"/>
          <w:u w:val="single"/>
        </w:rPr>
      </w:pPr>
      <w:r>
        <w:rPr>
          <w:rFonts w:asciiTheme="minorHAnsi" w:hAnsiTheme="minorHAnsi" w:cs="Arial"/>
          <w:sz w:val="24"/>
          <w:szCs w:val="22"/>
          <w:u w:val="single"/>
        </w:rPr>
        <w:t>Set up</w:t>
      </w:r>
    </w:p>
    <w:p w14:paraId="0B3A5442" w14:textId="15E0366E" w:rsidR="00502A22" w:rsidRPr="00AC5754" w:rsidRDefault="003A3D41" w:rsidP="00502A22">
      <w:pPr>
        <w:spacing w:before="60" w:after="120" w:line="264" w:lineRule="auto"/>
        <w:rPr>
          <w:rFonts w:asciiTheme="minorHAnsi" w:hAnsiTheme="minorHAnsi"/>
          <w:color w:val="000000" w:themeColor="text1"/>
          <w:sz w:val="22"/>
          <w:szCs w:val="22"/>
          <w:lang w:eastAsia="en-AU"/>
        </w:rPr>
      </w:pPr>
      <w:r w:rsidRPr="00AC5754">
        <w:rPr>
          <w:rFonts w:asciiTheme="minorHAnsi" w:hAnsiTheme="minorHAnsi" w:cs="Arial"/>
          <w:sz w:val="22"/>
        </w:rPr>
        <w:t>The</w:t>
      </w:r>
      <w:r>
        <w:rPr>
          <w:rFonts w:asciiTheme="minorHAnsi" w:hAnsiTheme="minorHAnsi" w:cs="Arial"/>
          <w:sz w:val="22"/>
        </w:rPr>
        <w:t xml:space="preserve"> </w:t>
      </w:r>
      <w:r w:rsidR="00DC0FDC">
        <w:rPr>
          <w:rFonts w:asciiTheme="minorHAnsi" w:hAnsiTheme="minorHAnsi" w:cs="Arial"/>
          <w:sz w:val="22"/>
        </w:rPr>
        <w:t>QTAG</w:t>
      </w:r>
      <w:r w:rsidRPr="00AC5754">
        <w:rPr>
          <w:rFonts w:asciiTheme="minorHAnsi" w:hAnsiTheme="minorHAnsi" w:cs="Arial"/>
          <w:sz w:val="22"/>
        </w:rPr>
        <w:t xml:space="preserve"> </w:t>
      </w:r>
      <w:r w:rsidRPr="00AF48E0">
        <w:rPr>
          <w:rFonts w:asciiTheme="minorHAnsi" w:hAnsiTheme="minorHAnsi" w:cs="Arial"/>
          <w:sz w:val="22"/>
        </w:rPr>
        <w:t>establish</w:t>
      </w:r>
      <w:r w:rsidR="00AF48E0">
        <w:rPr>
          <w:rFonts w:asciiTheme="minorHAnsi" w:hAnsiTheme="minorHAnsi" w:cs="Arial"/>
          <w:sz w:val="22"/>
        </w:rPr>
        <w:t xml:space="preserve">ment will </w:t>
      </w:r>
      <w:r w:rsidR="00502A22" w:rsidRPr="00AF48E0">
        <w:rPr>
          <w:rFonts w:asciiTheme="minorHAnsi" w:hAnsiTheme="minorHAnsi" w:cs="Arial"/>
          <w:sz w:val="22"/>
        </w:rPr>
        <w:t xml:space="preserve">begin with </w:t>
      </w:r>
      <w:r w:rsidRPr="00AF48E0">
        <w:rPr>
          <w:rFonts w:asciiTheme="minorHAnsi" w:hAnsiTheme="minorHAnsi" w:cs="Arial"/>
          <w:sz w:val="22"/>
        </w:rPr>
        <w:t xml:space="preserve">a </w:t>
      </w:r>
      <w:r w:rsidR="00983172" w:rsidRPr="00AF48E0">
        <w:rPr>
          <w:rFonts w:asciiTheme="minorHAnsi" w:hAnsiTheme="minorHAnsi" w:cs="Arial"/>
          <w:sz w:val="22"/>
        </w:rPr>
        <w:t xml:space="preserve">six </w:t>
      </w:r>
      <w:r w:rsidR="00502A22" w:rsidRPr="00AF48E0">
        <w:rPr>
          <w:rFonts w:asciiTheme="minorHAnsi" w:hAnsiTheme="minorHAnsi" w:cs="Arial"/>
          <w:sz w:val="22"/>
        </w:rPr>
        <w:t xml:space="preserve">week </w:t>
      </w:r>
      <w:r w:rsidR="00843F16" w:rsidRPr="00AF48E0">
        <w:rPr>
          <w:rFonts w:asciiTheme="minorHAnsi" w:hAnsiTheme="minorHAnsi" w:cs="Arial"/>
          <w:sz w:val="22"/>
        </w:rPr>
        <w:t>set up period</w:t>
      </w:r>
      <w:r w:rsidR="00502A22" w:rsidRPr="00AF48E0">
        <w:rPr>
          <w:rFonts w:asciiTheme="minorHAnsi" w:hAnsiTheme="minorHAnsi" w:cs="Arial"/>
          <w:sz w:val="22"/>
        </w:rPr>
        <w:t>.</w:t>
      </w:r>
      <w:r w:rsidR="00502A22">
        <w:rPr>
          <w:rFonts w:asciiTheme="minorHAnsi" w:hAnsiTheme="minorHAnsi" w:cs="Arial"/>
          <w:sz w:val="22"/>
        </w:rPr>
        <w:t xml:space="preserve">  D</w:t>
      </w:r>
      <w:r w:rsidR="00502A22" w:rsidRPr="00160289">
        <w:rPr>
          <w:rFonts w:asciiTheme="minorHAnsi" w:hAnsiTheme="minorHAnsi" w:cs="Arial"/>
          <w:sz w:val="22"/>
        </w:rPr>
        <w:t xml:space="preserve">uring this period, </w:t>
      </w:r>
      <w:r w:rsidR="00160289" w:rsidRPr="00160289">
        <w:rPr>
          <w:rFonts w:asciiTheme="minorHAnsi" w:hAnsiTheme="minorHAnsi" w:cs="Arial"/>
          <w:sz w:val="22"/>
        </w:rPr>
        <w:t>key stakeholders, roles and responsibilities on GoPNG</w:t>
      </w:r>
      <w:r w:rsidR="00624390">
        <w:rPr>
          <w:rFonts w:asciiTheme="minorHAnsi" w:hAnsiTheme="minorHAnsi" w:cs="Arial"/>
          <w:sz w:val="22"/>
        </w:rPr>
        <w:t>’s</w:t>
      </w:r>
      <w:r w:rsidR="00160289" w:rsidRPr="00160289">
        <w:rPr>
          <w:rFonts w:asciiTheme="minorHAnsi" w:hAnsiTheme="minorHAnsi" w:cs="Arial"/>
          <w:sz w:val="22"/>
        </w:rPr>
        <w:t xml:space="preserve"> side will be specified</w:t>
      </w:r>
      <w:r w:rsidR="00160289">
        <w:rPr>
          <w:rFonts w:asciiTheme="minorHAnsi" w:hAnsiTheme="minorHAnsi" w:cs="Arial"/>
          <w:sz w:val="22"/>
        </w:rPr>
        <w:t xml:space="preserve"> in consultation with AHC</w:t>
      </w:r>
      <w:r w:rsidR="00160289" w:rsidRPr="00160289">
        <w:rPr>
          <w:rFonts w:asciiTheme="minorHAnsi" w:hAnsiTheme="minorHAnsi" w:cs="Arial"/>
          <w:sz w:val="22"/>
        </w:rPr>
        <w:t>.  During th</w:t>
      </w:r>
      <w:r w:rsidR="00AF48E0">
        <w:rPr>
          <w:rFonts w:asciiTheme="minorHAnsi" w:hAnsiTheme="minorHAnsi" w:cs="Arial"/>
          <w:sz w:val="22"/>
        </w:rPr>
        <w:t xml:space="preserve">is </w:t>
      </w:r>
      <w:r w:rsidR="00160289" w:rsidRPr="00160289">
        <w:rPr>
          <w:rFonts w:asciiTheme="minorHAnsi" w:hAnsiTheme="minorHAnsi" w:cs="Arial"/>
          <w:sz w:val="22"/>
        </w:rPr>
        <w:t xml:space="preserve">phase, </w:t>
      </w:r>
      <w:r w:rsidR="00502A22" w:rsidRPr="00160289">
        <w:rPr>
          <w:rFonts w:asciiTheme="minorHAnsi" w:hAnsiTheme="minorHAnsi" w:cs="Arial"/>
          <w:sz w:val="22"/>
        </w:rPr>
        <w:t>the</w:t>
      </w:r>
      <w:r w:rsidR="00502A22" w:rsidRPr="00AC5754">
        <w:rPr>
          <w:rFonts w:asciiTheme="minorHAnsi" w:hAnsiTheme="minorHAnsi"/>
          <w:color w:val="000000" w:themeColor="text1"/>
          <w:sz w:val="22"/>
          <w:szCs w:val="22"/>
          <w:lang w:eastAsia="en-AU"/>
        </w:rPr>
        <w:t xml:space="preserve"> </w:t>
      </w:r>
      <w:r w:rsidR="00DC0FDC">
        <w:rPr>
          <w:rFonts w:asciiTheme="minorHAnsi" w:hAnsiTheme="minorHAnsi"/>
          <w:color w:val="000000" w:themeColor="text1"/>
          <w:sz w:val="22"/>
          <w:szCs w:val="22"/>
          <w:lang w:eastAsia="en-AU"/>
        </w:rPr>
        <w:t>QTAG</w:t>
      </w:r>
      <w:r w:rsidR="00502A22">
        <w:rPr>
          <w:rFonts w:asciiTheme="minorHAnsi" w:hAnsiTheme="minorHAnsi"/>
          <w:color w:val="000000" w:themeColor="text1"/>
          <w:sz w:val="22"/>
          <w:szCs w:val="22"/>
          <w:lang w:eastAsia="en-AU"/>
        </w:rPr>
        <w:t xml:space="preserve"> </w:t>
      </w:r>
      <w:r w:rsidR="00502A22" w:rsidRPr="00AC5754">
        <w:rPr>
          <w:rFonts w:asciiTheme="minorHAnsi" w:hAnsiTheme="minorHAnsi"/>
          <w:color w:val="000000" w:themeColor="text1"/>
          <w:sz w:val="22"/>
          <w:szCs w:val="22"/>
          <w:lang w:eastAsia="en-AU"/>
        </w:rPr>
        <w:t xml:space="preserve">SP will define </w:t>
      </w:r>
      <w:r w:rsidR="00502A22">
        <w:rPr>
          <w:rFonts w:asciiTheme="minorHAnsi" w:hAnsiTheme="minorHAnsi"/>
          <w:color w:val="000000" w:themeColor="text1"/>
          <w:sz w:val="22"/>
          <w:szCs w:val="22"/>
          <w:lang w:eastAsia="en-AU"/>
        </w:rPr>
        <w:t xml:space="preserve">and finalise </w:t>
      </w:r>
      <w:r w:rsidR="00502A22" w:rsidRPr="00AC5754">
        <w:rPr>
          <w:rFonts w:asciiTheme="minorHAnsi" w:hAnsiTheme="minorHAnsi"/>
          <w:color w:val="000000" w:themeColor="text1"/>
          <w:sz w:val="22"/>
          <w:szCs w:val="22"/>
          <w:lang w:eastAsia="en-AU"/>
        </w:rPr>
        <w:t>key outputs and processes including:</w:t>
      </w:r>
    </w:p>
    <w:p w14:paraId="57BF1A67" w14:textId="4A7FDD81" w:rsidR="00502A22" w:rsidRDefault="00502A22" w:rsidP="00DD6D90">
      <w:pPr>
        <w:pStyle w:val="ListParagraph"/>
        <w:numPr>
          <w:ilvl w:val="0"/>
          <w:numId w:val="11"/>
        </w:numPr>
        <w:spacing w:before="60" w:after="120" w:line="264" w:lineRule="auto"/>
        <w:rPr>
          <w:rFonts w:asciiTheme="minorHAnsi" w:hAnsiTheme="minorHAnsi"/>
          <w:color w:val="000000" w:themeColor="text1"/>
          <w:sz w:val="22"/>
          <w:szCs w:val="22"/>
          <w:lang w:eastAsia="en-AU"/>
        </w:rPr>
      </w:pPr>
      <w:r w:rsidRPr="00AC5754">
        <w:rPr>
          <w:rFonts w:asciiTheme="minorHAnsi" w:hAnsiTheme="minorHAnsi"/>
          <w:color w:val="000000" w:themeColor="text1"/>
          <w:sz w:val="22"/>
          <w:szCs w:val="22"/>
          <w:lang w:eastAsia="en-AU"/>
        </w:rPr>
        <w:t>templates/forms covering routine</w:t>
      </w:r>
      <w:r>
        <w:rPr>
          <w:rFonts w:asciiTheme="minorHAnsi" w:hAnsiTheme="minorHAnsi"/>
          <w:color w:val="000000" w:themeColor="text1"/>
          <w:sz w:val="22"/>
          <w:szCs w:val="22"/>
          <w:lang w:eastAsia="en-AU"/>
        </w:rPr>
        <w:t xml:space="preserve"> </w:t>
      </w:r>
      <w:r w:rsidR="00DC0FDC">
        <w:rPr>
          <w:rFonts w:asciiTheme="minorHAnsi" w:hAnsiTheme="minorHAnsi"/>
          <w:color w:val="000000" w:themeColor="text1"/>
          <w:sz w:val="22"/>
          <w:szCs w:val="22"/>
          <w:lang w:eastAsia="en-AU"/>
        </w:rPr>
        <w:t>QTAG</w:t>
      </w:r>
      <w:r w:rsidRPr="00AC5754">
        <w:rPr>
          <w:rFonts w:asciiTheme="minorHAnsi" w:hAnsiTheme="minorHAnsi"/>
          <w:color w:val="000000" w:themeColor="text1"/>
          <w:sz w:val="22"/>
          <w:szCs w:val="22"/>
          <w:lang w:eastAsia="en-AU"/>
        </w:rPr>
        <w:t xml:space="preserve"> outputs: quality assurance for program designs and the Annual Reviews;</w:t>
      </w:r>
    </w:p>
    <w:p w14:paraId="5964C49F" w14:textId="174283E3" w:rsidR="00BE6E67" w:rsidRDefault="00BE6E67" w:rsidP="00DD6D90">
      <w:pPr>
        <w:pStyle w:val="ListParagraph"/>
        <w:numPr>
          <w:ilvl w:val="0"/>
          <w:numId w:val="11"/>
        </w:numPr>
        <w:spacing w:before="60" w:after="120" w:line="264" w:lineRule="auto"/>
        <w:rPr>
          <w:rFonts w:asciiTheme="minorHAnsi" w:hAnsiTheme="minorHAnsi"/>
          <w:color w:val="000000" w:themeColor="text1"/>
          <w:sz w:val="22"/>
          <w:szCs w:val="22"/>
          <w:lang w:eastAsia="en-AU"/>
        </w:rPr>
      </w:pPr>
      <w:r w:rsidRPr="00BE6E67">
        <w:rPr>
          <w:rFonts w:asciiTheme="minorHAnsi" w:hAnsiTheme="minorHAnsi"/>
          <w:color w:val="000000" w:themeColor="text1"/>
          <w:sz w:val="22"/>
          <w:szCs w:val="22"/>
          <w:lang w:eastAsia="en-AU"/>
        </w:rPr>
        <w:t xml:space="preserve">governance mechanisms, including liaison, communications, protocols, and processes for the efficient and effective transmission of GoA/GoPNG approved requests to the </w:t>
      </w:r>
      <w:r w:rsidR="00DC0FDC">
        <w:rPr>
          <w:rFonts w:asciiTheme="minorHAnsi" w:hAnsiTheme="minorHAnsi"/>
          <w:color w:val="000000" w:themeColor="text1"/>
          <w:sz w:val="22"/>
          <w:szCs w:val="22"/>
          <w:lang w:eastAsia="en-AU"/>
        </w:rPr>
        <w:t>QTAG</w:t>
      </w:r>
      <w:r w:rsidRPr="00BE6E67">
        <w:rPr>
          <w:rFonts w:asciiTheme="minorHAnsi" w:hAnsiTheme="minorHAnsi"/>
          <w:color w:val="000000" w:themeColor="text1"/>
          <w:sz w:val="22"/>
          <w:szCs w:val="22"/>
          <w:lang w:eastAsia="en-AU"/>
        </w:rPr>
        <w:t xml:space="preserve"> and delivery of responses;</w:t>
      </w:r>
    </w:p>
    <w:p w14:paraId="6DCA5263" w14:textId="4EF882B8" w:rsidR="00462463" w:rsidRPr="00462463" w:rsidRDefault="00462463" w:rsidP="00462463">
      <w:pPr>
        <w:pStyle w:val="ListParagraph"/>
        <w:numPr>
          <w:ilvl w:val="0"/>
          <w:numId w:val="11"/>
        </w:numPr>
        <w:rPr>
          <w:rFonts w:asciiTheme="minorHAnsi" w:hAnsiTheme="minorHAnsi"/>
          <w:color w:val="000000" w:themeColor="text1"/>
          <w:sz w:val="22"/>
          <w:szCs w:val="22"/>
          <w:lang w:eastAsia="en-AU"/>
        </w:rPr>
      </w:pPr>
      <w:r w:rsidRPr="00462463">
        <w:rPr>
          <w:rFonts w:asciiTheme="minorHAnsi" w:hAnsiTheme="minorHAnsi"/>
          <w:color w:val="000000" w:themeColor="text1"/>
          <w:sz w:val="22"/>
          <w:szCs w:val="22"/>
          <w:lang w:eastAsia="en-AU"/>
        </w:rPr>
        <w:t>effective engagement, consultation and communication with PGF and JSSD4 contractors</w:t>
      </w:r>
      <w:r>
        <w:rPr>
          <w:rFonts w:asciiTheme="minorHAnsi" w:hAnsiTheme="minorHAnsi"/>
          <w:color w:val="000000" w:themeColor="text1"/>
          <w:sz w:val="22"/>
          <w:szCs w:val="22"/>
          <w:lang w:eastAsia="en-AU"/>
        </w:rPr>
        <w:t>;</w:t>
      </w:r>
    </w:p>
    <w:p w14:paraId="09D7F47C" w14:textId="77777777" w:rsidR="00830746" w:rsidRPr="00AC5754" w:rsidRDefault="00830746" w:rsidP="00DD6D90">
      <w:pPr>
        <w:pStyle w:val="ListParagraph"/>
        <w:numPr>
          <w:ilvl w:val="0"/>
          <w:numId w:val="11"/>
        </w:numPr>
        <w:spacing w:before="60" w:after="120" w:line="264" w:lineRule="auto"/>
        <w:rPr>
          <w:rFonts w:asciiTheme="minorHAnsi" w:hAnsiTheme="minorHAnsi"/>
          <w:color w:val="000000" w:themeColor="text1"/>
          <w:sz w:val="22"/>
          <w:szCs w:val="22"/>
          <w:lang w:eastAsia="en-AU"/>
        </w:rPr>
      </w:pPr>
      <w:r>
        <w:rPr>
          <w:rFonts w:asciiTheme="minorHAnsi" w:hAnsiTheme="minorHAnsi"/>
          <w:color w:val="000000" w:themeColor="text1"/>
          <w:sz w:val="22"/>
          <w:szCs w:val="22"/>
          <w:lang w:eastAsia="en-AU"/>
        </w:rPr>
        <w:t>risk management framework and approach;</w:t>
      </w:r>
    </w:p>
    <w:p w14:paraId="3CCB0207" w14:textId="23A6447F" w:rsidR="00546247" w:rsidRDefault="00502A22" w:rsidP="00DD6D90">
      <w:pPr>
        <w:pStyle w:val="ListParagraph"/>
        <w:numPr>
          <w:ilvl w:val="0"/>
          <w:numId w:val="11"/>
        </w:numPr>
        <w:spacing w:before="60" w:after="120" w:line="264" w:lineRule="auto"/>
        <w:rPr>
          <w:rFonts w:asciiTheme="minorHAnsi" w:hAnsiTheme="minorHAnsi"/>
          <w:color w:val="000000" w:themeColor="text1"/>
          <w:sz w:val="22"/>
          <w:szCs w:val="22"/>
          <w:lang w:eastAsia="en-AU"/>
        </w:rPr>
      </w:pPr>
      <w:r w:rsidRPr="00502A22">
        <w:rPr>
          <w:rFonts w:asciiTheme="minorHAnsi" w:hAnsiTheme="minorHAnsi"/>
          <w:color w:val="000000" w:themeColor="text1"/>
          <w:sz w:val="22"/>
          <w:szCs w:val="22"/>
          <w:lang w:eastAsia="en-AU"/>
        </w:rPr>
        <w:t xml:space="preserve">results framework for the </w:t>
      </w:r>
      <w:r w:rsidR="00DC0FDC">
        <w:rPr>
          <w:rFonts w:asciiTheme="minorHAnsi" w:hAnsiTheme="minorHAnsi"/>
          <w:color w:val="000000" w:themeColor="text1"/>
          <w:sz w:val="22"/>
          <w:szCs w:val="22"/>
          <w:lang w:eastAsia="en-AU"/>
        </w:rPr>
        <w:t>QTAG</w:t>
      </w:r>
      <w:r w:rsidRPr="00502A22">
        <w:rPr>
          <w:rFonts w:asciiTheme="minorHAnsi" w:hAnsiTheme="minorHAnsi"/>
          <w:color w:val="000000" w:themeColor="text1"/>
          <w:sz w:val="22"/>
          <w:szCs w:val="22"/>
          <w:lang w:eastAsia="en-AU"/>
        </w:rPr>
        <w:t xml:space="preserve"> and agreed terms of reference, incorporating any necessary revisions to operating procedures identified during the </w:t>
      </w:r>
      <w:r w:rsidR="00A67955">
        <w:rPr>
          <w:rFonts w:asciiTheme="minorHAnsi" w:hAnsiTheme="minorHAnsi"/>
          <w:color w:val="000000" w:themeColor="text1"/>
          <w:sz w:val="22"/>
          <w:szCs w:val="22"/>
          <w:lang w:eastAsia="en-AU"/>
        </w:rPr>
        <w:t>set up</w:t>
      </w:r>
      <w:r>
        <w:rPr>
          <w:rFonts w:asciiTheme="minorHAnsi" w:hAnsiTheme="minorHAnsi"/>
          <w:color w:val="000000" w:themeColor="text1"/>
          <w:sz w:val="22"/>
          <w:szCs w:val="22"/>
          <w:lang w:eastAsia="en-AU"/>
        </w:rPr>
        <w:t xml:space="preserve"> phase </w:t>
      </w:r>
      <w:r w:rsidRPr="00502A22">
        <w:rPr>
          <w:rFonts w:asciiTheme="minorHAnsi" w:hAnsiTheme="minorHAnsi"/>
          <w:color w:val="000000" w:themeColor="text1"/>
          <w:sz w:val="22"/>
          <w:szCs w:val="22"/>
          <w:lang w:eastAsia="en-AU"/>
        </w:rPr>
        <w:t xml:space="preserve">and </w:t>
      </w:r>
      <w:r>
        <w:rPr>
          <w:rFonts w:asciiTheme="minorHAnsi" w:hAnsiTheme="minorHAnsi"/>
          <w:color w:val="000000" w:themeColor="text1"/>
          <w:sz w:val="22"/>
          <w:szCs w:val="22"/>
          <w:lang w:eastAsia="en-AU"/>
        </w:rPr>
        <w:t xml:space="preserve">agreed service </w:t>
      </w:r>
      <w:r w:rsidRPr="00502A22">
        <w:rPr>
          <w:rFonts w:asciiTheme="minorHAnsi" w:hAnsiTheme="minorHAnsi"/>
          <w:color w:val="000000" w:themeColor="text1"/>
          <w:sz w:val="22"/>
          <w:szCs w:val="22"/>
          <w:lang w:eastAsia="en-AU"/>
        </w:rPr>
        <w:t>standards</w:t>
      </w:r>
      <w:r>
        <w:rPr>
          <w:rFonts w:asciiTheme="minorHAnsi" w:hAnsiTheme="minorHAnsi"/>
          <w:color w:val="000000" w:themeColor="text1"/>
          <w:sz w:val="22"/>
          <w:szCs w:val="22"/>
          <w:lang w:eastAsia="en-AU"/>
        </w:rPr>
        <w:t xml:space="preserve"> for </w:t>
      </w:r>
      <w:r w:rsidR="00DC0FDC">
        <w:rPr>
          <w:rFonts w:asciiTheme="minorHAnsi" w:hAnsiTheme="minorHAnsi"/>
          <w:color w:val="000000" w:themeColor="text1"/>
          <w:sz w:val="22"/>
          <w:szCs w:val="22"/>
          <w:lang w:eastAsia="en-AU"/>
        </w:rPr>
        <w:t>QTAG</w:t>
      </w:r>
      <w:r>
        <w:rPr>
          <w:rFonts w:asciiTheme="minorHAnsi" w:hAnsiTheme="minorHAnsi"/>
          <w:color w:val="000000" w:themeColor="text1"/>
          <w:sz w:val="22"/>
          <w:szCs w:val="22"/>
          <w:lang w:eastAsia="en-AU"/>
        </w:rPr>
        <w:t xml:space="preserve"> operation</w:t>
      </w:r>
      <w:r w:rsidR="00546247">
        <w:rPr>
          <w:rFonts w:asciiTheme="minorHAnsi" w:hAnsiTheme="minorHAnsi"/>
          <w:color w:val="000000" w:themeColor="text1"/>
          <w:sz w:val="22"/>
          <w:szCs w:val="22"/>
          <w:lang w:eastAsia="en-AU"/>
        </w:rPr>
        <w:t>; and</w:t>
      </w:r>
    </w:p>
    <w:p w14:paraId="53199D3C" w14:textId="77777777" w:rsidR="00502A22" w:rsidRPr="00502A22" w:rsidRDefault="00546247" w:rsidP="00DD6D90">
      <w:pPr>
        <w:pStyle w:val="ListParagraph"/>
        <w:numPr>
          <w:ilvl w:val="0"/>
          <w:numId w:val="11"/>
        </w:numPr>
        <w:spacing w:before="60" w:after="120" w:line="264" w:lineRule="auto"/>
        <w:rPr>
          <w:rFonts w:asciiTheme="minorHAnsi" w:hAnsiTheme="minorHAnsi"/>
          <w:color w:val="000000" w:themeColor="text1"/>
          <w:sz w:val="22"/>
          <w:szCs w:val="22"/>
          <w:lang w:eastAsia="en-AU"/>
        </w:rPr>
      </w:pPr>
      <w:r w:rsidRPr="00546247">
        <w:rPr>
          <w:rFonts w:asciiTheme="minorHAnsi" w:hAnsiTheme="minorHAnsi"/>
          <w:color w:val="000000" w:themeColor="text1"/>
          <w:sz w:val="22"/>
          <w:szCs w:val="22"/>
          <w:lang w:eastAsia="en-AU"/>
        </w:rPr>
        <w:t xml:space="preserve">initial timings and processes for the Annual Reviews in consultation with </w:t>
      </w:r>
      <w:r w:rsidR="007F623A">
        <w:rPr>
          <w:rFonts w:asciiTheme="minorHAnsi" w:hAnsiTheme="minorHAnsi"/>
          <w:color w:val="000000" w:themeColor="text1"/>
          <w:sz w:val="22"/>
          <w:szCs w:val="22"/>
          <w:lang w:eastAsia="en-AU"/>
        </w:rPr>
        <w:t xml:space="preserve">the </w:t>
      </w:r>
      <w:r w:rsidRPr="00546247">
        <w:rPr>
          <w:rFonts w:asciiTheme="minorHAnsi" w:hAnsiTheme="minorHAnsi"/>
          <w:color w:val="000000" w:themeColor="text1"/>
          <w:sz w:val="22"/>
          <w:szCs w:val="22"/>
          <w:lang w:eastAsia="en-AU"/>
        </w:rPr>
        <w:t>PGF, JSS4D and</w:t>
      </w:r>
      <w:r w:rsidR="007F623A">
        <w:rPr>
          <w:rFonts w:asciiTheme="minorHAnsi" w:hAnsiTheme="minorHAnsi"/>
          <w:color w:val="000000" w:themeColor="text1"/>
          <w:sz w:val="22"/>
          <w:szCs w:val="22"/>
          <w:lang w:eastAsia="en-AU"/>
        </w:rPr>
        <w:t xml:space="preserve"> the</w:t>
      </w:r>
      <w:r w:rsidRPr="00546247">
        <w:rPr>
          <w:rFonts w:asciiTheme="minorHAnsi" w:hAnsiTheme="minorHAnsi"/>
          <w:color w:val="000000" w:themeColor="text1"/>
          <w:sz w:val="22"/>
          <w:szCs w:val="22"/>
          <w:lang w:eastAsia="en-AU"/>
        </w:rPr>
        <w:t xml:space="preserve"> AHC</w:t>
      </w:r>
      <w:r w:rsidR="00502A22" w:rsidRPr="00502A22">
        <w:rPr>
          <w:rFonts w:asciiTheme="minorHAnsi" w:hAnsiTheme="minorHAnsi"/>
          <w:color w:val="000000" w:themeColor="text1"/>
          <w:sz w:val="22"/>
          <w:szCs w:val="22"/>
          <w:lang w:eastAsia="en-AU"/>
        </w:rPr>
        <w:t xml:space="preserve">. </w:t>
      </w:r>
    </w:p>
    <w:p w14:paraId="18B1E6B5" w14:textId="77777777" w:rsidR="00502A22" w:rsidRPr="00AC5754" w:rsidRDefault="00502A22" w:rsidP="00502A22">
      <w:pPr>
        <w:spacing w:before="60" w:after="120" w:line="264" w:lineRule="auto"/>
        <w:rPr>
          <w:rFonts w:asciiTheme="minorHAnsi" w:hAnsiTheme="minorHAnsi"/>
          <w:color w:val="000000" w:themeColor="text1"/>
          <w:sz w:val="22"/>
          <w:szCs w:val="22"/>
          <w:lang w:eastAsia="en-AU"/>
        </w:rPr>
      </w:pPr>
      <w:r w:rsidRPr="00AC5754">
        <w:rPr>
          <w:rFonts w:asciiTheme="minorHAnsi" w:hAnsiTheme="minorHAnsi"/>
          <w:color w:val="000000" w:themeColor="text1"/>
          <w:sz w:val="22"/>
          <w:szCs w:val="22"/>
          <w:lang w:eastAsia="en-AU"/>
        </w:rPr>
        <w:t xml:space="preserve">The outputs and processes will be defined and developed in consultation with </w:t>
      </w:r>
      <w:r w:rsidR="007F623A">
        <w:rPr>
          <w:rFonts w:asciiTheme="minorHAnsi" w:hAnsiTheme="minorHAnsi"/>
          <w:color w:val="000000" w:themeColor="text1"/>
          <w:sz w:val="22"/>
          <w:szCs w:val="22"/>
          <w:lang w:eastAsia="en-AU"/>
        </w:rPr>
        <w:t xml:space="preserve">the </w:t>
      </w:r>
      <w:r>
        <w:rPr>
          <w:rFonts w:asciiTheme="minorHAnsi" w:hAnsiTheme="minorHAnsi"/>
          <w:color w:val="000000" w:themeColor="text1"/>
          <w:sz w:val="22"/>
          <w:szCs w:val="22"/>
          <w:lang w:eastAsia="en-AU"/>
        </w:rPr>
        <w:t>AHC</w:t>
      </w:r>
      <w:r w:rsidRPr="00AC5754">
        <w:rPr>
          <w:rFonts w:asciiTheme="minorHAnsi" w:hAnsiTheme="minorHAnsi"/>
          <w:color w:val="000000" w:themeColor="text1"/>
          <w:sz w:val="22"/>
          <w:szCs w:val="22"/>
          <w:lang w:eastAsia="en-AU"/>
        </w:rPr>
        <w:t xml:space="preserve">, </w:t>
      </w:r>
      <w:r w:rsidR="0065249A">
        <w:rPr>
          <w:rFonts w:asciiTheme="minorHAnsi" w:hAnsiTheme="minorHAnsi"/>
          <w:color w:val="000000" w:themeColor="text1"/>
          <w:sz w:val="22"/>
          <w:szCs w:val="22"/>
          <w:lang w:eastAsia="en-AU"/>
        </w:rPr>
        <w:t xml:space="preserve">PGF and JSS4D program team leaders (or equivalent) and </w:t>
      </w:r>
      <w:r>
        <w:rPr>
          <w:rFonts w:asciiTheme="minorHAnsi" w:hAnsiTheme="minorHAnsi"/>
          <w:color w:val="000000" w:themeColor="text1"/>
          <w:sz w:val="22"/>
          <w:szCs w:val="22"/>
          <w:lang w:eastAsia="en-AU"/>
        </w:rPr>
        <w:t xml:space="preserve">the </w:t>
      </w:r>
      <w:r w:rsidR="0065249A">
        <w:rPr>
          <w:rFonts w:asciiTheme="minorHAnsi" w:hAnsiTheme="minorHAnsi"/>
          <w:color w:val="000000" w:themeColor="text1"/>
          <w:sz w:val="22"/>
          <w:szCs w:val="22"/>
          <w:lang w:eastAsia="en-AU"/>
        </w:rPr>
        <w:t xml:space="preserve">SMC and </w:t>
      </w:r>
      <w:r w:rsidR="00B93189">
        <w:rPr>
          <w:rFonts w:asciiTheme="minorHAnsi" w:hAnsiTheme="minorHAnsi"/>
          <w:color w:val="000000" w:themeColor="text1"/>
          <w:sz w:val="22"/>
          <w:szCs w:val="22"/>
          <w:lang w:eastAsia="en-AU"/>
        </w:rPr>
        <w:t>SPGM</w:t>
      </w:r>
      <w:r w:rsidR="0065249A">
        <w:rPr>
          <w:rFonts w:asciiTheme="minorHAnsi" w:hAnsiTheme="minorHAnsi"/>
          <w:color w:val="000000" w:themeColor="text1"/>
          <w:sz w:val="22"/>
          <w:szCs w:val="22"/>
          <w:lang w:eastAsia="en-AU"/>
        </w:rPr>
        <w:t xml:space="preserve"> </w:t>
      </w:r>
      <w:r w:rsidRPr="00AC5754">
        <w:rPr>
          <w:rFonts w:asciiTheme="minorHAnsi" w:hAnsiTheme="minorHAnsi"/>
          <w:color w:val="000000" w:themeColor="text1"/>
          <w:sz w:val="22"/>
          <w:szCs w:val="22"/>
          <w:lang w:eastAsia="en-AU"/>
        </w:rPr>
        <w:t>and approved by</w:t>
      </w:r>
      <w:r>
        <w:rPr>
          <w:rFonts w:asciiTheme="minorHAnsi" w:hAnsiTheme="minorHAnsi"/>
          <w:color w:val="000000" w:themeColor="text1"/>
          <w:sz w:val="22"/>
          <w:szCs w:val="22"/>
          <w:lang w:eastAsia="en-AU"/>
        </w:rPr>
        <w:t xml:space="preserve"> AHC</w:t>
      </w:r>
      <w:r w:rsidRPr="00AC5754">
        <w:rPr>
          <w:rFonts w:asciiTheme="minorHAnsi" w:hAnsiTheme="minorHAnsi"/>
          <w:color w:val="000000" w:themeColor="text1"/>
          <w:sz w:val="22"/>
          <w:szCs w:val="22"/>
          <w:lang w:eastAsia="en-AU"/>
        </w:rPr>
        <w:t xml:space="preserve">.  The SP will submit a design report at the end of the </w:t>
      </w:r>
      <w:r w:rsidR="00983172">
        <w:rPr>
          <w:rFonts w:asciiTheme="minorHAnsi" w:hAnsiTheme="minorHAnsi"/>
          <w:color w:val="000000" w:themeColor="text1"/>
          <w:sz w:val="22"/>
          <w:szCs w:val="22"/>
          <w:lang w:eastAsia="en-AU"/>
        </w:rPr>
        <w:t xml:space="preserve">six </w:t>
      </w:r>
      <w:r>
        <w:rPr>
          <w:rFonts w:asciiTheme="minorHAnsi" w:hAnsiTheme="minorHAnsi"/>
          <w:color w:val="000000" w:themeColor="text1"/>
          <w:sz w:val="22"/>
          <w:szCs w:val="22"/>
          <w:lang w:eastAsia="en-AU"/>
        </w:rPr>
        <w:t xml:space="preserve">week period </w:t>
      </w:r>
      <w:r w:rsidRPr="00AC5754">
        <w:rPr>
          <w:rFonts w:asciiTheme="minorHAnsi" w:hAnsiTheme="minorHAnsi"/>
          <w:color w:val="000000" w:themeColor="text1"/>
          <w:sz w:val="22"/>
          <w:szCs w:val="22"/>
          <w:lang w:eastAsia="en-AU"/>
        </w:rPr>
        <w:t xml:space="preserve">and full implementation will proceed upon </w:t>
      </w:r>
      <w:r>
        <w:rPr>
          <w:rFonts w:asciiTheme="minorHAnsi" w:hAnsiTheme="minorHAnsi"/>
          <w:color w:val="000000" w:themeColor="text1"/>
          <w:sz w:val="22"/>
          <w:szCs w:val="22"/>
          <w:lang w:eastAsia="en-AU"/>
        </w:rPr>
        <w:t xml:space="preserve">AHC’s </w:t>
      </w:r>
      <w:r w:rsidRPr="00AC5754">
        <w:rPr>
          <w:rFonts w:asciiTheme="minorHAnsi" w:hAnsiTheme="minorHAnsi"/>
          <w:color w:val="000000" w:themeColor="text1"/>
          <w:sz w:val="22"/>
          <w:szCs w:val="22"/>
          <w:lang w:eastAsia="en-AU"/>
        </w:rPr>
        <w:t>approval of that report.</w:t>
      </w:r>
    </w:p>
    <w:p w14:paraId="7BEC7468" w14:textId="1DAB2821" w:rsidR="003A3D41" w:rsidRPr="00AC5754" w:rsidRDefault="00502A22" w:rsidP="00502A22">
      <w:pPr>
        <w:spacing w:before="60" w:after="120" w:line="264" w:lineRule="auto"/>
        <w:rPr>
          <w:rFonts w:asciiTheme="minorHAnsi" w:hAnsiTheme="minorHAnsi"/>
          <w:color w:val="000000" w:themeColor="text1"/>
          <w:sz w:val="22"/>
          <w:szCs w:val="22"/>
          <w:lang w:eastAsia="en-AU"/>
        </w:rPr>
      </w:pPr>
      <w:r>
        <w:rPr>
          <w:rFonts w:asciiTheme="minorHAnsi" w:hAnsiTheme="minorHAnsi" w:cs="Arial"/>
          <w:sz w:val="22"/>
        </w:rPr>
        <w:t xml:space="preserve">The </w:t>
      </w:r>
      <w:r w:rsidR="00D5644C">
        <w:rPr>
          <w:rFonts w:asciiTheme="minorHAnsi" w:hAnsiTheme="minorHAnsi" w:cs="Arial"/>
          <w:sz w:val="22"/>
        </w:rPr>
        <w:t>J</w:t>
      </w:r>
      <w:r w:rsidR="007F623A">
        <w:rPr>
          <w:rFonts w:asciiTheme="minorHAnsi" w:hAnsiTheme="minorHAnsi" w:cs="Arial"/>
          <w:sz w:val="22"/>
        </w:rPr>
        <w:t xml:space="preserve">SS4D </w:t>
      </w:r>
      <w:r w:rsidR="00D5644C">
        <w:rPr>
          <w:rFonts w:asciiTheme="minorHAnsi" w:hAnsiTheme="minorHAnsi" w:cs="Arial"/>
          <w:sz w:val="22"/>
        </w:rPr>
        <w:t xml:space="preserve">and </w:t>
      </w:r>
      <w:r w:rsidR="00BA779B">
        <w:rPr>
          <w:rFonts w:asciiTheme="minorHAnsi" w:hAnsiTheme="minorHAnsi" w:cs="Arial"/>
          <w:sz w:val="22"/>
        </w:rPr>
        <w:t xml:space="preserve">the </w:t>
      </w:r>
      <w:r w:rsidR="007F623A">
        <w:rPr>
          <w:rFonts w:asciiTheme="minorHAnsi" w:hAnsiTheme="minorHAnsi" w:cs="Arial"/>
          <w:sz w:val="22"/>
        </w:rPr>
        <w:t xml:space="preserve">PGF </w:t>
      </w:r>
      <w:r w:rsidR="00D5644C">
        <w:rPr>
          <w:rFonts w:asciiTheme="minorHAnsi" w:hAnsiTheme="minorHAnsi" w:cs="Arial"/>
          <w:sz w:val="22"/>
        </w:rPr>
        <w:t xml:space="preserve">are both being mobilised in late 2015 – early 2016 respectively.  </w:t>
      </w:r>
      <w:r>
        <w:rPr>
          <w:rFonts w:asciiTheme="minorHAnsi" w:hAnsiTheme="minorHAnsi" w:cs="Arial"/>
          <w:sz w:val="22"/>
        </w:rPr>
        <w:t xml:space="preserve"> </w:t>
      </w:r>
      <w:r w:rsidRPr="00AF48E0">
        <w:rPr>
          <w:rFonts w:asciiTheme="minorHAnsi" w:hAnsiTheme="minorHAnsi" w:cs="Arial"/>
          <w:sz w:val="22"/>
        </w:rPr>
        <w:t xml:space="preserve">During the </w:t>
      </w:r>
      <w:r w:rsidR="00DC0FDC">
        <w:rPr>
          <w:rFonts w:asciiTheme="minorHAnsi" w:hAnsiTheme="minorHAnsi" w:cs="Arial"/>
          <w:sz w:val="22"/>
        </w:rPr>
        <w:t>QTAG</w:t>
      </w:r>
      <w:r w:rsidR="00A0689C" w:rsidRPr="00AF48E0">
        <w:rPr>
          <w:rFonts w:asciiTheme="minorHAnsi" w:hAnsiTheme="minorHAnsi" w:cs="Arial"/>
          <w:sz w:val="22"/>
        </w:rPr>
        <w:t xml:space="preserve"> set up period</w:t>
      </w:r>
      <w:r w:rsidR="00D5644C" w:rsidRPr="00AF48E0">
        <w:rPr>
          <w:rFonts w:asciiTheme="minorHAnsi" w:hAnsiTheme="minorHAnsi" w:cs="Arial"/>
          <w:sz w:val="22"/>
        </w:rPr>
        <w:t xml:space="preserve"> (early </w:t>
      </w:r>
      <w:r w:rsidR="00D5644C" w:rsidRPr="00861355">
        <w:rPr>
          <w:rFonts w:asciiTheme="minorHAnsi" w:hAnsiTheme="minorHAnsi" w:cs="Arial"/>
          <w:sz w:val="22"/>
        </w:rPr>
        <w:t>201</w:t>
      </w:r>
      <w:r w:rsidR="00AF48E0" w:rsidRPr="00861355">
        <w:rPr>
          <w:rFonts w:asciiTheme="minorHAnsi" w:hAnsiTheme="minorHAnsi" w:cs="Arial"/>
          <w:sz w:val="22"/>
        </w:rPr>
        <w:t>7</w:t>
      </w:r>
      <w:r w:rsidR="00D5644C" w:rsidRPr="00861355">
        <w:rPr>
          <w:rFonts w:asciiTheme="minorHAnsi" w:hAnsiTheme="minorHAnsi" w:cs="Arial"/>
          <w:sz w:val="22"/>
        </w:rPr>
        <w:t>)</w:t>
      </w:r>
      <w:r w:rsidRPr="00861355">
        <w:rPr>
          <w:rFonts w:asciiTheme="minorHAnsi" w:hAnsiTheme="minorHAnsi" w:cs="Arial"/>
          <w:sz w:val="22"/>
        </w:rPr>
        <w:t xml:space="preserve">, </w:t>
      </w:r>
      <w:r w:rsidR="001E0409" w:rsidRPr="00861355">
        <w:rPr>
          <w:rFonts w:asciiTheme="minorHAnsi" w:hAnsiTheme="minorHAnsi" w:cs="Arial"/>
          <w:sz w:val="22"/>
        </w:rPr>
        <w:t xml:space="preserve">it </w:t>
      </w:r>
      <w:r w:rsidR="001E0409" w:rsidRPr="00AF48E0">
        <w:rPr>
          <w:rFonts w:asciiTheme="minorHAnsi" w:hAnsiTheme="minorHAnsi" w:cs="Arial"/>
          <w:sz w:val="22"/>
        </w:rPr>
        <w:t xml:space="preserve">is likely that </w:t>
      </w:r>
      <w:r w:rsidRPr="00AF48E0">
        <w:rPr>
          <w:rFonts w:asciiTheme="minorHAnsi" w:hAnsiTheme="minorHAnsi" w:cs="Arial"/>
          <w:sz w:val="22"/>
        </w:rPr>
        <w:t xml:space="preserve">the </w:t>
      </w:r>
      <w:r w:rsidR="00DC0FDC">
        <w:rPr>
          <w:rFonts w:asciiTheme="minorHAnsi" w:hAnsiTheme="minorHAnsi" w:cs="Arial"/>
          <w:sz w:val="22"/>
        </w:rPr>
        <w:t>QTAG</w:t>
      </w:r>
      <w:r w:rsidRPr="00AF48E0">
        <w:rPr>
          <w:rFonts w:asciiTheme="minorHAnsi" w:hAnsiTheme="minorHAnsi" w:cs="Arial"/>
          <w:sz w:val="22"/>
        </w:rPr>
        <w:t xml:space="preserve"> </w:t>
      </w:r>
      <w:r w:rsidR="001E0409" w:rsidRPr="00AF48E0">
        <w:rPr>
          <w:rFonts w:asciiTheme="minorHAnsi" w:hAnsiTheme="minorHAnsi" w:cs="Arial"/>
          <w:sz w:val="22"/>
        </w:rPr>
        <w:t>will b</w:t>
      </w:r>
      <w:r w:rsidRPr="00AF48E0">
        <w:rPr>
          <w:rFonts w:asciiTheme="minorHAnsi" w:hAnsiTheme="minorHAnsi" w:cs="Arial"/>
          <w:sz w:val="22"/>
        </w:rPr>
        <w:t xml:space="preserve">e required to provide </w:t>
      </w:r>
      <w:r w:rsidR="0065249A" w:rsidRPr="00AF48E0">
        <w:rPr>
          <w:rFonts w:asciiTheme="minorHAnsi" w:hAnsiTheme="minorHAnsi"/>
          <w:color w:val="000000" w:themeColor="text1"/>
          <w:sz w:val="22"/>
          <w:szCs w:val="22"/>
          <w:lang w:eastAsia="en-AU"/>
        </w:rPr>
        <w:t xml:space="preserve">Category 2 </w:t>
      </w:r>
      <w:r w:rsidR="003A3D41" w:rsidRPr="00AF48E0">
        <w:rPr>
          <w:rFonts w:asciiTheme="minorHAnsi" w:hAnsiTheme="minorHAnsi"/>
          <w:color w:val="000000" w:themeColor="text1"/>
          <w:sz w:val="22"/>
          <w:szCs w:val="22"/>
          <w:lang w:eastAsia="en-AU"/>
        </w:rPr>
        <w:t xml:space="preserve">support </w:t>
      </w:r>
      <w:r w:rsidRPr="00AF48E0">
        <w:rPr>
          <w:rFonts w:asciiTheme="minorHAnsi" w:hAnsiTheme="minorHAnsi"/>
          <w:color w:val="000000" w:themeColor="text1"/>
          <w:sz w:val="22"/>
          <w:szCs w:val="22"/>
          <w:lang w:eastAsia="en-AU"/>
        </w:rPr>
        <w:t xml:space="preserve">with respect to </w:t>
      </w:r>
      <w:r w:rsidR="003A3D41" w:rsidRPr="00AF48E0">
        <w:rPr>
          <w:rFonts w:asciiTheme="minorHAnsi" w:hAnsiTheme="minorHAnsi"/>
          <w:color w:val="000000" w:themeColor="text1"/>
          <w:sz w:val="22"/>
          <w:szCs w:val="22"/>
          <w:lang w:eastAsia="en-AU"/>
        </w:rPr>
        <w:t>the devel</w:t>
      </w:r>
      <w:r w:rsidRPr="00AF48E0">
        <w:rPr>
          <w:rFonts w:asciiTheme="minorHAnsi" w:hAnsiTheme="minorHAnsi"/>
          <w:color w:val="000000" w:themeColor="text1"/>
          <w:sz w:val="22"/>
          <w:szCs w:val="22"/>
          <w:lang w:eastAsia="en-AU"/>
        </w:rPr>
        <w:t>opment of key documents and plans for the programs as they mobilise.</w:t>
      </w:r>
      <w:r w:rsidR="001E0409" w:rsidRPr="00AF48E0">
        <w:rPr>
          <w:rFonts w:asciiTheme="minorHAnsi" w:hAnsiTheme="minorHAnsi"/>
          <w:color w:val="000000" w:themeColor="text1"/>
          <w:sz w:val="22"/>
          <w:szCs w:val="22"/>
          <w:lang w:eastAsia="en-AU"/>
        </w:rPr>
        <w:t xml:space="preserve">  The SP will need to ensure, therefore, that the </w:t>
      </w:r>
      <w:r w:rsidR="00DC0FDC">
        <w:rPr>
          <w:rFonts w:asciiTheme="minorHAnsi" w:hAnsiTheme="minorHAnsi"/>
          <w:color w:val="000000" w:themeColor="text1"/>
          <w:sz w:val="22"/>
          <w:szCs w:val="22"/>
          <w:lang w:eastAsia="en-AU"/>
        </w:rPr>
        <w:t>QTAG</w:t>
      </w:r>
      <w:r w:rsidR="001E0409" w:rsidRPr="00AF48E0">
        <w:rPr>
          <w:rFonts w:asciiTheme="minorHAnsi" w:hAnsiTheme="minorHAnsi"/>
          <w:color w:val="000000" w:themeColor="text1"/>
          <w:sz w:val="22"/>
          <w:szCs w:val="22"/>
          <w:lang w:eastAsia="en-AU"/>
        </w:rPr>
        <w:t xml:space="preserve"> has the necessary operational capacity in place from the outset.</w:t>
      </w:r>
      <w:r>
        <w:rPr>
          <w:rFonts w:asciiTheme="minorHAnsi" w:hAnsiTheme="minorHAnsi"/>
          <w:color w:val="000000" w:themeColor="text1"/>
          <w:sz w:val="22"/>
          <w:szCs w:val="22"/>
          <w:lang w:eastAsia="en-AU"/>
        </w:rPr>
        <w:t xml:space="preserve"> </w:t>
      </w:r>
    </w:p>
    <w:p w14:paraId="393AC500" w14:textId="77777777" w:rsidR="00502A22" w:rsidRPr="00502A22" w:rsidRDefault="00502A22" w:rsidP="00502A22">
      <w:pPr>
        <w:spacing w:before="180" w:after="120" w:line="264" w:lineRule="auto"/>
        <w:rPr>
          <w:rFonts w:asciiTheme="minorHAnsi" w:hAnsiTheme="minorHAnsi" w:cs="Arial"/>
          <w:sz w:val="24"/>
          <w:szCs w:val="22"/>
          <w:u w:val="single"/>
        </w:rPr>
      </w:pPr>
      <w:r>
        <w:rPr>
          <w:rFonts w:asciiTheme="minorHAnsi" w:hAnsiTheme="minorHAnsi" w:cs="Arial"/>
          <w:sz w:val="24"/>
          <w:szCs w:val="22"/>
          <w:u w:val="single"/>
        </w:rPr>
        <w:t>Implementation phase</w:t>
      </w:r>
    </w:p>
    <w:p w14:paraId="1EA4575C" w14:textId="1B736DA7" w:rsidR="001E0409" w:rsidRDefault="00D5644C" w:rsidP="00502A22">
      <w:pPr>
        <w:spacing w:before="60" w:after="120" w:line="264" w:lineRule="auto"/>
        <w:jc w:val="both"/>
        <w:rPr>
          <w:rFonts w:asciiTheme="minorHAnsi" w:hAnsiTheme="minorHAnsi" w:cs="Arial"/>
          <w:sz w:val="22"/>
          <w:szCs w:val="22"/>
        </w:rPr>
      </w:pPr>
      <w:r>
        <w:rPr>
          <w:rFonts w:asciiTheme="minorHAnsi" w:hAnsiTheme="minorHAnsi" w:cs="Arial"/>
          <w:sz w:val="22"/>
          <w:szCs w:val="22"/>
        </w:rPr>
        <w:t xml:space="preserve">Dependent on agreement with AHC, the annual review cycle for both the </w:t>
      </w:r>
      <w:r w:rsidR="007F623A">
        <w:rPr>
          <w:rFonts w:asciiTheme="minorHAnsi" w:hAnsiTheme="minorHAnsi" w:cs="Arial"/>
          <w:sz w:val="22"/>
          <w:szCs w:val="22"/>
        </w:rPr>
        <w:t>PGF</w:t>
      </w:r>
      <w:r>
        <w:rPr>
          <w:rFonts w:asciiTheme="minorHAnsi" w:hAnsiTheme="minorHAnsi" w:cs="Arial"/>
          <w:sz w:val="22"/>
          <w:szCs w:val="22"/>
        </w:rPr>
        <w:t xml:space="preserve"> and </w:t>
      </w:r>
      <w:r w:rsidR="007F623A">
        <w:rPr>
          <w:rFonts w:asciiTheme="minorHAnsi" w:hAnsiTheme="minorHAnsi" w:cs="Arial"/>
          <w:sz w:val="22"/>
          <w:szCs w:val="22"/>
        </w:rPr>
        <w:t xml:space="preserve">JSS4D </w:t>
      </w:r>
      <w:r>
        <w:rPr>
          <w:rFonts w:asciiTheme="minorHAnsi" w:hAnsiTheme="minorHAnsi" w:cs="Arial"/>
          <w:sz w:val="22"/>
          <w:szCs w:val="22"/>
        </w:rPr>
        <w:t>program</w:t>
      </w:r>
      <w:r w:rsidR="00BA779B">
        <w:rPr>
          <w:rFonts w:asciiTheme="minorHAnsi" w:hAnsiTheme="minorHAnsi" w:cs="Arial"/>
          <w:sz w:val="22"/>
          <w:szCs w:val="22"/>
        </w:rPr>
        <w:t>s</w:t>
      </w:r>
      <w:r>
        <w:rPr>
          <w:rFonts w:asciiTheme="minorHAnsi" w:hAnsiTheme="minorHAnsi" w:cs="Arial"/>
          <w:sz w:val="22"/>
          <w:szCs w:val="22"/>
        </w:rPr>
        <w:t xml:space="preserve"> may start in 2017</w:t>
      </w:r>
      <w:r w:rsidR="001E0409" w:rsidRPr="0036589B">
        <w:rPr>
          <w:rFonts w:asciiTheme="minorHAnsi" w:hAnsiTheme="minorHAnsi" w:cs="Arial"/>
          <w:sz w:val="22"/>
          <w:szCs w:val="22"/>
        </w:rPr>
        <w:t xml:space="preserve">. The timings for the </w:t>
      </w:r>
      <w:r w:rsidR="007F623A">
        <w:rPr>
          <w:rFonts w:asciiTheme="minorHAnsi" w:hAnsiTheme="minorHAnsi" w:cs="Arial"/>
          <w:sz w:val="22"/>
          <w:szCs w:val="22"/>
        </w:rPr>
        <w:t xml:space="preserve">PGF </w:t>
      </w:r>
      <w:r>
        <w:rPr>
          <w:rFonts w:asciiTheme="minorHAnsi" w:hAnsiTheme="minorHAnsi" w:cs="Arial"/>
          <w:sz w:val="22"/>
          <w:szCs w:val="22"/>
        </w:rPr>
        <w:t xml:space="preserve">and </w:t>
      </w:r>
      <w:r w:rsidR="007F623A">
        <w:rPr>
          <w:rFonts w:asciiTheme="minorHAnsi" w:hAnsiTheme="minorHAnsi" w:cs="Arial"/>
          <w:sz w:val="22"/>
          <w:szCs w:val="22"/>
        </w:rPr>
        <w:t>JSS4D</w:t>
      </w:r>
      <w:r>
        <w:rPr>
          <w:rFonts w:asciiTheme="minorHAnsi" w:hAnsiTheme="minorHAnsi" w:cs="Arial"/>
          <w:sz w:val="22"/>
          <w:szCs w:val="22"/>
        </w:rPr>
        <w:t xml:space="preserve"> </w:t>
      </w:r>
      <w:r w:rsidR="001E0409" w:rsidRPr="0036589B">
        <w:rPr>
          <w:rFonts w:asciiTheme="minorHAnsi" w:hAnsiTheme="minorHAnsi" w:cs="Arial"/>
          <w:sz w:val="22"/>
          <w:szCs w:val="22"/>
        </w:rPr>
        <w:t xml:space="preserve">program will need to be </w:t>
      </w:r>
      <w:r w:rsidR="00155A4D" w:rsidRPr="0036589B">
        <w:rPr>
          <w:rFonts w:asciiTheme="minorHAnsi" w:hAnsiTheme="minorHAnsi" w:cs="Arial"/>
          <w:sz w:val="22"/>
          <w:szCs w:val="22"/>
        </w:rPr>
        <w:t>finalised</w:t>
      </w:r>
      <w:r w:rsidR="001E0409" w:rsidRPr="0036589B">
        <w:rPr>
          <w:rFonts w:asciiTheme="minorHAnsi" w:hAnsiTheme="minorHAnsi" w:cs="Arial"/>
          <w:sz w:val="22"/>
          <w:szCs w:val="22"/>
        </w:rPr>
        <w:t xml:space="preserve"> in discussion with </w:t>
      </w:r>
      <w:r w:rsidR="007F623A">
        <w:rPr>
          <w:rFonts w:asciiTheme="minorHAnsi" w:hAnsiTheme="minorHAnsi" w:cs="Arial"/>
          <w:sz w:val="22"/>
          <w:szCs w:val="22"/>
        </w:rPr>
        <w:t xml:space="preserve">the </w:t>
      </w:r>
      <w:r w:rsidR="001E0409" w:rsidRPr="0036589B">
        <w:rPr>
          <w:rFonts w:asciiTheme="minorHAnsi" w:hAnsiTheme="minorHAnsi" w:cs="Arial"/>
          <w:sz w:val="22"/>
          <w:szCs w:val="22"/>
        </w:rPr>
        <w:t xml:space="preserve">AHC, GoPNG and </w:t>
      </w:r>
      <w:r>
        <w:rPr>
          <w:rFonts w:asciiTheme="minorHAnsi" w:hAnsiTheme="minorHAnsi" w:cs="Arial"/>
          <w:sz w:val="22"/>
          <w:szCs w:val="22"/>
        </w:rPr>
        <w:t>facility/</w:t>
      </w:r>
      <w:r w:rsidR="001E0409" w:rsidRPr="0036589B">
        <w:rPr>
          <w:rFonts w:asciiTheme="minorHAnsi" w:hAnsiTheme="minorHAnsi" w:cs="Arial"/>
          <w:sz w:val="22"/>
          <w:szCs w:val="22"/>
        </w:rPr>
        <w:t>program team leaders during the set up period but are likely to be different, reflecting differences in their management cycles. Indicative schedules are as follows:</w:t>
      </w:r>
    </w:p>
    <w:p w14:paraId="21B82D67" w14:textId="77777777" w:rsidR="00D5644C" w:rsidRPr="0036589B" w:rsidRDefault="00D5644C" w:rsidP="00502A22">
      <w:pPr>
        <w:spacing w:before="60" w:after="120" w:line="264" w:lineRule="auto"/>
        <w:jc w:val="both"/>
        <w:rPr>
          <w:rFonts w:asciiTheme="minorHAnsi" w:hAnsiTheme="minorHAnsi" w:cs="Arial"/>
          <w:sz w:val="22"/>
          <w:szCs w:val="22"/>
        </w:rPr>
      </w:pPr>
    </w:p>
    <w:tbl>
      <w:tblPr>
        <w:tblStyle w:val="Tablewithnoheader"/>
        <w:tblW w:w="0" w:type="auto"/>
        <w:jc w:val="center"/>
        <w:tblLook w:val="04A0" w:firstRow="1" w:lastRow="0" w:firstColumn="1" w:lastColumn="0" w:noHBand="0" w:noVBand="1"/>
      </w:tblPr>
      <w:tblGrid>
        <w:gridCol w:w="1809"/>
        <w:gridCol w:w="3261"/>
        <w:gridCol w:w="3543"/>
      </w:tblGrid>
      <w:tr w:rsidR="001E1227" w:rsidRPr="001E1227" w14:paraId="274ECE60" w14:textId="77777777" w:rsidTr="00493142">
        <w:trPr>
          <w:jc w:val="center"/>
        </w:trPr>
        <w:tc>
          <w:tcPr>
            <w:tcW w:w="1809" w:type="dxa"/>
            <w:shd w:val="clear" w:color="auto" w:fill="EEECE1" w:themeFill="background2"/>
            <w:vAlign w:val="bottom"/>
          </w:tcPr>
          <w:p w14:paraId="31B29F1C" w14:textId="77777777" w:rsidR="001E1227" w:rsidRPr="001E1227" w:rsidRDefault="00D43D75" w:rsidP="00D43D75">
            <w:pPr>
              <w:spacing w:before="40" w:after="40"/>
              <w:rPr>
                <w:rFonts w:asciiTheme="minorHAnsi" w:hAnsiTheme="minorHAnsi"/>
                <w:b/>
                <w:color w:val="000000" w:themeColor="text1"/>
                <w:sz w:val="22"/>
                <w:szCs w:val="22"/>
                <w:lang w:eastAsia="en-AU"/>
              </w:rPr>
            </w:pPr>
            <w:r>
              <w:rPr>
                <w:rFonts w:asciiTheme="minorHAnsi" w:hAnsiTheme="minorHAnsi"/>
                <w:b/>
                <w:color w:val="000000" w:themeColor="text1"/>
                <w:sz w:val="22"/>
                <w:szCs w:val="22"/>
                <w:lang w:eastAsia="en-AU"/>
              </w:rPr>
              <w:t xml:space="preserve">Annual Review </w:t>
            </w:r>
            <w:r w:rsidR="001E1227" w:rsidRPr="001E1227">
              <w:rPr>
                <w:rFonts w:asciiTheme="minorHAnsi" w:hAnsiTheme="minorHAnsi"/>
                <w:b/>
                <w:color w:val="000000" w:themeColor="text1"/>
                <w:sz w:val="22"/>
                <w:szCs w:val="22"/>
                <w:lang w:eastAsia="en-AU"/>
              </w:rPr>
              <w:t>Phase</w:t>
            </w:r>
          </w:p>
        </w:tc>
        <w:tc>
          <w:tcPr>
            <w:tcW w:w="3261" w:type="dxa"/>
            <w:shd w:val="clear" w:color="auto" w:fill="EEECE1" w:themeFill="background2"/>
            <w:vAlign w:val="bottom"/>
          </w:tcPr>
          <w:p w14:paraId="2C8ED515" w14:textId="77777777" w:rsidR="001E1227" w:rsidRPr="001E1227" w:rsidRDefault="001E1227" w:rsidP="00D43D75">
            <w:pPr>
              <w:spacing w:before="40" w:after="40"/>
              <w:rPr>
                <w:rFonts w:asciiTheme="minorHAnsi" w:hAnsiTheme="minorHAnsi"/>
                <w:b/>
                <w:color w:val="000000" w:themeColor="text1"/>
                <w:sz w:val="22"/>
                <w:szCs w:val="22"/>
                <w:lang w:eastAsia="en-AU"/>
              </w:rPr>
            </w:pPr>
            <w:r w:rsidRPr="001E1227">
              <w:rPr>
                <w:rFonts w:asciiTheme="minorHAnsi" w:hAnsiTheme="minorHAnsi"/>
                <w:b/>
                <w:color w:val="000000" w:themeColor="text1"/>
                <w:sz w:val="22"/>
                <w:szCs w:val="22"/>
                <w:lang w:eastAsia="en-AU"/>
              </w:rPr>
              <w:t>PGF</w:t>
            </w:r>
          </w:p>
        </w:tc>
        <w:tc>
          <w:tcPr>
            <w:tcW w:w="3543" w:type="dxa"/>
            <w:shd w:val="clear" w:color="auto" w:fill="EEECE1" w:themeFill="background2"/>
            <w:vAlign w:val="bottom"/>
          </w:tcPr>
          <w:p w14:paraId="7E914D48" w14:textId="77777777" w:rsidR="001E1227" w:rsidRPr="001E1227" w:rsidRDefault="001E1227" w:rsidP="00D43D75">
            <w:pPr>
              <w:spacing w:before="40" w:after="40"/>
              <w:rPr>
                <w:rFonts w:asciiTheme="minorHAnsi" w:hAnsiTheme="minorHAnsi"/>
                <w:b/>
                <w:color w:val="000000" w:themeColor="text1"/>
                <w:sz w:val="22"/>
                <w:szCs w:val="22"/>
                <w:lang w:eastAsia="en-AU"/>
              </w:rPr>
            </w:pPr>
            <w:r w:rsidRPr="001E1227">
              <w:rPr>
                <w:rFonts w:asciiTheme="minorHAnsi" w:hAnsiTheme="minorHAnsi"/>
                <w:b/>
                <w:color w:val="000000" w:themeColor="text1"/>
                <w:sz w:val="22"/>
                <w:szCs w:val="22"/>
                <w:lang w:eastAsia="en-AU"/>
              </w:rPr>
              <w:t>JSS4D</w:t>
            </w:r>
          </w:p>
        </w:tc>
      </w:tr>
      <w:tr w:rsidR="001E1227" w:rsidRPr="001E0409" w14:paraId="76B01C74" w14:textId="77777777" w:rsidTr="00493142">
        <w:trPr>
          <w:jc w:val="center"/>
        </w:trPr>
        <w:tc>
          <w:tcPr>
            <w:tcW w:w="1809" w:type="dxa"/>
          </w:tcPr>
          <w:p w14:paraId="154FFF3C" w14:textId="77777777" w:rsidR="001E1227" w:rsidRPr="001E0409" w:rsidRDefault="005D750D" w:rsidP="00693A81">
            <w:pPr>
              <w:spacing w:before="60" w:after="40"/>
              <w:contextualSpacing/>
              <w:jc w:val="both"/>
              <w:rPr>
                <w:rFonts w:asciiTheme="minorHAnsi" w:hAnsiTheme="minorHAnsi"/>
                <w:color w:val="000000" w:themeColor="text1"/>
                <w:szCs w:val="22"/>
                <w:lang w:eastAsia="en-AU"/>
              </w:rPr>
            </w:pPr>
            <w:r>
              <w:rPr>
                <w:rFonts w:asciiTheme="minorHAnsi" w:hAnsiTheme="minorHAnsi"/>
                <w:color w:val="000000" w:themeColor="text1"/>
                <w:szCs w:val="22"/>
                <w:lang w:eastAsia="en-AU"/>
              </w:rPr>
              <w:t xml:space="preserve">Detailed </w:t>
            </w:r>
            <w:r w:rsidR="00B93189">
              <w:rPr>
                <w:rFonts w:asciiTheme="minorHAnsi" w:hAnsiTheme="minorHAnsi"/>
                <w:color w:val="000000" w:themeColor="text1"/>
                <w:szCs w:val="22"/>
                <w:lang w:eastAsia="en-AU"/>
              </w:rPr>
              <w:t xml:space="preserve">Annual Review </w:t>
            </w:r>
            <w:r>
              <w:rPr>
                <w:rFonts w:asciiTheme="minorHAnsi" w:hAnsiTheme="minorHAnsi"/>
                <w:color w:val="000000" w:themeColor="text1"/>
                <w:szCs w:val="22"/>
                <w:lang w:eastAsia="en-AU"/>
              </w:rPr>
              <w:t>p</w:t>
            </w:r>
            <w:r w:rsidR="001E1227">
              <w:rPr>
                <w:rFonts w:asciiTheme="minorHAnsi" w:hAnsiTheme="minorHAnsi"/>
                <w:color w:val="000000" w:themeColor="text1"/>
                <w:szCs w:val="22"/>
                <w:lang w:eastAsia="en-AU"/>
              </w:rPr>
              <w:t>lanning</w:t>
            </w:r>
          </w:p>
        </w:tc>
        <w:tc>
          <w:tcPr>
            <w:tcW w:w="3261" w:type="dxa"/>
          </w:tcPr>
          <w:p w14:paraId="38FF69C7" w14:textId="3C1297E6" w:rsidR="001E1227" w:rsidRPr="001E1227" w:rsidRDefault="001E1227" w:rsidP="00462463">
            <w:pPr>
              <w:spacing w:before="60" w:after="40"/>
              <w:contextualSpacing/>
              <w:jc w:val="both"/>
              <w:rPr>
                <w:rFonts w:asciiTheme="minorHAnsi" w:hAnsiTheme="minorHAnsi"/>
                <w:color w:val="000000" w:themeColor="text1"/>
                <w:szCs w:val="22"/>
                <w:lang w:eastAsia="en-AU"/>
              </w:rPr>
            </w:pPr>
            <w:r>
              <w:rPr>
                <w:rFonts w:asciiTheme="minorHAnsi" w:hAnsiTheme="minorHAnsi"/>
                <w:color w:val="000000" w:themeColor="text1"/>
                <w:szCs w:val="22"/>
                <w:lang w:eastAsia="en-AU"/>
              </w:rPr>
              <w:t>Jan</w:t>
            </w:r>
            <w:r w:rsidR="00493142">
              <w:rPr>
                <w:rFonts w:asciiTheme="minorHAnsi" w:hAnsiTheme="minorHAnsi"/>
                <w:color w:val="000000" w:themeColor="text1"/>
                <w:szCs w:val="22"/>
                <w:lang w:eastAsia="en-AU"/>
              </w:rPr>
              <w:t>uary</w:t>
            </w:r>
            <w:r>
              <w:rPr>
                <w:rFonts w:asciiTheme="minorHAnsi" w:hAnsiTheme="minorHAnsi"/>
                <w:color w:val="000000" w:themeColor="text1"/>
                <w:szCs w:val="22"/>
                <w:lang w:eastAsia="en-AU"/>
              </w:rPr>
              <w:t>-Feb</w:t>
            </w:r>
            <w:r w:rsidR="00493142">
              <w:rPr>
                <w:rFonts w:asciiTheme="minorHAnsi" w:hAnsiTheme="minorHAnsi"/>
                <w:color w:val="000000" w:themeColor="text1"/>
                <w:szCs w:val="22"/>
                <w:lang w:eastAsia="en-AU"/>
              </w:rPr>
              <w:t>ruary</w:t>
            </w:r>
            <w:r w:rsidRPr="001E1227">
              <w:rPr>
                <w:rFonts w:asciiTheme="minorHAnsi" w:hAnsiTheme="minorHAnsi"/>
                <w:color w:val="000000" w:themeColor="text1"/>
                <w:szCs w:val="22"/>
                <w:lang w:eastAsia="en-AU"/>
              </w:rPr>
              <w:t xml:space="preserve"> </w:t>
            </w:r>
          </w:p>
        </w:tc>
        <w:tc>
          <w:tcPr>
            <w:tcW w:w="3543" w:type="dxa"/>
          </w:tcPr>
          <w:p w14:paraId="3989CDFC" w14:textId="77777777" w:rsidR="005D750D" w:rsidRPr="005D750D" w:rsidRDefault="005D750D" w:rsidP="00493142">
            <w:pPr>
              <w:spacing w:before="60" w:after="40"/>
              <w:contextualSpacing/>
              <w:jc w:val="both"/>
              <w:rPr>
                <w:rFonts w:asciiTheme="minorHAnsi" w:hAnsiTheme="minorHAnsi"/>
                <w:color w:val="000000" w:themeColor="text1"/>
                <w:szCs w:val="22"/>
                <w:lang w:eastAsia="en-AU"/>
              </w:rPr>
            </w:pPr>
            <w:r>
              <w:rPr>
                <w:rFonts w:asciiTheme="minorHAnsi" w:hAnsiTheme="minorHAnsi"/>
                <w:color w:val="000000" w:themeColor="text1"/>
                <w:szCs w:val="22"/>
                <w:lang w:eastAsia="en-AU"/>
              </w:rPr>
              <w:t>Aug</w:t>
            </w:r>
            <w:r w:rsidR="00493142">
              <w:rPr>
                <w:rFonts w:asciiTheme="minorHAnsi" w:hAnsiTheme="minorHAnsi"/>
                <w:color w:val="000000" w:themeColor="text1"/>
                <w:szCs w:val="22"/>
                <w:lang w:eastAsia="en-AU"/>
              </w:rPr>
              <w:t>ust</w:t>
            </w:r>
            <w:r>
              <w:rPr>
                <w:rFonts w:asciiTheme="minorHAnsi" w:hAnsiTheme="minorHAnsi"/>
                <w:color w:val="000000" w:themeColor="text1"/>
                <w:szCs w:val="22"/>
                <w:lang w:eastAsia="en-AU"/>
              </w:rPr>
              <w:t>-Sep</w:t>
            </w:r>
            <w:r w:rsidR="00493142">
              <w:rPr>
                <w:rFonts w:asciiTheme="minorHAnsi" w:hAnsiTheme="minorHAnsi"/>
                <w:color w:val="000000" w:themeColor="text1"/>
                <w:szCs w:val="22"/>
                <w:lang w:eastAsia="en-AU"/>
              </w:rPr>
              <w:t>tember</w:t>
            </w:r>
            <w:r>
              <w:rPr>
                <w:rFonts w:asciiTheme="minorHAnsi" w:hAnsiTheme="minorHAnsi"/>
                <w:color w:val="000000" w:themeColor="text1"/>
                <w:szCs w:val="22"/>
                <w:lang w:eastAsia="en-AU"/>
              </w:rPr>
              <w:t xml:space="preserve">: following August </w:t>
            </w:r>
            <w:r w:rsidRPr="00D43D75">
              <w:rPr>
                <w:rFonts w:asciiTheme="minorHAnsi" w:hAnsiTheme="minorHAnsi"/>
                <w:color w:val="000000" w:themeColor="text1"/>
                <w:szCs w:val="22"/>
                <w:lang w:eastAsia="en-AU"/>
              </w:rPr>
              <w:t>SP</w:t>
            </w:r>
            <w:r w:rsidR="00B93189" w:rsidRPr="00D43D75">
              <w:rPr>
                <w:rFonts w:asciiTheme="minorHAnsi" w:hAnsiTheme="minorHAnsi"/>
                <w:color w:val="000000" w:themeColor="text1"/>
                <w:szCs w:val="22"/>
                <w:lang w:eastAsia="en-AU"/>
              </w:rPr>
              <w:t>G</w:t>
            </w:r>
            <w:r w:rsidRPr="00D43D75">
              <w:rPr>
                <w:rFonts w:asciiTheme="minorHAnsi" w:hAnsiTheme="minorHAnsi"/>
                <w:color w:val="000000" w:themeColor="text1"/>
                <w:szCs w:val="22"/>
                <w:lang w:eastAsia="en-AU"/>
              </w:rPr>
              <w:t>M</w:t>
            </w:r>
            <w:r>
              <w:rPr>
                <w:rFonts w:asciiTheme="minorHAnsi" w:hAnsiTheme="minorHAnsi"/>
                <w:color w:val="000000" w:themeColor="text1"/>
                <w:szCs w:val="22"/>
                <w:lang w:eastAsia="en-AU"/>
              </w:rPr>
              <w:t xml:space="preserve"> meeting</w:t>
            </w:r>
          </w:p>
        </w:tc>
      </w:tr>
      <w:tr w:rsidR="001E1227" w:rsidRPr="001E0409" w14:paraId="2C22F94E" w14:textId="77777777" w:rsidTr="00493142">
        <w:trPr>
          <w:jc w:val="center"/>
        </w:trPr>
        <w:tc>
          <w:tcPr>
            <w:tcW w:w="1809" w:type="dxa"/>
          </w:tcPr>
          <w:p w14:paraId="5D407B29" w14:textId="77777777" w:rsidR="001E1227" w:rsidRPr="001E0409" w:rsidRDefault="001E1227" w:rsidP="00693A81">
            <w:pPr>
              <w:spacing w:before="60" w:after="40"/>
              <w:contextualSpacing/>
              <w:jc w:val="both"/>
              <w:rPr>
                <w:rFonts w:asciiTheme="minorHAnsi" w:hAnsiTheme="minorHAnsi"/>
                <w:color w:val="000000" w:themeColor="text1"/>
                <w:szCs w:val="22"/>
                <w:lang w:eastAsia="en-AU"/>
              </w:rPr>
            </w:pPr>
            <w:r>
              <w:rPr>
                <w:rFonts w:asciiTheme="minorHAnsi" w:hAnsiTheme="minorHAnsi"/>
                <w:color w:val="000000" w:themeColor="text1"/>
                <w:szCs w:val="22"/>
                <w:lang w:eastAsia="en-AU"/>
              </w:rPr>
              <w:t>Fieldwork</w:t>
            </w:r>
          </w:p>
        </w:tc>
        <w:tc>
          <w:tcPr>
            <w:tcW w:w="3261" w:type="dxa"/>
          </w:tcPr>
          <w:p w14:paraId="0DC1B8D4" w14:textId="77777777" w:rsidR="001E1227" w:rsidRPr="001E1227" w:rsidRDefault="001E1227" w:rsidP="00493142">
            <w:pPr>
              <w:spacing w:before="60" w:after="40"/>
              <w:contextualSpacing/>
              <w:jc w:val="both"/>
              <w:rPr>
                <w:rFonts w:asciiTheme="minorHAnsi" w:hAnsiTheme="minorHAnsi"/>
                <w:color w:val="000000" w:themeColor="text1"/>
                <w:szCs w:val="22"/>
                <w:lang w:eastAsia="en-AU"/>
              </w:rPr>
            </w:pPr>
            <w:r>
              <w:rPr>
                <w:rFonts w:asciiTheme="minorHAnsi" w:hAnsiTheme="minorHAnsi"/>
                <w:color w:val="000000" w:themeColor="text1"/>
                <w:szCs w:val="22"/>
                <w:lang w:eastAsia="en-AU"/>
              </w:rPr>
              <w:t>Mar</w:t>
            </w:r>
            <w:r w:rsidR="00493142">
              <w:rPr>
                <w:rFonts w:asciiTheme="minorHAnsi" w:hAnsiTheme="minorHAnsi"/>
                <w:color w:val="000000" w:themeColor="text1"/>
                <w:szCs w:val="22"/>
                <w:lang w:eastAsia="en-AU"/>
              </w:rPr>
              <w:t>ch</w:t>
            </w:r>
          </w:p>
        </w:tc>
        <w:tc>
          <w:tcPr>
            <w:tcW w:w="3543" w:type="dxa"/>
          </w:tcPr>
          <w:p w14:paraId="5BDC43D4" w14:textId="77777777" w:rsidR="001E1227" w:rsidRPr="001E0409" w:rsidRDefault="005D750D" w:rsidP="00493142">
            <w:pPr>
              <w:spacing w:before="60" w:after="40"/>
              <w:contextualSpacing/>
              <w:jc w:val="both"/>
              <w:rPr>
                <w:rFonts w:asciiTheme="minorHAnsi" w:hAnsiTheme="minorHAnsi"/>
                <w:color w:val="000000" w:themeColor="text1"/>
                <w:szCs w:val="22"/>
                <w:lang w:eastAsia="en-AU"/>
              </w:rPr>
            </w:pPr>
            <w:r>
              <w:rPr>
                <w:rFonts w:asciiTheme="minorHAnsi" w:hAnsiTheme="minorHAnsi"/>
                <w:color w:val="000000" w:themeColor="text1"/>
                <w:szCs w:val="22"/>
                <w:lang w:eastAsia="en-AU"/>
              </w:rPr>
              <w:t>Oct</w:t>
            </w:r>
            <w:r w:rsidR="00493142">
              <w:rPr>
                <w:rFonts w:asciiTheme="minorHAnsi" w:hAnsiTheme="minorHAnsi"/>
                <w:color w:val="000000" w:themeColor="text1"/>
                <w:szCs w:val="22"/>
                <w:lang w:eastAsia="en-AU"/>
              </w:rPr>
              <w:t xml:space="preserve">ober </w:t>
            </w:r>
          </w:p>
        </w:tc>
      </w:tr>
      <w:tr w:rsidR="001E1227" w:rsidRPr="001E0409" w14:paraId="1B90D678" w14:textId="77777777" w:rsidTr="00493142">
        <w:trPr>
          <w:jc w:val="center"/>
        </w:trPr>
        <w:tc>
          <w:tcPr>
            <w:tcW w:w="1809" w:type="dxa"/>
          </w:tcPr>
          <w:p w14:paraId="54C2DE48" w14:textId="77777777" w:rsidR="001E1227" w:rsidRPr="001E0409" w:rsidRDefault="001E1227" w:rsidP="00693A81">
            <w:pPr>
              <w:spacing w:before="60" w:after="40"/>
              <w:contextualSpacing/>
              <w:jc w:val="both"/>
              <w:rPr>
                <w:rFonts w:asciiTheme="minorHAnsi" w:hAnsiTheme="minorHAnsi"/>
                <w:color w:val="000000" w:themeColor="text1"/>
                <w:szCs w:val="22"/>
                <w:lang w:eastAsia="en-AU"/>
              </w:rPr>
            </w:pPr>
            <w:r>
              <w:rPr>
                <w:rFonts w:asciiTheme="minorHAnsi" w:hAnsiTheme="minorHAnsi"/>
                <w:color w:val="000000" w:themeColor="text1"/>
                <w:szCs w:val="22"/>
                <w:lang w:eastAsia="en-AU"/>
              </w:rPr>
              <w:t>Reporting (draft)</w:t>
            </w:r>
          </w:p>
        </w:tc>
        <w:tc>
          <w:tcPr>
            <w:tcW w:w="3261" w:type="dxa"/>
          </w:tcPr>
          <w:p w14:paraId="52D64BCB" w14:textId="77777777" w:rsidR="001E1227" w:rsidRPr="00D43D75" w:rsidRDefault="00493142" w:rsidP="00493142">
            <w:pPr>
              <w:spacing w:before="60" w:after="40"/>
              <w:contextualSpacing/>
              <w:jc w:val="both"/>
              <w:rPr>
                <w:rFonts w:asciiTheme="minorHAnsi" w:hAnsiTheme="minorHAnsi"/>
                <w:color w:val="000000" w:themeColor="text1"/>
                <w:szCs w:val="22"/>
                <w:lang w:eastAsia="en-AU"/>
              </w:rPr>
            </w:pPr>
            <w:r>
              <w:rPr>
                <w:rFonts w:asciiTheme="minorHAnsi" w:hAnsiTheme="minorHAnsi"/>
                <w:color w:val="000000" w:themeColor="text1"/>
                <w:szCs w:val="22"/>
                <w:lang w:eastAsia="en-AU"/>
              </w:rPr>
              <w:t>Apr/</w:t>
            </w:r>
            <w:r w:rsidR="001E1227">
              <w:rPr>
                <w:rFonts w:asciiTheme="minorHAnsi" w:hAnsiTheme="minorHAnsi"/>
                <w:color w:val="000000" w:themeColor="text1"/>
                <w:szCs w:val="22"/>
                <w:lang w:eastAsia="en-AU"/>
              </w:rPr>
              <w:t>May</w:t>
            </w:r>
            <w:r w:rsidR="00D43D75">
              <w:rPr>
                <w:rFonts w:asciiTheme="minorHAnsi" w:hAnsiTheme="minorHAnsi"/>
                <w:color w:val="000000" w:themeColor="text1"/>
                <w:szCs w:val="22"/>
                <w:lang w:eastAsia="en-AU"/>
              </w:rPr>
              <w:t>: to i</w:t>
            </w:r>
            <w:r w:rsidR="001E1227" w:rsidRPr="00D43D75">
              <w:rPr>
                <w:rFonts w:asciiTheme="minorHAnsi" w:hAnsiTheme="minorHAnsi"/>
                <w:color w:val="000000" w:themeColor="text1"/>
                <w:szCs w:val="22"/>
                <w:lang w:eastAsia="en-AU"/>
              </w:rPr>
              <w:t>nform PGF annual work</w:t>
            </w:r>
            <w:r w:rsidR="00D43D75">
              <w:rPr>
                <w:rFonts w:asciiTheme="minorHAnsi" w:hAnsiTheme="minorHAnsi"/>
                <w:color w:val="000000" w:themeColor="text1"/>
                <w:szCs w:val="22"/>
                <w:lang w:eastAsia="en-AU"/>
              </w:rPr>
              <w:t>-</w:t>
            </w:r>
            <w:r w:rsidR="001E1227" w:rsidRPr="00D43D75">
              <w:rPr>
                <w:rFonts w:asciiTheme="minorHAnsi" w:hAnsiTheme="minorHAnsi"/>
                <w:color w:val="000000" w:themeColor="text1"/>
                <w:szCs w:val="22"/>
                <w:lang w:eastAsia="en-AU"/>
              </w:rPr>
              <w:t>plan</w:t>
            </w:r>
            <w:r w:rsidR="00D43D75">
              <w:rPr>
                <w:rFonts w:asciiTheme="minorHAnsi" w:hAnsiTheme="minorHAnsi"/>
                <w:color w:val="000000" w:themeColor="text1"/>
                <w:szCs w:val="22"/>
                <w:lang w:eastAsia="en-AU"/>
              </w:rPr>
              <w:t>ning</w:t>
            </w:r>
          </w:p>
        </w:tc>
        <w:tc>
          <w:tcPr>
            <w:tcW w:w="3543" w:type="dxa"/>
          </w:tcPr>
          <w:p w14:paraId="02268A35" w14:textId="77777777" w:rsidR="005D750D" w:rsidRPr="001E0409" w:rsidRDefault="005D750D" w:rsidP="00693A81">
            <w:pPr>
              <w:spacing w:before="60" w:after="40"/>
              <w:contextualSpacing/>
              <w:jc w:val="both"/>
              <w:rPr>
                <w:rFonts w:asciiTheme="minorHAnsi" w:hAnsiTheme="minorHAnsi"/>
                <w:color w:val="000000" w:themeColor="text1"/>
                <w:szCs w:val="22"/>
                <w:lang w:eastAsia="en-AU"/>
              </w:rPr>
            </w:pPr>
            <w:r>
              <w:rPr>
                <w:rFonts w:asciiTheme="minorHAnsi" w:hAnsiTheme="minorHAnsi"/>
                <w:color w:val="000000" w:themeColor="text1"/>
                <w:szCs w:val="22"/>
                <w:lang w:eastAsia="en-AU"/>
              </w:rPr>
              <w:t>Nov</w:t>
            </w:r>
            <w:r w:rsidR="00493142">
              <w:rPr>
                <w:rFonts w:asciiTheme="minorHAnsi" w:hAnsiTheme="minorHAnsi"/>
                <w:color w:val="000000" w:themeColor="text1"/>
                <w:szCs w:val="22"/>
                <w:lang w:eastAsia="en-AU"/>
              </w:rPr>
              <w:t>ember</w:t>
            </w:r>
            <w:r>
              <w:rPr>
                <w:rFonts w:asciiTheme="minorHAnsi" w:hAnsiTheme="minorHAnsi"/>
                <w:color w:val="000000" w:themeColor="text1"/>
                <w:szCs w:val="22"/>
                <w:lang w:eastAsia="en-AU"/>
              </w:rPr>
              <w:t xml:space="preserve">:  to inform JSS4D </w:t>
            </w:r>
            <w:r w:rsidR="00D43D75">
              <w:rPr>
                <w:rFonts w:asciiTheme="minorHAnsi" w:hAnsiTheme="minorHAnsi"/>
                <w:color w:val="000000" w:themeColor="text1"/>
                <w:szCs w:val="22"/>
                <w:lang w:eastAsia="en-AU"/>
              </w:rPr>
              <w:t xml:space="preserve">annual </w:t>
            </w:r>
            <w:r>
              <w:rPr>
                <w:rFonts w:asciiTheme="minorHAnsi" w:hAnsiTheme="minorHAnsi"/>
                <w:color w:val="000000" w:themeColor="text1"/>
                <w:szCs w:val="22"/>
                <w:lang w:eastAsia="en-AU"/>
              </w:rPr>
              <w:t>workplan</w:t>
            </w:r>
            <w:r w:rsidR="00D43D75">
              <w:rPr>
                <w:rFonts w:asciiTheme="minorHAnsi" w:hAnsiTheme="minorHAnsi"/>
                <w:color w:val="000000" w:themeColor="text1"/>
                <w:szCs w:val="22"/>
                <w:lang w:eastAsia="en-AU"/>
              </w:rPr>
              <w:t>ning</w:t>
            </w:r>
          </w:p>
        </w:tc>
      </w:tr>
      <w:tr w:rsidR="001E1227" w:rsidRPr="001E0409" w14:paraId="4CBD724A" w14:textId="77777777" w:rsidTr="00493142">
        <w:trPr>
          <w:jc w:val="center"/>
        </w:trPr>
        <w:tc>
          <w:tcPr>
            <w:tcW w:w="1809" w:type="dxa"/>
          </w:tcPr>
          <w:p w14:paraId="1E806A74" w14:textId="77777777" w:rsidR="001E1227" w:rsidRPr="001E0409" w:rsidRDefault="001E1227" w:rsidP="00693A81">
            <w:pPr>
              <w:spacing w:before="60" w:after="40"/>
              <w:contextualSpacing/>
              <w:jc w:val="both"/>
              <w:rPr>
                <w:rFonts w:asciiTheme="minorHAnsi" w:hAnsiTheme="minorHAnsi"/>
                <w:color w:val="000000" w:themeColor="text1"/>
                <w:szCs w:val="22"/>
                <w:lang w:eastAsia="en-AU"/>
              </w:rPr>
            </w:pPr>
            <w:r>
              <w:rPr>
                <w:rFonts w:asciiTheme="minorHAnsi" w:hAnsiTheme="minorHAnsi"/>
                <w:color w:val="000000" w:themeColor="text1"/>
                <w:szCs w:val="22"/>
                <w:lang w:eastAsia="en-AU"/>
              </w:rPr>
              <w:t>Reporting (final)</w:t>
            </w:r>
          </w:p>
        </w:tc>
        <w:tc>
          <w:tcPr>
            <w:tcW w:w="3261" w:type="dxa"/>
          </w:tcPr>
          <w:p w14:paraId="3F8098BE" w14:textId="0DA04EA9" w:rsidR="001E1227" w:rsidRPr="001E1227" w:rsidRDefault="001E1227" w:rsidP="00462463">
            <w:pPr>
              <w:spacing w:before="60" w:after="40"/>
              <w:contextualSpacing/>
              <w:jc w:val="both"/>
              <w:rPr>
                <w:rFonts w:asciiTheme="minorHAnsi" w:hAnsiTheme="minorHAnsi"/>
                <w:color w:val="000000" w:themeColor="text1"/>
                <w:szCs w:val="22"/>
                <w:lang w:eastAsia="en-AU"/>
              </w:rPr>
            </w:pPr>
            <w:r>
              <w:rPr>
                <w:rFonts w:asciiTheme="minorHAnsi" w:hAnsiTheme="minorHAnsi"/>
                <w:color w:val="000000" w:themeColor="text1"/>
                <w:szCs w:val="22"/>
                <w:lang w:eastAsia="en-AU"/>
              </w:rPr>
              <w:t>Jun</w:t>
            </w:r>
            <w:r w:rsidR="00493142">
              <w:rPr>
                <w:rFonts w:asciiTheme="minorHAnsi" w:hAnsiTheme="minorHAnsi"/>
                <w:color w:val="000000" w:themeColor="text1"/>
                <w:szCs w:val="22"/>
                <w:lang w:eastAsia="en-AU"/>
              </w:rPr>
              <w:t>e</w:t>
            </w:r>
          </w:p>
        </w:tc>
        <w:tc>
          <w:tcPr>
            <w:tcW w:w="3543" w:type="dxa"/>
          </w:tcPr>
          <w:p w14:paraId="43707821" w14:textId="77777777" w:rsidR="001E1227" w:rsidRPr="001E0409" w:rsidRDefault="00493142" w:rsidP="00493142">
            <w:pPr>
              <w:spacing w:before="60" w:after="40"/>
              <w:contextualSpacing/>
              <w:jc w:val="both"/>
              <w:rPr>
                <w:rFonts w:asciiTheme="minorHAnsi" w:hAnsiTheme="minorHAnsi"/>
                <w:color w:val="000000" w:themeColor="text1"/>
                <w:szCs w:val="22"/>
                <w:lang w:eastAsia="en-AU"/>
              </w:rPr>
            </w:pPr>
            <w:r>
              <w:rPr>
                <w:rFonts w:asciiTheme="minorHAnsi" w:hAnsiTheme="minorHAnsi"/>
                <w:color w:val="000000" w:themeColor="text1"/>
                <w:szCs w:val="22"/>
                <w:lang w:eastAsia="en-AU"/>
              </w:rPr>
              <w:t>December: presented to SPGM</w:t>
            </w:r>
          </w:p>
        </w:tc>
      </w:tr>
    </w:tbl>
    <w:p w14:paraId="1AD654BB" w14:textId="77777777" w:rsidR="00D5644C" w:rsidRDefault="00D5644C" w:rsidP="00493142">
      <w:pPr>
        <w:spacing w:before="240" w:after="120" w:line="264" w:lineRule="auto"/>
        <w:jc w:val="both"/>
        <w:rPr>
          <w:rFonts w:asciiTheme="minorHAnsi" w:hAnsiTheme="minorHAnsi"/>
          <w:sz w:val="22"/>
          <w:szCs w:val="22"/>
          <w:lang w:eastAsia="en-AU"/>
        </w:rPr>
      </w:pPr>
    </w:p>
    <w:p w14:paraId="002245E1" w14:textId="699D07AD" w:rsidR="00502A22" w:rsidRPr="00493142" w:rsidRDefault="00502A22" w:rsidP="00493142">
      <w:pPr>
        <w:spacing w:before="60" w:after="120" w:line="264" w:lineRule="auto"/>
        <w:jc w:val="both"/>
        <w:rPr>
          <w:rFonts w:asciiTheme="minorHAnsi" w:hAnsiTheme="minorHAnsi" w:cs="Arial"/>
          <w:sz w:val="22"/>
          <w:szCs w:val="22"/>
        </w:rPr>
      </w:pPr>
      <w:r w:rsidRPr="00493142">
        <w:rPr>
          <w:rFonts w:asciiTheme="minorHAnsi" w:hAnsiTheme="minorHAnsi" w:cs="Arial"/>
          <w:sz w:val="22"/>
          <w:szCs w:val="22"/>
        </w:rPr>
        <w:t xml:space="preserve">The </w:t>
      </w:r>
      <w:r w:rsidR="0065249A" w:rsidRPr="00493142">
        <w:rPr>
          <w:rFonts w:asciiTheme="minorHAnsi" w:hAnsiTheme="minorHAnsi" w:cs="Arial"/>
          <w:sz w:val="22"/>
          <w:szCs w:val="22"/>
        </w:rPr>
        <w:t>A</w:t>
      </w:r>
      <w:r w:rsidRPr="00493142">
        <w:rPr>
          <w:rFonts w:asciiTheme="minorHAnsi" w:hAnsiTheme="minorHAnsi" w:cs="Arial"/>
          <w:sz w:val="22"/>
          <w:szCs w:val="22"/>
        </w:rPr>
        <w:t xml:space="preserve">nnual </w:t>
      </w:r>
      <w:r w:rsidR="0065249A" w:rsidRPr="00493142">
        <w:rPr>
          <w:rFonts w:asciiTheme="minorHAnsi" w:hAnsiTheme="minorHAnsi" w:cs="Arial"/>
          <w:sz w:val="22"/>
          <w:szCs w:val="22"/>
        </w:rPr>
        <w:t>R</w:t>
      </w:r>
      <w:r w:rsidRPr="00493142">
        <w:rPr>
          <w:rFonts w:asciiTheme="minorHAnsi" w:hAnsiTheme="minorHAnsi" w:cs="Arial"/>
          <w:sz w:val="22"/>
          <w:szCs w:val="22"/>
        </w:rPr>
        <w:t>eview</w:t>
      </w:r>
      <w:r w:rsidR="0065249A" w:rsidRPr="00493142">
        <w:rPr>
          <w:rFonts w:asciiTheme="minorHAnsi" w:hAnsiTheme="minorHAnsi" w:cs="Arial"/>
          <w:sz w:val="22"/>
          <w:szCs w:val="22"/>
        </w:rPr>
        <w:t>s</w:t>
      </w:r>
      <w:r w:rsidRPr="00493142">
        <w:rPr>
          <w:rFonts w:asciiTheme="minorHAnsi" w:hAnsiTheme="minorHAnsi" w:cs="Arial"/>
          <w:sz w:val="22"/>
          <w:szCs w:val="22"/>
        </w:rPr>
        <w:t xml:space="preserve"> will involve a visit to Papua New Guinea.</w:t>
      </w:r>
      <w:r w:rsidR="00F141C0">
        <w:rPr>
          <w:rFonts w:asciiTheme="minorHAnsi" w:hAnsiTheme="minorHAnsi" w:cs="Arial"/>
          <w:sz w:val="22"/>
          <w:szCs w:val="22"/>
        </w:rPr>
        <w:t xml:space="preserve">  </w:t>
      </w:r>
      <w:r w:rsidR="00C73A8F">
        <w:rPr>
          <w:rFonts w:asciiTheme="minorHAnsi" w:hAnsiTheme="minorHAnsi" w:cs="Arial"/>
          <w:sz w:val="22"/>
          <w:szCs w:val="22"/>
        </w:rPr>
        <w:t>T</w:t>
      </w:r>
      <w:r w:rsidR="00C73A8F" w:rsidRPr="00C73A8F">
        <w:rPr>
          <w:rFonts w:asciiTheme="minorHAnsi" w:hAnsiTheme="minorHAnsi" w:cs="Arial"/>
          <w:sz w:val="22"/>
          <w:szCs w:val="22"/>
        </w:rPr>
        <w:t>he SP may also be required to travel to Canberra to brief DFAT staff; DFAT will advise the SP on this when negotiating the Annual Review Service Order(s).</w:t>
      </w:r>
      <w:r w:rsidRPr="00493142">
        <w:rPr>
          <w:rFonts w:asciiTheme="minorHAnsi" w:hAnsiTheme="minorHAnsi" w:cs="Arial"/>
          <w:sz w:val="22"/>
          <w:szCs w:val="22"/>
        </w:rPr>
        <w:t xml:space="preserve"> The SP should liaise with the </w:t>
      </w:r>
      <w:r w:rsidR="0065249A" w:rsidRPr="00493142">
        <w:rPr>
          <w:rFonts w:asciiTheme="minorHAnsi" w:hAnsiTheme="minorHAnsi" w:cs="Arial"/>
          <w:sz w:val="22"/>
          <w:szCs w:val="22"/>
        </w:rPr>
        <w:t xml:space="preserve">PGF and JSS4D </w:t>
      </w:r>
      <w:r w:rsidRPr="00493142">
        <w:rPr>
          <w:rFonts w:asciiTheme="minorHAnsi" w:hAnsiTheme="minorHAnsi" w:cs="Arial"/>
          <w:sz w:val="22"/>
          <w:szCs w:val="22"/>
        </w:rPr>
        <w:t>management and delivery units</w:t>
      </w:r>
      <w:r w:rsidR="00C73A8F">
        <w:rPr>
          <w:rFonts w:asciiTheme="minorHAnsi" w:hAnsiTheme="minorHAnsi" w:cs="Arial"/>
          <w:sz w:val="22"/>
          <w:szCs w:val="22"/>
        </w:rPr>
        <w:t xml:space="preserve"> and </w:t>
      </w:r>
      <w:r w:rsidR="007F623A">
        <w:rPr>
          <w:rFonts w:asciiTheme="minorHAnsi" w:hAnsiTheme="minorHAnsi" w:cs="Arial"/>
          <w:sz w:val="22"/>
          <w:szCs w:val="22"/>
        </w:rPr>
        <w:t xml:space="preserve">the </w:t>
      </w:r>
      <w:r w:rsidRPr="00493142">
        <w:rPr>
          <w:rFonts w:asciiTheme="minorHAnsi" w:hAnsiTheme="minorHAnsi" w:cs="Arial"/>
          <w:sz w:val="22"/>
          <w:szCs w:val="22"/>
        </w:rPr>
        <w:t xml:space="preserve">AHC to plan the annual reviews well in advance, to clarify data needs and availability, the activities to be sampled and the proposed process, timelines and responsibilities. </w:t>
      </w:r>
      <w:r w:rsidR="00E13236">
        <w:rPr>
          <w:rFonts w:asciiTheme="minorHAnsi" w:hAnsiTheme="minorHAnsi" w:cs="Arial"/>
          <w:sz w:val="22"/>
          <w:szCs w:val="22"/>
        </w:rPr>
        <w:t>The PGF and JSS4D management and delivery units are expected to assist</w:t>
      </w:r>
      <w:r w:rsidR="007F623A">
        <w:rPr>
          <w:rFonts w:asciiTheme="minorHAnsi" w:hAnsiTheme="minorHAnsi" w:cs="Arial"/>
          <w:sz w:val="22"/>
          <w:szCs w:val="22"/>
        </w:rPr>
        <w:t>,</w:t>
      </w:r>
      <w:r w:rsidR="00E13236">
        <w:rPr>
          <w:rFonts w:asciiTheme="minorHAnsi" w:hAnsiTheme="minorHAnsi" w:cs="Arial"/>
          <w:sz w:val="22"/>
          <w:szCs w:val="22"/>
        </w:rPr>
        <w:t xml:space="preserve"> facilitate and support appropriately the </w:t>
      </w:r>
      <w:r w:rsidR="00DC0FDC">
        <w:rPr>
          <w:rFonts w:asciiTheme="minorHAnsi" w:hAnsiTheme="minorHAnsi" w:cs="Arial"/>
          <w:sz w:val="22"/>
          <w:szCs w:val="22"/>
        </w:rPr>
        <w:t>QTAG</w:t>
      </w:r>
      <w:r w:rsidR="00E13236">
        <w:rPr>
          <w:rFonts w:asciiTheme="minorHAnsi" w:hAnsiTheme="minorHAnsi" w:cs="Arial"/>
          <w:sz w:val="22"/>
          <w:szCs w:val="22"/>
        </w:rPr>
        <w:t xml:space="preserve"> SP and annual review process.</w:t>
      </w:r>
    </w:p>
    <w:p w14:paraId="3DDF78FE" w14:textId="5004DCDB" w:rsidR="00BA779B" w:rsidRPr="00861355" w:rsidRDefault="0065249A" w:rsidP="00861355">
      <w:pPr>
        <w:spacing w:before="60" w:after="120" w:line="264" w:lineRule="auto"/>
        <w:jc w:val="both"/>
        <w:rPr>
          <w:rFonts w:asciiTheme="minorHAnsi" w:hAnsiTheme="minorHAnsi" w:cs="Arial"/>
          <w:sz w:val="22"/>
          <w:szCs w:val="22"/>
        </w:rPr>
      </w:pPr>
      <w:r>
        <w:rPr>
          <w:rFonts w:asciiTheme="minorHAnsi" w:hAnsiTheme="minorHAnsi"/>
          <w:color w:val="000000" w:themeColor="text1"/>
          <w:sz w:val="22"/>
          <w:szCs w:val="22"/>
          <w:lang w:eastAsia="en-AU"/>
        </w:rPr>
        <w:t xml:space="preserve">Category 2 and 3 </w:t>
      </w:r>
      <w:r w:rsidR="00D34E8A" w:rsidRPr="00AC5754">
        <w:rPr>
          <w:rFonts w:asciiTheme="minorHAnsi" w:hAnsiTheme="minorHAnsi" w:cs="Arial"/>
          <w:sz w:val="22"/>
          <w:szCs w:val="22"/>
        </w:rPr>
        <w:t>service</w:t>
      </w:r>
      <w:r>
        <w:rPr>
          <w:rFonts w:asciiTheme="minorHAnsi" w:hAnsiTheme="minorHAnsi" w:cs="Arial"/>
          <w:sz w:val="22"/>
          <w:szCs w:val="22"/>
        </w:rPr>
        <w:t>s</w:t>
      </w:r>
      <w:r w:rsidR="00442F13">
        <w:rPr>
          <w:rFonts w:asciiTheme="minorHAnsi" w:hAnsiTheme="minorHAnsi" w:cs="Arial"/>
          <w:sz w:val="22"/>
          <w:szCs w:val="22"/>
        </w:rPr>
        <w:t xml:space="preserve"> </w:t>
      </w:r>
      <w:r w:rsidR="00D34E8A" w:rsidRPr="00AC5754">
        <w:rPr>
          <w:rFonts w:asciiTheme="minorHAnsi" w:hAnsiTheme="minorHAnsi" w:cs="Arial"/>
          <w:sz w:val="22"/>
          <w:szCs w:val="22"/>
        </w:rPr>
        <w:t xml:space="preserve">will be </w:t>
      </w:r>
      <w:r w:rsidR="00502A22">
        <w:rPr>
          <w:rFonts w:asciiTheme="minorHAnsi" w:hAnsiTheme="minorHAnsi" w:cs="Arial"/>
          <w:sz w:val="22"/>
          <w:szCs w:val="22"/>
        </w:rPr>
        <w:t xml:space="preserve">predominantly </w:t>
      </w:r>
      <w:r w:rsidR="00D34E8A" w:rsidRPr="00AC5754">
        <w:rPr>
          <w:rFonts w:asciiTheme="minorHAnsi" w:hAnsiTheme="minorHAnsi" w:cs="Arial"/>
          <w:sz w:val="22"/>
          <w:szCs w:val="22"/>
        </w:rPr>
        <w:t xml:space="preserve">desk-based with </w:t>
      </w:r>
      <w:r w:rsidR="00502A22">
        <w:rPr>
          <w:rFonts w:asciiTheme="minorHAnsi" w:hAnsiTheme="minorHAnsi" w:cs="Arial"/>
          <w:sz w:val="22"/>
          <w:szCs w:val="22"/>
        </w:rPr>
        <w:t xml:space="preserve">outputs delivered </w:t>
      </w:r>
      <w:r w:rsidR="00D34E8A" w:rsidRPr="00AC5754">
        <w:rPr>
          <w:rFonts w:asciiTheme="minorHAnsi" w:hAnsiTheme="minorHAnsi" w:cs="Arial"/>
          <w:sz w:val="22"/>
          <w:szCs w:val="22"/>
        </w:rPr>
        <w:t xml:space="preserve">by email or by telephone, though these may </w:t>
      </w:r>
      <w:r w:rsidR="007F623A">
        <w:rPr>
          <w:rFonts w:asciiTheme="minorHAnsi" w:hAnsiTheme="minorHAnsi" w:cs="Arial"/>
          <w:sz w:val="22"/>
          <w:szCs w:val="22"/>
        </w:rPr>
        <w:t xml:space="preserve">on occasion </w:t>
      </w:r>
      <w:r w:rsidR="00D34E8A" w:rsidRPr="00AC5754">
        <w:rPr>
          <w:rFonts w:asciiTheme="minorHAnsi" w:hAnsiTheme="minorHAnsi" w:cs="Arial"/>
          <w:sz w:val="22"/>
          <w:szCs w:val="22"/>
        </w:rPr>
        <w:t>require travel</w:t>
      </w:r>
      <w:r w:rsidR="008037F1">
        <w:rPr>
          <w:rFonts w:asciiTheme="minorHAnsi" w:hAnsiTheme="minorHAnsi" w:cs="Arial"/>
          <w:sz w:val="22"/>
          <w:szCs w:val="22"/>
        </w:rPr>
        <w:t xml:space="preserve"> by</w:t>
      </w:r>
      <w:r w:rsidR="00ED64F2">
        <w:rPr>
          <w:rFonts w:asciiTheme="minorHAnsi" w:hAnsiTheme="minorHAnsi" w:cs="Arial"/>
          <w:sz w:val="22"/>
          <w:szCs w:val="22"/>
        </w:rPr>
        <w:t xml:space="preserve"> </w:t>
      </w:r>
      <w:r w:rsidR="00DC0FDC">
        <w:rPr>
          <w:rFonts w:asciiTheme="minorHAnsi" w:hAnsiTheme="minorHAnsi" w:cs="Arial"/>
          <w:sz w:val="22"/>
          <w:szCs w:val="22"/>
        </w:rPr>
        <w:t>QTAG</w:t>
      </w:r>
      <w:r w:rsidR="008037F1">
        <w:rPr>
          <w:rFonts w:asciiTheme="minorHAnsi" w:hAnsiTheme="minorHAnsi" w:cs="Arial"/>
          <w:sz w:val="22"/>
          <w:szCs w:val="22"/>
        </w:rPr>
        <w:t xml:space="preserve"> personnel</w:t>
      </w:r>
      <w:r w:rsidR="00502A22">
        <w:rPr>
          <w:rFonts w:asciiTheme="minorHAnsi" w:hAnsiTheme="minorHAnsi" w:cs="Arial"/>
          <w:sz w:val="22"/>
          <w:szCs w:val="22"/>
        </w:rPr>
        <w:t xml:space="preserve"> in the event of a request outside of the usual Annual Review processes</w:t>
      </w:r>
      <w:r w:rsidR="00D34E8A" w:rsidRPr="00AC5754">
        <w:rPr>
          <w:rFonts w:asciiTheme="minorHAnsi" w:hAnsiTheme="minorHAnsi" w:cs="Arial"/>
          <w:sz w:val="22"/>
          <w:szCs w:val="22"/>
        </w:rPr>
        <w:t xml:space="preserve">. </w:t>
      </w:r>
    </w:p>
    <w:p w14:paraId="2336F426" w14:textId="77777777" w:rsidR="00502A22" w:rsidRPr="00502A22" w:rsidRDefault="00502A22" w:rsidP="00502A22">
      <w:pPr>
        <w:spacing w:before="180" w:after="120" w:line="264" w:lineRule="auto"/>
        <w:rPr>
          <w:rFonts w:asciiTheme="minorHAnsi" w:hAnsiTheme="minorHAnsi" w:cs="Arial"/>
          <w:sz w:val="24"/>
          <w:szCs w:val="22"/>
          <w:u w:val="single"/>
        </w:rPr>
      </w:pPr>
      <w:r>
        <w:rPr>
          <w:rFonts w:asciiTheme="minorHAnsi" w:hAnsiTheme="minorHAnsi" w:cs="Arial"/>
          <w:sz w:val="24"/>
          <w:szCs w:val="22"/>
          <w:u w:val="single"/>
        </w:rPr>
        <w:t>Reporting</w:t>
      </w:r>
    </w:p>
    <w:p w14:paraId="0E410F21" w14:textId="2A3E9569" w:rsidR="00A83575" w:rsidRPr="00AC5754" w:rsidRDefault="00D34E8A" w:rsidP="0036589B">
      <w:pPr>
        <w:spacing w:before="60" w:after="120" w:line="264" w:lineRule="auto"/>
        <w:jc w:val="both"/>
        <w:rPr>
          <w:rFonts w:asciiTheme="minorHAnsi" w:hAnsiTheme="minorHAnsi" w:cs="Arial"/>
          <w:sz w:val="22"/>
          <w:szCs w:val="22"/>
        </w:rPr>
      </w:pPr>
      <w:r w:rsidRPr="00AC5754">
        <w:rPr>
          <w:rFonts w:asciiTheme="minorHAnsi" w:hAnsiTheme="minorHAnsi" w:cs="Arial"/>
          <w:sz w:val="22"/>
          <w:szCs w:val="22"/>
        </w:rPr>
        <w:t>The</w:t>
      </w:r>
      <w:r w:rsidR="00ED64F2">
        <w:rPr>
          <w:rFonts w:asciiTheme="minorHAnsi" w:hAnsiTheme="minorHAnsi" w:cs="Arial"/>
          <w:sz w:val="22"/>
          <w:szCs w:val="22"/>
        </w:rPr>
        <w:t xml:space="preserve"> </w:t>
      </w:r>
      <w:r w:rsidR="00DC0FDC">
        <w:rPr>
          <w:rFonts w:asciiTheme="minorHAnsi" w:hAnsiTheme="minorHAnsi" w:cs="Arial"/>
          <w:sz w:val="22"/>
          <w:szCs w:val="22"/>
        </w:rPr>
        <w:t>QTAG</w:t>
      </w:r>
      <w:r w:rsidR="008037F1">
        <w:rPr>
          <w:rFonts w:asciiTheme="minorHAnsi" w:hAnsiTheme="minorHAnsi" w:cs="Arial"/>
          <w:sz w:val="22"/>
          <w:szCs w:val="22"/>
        </w:rPr>
        <w:t xml:space="preserve"> </w:t>
      </w:r>
      <w:r w:rsidRPr="00AC5754">
        <w:rPr>
          <w:rFonts w:asciiTheme="minorHAnsi" w:hAnsiTheme="minorHAnsi" w:cs="Arial"/>
          <w:sz w:val="22"/>
          <w:szCs w:val="22"/>
        </w:rPr>
        <w:t xml:space="preserve">SP will provide </w:t>
      </w:r>
      <w:r w:rsidR="00E13236">
        <w:rPr>
          <w:rFonts w:asciiTheme="minorHAnsi" w:hAnsiTheme="minorHAnsi" w:cs="Arial"/>
          <w:sz w:val="22"/>
          <w:szCs w:val="22"/>
        </w:rPr>
        <w:t xml:space="preserve">concise </w:t>
      </w:r>
      <w:r w:rsidRPr="00502A22">
        <w:rPr>
          <w:rFonts w:asciiTheme="minorHAnsi" w:hAnsiTheme="minorHAnsi" w:cs="Arial"/>
          <w:sz w:val="22"/>
          <w:szCs w:val="22"/>
        </w:rPr>
        <w:t>monthly</w:t>
      </w:r>
      <w:r w:rsidRPr="00AC5754">
        <w:rPr>
          <w:rFonts w:asciiTheme="minorHAnsi" w:hAnsiTheme="minorHAnsi" w:cs="Arial"/>
          <w:sz w:val="22"/>
          <w:szCs w:val="22"/>
        </w:rPr>
        <w:t xml:space="preserve"> </w:t>
      </w:r>
      <w:r w:rsidR="00287A77">
        <w:rPr>
          <w:rFonts w:asciiTheme="minorHAnsi" w:hAnsiTheme="minorHAnsi" w:cs="Arial"/>
          <w:sz w:val="22"/>
          <w:szCs w:val="22"/>
        </w:rPr>
        <w:t xml:space="preserve">reports </w:t>
      </w:r>
      <w:r w:rsidR="00E13236">
        <w:rPr>
          <w:rFonts w:asciiTheme="minorHAnsi" w:hAnsiTheme="minorHAnsi" w:cs="Arial"/>
          <w:sz w:val="22"/>
          <w:szCs w:val="22"/>
        </w:rPr>
        <w:t xml:space="preserve">(agreed format) </w:t>
      </w:r>
      <w:r w:rsidR="00287A77">
        <w:rPr>
          <w:rFonts w:asciiTheme="minorHAnsi" w:hAnsiTheme="minorHAnsi" w:cs="Arial"/>
          <w:sz w:val="22"/>
          <w:szCs w:val="22"/>
        </w:rPr>
        <w:t xml:space="preserve">and invoices </w:t>
      </w:r>
      <w:r w:rsidRPr="00AC5754">
        <w:rPr>
          <w:rFonts w:asciiTheme="minorHAnsi" w:hAnsiTheme="minorHAnsi" w:cs="Arial"/>
          <w:sz w:val="22"/>
          <w:szCs w:val="22"/>
        </w:rPr>
        <w:t xml:space="preserve">to </w:t>
      </w:r>
      <w:r w:rsidR="005D0A87">
        <w:rPr>
          <w:rFonts w:asciiTheme="minorHAnsi" w:hAnsiTheme="minorHAnsi" w:cs="Arial"/>
          <w:sz w:val="22"/>
          <w:szCs w:val="22"/>
        </w:rPr>
        <w:t>the AHC</w:t>
      </w:r>
      <w:r w:rsidRPr="00AC5754">
        <w:rPr>
          <w:rFonts w:asciiTheme="minorHAnsi" w:hAnsiTheme="minorHAnsi" w:cs="Arial"/>
          <w:sz w:val="22"/>
          <w:szCs w:val="22"/>
        </w:rPr>
        <w:t xml:space="preserve"> itemising the services provided for reimbursement and summarising performance against the agreed service standards. </w:t>
      </w:r>
      <w:r w:rsidR="00A83575" w:rsidRPr="00AC5754">
        <w:rPr>
          <w:rFonts w:asciiTheme="minorHAnsi" w:hAnsiTheme="minorHAnsi" w:cs="Arial"/>
          <w:sz w:val="22"/>
          <w:szCs w:val="22"/>
        </w:rPr>
        <w:t>In addition to the</w:t>
      </w:r>
      <w:r w:rsidR="00CE02DE" w:rsidRPr="00AC5754">
        <w:rPr>
          <w:rFonts w:asciiTheme="minorHAnsi" w:hAnsiTheme="minorHAnsi" w:cs="Arial"/>
          <w:sz w:val="22"/>
          <w:szCs w:val="22"/>
        </w:rPr>
        <w:t>se</w:t>
      </w:r>
      <w:r w:rsidR="00A83575" w:rsidRPr="00AC5754">
        <w:rPr>
          <w:rFonts w:asciiTheme="minorHAnsi" w:hAnsiTheme="minorHAnsi" w:cs="Arial"/>
          <w:sz w:val="22"/>
          <w:szCs w:val="22"/>
        </w:rPr>
        <w:t xml:space="preserve"> monthly reports, the SP will </w:t>
      </w:r>
      <w:r w:rsidR="00012ED5" w:rsidRPr="00AC5754">
        <w:rPr>
          <w:rFonts w:asciiTheme="minorHAnsi" w:hAnsiTheme="minorHAnsi" w:cs="Arial"/>
          <w:sz w:val="22"/>
          <w:szCs w:val="22"/>
        </w:rPr>
        <w:t xml:space="preserve">provide a brief </w:t>
      </w:r>
      <w:r w:rsidR="005A11A6">
        <w:rPr>
          <w:rFonts w:asciiTheme="minorHAnsi" w:hAnsiTheme="minorHAnsi" w:cs="Arial"/>
          <w:sz w:val="22"/>
          <w:szCs w:val="22"/>
        </w:rPr>
        <w:t xml:space="preserve">six-monthly </w:t>
      </w:r>
      <w:r w:rsidR="00A83575" w:rsidRPr="00AC5754">
        <w:rPr>
          <w:rFonts w:asciiTheme="minorHAnsi" w:hAnsiTheme="minorHAnsi" w:cs="Arial"/>
          <w:sz w:val="22"/>
          <w:szCs w:val="22"/>
        </w:rPr>
        <w:t xml:space="preserve">report to </w:t>
      </w:r>
      <w:r w:rsidR="00502A22">
        <w:rPr>
          <w:rFonts w:asciiTheme="minorHAnsi" w:hAnsiTheme="minorHAnsi" w:cs="Arial"/>
          <w:sz w:val="22"/>
          <w:szCs w:val="22"/>
        </w:rPr>
        <w:t xml:space="preserve">the </w:t>
      </w:r>
      <w:r w:rsidR="00861355">
        <w:rPr>
          <w:rFonts w:asciiTheme="minorHAnsi" w:hAnsiTheme="minorHAnsi" w:cs="Arial"/>
          <w:sz w:val="22"/>
          <w:szCs w:val="22"/>
        </w:rPr>
        <w:t xml:space="preserve">AHC, </w:t>
      </w:r>
      <w:r w:rsidR="0065249A">
        <w:rPr>
          <w:rFonts w:asciiTheme="minorHAnsi" w:hAnsiTheme="minorHAnsi" w:cs="Arial"/>
          <w:sz w:val="22"/>
          <w:szCs w:val="22"/>
        </w:rPr>
        <w:t xml:space="preserve">SMC and </w:t>
      </w:r>
      <w:r w:rsidR="00B93189">
        <w:rPr>
          <w:rFonts w:asciiTheme="minorHAnsi" w:hAnsiTheme="minorHAnsi" w:cs="Arial"/>
          <w:sz w:val="22"/>
          <w:szCs w:val="22"/>
        </w:rPr>
        <w:t>SPGM</w:t>
      </w:r>
      <w:r w:rsidR="0065249A">
        <w:rPr>
          <w:rFonts w:asciiTheme="minorHAnsi" w:hAnsiTheme="minorHAnsi" w:cs="Arial"/>
          <w:sz w:val="22"/>
          <w:szCs w:val="22"/>
        </w:rPr>
        <w:t xml:space="preserve"> </w:t>
      </w:r>
      <w:r w:rsidR="00A83575" w:rsidRPr="00AC5754">
        <w:rPr>
          <w:rFonts w:asciiTheme="minorHAnsi" w:hAnsiTheme="minorHAnsi" w:cs="Arial"/>
          <w:sz w:val="22"/>
          <w:szCs w:val="22"/>
        </w:rPr>
        <w:t>on key issues, opportunities and risks arising from the</w:t>
      </w:r>
      <w:r w:rsidR="00ED64F2">
        <w:rPr>
          <w:rFonts w:asciiTheme="minorHAnsi" w:hAnsiTheme="minorHAnsi" w:cs="Arial"/>
          <w:sz w:val="22"/>
          <w:szCs w:val="22"/>
        </w:rPr>
        <w:t xml:space="preserve"> </w:t>
      </w:r>
      <w:r w:rsidR="00DC0FDC">
        <w:rPr>
          <w:rFonts w:asciiTheme="minorHAnsi" w:hAnsiTheme="minorHAnsi" w:cs="Arial"/>
          <w:sz w:val="22"/>
          <w:szCs w:val="22"/>
        </w:rPr>
        <w:t>QTAG</w:t>
      </w:r>
      <w:r w:rsidR="00A83575" w:rsidRPr="00AC5754">
        <w:rPr>
          <w:rFonts w:asciiTheme="minorHAnsi" w:hAnsiTheme="minorHAnsi" w:cs="Arial"/>
          <w:sz w:val="22"/>
          <w:szCs w:val="22"/>
        </w:rPr>
        <w:t>’s operations.  Th</w:t>
      </w:r>
      <w:r w:rsidR="00830746">
        <w:rPr>
          <w:rFonts w:asciiTheme="minorHAnsi" w:hAnsiTheme="minorHAnsi" w:cs="Arial"/>
          <w:sz w:val="22"/>
          <w:szCs w:val="22"/>
        </w:rPr>
        <w:t>e</w:t>
      </w:r>
      <w:r w:rsidR="00A83575" w:rsidRPr="00AC5754">
        <w:rPr>
          <w:rFonts w:asciiTheme="minorHAnsi" w:hAnsiTheme="minorHAnsi" w:cs="Arial"/>
          <w:sz w:val="22"/>
          <w:szCs w:val="22"/>
        </w:rPr>
        <w:t>s</w:t>
      </w:r>
      <w:r w:rsidR="00830746">
        <w:rPr>
          <w:rFonts w:asciiTheme="minorHAnsi" w:hAnsiTheme="minorHAnsi" w:cs="Arial"/>
          <w:sz w:val="22"/>
          <w:szCs w:val="22"/>
        </w:rPr>
        <w:t xml:space="preserve">e will </w:t>
      </w:r>
      <w:r w:rsidR="00807793">
        <w:rPr>
          <w:rFonts w:asciiTheme="minorHAnsi" w:hAnsiTheme="minorHAnsi" w:cs="Arial"/>
          <w:sz w:val="22"/>
          <w:szCs w:val="22"/>
        </w:rPr>
        <w:t xml:space="preserve">be </w:t>
      </w:r>
      <w:r w:rsidR="00830746">
        <w:rPr>
          <w:rFonts w:asciiTheme="minorHAnsi" w:hAnsiTheme="minorHAnsi" w:cs="Arial"/>
          <w:sz w:val="22"/>
          <w:szCs w:val="22"/>
        </w:rPr>
        <w:t xml:space="preserve">provided at the mid-point </w:t>
      </w:r>
      <w:r w:rsidR="005A11A6">
        <w:rPr>
          <w:rFonts w:asciiTheme="minorHAnsi" w:hAnsiTheme="minorHAnsi" w:cs="Arial"/>
          <w:sz w:val="22"/>
          <w:szCs w:val="22"/>
        </w:rPr>
        <w:t xml:space="preserve">of the annual review cycle </w:t>
      </w:r>
      <w:r w:rsidR="00830746">
        <w:rPr>
          <w:rFonts w:asciiTheme="minorHAnsi" w:hAnsiTheme="minorHAnsi" w:cs="Arial"/>
          <w:sz w:val="22"/>
          <w:szCs w:val="22"/>
        </w:rPr>
        <w:t xml:space="preserve">and </w:t>
      </w:r>
      <w:r w:rsidR="005A11A6">
        <w:rPr>
          <w:rFonts w:asciiTheme="minorHAnsi" w:hAnsiTheme="minorHAnsi" w:cs="Arial"/>
          <w:sz w:val="22"/>
          <w:szCs w:val="22"/>
        </w:rPr>
        <w:t xml:space="preserve">as </w:t>
      </w:r>
      <w:r w:rsidR="00830746">
        <w:rPr>
          <w:rFonts w:asciiTheme="minorHAnsi" w:hAnsiTheme="minorHAnsi" w:cs="Arial"/>
          <w:sz w:val="22"/>
          <w:szCs w:val="22"/>
        </w:rPr>
        <w:t>part of the Annual Review reports</w:t>
      </w:r>
      <w:r w:rsidR="00A83575" w:rsidRPr="00AC5754">
        <w:rPr>
          <w:rFonts w:asciiTheme="minorHAnsi" w:hAnsiTheme="minorHAnsi" w:cs="Arial"/>
          <w:sz w:val="22"/>
          <w:szCs w:val="22"/>
        </w:rPr>
        <w:t xml:space="preserve">. </w:t>
      </w:r>
      <w:r w:rsidR="00407B81">
        <w:rPr>
          <w:rFonts w:asciiTheme="minorHAnsi" w:hAnsiTheme="minorHAnsi" w:cs="Arial"/>
          <w:sz w:val="22"/>
          <w:szCs w:val="22"/>
        </w:rPr>
        <w:t xml:space="preserve"> </w:t>
      </w:r>
      <w:r w:rsidR="00DC0FDC">
        <w:rPr>
          <w:rFonts w:asciiTheme="minorHAnsi" w:hAnsiTheme="minorHAnsi" w:cs="Arial"/>
          <w:sz w:val="22"/>
          <w:szCs w:val="22"/>
        </w:rPr>
        <w:t>QTAG</w:t>
      </w:r>
      <w:r w:rsidR="00407B81">
        <w:rPr>
          <w:rFonts w:asciiTheme="minorHAnsi" w:hAnsiTheme="minorHAnsi" w:cs="Arial"/>
          <w:sz w:val="22"/>
          <w:szCs w:val="22"/>
        </w:rPr>
        <w:t xml:space="preserve"> Annual Reviews for both programs </w:t>
      </w:r>
      <w:r w:rsidR="00462463">
        <w:rPr>
          <w:rFonts w:asciiTheme="minorHAnsi" w:hAnsiTheme="minorHAnsi" w:cs="Arial"/>
          <w:sz w:val="22"/>
          <w:szCs w:val="22"/>
        </w:rPr>
        <w:t>may</w:t>
      </w:r>
      <w:r w:rsidR="00407B81">
        <w:rPr>
          <w:rFonts w:asciiTheme="minorHAnsi" w:hAnsiTheme="minorHAnsi" w:cs="Arial"/>
          <w:sz w:val="22"/>
          <w:szCs w:val="22"/>
        </w:rPr>
        <w:t xml:space="preserve"> be public documents.</w:t>
      </w:r>
    </w:p>
    <w:p w14:paraId="70EE16BD" w14:textId="77777777" w:rsidR="00636B1E" w:rsidRPr="006952E7" w:rsidRDefault="00D34E8A" w:rsidP="006952E7">
      <w:pPr>
        <w:pStyle w:val="Heading2"/>
        <w:spacing w:after="240"/>
      </w:pPr>
      <w:bookmarkStart w:id="16" w:name="_Toc434224051"/>
      <w:r w:rsidRPr="006952E7">
        <w:t>Monitoring and e</w:t>
      </w:r>
      <w:r w:rsidR="00636B1E" w:rsidRPr="006952E7">
        <w:t>valuation</w:t>
      </w:r>
      <w:bookmarkEnd w:id="16"/>
    </w:p>
    <w:p w14:paraId="78EB41E0" w14:textId="68ADEABF" w:rsidR="00A83575" w:rsidRPr="00AC5754" w:rsidRDefault="00136FEB" w:rsidP="0036589B">
      <w:pPr>
        <w:spacing w:before="60" w:after="120" w:line="264" w:lineRule="auto"/>
        <w:jc w:val="both"/>
        <w:rPr>
          <w:rFonts w:asciiTheme="minorHAnsi" w:hAnsiTheme="minorHAnsi" w:cs="Arial"/>
          <w:sz w:val="22"/>
          <w:szCs w:val="22"/>
        </w:rPr>
      </w:pPr>
      <w:r w:rsidRPr="0036589B">
        <w:rPr>
          <w:rFonts w:asciiTheme="minorHAnsi" w:hAnsiTheme="minorHAnsi" w:cs="Arial"/>
          <w:sz w:val="22"/>
          <w:szCs w:val="22"/>
        </w:rPr>
        <w:t xml:space="preserve">DFAT is committed to ensuring value for money.   During the </w:t>
      </w:r>
      <w:r w:rsidR="00FF0CC5">
        <w:rPr>
          <w:rFonts w:asciiTheme="minorHAnsi" w:hAnsiTheme="minorHAnsi" w:cs="Arial"/>
          <w:sz w:val="22"/>
          <w:szCs w:val="22"/>
        </w:rPr>
        <w:t>set up</w:t>
      </w:r>
      <w:r w:rsidR="00FF0CC5" w:rsidRPr="0036589B">
        <w:rPr>
          <w:rFonts w:asciiTheme="minorHAnsi" w:hAnsiTheme="minorHAnsi" w:cs="Arial"/>
          <w:sz w:val="22"/>
          <w:szCs w:val="22"/>
        </w:rPr>
        <w:t xml:space="preserve"> </w:t>
      </w:r>
      <w:r w:rsidRPr="0036589B">
        <w:rPr>
          <w:rFonts w:asciiTheme="minorHAnsi" w:hAnsiTheme="minorHAnsi" w:cs="Arial"/>
          <w:sz w:val="22"/>
          <w:szCs w:val="22"/>
        </w:rPr>
        <w:t xml:space="preserve">phase, </w:t>
      </w:r>
      <w:r w:rsidR="00D34E8A" w:rsidRPr="0036589B">
        <w:rPr>
          <w:rFonts w:asciiTheme="minorHAnsi" w:hAnsiTheme="minorHAnsi" w:cs="Arial"/>
          <w:sz w:val="22"/>
          <w:szCs w:val="22"/>
        </w:rPr>
        <w:t>the</w:t>
      </w:r>
      <w:r w:rsidR="00ED64F2" w:rsidRPr="0036589B">
        <w:rPr>
          <w:rFonts w:asciiTheme="minorHAnsi" w:hAnsiTheme="minorHAnsi" w:cs="Arial"/>
          <w:sz w:val="22"/>
          <w:szCs w:val="22"/>
        </w:rPr>
        <w:t xml:space="preserve"> </w:t>
      </w:r>
      <w:r w:rsidR="00DC0FDC">
        <w:rPr>
          <w:rFonts w:asciiTheme="minorHAnsi" w:hAnsiTheme="minorHAnsi" w:cs="Arial"/>
          <w:sz w:val="22"/>
          <w:szCs w:val="22"/>
        </w:rPr>
        <w:t>QTAG</w:t>
      </w:r>
      <w:r w:rsidR="008037F1" w:rsidRPr="0036589B">
        <w:rPr>
          <w:rFonts w:asciiTheme="minorHAnsi" w:hAnsiTheme="minorHAnsi" w:cs="Arial"/>
          <w:sz w:val="22"/>
          <w:szCs w:val="22"/>
        </w:rPr>
        <w:t xml:space="preserve"> </w:t>
      </w:r>
      <w:r w:rsidR="00D34E8A" w:rsidRPr="0036589B">
        <w:rPr>
          <w:rFonts w:asciiTheme="minorHAnsi" w:hAnsiTheme="minorHAnsi" w:cs="Arial"/>
          <w:sz w:val="22"/>
          <w:szCs w:val="22"/>
        </w:rPr>
        <w:t>SP will develop a results framework for the</w:t>
      </w:r>
      <w:r w:rsidR="00ED64F2" w:rsidRPr="0036589B">
        <w:rPr>
          <w:rFonts w:asciiTheme="minorHAnsi" w:hAnsiTheme="minorHAnsi" w:cs="Arial"/>
          <w:sz w:val="22"/>
          <w:szCs w:val="22"/>
        </w:rPr>
        <w:t xml:space="preserve"> </w:t>
      </w:r>
      <w:r w:rsidR="00830746" w:rsidRPr="0036589B">
        <w:rPr>
          <w:rFonts w:asciiTheme="minorHAnsi" w:hAnsiTheme="minorHAnsi" w:cs="Arial"/>
          <w:sz w:val="22"/>
          <w:szCs w:val="22"/>
        </w:rPr>
        <w:t xml:space="preserve">operation of the </w:t>
      </w:r>
      <w:r w:rsidR="00DC0FDC">
        <w:rPr>
          <w:rFonts w:asciiTheme="minorHAnsi" w:hAnsiTheme="minorHAnsi" w:cs="Arial"/>
          <w:sz w:val="22"/>
          <w:szCs w:val="22"/>
        </w:rPr>
        <w:t>QTAG</w:t>
      </w:r>
      <w:r w:rsidR="00D34E8A" w:rsidRPr="0036589B">
        <w:rPr>
          <w:rFonts w:asciiTheme="minorHAnsi" w:hAnsiTheme="minorHAnsi" w:cs="Arial"/>
          <w:sz w:val="22"/>
          <w:szCs w:val="22"/>
        </w:rPr>
        <w:t xml:space="preserve"> that will include </w:t>
      </w:r>
      <w:r w:rsidRPr="0036589B">
        <w:rPr>
          <w:rFonts w:asciiTheme="minorHAnsi" w:hAnsiTheme="minorHAnsi" w:cs="Arial"/>
          <w:sz w:val="22"/>
          <w:szCs w:val="22"/>
        </w:rPr>
        <w:t xml:space="preserve">agreed service standards (covering quality, timeliness and cost) for each of the </w:t>
      </w:r>
      <w:r w:rsidR="00012ED5" w:rsidRPr="0036589B">
        <w:rPr>
          <w:rFonts w:asciiTheme="minorHAnsi" w:hAnsiTheme="minorHAnsi" w:cs="Arial"/>
          <w:sz w:val="22"/>
          <w:szCs w:val="22"/>
        </w:rPr>
        <w:t>three</w:t>
      </w:r>
      <w:r w:rsidR="00D34E8A" w:rsidRPr="0036589B">
        <w:rPr>
          <w:rFonts w:asciiTheme="minorHAnsi" w:hAnsiTheme="minorHAnsi" w:cs="Arial"/>
          <w:sz w:val="22"/>
          <w:szCs w:val="22"/>
        </w:rPr>
        <w:t xml:space="preserve"> </w:t>
      </w:r>
      <w:r w:rsidR="00CF14C6" w:rsidRPr="0036589B">
        <w:rPr>
          <w:rFonts w:asciiTheme="minorHAnsi" w:hAnsiTheme="minorHAnsi" w:cs="Arial"/>
          <w:sz w:val="22"/>
          <w:szCs w:val="22"/>
        </w:rPr>
        <w:t xml:space="preserve">categories </w:t>
      </w:r>
      <w:r w:rsidR="00012ED5" w:rsidRPr="0036589B">
        <w:rPr>
          <w:rFonts w:asciiTheme="minorHAnsi" w:hAnsiTheme="minorHAnsi" w:cs="Arial"/>
          <w:sz w:val="22"/>
          <w:szCs w:val="22"/>
        </w:rPr>
        <w:t>of support</w:t>
      </w:r>
      <w:r w:rsidRPr="0036589B">
        <w:rPr>
          <w:rFonts w:asciiTheme="minorHAnsi" w:hAnsiTheme="minorHAnsi" w:cs="Arial"/>
          <w:sz w:val="22"/>
          <w:szCs w:val="22"/>
        </w:rPr>
        <w:t xml:space="preserve">.  </w:t>
      </w:r>
      <w:r w:rsidR="00A83575" w:rsidRPr="00AC5754">
        <w:rPr>
          <w:rFonts w:asciiTheme="minorHAnsi" w:hAnsiTheme="minorHAnsi" w:cs="Arial"/>
          <w:sz w:val="22"/>
          <w:szCs w:val="22"/>
        </w:rPr>
        <w:t xml:space="preserve">For the services provided, the SP will need to demonstrate consistent adherence to international good practice and knowledge and leadership of emerging best practice. </w:t>
      </w:r>
    </w:p>
    <w:p w14:paraId="744B19E5" w14:textId="77777777" w:rsidR="00830746" w:rsidRPr="0036589B" w:rsidRDefault="00A83575" w:rsidP="00AC5754">
      <w:pPr>
        <w:spacing w:before="60" w:after="120" w:line="264" w:lineRule="auto"/>
        <w:jc w:val="both"/>
        <w:rPr>
          <w:rFonts w:asciiTheme="minorHAnsi" w:hAnsiTheme="minorHAnsi" w:cs="Arial"/>
          <w:sz w:val="22"/>
          <w:szCs w:val="22"/>
        </w:rPr>
      </w:pPr>
      <w:r w:rsidRPr="00AC5754">
        <w:rPr>
          <w:rFonts w:asciiTheme="minorHAnsi" w:hAnsiTheme="minorHAnsi" w:cs="Arial"/>
          <w:sz w:val="22"/>
          <w:szCs w:val="22"/>
        </w:rPr>
        <w:t xml:space="preserve">A formal performance review of the quality and effectiveness of the services will happen after one year and annually thereafter, including an end of contract assessment. These will be organised by </w:t>
      </w:r>
      <w:r w:rsidR="00807793">
        <w:rPr>
          <w:rFonts w:asciiTheme="minorHAnsi" w:hAnsiTheme="minorHAnsi" w:cs="Arial"/>
          <w:sz w:val="22"/>
          <w:szCs w:val="22"/>
        </w:rPr>
        <w:t xml:space="preserve">the </w:t>
      </w:r>
      <w:r w:rsidR="00830746">
        <w:rPr>
          <w:rFonts w:asciiTheme="minorHAnsi" w:hAnsiTheme="minorHAnsi" w:cs="Arial"/>
          <w:sz w:val="22"/>
          <w:szCs w:val="22"/>
        </w:rPr>
        <w:t xml:space="preserve">AHC </w:t>
      </w:r>
      <w:r w:rsidRPr="00AC5754">
        <w:rPr>
          <w:rFonts w:asciiTheme="minorHAnsi" w:hAnsiTheme="minorHAnsi" w:cs="Arial"/>
          <w:sz w:val="22"/>
          <w:szCs w:val="22"/>
        </w:rPr>
        <w:t>and will include feedback from recipients of the services.  Arrangements for these reviews will be confirmed at contract award stage</w:t>
      </w:r>
      <w:r w:rsidRPr="0036589B">
        <w:rPr>
          <w:rFonts w:asciiTheme="minorHAnsi" w:hAnsiTheme="minorHAnsi" w:cs="Arial"/>
          <w:sz w:val="22"/>
          <w:szCs w:val="22"/>
        </w:rPr>
        <w:t>.</w:t>
      </w:r>
    </w:p>
    <w:p w14:paraId="002D5936" w14:textId="77777777" w:rsidR="00FD1F53" w:rsidRPr="006952E7" w:rsidRDefault="00FD1F53" w:rsidP="006952E7">
      <w:pPr>
        <w:pStyle w:val="Heading2"/>
        <w:spacing w:after="240"/>
      </w:pPr>
      <w:bookmarkStart w:id="17" w:name="_Toc434224052"/>
      <w:r w:rsidRPr="006952E7">
        <w:t>Risks</w:t>
      </w:r>
      <w:bookmarkEnd w:id="17"/>
    </w:p>
    <w:p w14:paraId="66C41933" w14:textId="77777777" w:rsidR="00830746" w:rsidRPr="0036589B" w:rsidRDefault="00830746" w:rsidP="0036589B">
      <w:pPr>
        <w:spacing w:before="60" w:after="120" w:line="264" w:lineRule="auto"/>
        <w:jc w:val="both"/>
        <w:rPr>
          <w:rFonts w:asciiTheme="minorHAnsi" w:hAnsiTheme="minorHAnsi" w:cs="Arial"/>
          <w:sz w:val="22"/>
          <w:szCs w:val="22"/>
        </w:rPr>
      </w:pPr>
      <w:r w:rsidRPr="0036589B">
        <w:rPr>
          <w:rFonts w:asciiTheme="minorHAnsi" w:hAnsiTheme="minorHAnsi" w:cs="Arial"/>
          <w:sz w:val="22"/>
          <w:szCs w:val="22"/>
        </w:rPr>
        <w:t>Tender</w:t>
      </w:r>
      <w:r w:rsidR="00C359BF" w:rsidRPr="0036589B">
        <w:rPr>
          <w:rFonts w:asciiTheme="minorHAnsi" w:hAnsiTheme="minorHAnsi" w:cs="Arial"/>
          <w:sz w:val="22"/>
          <w:szCs w:val="22"/>
        </w:rPr>
        <w:t>ers</w:t>
      </w:r>
      <w:r w:rsidRPr="0036589B">
        <w:rPr>
          <w:rFonts w:asciiTheme="minorHAnsi" w:hAnsiTheme="minorHAnsi" w:cs="Arial"/>
          <w:sz w:val="22"/>
          <w:szCs w:val="22"/>
        </w:rPr>
        <w:t xml:space="preserve"> should explain their proposed approach to risk management.  This should include consideration of risk at the following levels:</w:t>
      </w:r>
    </w:p>
    <w:p w14:paraId="0C07964B" w14:textId="77777777" w:rsidR="00C359BF" w:rsidRDefault="00C359BF" w:rsidP="00DD6D90">
      <w:pPr>
        <w:pStyle w:val="List-number-1"/>
        <w:numPr>
          <w:ilvl w:val="0"/>
          <w:numId w:val="13"/>
        </w:numPr>
        <w:spacing w:before="60" w:line="264" w:lineRule="auto"/>
        <w:ind w:left="714" w:hanging="357"/>
        <w:rPr>
          <w:rFonts w:ascii="Calibri" w:hAnsi="Calibri"/>
          <w:sz w:val="22"/>
          <w:szCs w:val="22"/>
        </w:rPr>
      </w:pPr>
      <w:r>
        <w:rPr>
          <w:rFonts w:ascii="Calibri" w:hAnsi="Calibri"/>
          <w:sz w:val="22"/>
          <w:szCs w:val="22"/>
        </w:rPr>
        <w:t>implementation, given the breadth and demand-led nature of the services required</w:t>
      </w:r>
      <w:r w:rsidR="0036589B">
        <w:rPr>
          <w:rFonts w:ascii="Calibri" w:hAnsi="Calibri"/>
          <w:sz w:val="22"/>
          <w:szCs w:val="22"/>
        </w:rPr>
        <w:t xml:space="preserve"> and challenges of the operating context in PNG</w:t>
      </w:r>
      <w:r>
        <w:rPr>
          <w:rFonts w:ascii="Calibri" w:hAnsi="Calibri"/>
          <w:sz w:val="22"/>
          <w:szCs w:val="22"/>
        </w:rPr>
        <w:t>;</w:t>
      </w:r>
    </w:p>
    <w:p w14:paraId="1A1D782A" w14:textId="73137DC5" w:rsidR="00C359BF" w:rsidRPr="00C359BF" w:rsidRDefault="00C359BF" w:rsidP="00DD6D90">
      <w:pPr>
        <w:pStyle w:val="List-number-1"/>
        <w:numPr>
          <w:ilvl w:val="0"/>
          <w:numId w:val="13"/>
        </w:numPr>
        <w:spacing w:before="60" w:line="264" w:lineRule="auto"/>
        <w:ind w:left="714" w:hanging="357"/>
        <w:rPr>
          <w:rFonts w:ascii="Calibri" w:hAnsi="Calibri"/>
          <w:sz w:val="22"/>
          <w:szCs w:val="22"/>
        </w:rPr>
      </w:pPr>
      <w:r>
        <w:rPr>
          <w:rFonts w:ascii="Calibri" w:hAnsi="Calibri"/>
          <w:sz w:val="22"/>
          <w:szCs w:val="22"/>
        </w:rPr>
        <w:t xml:space="preserve">conflict of interest, given the potential for </w:t>
      </w:r>
      <w:r w:rsidRPr="001B64BC">
        <w:rPr>
          <w:rFonts w:asciiTheme="minorHAnsi" w:hAnsiTheme="minorHAnsi" w:cs="Arial"/>
          <w:sz w:val="22"/>
        </w:rPr>
        <w:t>Annual Review</w:t>
      </w:r>
      <w:r>
        <w:rPr>
          <w:rFonts w:asciiTheme="minorHAnsi" w:hAnsiTheme="minorHAnsi" w:cs="Arial"/>
          <w:sz w:val="22"/>
        </w:rPr>
        <w:t xml:space="preserve">s to </w:t>
      </w:r>
      <w:r w:rsidRPr="001B64BC">
        <w:rPr>
          <w:rFonts w:asciiTheme="minorHAnsi" w:hAnsiTheme="minorHAnsi" w:cs="Arial"/>
          <w:sz w:val="22"/>
        </w:rPr>
        <w:t xml:space="preserve">assess the effectiveness of activities on which </w:t>
      </w:r>
      <w:r w:rsidR="00DC0FDC">
        <w:rPr>
          <w:rFonts w:asciiTheme="minorHAnsi" w:hAnsiTheme="minorHAnsi" w:cs="Arial"/>
          <w:sz w:val="22"/>
        </w:rPr>
        <w:t>QTAG</w:t>
      </w:r>
      <w:r>
        <w:rPr>
          <w:rFonts w:asciiTheme="minorHAnsi" w:hAnsiTheme="minorHAnsi" w:cs="Arial"/>
          <w:sz w:val="22"/>
        </w:rPr>
        <w:t xml:space="preserve"> </w:t>
      </w:r>
      <w:r w:rsidRPr="001B64BC">
        <w:rPr>
          <w:rFonts w:asciiTheme="minorHAnsi" w:hAnsiTheme="minorHAnsi" w:cs="Arial"/>
          <w:sz w:val="22"/>
        </w:rPr>
        <w:t>has provided guidance</w:t>
      </w:r>
      <w:r>
        <w:rPr>
          <w:rFonts w:asciiTheme="minorHAnsi" w:hAnsiTheme="minorHAnsi" w:cs="Arial"/>
          <w:sz w:val="22"/>
        </w:rPr>
        <w:t>;</w:t>
      </w:r>
    </w:p>
    <w:p w14:paraId="7797B095" w14:textId="77777777" w:rsidR="00BC3A46" w:rsidRPr="00BC3A46" w:rsidRDefault="00C359BF" w:rsidP="00DD6D90">
      <w:pPr>
        <w:pStyle w:val="List-number-1"/>
        <w:numPr>
          <w:ilvl w:val="0"/>
          <w:numId w:val="13"/>
        </w:numPr>
        <w:spacing w:before="60" w:line="264" w:lineRule="auto"/>
        <w:ind w:left="714" w:hanging="357"/>
        <w:rPr>
          <w:rFonts w:ascii="Calibri" w:hAnsi="Calibri"/>
          <w:sz w:val="22"/>
          <w:szCs w:val="22"/>
        </w:rPr>
      </w:pPr>
      <w:r>
        <w:rPr>
          <w:rFonts w:asciiTheme="minorHAnsi" w:hAnsiTheme="minorHAnsi" w:cs="Arial"/>
          <w:sz w:val="22"/>
        </w:rPr>
        <w:t xml:space="preserve">relationship management, given the need for constructive working relations with the </w:t>
      </w:r>
      <w:r w:rsidR="00BC3A46">
        <w:rPr>
          <w:rFonts w:asciiTheme="minorHAnsi" w:hAnsiTheme="minorHAnsi" w:cs="Arial"/>
          <w:sz w:val="22"/>
        </w:rPr>
        <w:t xml:space="preserve">two </w:t>
      </w:r>
      <w:r>
        <w:rPr>
          <w:rFonts w:asciiTheme="minorHAnsi" w:hAnsiTheme="minorHAnsi" w:cs="Arial"/>
          <w:sz w:val="22"/>
        </w:rPr>
        <w:t xml:space="preserve">programs and authorative and independent advice to AHC and GoPNG; </w:t>
      </w:r>
    </w:p>
    <w:p w14:paraId="115E2F5B" w14:textId="4DCCED58" w:rsidR="00C359BF" w:rsidRDefault="00BC3A46" w:rsidP="00DD6D90">
      <w:pPr>
        <w:pStyle w:val="List-number-1"/>
        <w:numPr>
          <w:ilvl w:val="0"/>
          <w:numId w:val="13"/>
        </w:numPr>
        <w:spacing w:before="60" w:line="264" w:lineRule="auto"/>
        <w:ind w:left="714" w:hanging="357"/>
        <w:rPr>
          <w:rFonts w:ascii="Calibri" w:hAnsi="Calibri"/>
          <w:sz w:val="22"/>
          <w:szCs w:val="22"/>
        </w:rPr>
      </w:pPr>
      <w:r>
        <w:rPr>
          <w:rFonts w:asciiTheme="minorHAnsi" w:hAnsiTheme="minorHAnsi" w:cs="Arial"/>
          <w:sz w:val="22"/>
        </w:rPr>
        <w:t xml:space="preserve">mission creep, given the potential demand for expert advisory inputs beyond the </w:t>
      </w:r>
      <w:r w:rsidR="00DC0FDC">
        <w:rPr>
          <w:rFonts w:asciiTheme="minorHAnsi" w:hAnsiTheme="minorHAnsi" w:cs="Arial"/>
          <w:sz w:val="22"/>
        </w:rPr>
        <w:t>QTAG</w:t>
      </w:r>
      <w:r>
        <w:rPr>
          <w:rFonts w:asciiTheme="minorHAnsi" w:hAnsiTheme="minorHAnsi" w:cs="Arial"/>
          <w:sz w:val="22"/>
        </w:rPr>
        <w:t xml:space="preserve">’s remit; </w:t>
      </w:r>
      <w:r w:rsidR="00C359BF">
        <w:rPr>
          <w:rFonts w:asciiTheme="minorHAnsi" w:hAnsiTheme="minorHAnsi" w:cs="Arial"/>
          <w:sz w:val="22"/>
        </w:rPr>
        <w:t>and</w:t>
      </w:r>
    </w:p>
    <w:p w14:paraId="654B66D6" w14:textId="77777777" w:rsidR="00C359BF" w:rsidRPr="00C359BF" w:rsidRDefault="00830746" w:rsidP="00DD6D90">
      <w:pPr>
        <w:pStyle w:val="List-number-1"/>
        <w:numPr>
          <w:ilvl w:val="0"/>
          <w:numId w:val="13"/>
        </w:numPr>
        <w:spacing w:before="60" w:after="240" w:line="264" w:lineRule="auto"/>
        <w:ind w:left="714" w:hanging="357"/>
        <w:rPr>
          <w:rFonts w:asciiTheme="minorHAnsi" w:hAnsiTheme="minorHAnsi" w:cs="Arial"/>
          <w:sz w:val="22"/>
        </w:rPr>
      </w:pPr>
      <w:r w:rsidRPr="00F024F7">
        <w:rPr>
          <w:rFonts w:ascii="Calibri" w:hAnsi="Calibri"/>
          <w:sz w:val="22"/>
          <w:szCs w:val="22"/>
        </w:rPr>
        <w:t xml:space="preserve">the wider operating environment, including political and </w:t>
      </w:r>
      <w:r w:rsidR="00C359BF">
        <w:rPr>
          <w:rFonts w:ascii="Calibri" w:hAnsi="Calibri"/>
          <w:sz w:val="22"/>
          <w:szCs w:val="22"/>
        </w:rPr>
        <w:t xml:space="preserve">personnel security risk. </w:t>
      </w:r>
    </w:p>
    <w:p w14:paraId="18B5031A" w14:textId="77777777" w:rsidR="00C359BF" w:rsidRPr="00C359BF" w:rsidRDefault="00C359BF" w:rsidP="00C359BF">
      <w:pPr>
        <w:spacing w:before="180" w:after="120" w:line="264" w:lineRule="auto"/>
        <w:rPr>
          <w:rFonts w:asciiTheme="minorHAnsi" w:hAnsiTheme="minorHAnsi" w:cs="Arial"/>
          <w:sz w:val="24"/>
          <w:szCs w:val="22"/>
          <w:u w:val="single"/>
        </w:rPr>
      </w:pPr>
      <w:r w:rsidRPr="00C359BF">
        <w:rPr>
          <w:rFonts w:asciiTheme="minorHAnsi" w:hAnsiTheme="minorHAnsi" w:cs="Arial"/>
          <w:sz w:val="24"/>
          <w:szCs w:val="22"/>
          <w:u w:val="single"/>
        </w:rPr>
        <w:t>Duty of Care and Security</w:t>
      </w:r>
    </w:p>
    <w:p w14:paraId="7344AA60" w14:textId="06C49AA1" w:rsidR="00672812" w:rsidRPr="00DF1BD7" w:rsidRDefault="00C359BF" w:rsidP="00C73A8F">
      <w:pPr>
        <w:spacing w:before="60" w:after="120" w:line="264" w:lineRule="auto"/>
        <w:jc w:val="both"/>
        <w:rPr>
          <w:i/>
        </w:rPr>
      </w:pPr>
      <w:r w:rsidRPr="0036589B">
        <w:rPr>
          <w:rFonts w:asciiTheme="minorHAnsi" w:hAnsiTheme="minorHAnsi" w:cs="Arial"/>
          <w:sz w:val="22"/>
          <w:szCs w:val="22"/>
        </w:rPr>
        <w:t xml:space="preserve">This procurement will require the </w:t>
      </w:r>
      <w:r w:rsidR="00DC0FDC">
        <w:rPr>
          <w:rFonts w:asciiTheme="minorHAnsi" w:hAnsiTheme="minorHAnsi" w:cs="Arial"/>
          <w:sz w:val="22"/>
          <w:szCs w:val="22"/>
        </w:rPr>
        <w:t>QTAG</w:t>
      </w:r>
      <w:r w:rsidRPr="0036589B">
        <w:rPr>
          <w:rFonts w:asciiTheme="minorHAnsi" w:hAnsiTheme="minorHAnsi" w:cs="Arial"/>
          <w:sz w:val="22"/>
          <w:szCs w:val="22"/>
        </w:rPr>
        <w:t xml:space="preserve"> SP to </w:t>
      </w:r>
      <w:r w:rsidR="00E13236">
        <w:rPr>
          <w:rFonts w:asciiTheme="minorHAnsi" w:hAnsiTheme="minorHAnsi" w:cs="Arial"/>
          <w:sz w:val="22"/>
          <w:szCs w:val="22"/>
        </w:rPr>
        <w:t xml:space="preserve">potentially </w:t>
      </w:r>
      <w:r w:rsidRPr="0036589B">
        <w:rPr>
          <w:rFonts w:asciiTheme="minorHAnsi" w:hAnsiTheme="minorHAnsi" w:cs="Arial"/>
          <w:sz w:val="22"/>
          <w:szCs w:val="22"/>
        </w:rPr>
        <w:t xml:space="preserve">operate in conflict-affected areas and </w:t>
      </w:r>
      <w:r w:rsidR="00672812" w:rsidRPr="0036589B">
        <w:rPr>
          <w:rFonts w:asciiTheme="minorHAnsi" w:hAnsiTheme="minorHAnsi" w:cs="Arial"/>
          <w:sz w:val="22"/>
          <w:szCs w:val="22"/>
        </w:rPr>
        <w:t>insecure areas</w:t>
      </w:r>
      <w:r w:rsidRPr="0036589B">
        <w:rPr>
          <w:rFonts w:asciiTheme="minorHAnsi" w:hAnsiTheme="minorHAnsi" w:cs="Arial"/>
          <w:sz w:val="22"/>
          <w:szCs w:val="22"/>
        </w:rPr>
        <w:t xml:space="preserve">. </w:t>
      </w:r>
      <w:r w:rsidR="00DC0FDC">
        <w:rPr>
          <w:rFonts w:asciiTheme="minorHAnsi" w:hAnsiTheme="minorHAnsi" w:cs="Arial"/>
          <w:sz w:val="22"/>
          <w:szCs w:val="22"/>
        </w:rPr>
        <w:t>QTAG</w:t>
      </w:r>
      <w:r w:rsidR="00DF1BD7" w:rsidRPr="0036589B">
        <w:rPr>
          <w:rFonts w:asciiTheme="minorHAnsi" w:hAnsiTheme="minorHAnsi" w:cs="Arial"/>
          <w:sz w:val="22"/>
          <w:szCs w:val="22"/>
        </w:rPr>
        <w:t xml:space="preserve"> SP </w:t>
      </w:r>
      <w:r w:rsidR="00DF1BD7">
        <w:rPr>
          <w:rFonts w:asciiTheme="minorHAnsi" w:hAnsiTheme="minorHAnsi" w:cs="Arial"/>
          <w:sz w:val="22"/>
          <w:szCs w:val="22"/>
        </w:rPr>
        <w:t xml:space="preserve">personnel may be required </w:t>
      </w:r>
      <w:r w:rsidR="00DF1BD7" w:rsidRPr="0036589B">
        <w:rPr>
          <w:rFonts w:asciiTheme="minorHAnsi" w:hAnsiTheme="minorHAnsi" w:cs="Arial"/>
          <w:sz w:val="22"/>
          <w:szCs w:val="22"/>
        </w:rPr>
        <w:t xml:space="preserve">to </w:t>
      </w:r>
      <w:r w:rsidR="00DF1BD7">
        <w:rPr>
          <w:rFonts w:asciiTheme="minorHAnsi" w:hAnsiTheme="minorHAnsi" w:cs="Arial"/>
          <w:sz w:val="22"/>
          <w:szCs w:val="22"/>
        </w:rPr>
        <w:t>undertake field visits to provincial areas of PNG. All such internal t</w:t>
      </w:r>
      <w:r w:rsidR="00DF1BD7" w:rsidRPr="0036589B">
        <w:rPr>
          <w:rFonts w:asciiTheme="minorHAnsi" w:hAnsiTheme="minorHAnsi" w:cs="Arial"/>
          <w:sz w:val="22"/>
          <w:szCs w:val="22"/>
        </w:rPr>
        <w:t xml:space="preserve">ravel will be subject to </w:t>
      </w:r>
      <w:r w:rsidR="00DF1BD7">
        <w:rPr>
          <w:rFonts w:asciiTheme="minorHAnsi" w:hAnsiTheme="minorHAnsi" w:cs="Arial"/>
          <w:sz w:val="22"/>
          <w:szCs w:val="22"/>
        </w:rPr>
        <w:t xml:space="preserve">the security situation and </w:t>
      </w:r>
      <w:r w:rsidR="00DF1BD7" w:rsidRPr="0036589B">
        <w:rPr>
          <w:rFonts w:asciiTheme="minorHAnsi" w:hAnsiTheme="minorHAnsi" w:cs="Arial"/>
          <w:sz w:val="22"/>
          <w:szCs w:val="22"/>
        </w:rPr>
        <w:t xml:space="preserve">clearance </w:t>
      </w:r>
      <w:r w:rsidR="00DF1BD7">
        <w:rPr>
          <w:rFonts w:asciiTheme="minorHAnsi" w:hAnsiTheme="minorHAnsi" w:cs="Arial"/>
          <w:sz w:val="22"/>
          <w:szCs w:val="22"/>
        </w:rPr>
        <w:t>by</w:t>
      </w:r>
      <w:r w:rsidR="00DF1BD7" w:rsidRPr="0036589B">
        <w:rPr>
          <w:rFonts w:asciiTheme="minorHAnsi" w:hAnsiTheme="minorHAnsi" w:cs="Arial"/>
          <w:sz w:val="22"/>
          <w:szCs w:val="22"/>
        </w:rPr>
        <w:t xml:space="preserve"> AHC</w:t>
      </w:r>
      <w:r w:rsidR="00DF1BD7">
        <w:rPr>
          <w:rFonts w:asciiTheme="minorHAnsi" w:hAnsiTheme="minorHAnsi" w:cs="Arial"/>
          <w:sz w:val="22"/>
          <w:szCs w:val="22"/>
        </w:rPr>
        <w:t xml:space="preserve"> (Security)</w:t>
      </w:r>
      <w:r w:rsidR="00DF1BD7" w:rsidRPr="0036589B">
        <w:rPr>
          <w:rFonts w:asciiTheme="minorHAnsi" w:hAnsiTheme="minorHAnsi" w:cs="Arial"/>
          <w:sz w:val="22"/>
          <w:szCs w:val="22"/>
        </w:rPr>
        <w:t xml:space="preserve">.  </w:t>
      </w:r>
      <w:r w:rsidR="00672812" w:rsidRPr="0036589B">
        <w:rPr>
          <w:rFonts w:asciiTheme="minorHAnsi" w:hAnsiTheme="minorHAnsi" w:cs="Arial"/>
          <w:sz w:val="22"/>
          <w:szCs w:val="22"/>
        </w:rPr>
        <w:t xml:space="preserve"> </w:t>
      </w:r>
      <w:r w:rsidRPr="0036589B">
        <w:rPr>
          <w:rFonts w:asciiTheme="minorHAnsi" w:hAnsiTheme="minorHAnsi" w:cs="Arial"/>
          <w:sz w:val="22"/>
          <w:szCs w:val="22"/>
        </w:rPr>
        <w:t xml:space="preserve">The </w:t>
      </w:r>
      <w:r w:rsidR="00672812" w:rsidRPr="0036589B">
        <w:rPr>
          <w:rFonts w:asciiTheme="minorHAnsi" w:hAnsiTheme="minorHAnsi" w:cs="Arial"/>
          <w:sz w:val="22"/>
          <w:szCs w:val="22"/>
        </w:rPr>
        <w:t xml:space="preserve">SP </w:t>
      </w:r>
      <w:r w:rsidRPr="0036589B">
        <w:rPr>
          <w:rFonts w:asciiTheme="minorHAnsi" w:hAnsiTheme="minorHAnsi" w:cs="Arial"/>
          <w:sz w:val="22"/>
          <w:szCs w:val="22"/>
        </w:rPr>
        <w:t xml:space="preserve">should be </w:t>
      </w:r>
      <w:r w:rsidRPr="0036589B">
        <w:rPr>
          <w:rFonts w:asciiTheme="minorHAnsi" w:hAnsiTheme="minorHAnsi" w:cs="Arial"/>
          <w:sz w:val="22"/>
          <w:szCs w:val="22"/>
        </w:rPr>
        <w:lastRenderedPageBreak/>
        <w:t xml:space="preserve">comfortable working in such an environment and should be capable of deploying to any areas required within the region in order to deliver the </w:t>
      </w:r>
      <w:r w:rsidR="00672812" w:rsidRPr="0036589B">
        <w:rPr>
          <w:rFonts w:asciiTheme="minorHAnsi" w:hAnsiTheme="minorHAnsi" w:cs="Arial"/>
          <w:sz w:val="22"/>
          <w:szCs w:val="22"/>
        </w:rPr>
        <w:t>c</w:t>
      </w:r>
      <w:r w:rsidRPr="0036589B">
        <w:rPr>
          <w:rFonts w:asciiTheme="minorHAnsi" w:hAnsiTheme="minorHAnsi" w:cs="Arial"/>
          <w:sz w:val="22"/>
          <w:szCs w:val="22"/>
        </w:rPr>
        <w:t>ontract (subject to travel clearance).</w:t>
      </w:r>
      <w:r w:rsidR="00672812" w:rsidRPr="0036589B">
        <w:rPr>
          <w:rFonts w:asciiTheme="minorHAnsi" w:hAnsiTheme="minorHAnsi" w:cs="Arial"/>
          <w:sz w:val="22"/>
          <w:szCs w:val="22"/>
        </w:rPr>
        <w:t xml:space="preserve">  </w:t>
      </w:r>
    </w:p>
    <w:p w14:paraId="095D4D44" w14:textId="47ED0A5D" w:rsidR="00565E31" w:rsidRPr="00D62034" w:rsidRDefault="00C359BF" w:rsidP="00D62034">
      <w:pPr>
        <w:spacing w:before="60" w:after="120" w:line="264" w:lineRule="auto"/>
        <w:jc w:val="both"/>
        <w:rPr>
          <w:rFonts w:asciiTheme="minorHAnsi" w:hAnsiTheme="minorHAnsi" w:cs="Arial"/>
          <w:sz w:val="22"/>
          <w:szCs w:val="22"/>
        </w:rPr>
      </w:pPr>
      <w:r w:rsidRPr="0036589B">
        <w:rPr>
          <w:rFonts w:asciiTheme="minorHAnsi" w:hAnsiTheme="minorHAnsi" w:cs="Arial"/>
          <w:sz w:val="22"/>
          <w:szCs w:val="22"/>
        </w:rPr>
        <w:t xml:space="preserve">The </w:t>
      </w:r>
      <w:r w:rsidR="00DC0FDC">
        <w:rPr>
          <w:rFonts w:asciiTheme="minorHAnsi" w:hAnsiTheme="minorHAnsi" w:cs="Arial"/>
          <w:sz w:val="22"/>
          <w:szCs w:val="22"/>
        </w:rPr>
        <w:t>QTAG</w:t>
      </w:r>
      <w:r w:rsidR="00672812" w:rsidRPr="0036589B">
        <w:rPr>
          <w:rFonts w:asciiTheme="minorHAnsi" w:hAnsiTheme="minorHAnsi" w:cs="Arial"/>
          <w:sz w:val="22"/>
          <w:szCs w:val="22"/>
        </w:rPr>
        <w:t xml:space="preserve"> SP will be </w:t>
      </w:r>
      <w:r w:rsidRPr="0036589B">
        <w:rPr>
          <w:rFonts w:asciiTheme="minorHAnsi" w:hAnsiTheme="minorHAnsi" w:cs="Arial"/>
          <w:sz w:val="22"/>
          <w:szCs w:val="22"/>
        </w:rPr>
        <w:t xml:space="preserve">responsible for ensuring that appropriate arrangements, processes and procedures are in place for </w:t>
      </w:r>
      <w:r w:rsidR="00672812" w:rsidRPr="0036589B">
        <w:rPr>
          <w:rFonts w:asciiTheme="minorHAnsi" w:hAnsiTheme="minorHAnsi" w:cs="Arial"/>
          <w:sz w:val="22"/>
          <w:szCs w:val="22"/>
        </w:rPr>
        <w:t xml:space="preserve">the safety and well-being of </w:t>
      </w:r>
      <w:r w:rsidRPr="0036589B">
        <w:rPr>
          <w:rFonts w:asciiTheme="minorHAnsi" w:hAnsiTheme="minorHAnsi" w:cs="Arial"/>
          <w:sz w:val="22"/>
          <w:szCs w:val="22"/>
        </w:rPr>
        <w:t xml:space="preserve">their </w:t>
      </w:r>
      <w:r w:rsidR="00672812" w:rsidRPr="0036589B">
        <w:rPr>
          <w:rFonts w:asciiTheme="minorHAnsi" w:hAnsiTheme="minorHAnsi" w:cs="Arial"/>
          <w:sz w:val="22"/>
          <w:szCs w:val="22"/>
        </w:rPr>
        <w:t>p</w:t>
      </w:r>
      <w:r w:rsidRPr="0036589B">
        <w:rPr>
          <w:rFonts w:asciiTheme="minorHAnsi" w:hAnsiTheme="minorHAnsi" w:cs="Arial"/>
          <w:sz w:val="22"/>
          <w:szCs w:val="22"/>
        </w:rPr>
        <w:t>ersonnel</w:t>
      </w:r>
      <w:r w:rsidR="00672812" w:rsidRPr="0036589B">
        <w:rPr>
          <w:rFonts w:asciiTheme="minorHAnsi" w:hAnsiTheme="minorHAnsi" w:cs="Arial"/>
          <w:sz w:val="22"/>
          <w:szCs w:val="22"/>
        </w:rPr>
        <w:t xml:space="preserve"> and Third Parties affected by their activities under this contract</w:t>
      </w:r>
      <w:r w:rsidRPr="0036589B">
        <w:rPr>
          <w:rFonts w:asciiTheme="minorHAnsi" w:hAnsiTheme="minorHAnsi" w:cs="Arial"/>
          <w:sz w:val="22"/>
          <w:szCs w:val="22"/>
        </w:rPr>
        <w:t xml:space="preserve">, taking into account the environment they will be working in and the level of risk involved in delivery of the </w:t>
      </w:r>
      <w:r w:rsidR="00672812" w:rsidRPr="0036589B">
        <w:rPr>
          <w:rFonts w:asciiTheme="minorHAnsi" w:hAnsiTheme="minorHAnsi" w:cs="Arial"/>
          <w:sz w:val="22"/>
          <w:szCs w:val="22"/>
        </w:rPr>
        <w:t>c</w:t>
      </w:r>
      <w:r w:rsidRPr="0036589B">
        <w:rPr>
          <w:rFonts w:asciiTheme="minorHAnsi" w:hAnsiTheme="minorHAnsi" w:cs="Arial"/>
          <w:sz w:val="22"/>
          <w:szCs w:val="22"/>
        </w:rPr>
        <w:t xml:space="preserve">ontract. The </w:t>
      </w:r>
      <w:r w:rsidR="00672812" w:rsidRPr="0036589B">
        <w:rPr>
          <w:rFonts w:asciiTheme="minorHAnsi" w:hAnsiTheme="minorHAnsi" w:cs="Arial"/>
          <w:sz w:val="22"/>
          <w:szCs w:val="22"/>
        </w:rPr>
        <w:t xml:space="preserve">SP </w:t>
      </w:r>
      <w:r w:rsidRPr="0036589B">
        <w:rPr>
          <w:rFonts w:asciiTheme="minorHAnsi" w:hAnsiTheme="minorHAnsi" w:cs="Arial"/>
          <w:sz w:val="22"/>
          <w:szCs w:val="22"/>
        </w:rPr>
        <w:t>must ensure their Personnel receive the required level of training prior to deployment</w:t>
      </w:r>
      <w:r w:rsidR="00672812" w:rsidRPr="0036589B">
        <w:rPr>
          <w:rFonts w:asciiTheme="minorHAnsi" w:hAnsiTheme="minorHAnsi" w:cs="Arial"/>
          <w:sz w:val="22"/>
          <w:szCs w:val="22"/>
        </w:rPr>
        <w:t>.</w:t>
      </w:r>
      <w:bookmarkStart w:id="18" w:name="_Toc411427662"/>
    </w:p>
    <w:p w14:paraId="5B69DC34" w14:textId="77777777" w:rsidR="00672812" w:rsidRPr="00672812" w:rsidRDefault="00672812" w:rsidP="00672812">
      <w:pPr>
        <w:spacing w:before="180" w:after="120" w:line="264" w:lineRule="auto"/>
        <w:rPr>
          <w:rFonts w:asciiTheme="minorHAnsi" w:hAnsiTheme="minorHAnsi" w:cs="Arial"/>
          <w:sz w:val="24"/>
          <w:szCs w:val="22"/>
          <w:u w:val="single"/>
        </w:rPr>
      </w:pPr>
      <w:r w:rsidRPr="00672812">
        <w:rPr>
          <w:rFonts w:asciiTheme="minorHAnsi" w:hAnsiTheme="minorHAnsi" w:cs="Arial"/>
          <w:sz w:val="24"/>
          <w:szCs w:val="22"/>
          <w:u w:val="single"/>
        </w:rPr>
        <w:t>Anti-Fraud</w:t>
      </w:r>
      <w:bookmarkEnd w:id="18"/>
      <w:r w:rsidRPr="00672812">
        <w:rPr>
          <w:rFonts w:asciiTheme="minorHAnsi" w:hAnsiTheme="minorHAnsi" w:cs="Arial"/>
          <w:sz w:val="24"/>
          <w:szCs w:val="22"/>
          <w:u w:val="single"/>
        </w:rPr>
        <w:t xml:space="preserve"> </w:t>
      </w:r>
    </w:p>
    <w:p w14:paraId="0731A111" w14:textId="4DE48485" w:rsidR="00672812" w:rsidRPr="00F024F7" w:rsidRDefault="00672812" w:rsidP="00672812">
      <w:pPr>
        <w:pStyle w:val="List-bullet-1"/>
        <w:numPr>
          <w:ilvl w:val="0"/>
          <w:numId w:val="0"/>
        </w:numPr>
        <w:spacing w:after="120"/>
        <w:rPr>
          <w:rFonts w:ascii="Calibri" w:hAnsi="Calibri"/>
          <w:sz w:val="22"/>
        </w:rPr>
      </w:pPr>
      <w:r w:rsidRPr="00F024F7">
        <w:rPr>
          <w:rFonts w:ascii="Calibri" w:hAnsi="Calibri"/>
          <w:sz w:val="22"/>
        </w:rPr>
        <w:t>The</w:t>
      </w:r>
      <w:r>
        <w:rPr>
          <w:rFonts w:ascii="Calibri" w:hAnsi="Calibri"/>
          <w:sz w:val="22"/>
        </w:rPr>
        <w:t xml:space="preserve"> </w:t>
      </w:r>
      <w:r w:rsidR="00DC0FDC">
        <w:rPr>
          <w:rFonts w:ascii="Calibri" w:hAnsi="Calibri"/>
          <w:sz w:val="22"/>
        </w:rPr>
        <w:t>QTAG</w:t>
      </w:r>
      <w:r w:rsidRPr="00F024F7">
        <w:rPr>
          <w:rFonts w:ascii="Calibri" w:hAnsi="Calibri"/>
          <w:sz w:val="22"/>
        </w:rPr>
        <w:t xml:space="preserve"> SP will develop and implement systems and processes that guard against fraud, nepotism and corruption. This will include:</w:t>
      </w:r>
    </w:p>
    <w:p w14:paraId="15FCCB6A" w14:textId="77777777" w:rsidR="00672812" w:rsidRPr="00F024F7" w:rsidRDefault="00672812" w:rsidP="00672812">
      <w:pPr>
        <w:pStyle w:val="List-bullet-1"/>
        <w:tabs>
          <w:tab w:val="clear" w:pos="720"/>
        </w:tabs>
        <w:spacing w:before="0" w:after="120"/>
        <w:ind w:left="340" w:hanging="340"/>
        <w:rPr>
          <w:rFonts w:ascii="Calibri" w:hAnsi="Calibri"/>
          <w:sz w:val="22"/>
        </w:rPr>
      </w:pPr>
      <w:r w:rsidRPr="00F024F7">
        <w:rPr>
          <w:rFonts w:ascii="Calibri" w:hAnsi="Calibri"/>
          <w:sz w:val="22"/>
        </w:rPr>
        <w:t>A ‘zero tolerance’ position on fraud;</w:t>
      </w:r>
    </w:p>
    <w:p w14:paraId="1E146ADD" w14:textId="77777777" w:rsidR="00672812" w:rsidRPr="00F024F7" w:rsidRDefault="00672812" w:rsidP="00672812">
      <w:pPr>
        <w:pStyle w:val="List-bullet-1"/>
        <w:tabs>
          <w:tab w:val="clear" w:pos="720"/>
        </w:tabs>
        <w:spacing w:before="0" w:after="120"/>
        <w:ind w:left="340" w:hanging="340"/>
        <w:rPr>
          <w:rFonts w:ascii="Calibri" w:hAnsi="Calibri"/>
          <w:sz w:val="22"/>
        </w:rPr>
      </w:pPr>
      <w:r w:rsidRPr="00F024F7">
        <w:rPr>
          <w:rFonts w:ascii="Calibri" w:hAnsi="Calibri"/>
          <w:sz w:val="22"/>
        </w:rPr>
        <w:t>Using transparent processes in the selection of local service providers and other contractual arrangements and exercise due diligence over any sub-contractors;</w:t>
      </w:r>
    </w:p>
    <w:p w14:paraId="10547375" w14:textId="77777777" w:rsidR="00672812" w:rsidRPr="00672812" w:rsidRDefault="00672812" w:rsidP="00672812">
      <w:pPr>
        <w:pStyle w:val="List-bullet-1"/>
        <w:tabs>
          <w:tab w:val="clear" w:pos="720"/>
        </w:tabs>
        <w:spacing w:before="0" w:after="120"/>
        <w:ind w:left="340" w:hanging="340"/>
        <w:rPr>
          <w:rFonts w:ascii="Calibri" w:hAnsi="Calibri"/>
          <w:sz w:val="22"/>
        </w:rPr>
      </w:pPr>
      <w:r w:rsidRPr="00672812">
        <w:rPr>
          <w:rFonts w:ascii="Calibri" w:hAnsi="Calibri"/>
          <w:sz w:val="22"/>
        </w:rPr>
        <w:t>Suitable financial management procedures clearly articulated, that are compliant with the relevant financial management, fraud control and accountability requirements of DFAT. This includes processes that enable all funds to be tracked, justified, reported on and (where required) audited; and</w:t>
      </w:r>
    </w:p>
    <w:p w14:paraId="12DE1ACF" w14:textId="56C4B907" w:rsidR="00672812" w:rsidRPr="00E13236" w:rsidRDefault="00672812" w:rsidP="00672812">
      <w:pPr>
        <w:tabs>
          <w:tab w:val="left" w:pos="567"/>
        </w:tabs>
        <w:autoSpaceDE w:val="0"/>
        <w:autoSpaceDN w:val="0"/>
        <w:adjustRightInd w:val="0"/>
        <w:spacing w:before="0" w:after="200" w:line="276" w:lineRule="auto"/>
        <w:contextualSpacing/>
        <w:rPr>
          <w:rFonts w:ascii="Calibri" w:eastAsia="Calibri" w:hAnsi="Calibri" w:cs="Arial"/>
          <w:strike/>
          <w:sz w:val="22"/>
          <w:szCs w:val="20"/>
        </w:rPr>
      </w:pPr>
      <w:r w:rsidRPr="009D59E9">
        <w:rPr>
          <w:rFonts w:ascii="Calibri" w:eastAsia="Calibri" w:hAnsi="Calibri" w:cs="Arial"/>
          <w:sz w:val="22"/>
          <w:szCs w:val="20"/>
        </w:rPr>
        <w:t xml:space="preserve">The </w:t>
      </w:r>
      <w:r w:rsidR="00DC0FDC">
        <w:rPr>
          <w:rFonts w:ascii="Calibri" w:eastAsia="Calibri" w:hAnsi="Calibri" w:cs="Arial"/>
          <w:sz w:val="22"/>
          <w:szCs w:val="20"/>
        </w:rPr>
        <w:t>QTAG</w:t>
      </w:r>
      <w:r>
        <w:rPr>
          <w:rFonts w:ascii="Calibri" w:eastAsia="Calibri" w:hAnsi="Calibri" w:cs="Arial"/>
          <w:sz w:val="22"/>
          <w:szCs w:val="20"/>
        </w:rPr>
        <w:t xml:space="preserve"> </w:t>
      </w:r>
      <w:r w:rsidRPr="009D59E9">
        <w:rPr>
          <w:rFonts w:ascii="Calibri" w:eastAsia="Calibri" w:hAnsi="Calibri" w:cs="Arial"/>
          <w:sz w:val="22"/>
          <w:szCs w:val="20"/>
        </w:rPr>
        <w:t>SP will be required to notify AHC immediately where any financial mismanagement or fraud is detected or suspected</w:t>
      </w:r>
      <w:r>
        <w:rPr>
          <w:rFonts w:ascii="Calibri" w:eastAsia="Calibri" w:hAnsi="Calibri" w:cs="Arial"/>
          <w:sz w:val="22"/>
          <w:szCs w:val="20"/>
        </w:rPr>
        <w:t xml:space="preserve">, either within </w:t>
      </w:r>
      <w:r w:rsidR="00DC0FDC">
        <w:rPr>
          <w:rFonts w:ascii="Calibri" w:eastAsia="Calibri" w:hAnsi="Calibri" w:cs="Arial"/>
          <w:sz w:val="22"/>
          <w:szCs w:val="20"/>
        </w:rPr>
        <w:t>QTAG</w:t>
      </w:r>
      <w:r>
        <w:rPr>
          <w:rFonts w:ascii="Calibri" w:eastAsia="Calibri" w:hAnsi="Calibri" w:cs="Arial"/>
          <w:sz w:val="22"/>
          <w:szCs w:val="20"/>
        </w:rPr>
        <w:t xml:space="preserve"> operations or those of the programs reviewed by </w:t>
      </w:r>
      <w:r w:rsidR="00DC0FDC">
        <w:rPr>
          <w:rFonts w:ascii="Calibri" w:eastAsia="Calibri" w:hAnsi="Calibri" w:cs="Arial"/>
          <w:sz w:val="22"/>
          <w:szCs w:val="20"/>
        </w:rPr>
        <w:t>QTAG</w:t>
      </w:r>
      <w:r w:rsidRPr="009D59E9">
        <w:rPr>
          <w:rFonts w:ascii="Calibri" w:eastAsia="Calibri" w:hAnsi="Calibri" w:cs="Arial"/>
          <w:sz w:val="22"/>
          <w:szCs w:val="20"/>
        </w:rPr>
        <w:t xml:space="preserve">.  </w:t>
      </w:r>
    </w:p>
    <w:p w14:paraId="6DB73FBA" w14:textId="77777777" w:rsidR="00136FEB" w:rsidRPr="006952E7" w:rsidRDefault="00136FEB" w:rsidP="006952E7">
      <w:pPr>
        <w:pStyle w:val="Heading2"/>
        <w:spacing w:after="240"/>
      </w:pPr>
      <w:bookmarkStart w:id="19" w:name="_Toc434224053"/>
      <w:r w:rsidRPr="006952E7">
        <w:t xml:space="preserve">Procurement </w:t>
      </w:r>
      <w:r w:rsidR="00D42A06">
        <w:t>and Contracting A</w:t>
      </w:r>
      <w:r w:rsidRPr="006952E7">
        <w:t>rrangements</w:t>
      </w:r>
      <w:bookmarkEnd w:id="19"/>
    </w:p>
    <w:p w14:paraId="2A14BC2E" w14:textId="3BD12CDB" w:rsidR="00AC7421" w:rsidRDefault="00F4735F" w:rsidP="00690741">
      <w:pPr>
        <w:spacing w:before="60" w:after="120" w:line="264" w:lineRule="auto"/>
        <w:jc w:val="both"/>
        <w:rPr>
          <w:rFonts w:asciiTheme="minorHAnsi" w:hAnsiTheme="minorHAnsi"/>
          <w:sz w:val="22"/>
          <w:szCs w:val="22"/>
        </w:rPr>
      </w:pPr>
      <w:r w:rsidRPr="00AC5754">
        <w:rPr>
          <w:rFonts w:asciiTheme="minorHAnsi" w:hAnsiTheme="minorHAnsi" w:cs="Arial"/>
          <w:sz w:val="22"/>
          <w:szCs w:val="22"/>
        </w:rPr>
        <w:t>It is envisaged that the</w:t>
      </w:r>
      <w:r w:rsidR="00ED64F2">
        <w:rPr>
          <w:rFonts w:asciiTheme="minorHAnsi" w:hAnsiTheme="minorHAnsi" w:cs="Arial"/>
          <w:sz w:val="22"/>
          <w:szCs w:val="22"/>
        </w:rPr>
        <w:t xml:space="preserve"> </w:t>
      </w:r>
      <w:r w:rsidR="00DC0FDC">
        <w:rPr>
          <w:rFonts w:asciiTheme="minorHAnsi" w:hAnsiTheme="minorHAnsi" w:cs="Arial"/>
          <w:sz w:val="22"/>
          <w:szCs w:val="22"/>
        </w:rPr>
        <w:t>QTAG</w:t>
      </w:r>
      <w:r w:rsidRPr="00AC5754">
        <w:rPr>
          <w:rFonts w:asciiTheme="minorHAnsi" w:hAnsiTheme="minorHAnsi" w:cs="Arial"/>
          <w:sz w:val="22"/>
          <w:szCs w:val="22"/>
        </w:rPr>
        <w:t xml:space="preserve"> will be contracted </w:t>
      </w:r>
      <w:r w:rsidR="008037F1">
        <w:rPr>
          <w:rFonts w:asciiTheme="minorHAnsi" w:hAnsiTheme="minorHAnsi" w:cs="Arial"/>
          <w:sz w:val="22"/>
          <w:szCs w:val="22"/>
        </w:rPr>
        <w:t xml:space="preserve">for an initial </w:t>
      </w:r>
      <w:r w:rsidR="00CE02DE" w:rsidRPr="00AC5754">
        <w:rPr>
          <w:rFonts w:asciiTheme="minorHAnsi" w:hAnsiTheme="minorHAnsi" w:cs="Arial"/>
          <w:sz w:val="22"/>
          <w:szCs w:val="22"/>
        </w:rPr>
        <w:t>period</w:t>
      </w:r>
      <w:r w:rsidR="00D21AEF">
        <w:rPr>
          <w:rFonts w:asciiTheme="minorHAnsi" w:hAnsiTheme="minorHAnsi" w:cs="Arial"/>
          <w:sz w:val="22"/>
          <w:szCs w:val="22"/>
        </w:rPr>
        <w:t xml:space="preserve"> from contract signing until 30 June 2020</w:t>
      </w:r>
      <w:r w:rsidR="00690741">
        <w:rPr>
          <w:rFonts w:asciiTheme="minorHAnsi" w:hAnsiTheme="minorHAnsi" w:cs="Arial"/>
          <w:sz w:val="22"/>
          <w:szCs w:val="22"/>
        </w:rPr>
        <w:t xml:space="preserve">, </w:t>
      </w:r>
      <w:r w:rsidR="00BD0C8F">
        <w:rPr>
          <w:rFonts w:asciiTheme="minorHAnsi" w:hAnsiTheme="minorHAnsi" w:cs="Arial"/>
          <w:sz w:val="22"/>
          <w:szCs w:val="22"/>
        </w:rPr>
        <w:t xml:space="preserve">with options to extend </w:t>
      </w:r>
      <w:r w:rsidR="00D21AEF">
        <w:rPr>
          <w:rFonts w:asciiTheme="minorHAnsi" w:hAnsiTheme="minorHAnsi" w:cs="Arial"/>
          <w:sz w:val="22"/>
          <w:szCs w:val="22"/>
        </w:rPr>
        <w:t>util 30 June 2024</w:t>
      </w:r>
      <w:r w:rsidR="00BD0C8F">
        <w:rPr>
          <w:rFonts w:asciiTheme="minorHAnsi" w:hAnsiTheme="minorHAnsi" w:cs="Arial"/>
          <w:sz w:val="22"/>
          <w:szCs w:val="22"/>
        </w:rPr>
        <w:t xml:space="preserve">, </w:t>
      </w:r>
      <w:r w:rsidR="008037F1">
        <w:rPr>
          <w:rFonts w:asciiTheme="minorHAnsi" w:hAnsiTheme="minorHAnsi"/>
          <w:sz w:val="22"/>
          <w:szCs w:val="22"/>
        </w:rPr>
        <w:t>through a Period Offer (Deed) arrangement with DFAT. Each specific request by the AHC for</w:t>
      </w:r>
      <w:r w:rsidR="00ED64F2">
        <w:rPr>
          <w:rFonts w:asciiTheme="minorHAnsi" w:hAnsiTheme="minorHAnsi"/>
          <w:sz w:val="22"/>
          <w:szCs w:val="22"/>
        </w:rPr>
        <w:t xml:space="preserve"> </w:t>
      </w:r>
      <w:r w:rsidR="00DC0FDC">
        <w:rPr>
          <w:rFonts w:asciiTheme="minorHAnsi" w:hAnsiTheme="minorHAnsi"/>
          <w:sz w:val="22"/>
          <w:szCs w:val="22"/>
        </w:rPr>
        <w:t>QTAG</w:t>
      </w:r>
      <w:r w:rsidR="008037F1">
        <w:rPr>
          <w:rFonts w:asciiTheme="minorHAnsi" w:hAnsiTheme="minorHAnsi"/>
          <w:sz w:val="22"/>
          <w:szCs w:val="22"/>
        </w:rPr>
        <w:t xml:space="preserve"> services will be contracted through a Services Order. </w:t>
      </w:r>
      <w:r w:rsidR="00012ED5" w:rsidRPr="00AC5754">
        <w:rPr>
          <w:rFonts w:asciiTheme="minorHAnsi" w:hAnsiTheme="minorHAnsi"/>
          <w:sz w:val="22"/>
          <w:szCs w:val="22"/>
        </w:rPr>
        <w:t xml:space="preserve">The AHC in Port Moresby will have overall responsibility for </w:t>
      </w:r>
      <w:r w:rsidR="00AC7421">
        <w:rPr>
          <w:rFonts w:asciiTheme="minorHAnsi" w:hAnsiTheme="minorHAnsi"/>
          <w:sz w:val="22"/>
          <w:szCs w:val="22"/>
        </w:rPr>
        <w:t>the</w:t>
      </w:r>
      <w:r w:rsidR="00ED64F2">
        <w:rPr>
          <w:rFonts w:asciiTheme="minorHAnsi" w:hAnsiTheme="minorHAnsi"/>
          <w:sz w:val="22"/>
          <w:szCs w:val="22"/>
        </w:rPr>
        <w:t xml:space="preserve"> </w:t>
      </w:r>
      <w:r w:rsidR="00DC0FDC">
        <w:rPr>
          <w:rFonts w:asciiTheme="minorHAnsi" w:hAnsiTheme="minorHAnsi"/>
          <w:sz w:val="22"/>
          <w:szCs w:val="22"/>
        </w:rPr>
        <w:t>QTAG</w:t>
      </w:r>
      <w:r w:rsidR="00AC7421">
        <w:rPr>
          <w:rFonts w:asciiTheme="minorHAnsi" w:hAnsiTheme="minorHAnsi"/>
          <w:sz w:val="22"/>
          <w:szCs w:val="22"/>
        </w:rPr>
        <w:t xml:space="preserve"> </w:t>
      </w:r>
      <w:r w:rsidR="00012ED5" w:rsidRPr="00AC5754">
        <w:rPr>
          <w:rFonts w:asciiTheme="minorHAnsi" w:hAnsiTheme="minorHAnsi"/>
          <w:sz w:val="22"/>
          <w:szCs w:val="22"/>
        </w:rPr>
        <w:t xml:space="preserve">contract management and administration.  </w:t>
      </w:r>
      <w:bookmarkStart w:id="20" w:name="_Toc415482131"/>
    </w:p>
    <w:p w14:paraId="7884030E" w14:textId="77777777" w:rsidR="00012ED5" w:rsidRPr="006952E7" w:rsidRDefault="00012ED5" w:rsidP="006952E7">
      <w:pPr>
        <w:pStyle w:val="Heading2"/>
        <w:spacing w:after="240"/>
      </w:pPr>
      <w:bookmarkStart w:id="21" w:name="_Toc434224054"/>
      <w:r w:rsidRPr="006952E7">
        <w:t>Gender and Inclusiveness</w:t>
      </w:r>
      <w:bookmarkEnd w:id="20"/>
      <w:bookmarkEnd w:id="21"/>
    </w:p>
    <w:p w14:paraId="7B7621D3" w14:textId="77BC0908" w:rsidR="00012ED5" w:rsidRPr="009E5E5D" w:rsidRDefault="00012ED5" w:rsidP="009E5E5D">
      <w:pPr>
        <w:spacing w:before="60" w:after="120" w:line="264" w:lineRule="auto"/>
        <w:jc w:val="both"/>
        <w:rPr>
          <w:rFonts w:asciiTheme="minorHAnsi" w:hAnsiTheme="minorHAnsi" w:cs="Arial"/>
          <w:sz w:val="22"/>
          <w:szCs w:val="22"/>
        </w:rPr>
      </w:pPr>
      <w:r w:rsidRPr="009E5E5D">
        <w:rPr>
          <w:rFonts w:asciiTheme="minorHAnsi" w:hAnsiTheme="minorHAnsi" w:cs="Arial"/>
          <w:sz w:val="22"/>
          <w:szCs w:val="22"/>
        </w:rPr>
        <w:t xml:space="preserve">The Australian government recognises that gender equality </w:t>
      </w:r>
      <w:r w:rsidR="005D0A87" w:rsidRPr="005D0A87">
        <w:rPr>
          <w:rFonts w:asciiTheme="minorHAnsi" w:hAnsiTheme="minorHAnsi" w:cs="Arial"/>
          <w:sz w:val="22"/>
          <w:szCs w:val="22"/>
        </w:rPr>
        <w:t>and equality of opportunity for people living with disabilities</w:t>
      </w:r>
      <w:r w:rsidR="005D0A87" w:rsidRPr="009E5E5D">
        <w:rPr>
          <w:rFonts w:asciiTheme="minorHAnsi" w:hAnsiTheme="minorHAnsi" w:cs="Arial"/>
          <w:sz w:val="22"/>
          <w:szCs w:val="22"/>
        </w:rPr>
        <w:t xml:space="preserve"> </w:t>
      </w:r>
      <w:r w:rsidRPr="009E5E5D">
        <w:rPr>
          <w:rFonts w:asciiTheme="minorHAnsi" w:hAnsiTheme="minorHAnsi" w:cs="Arial"/>
          <w:sz w:val="22"/>
          <w:szCs w:val="22"/>
        </w:rPr>
        <w:t xml:space="preserve">is critical to development and has committed to ensuring it is a key part of aid programming. Access to gender </w:t>
      </w:r>
      <w:r w:rsidR="005D0A87" w:rsidRPr="008E29DB">
        <w:rPr>
          <w:rFonts w:asciiTheme="minorHAnsi" w:hAnsiTheme="minorHAnsi" w:cs="Arial"/>
          <w:sz w:val="22"/>
          <w:szCs w:val="22"/>
        </w:rPr>
        <w:t>and disability</w:t>
      </w:r>
      <w:r w:rsidR="005D0A87" w:rsidRPr="009E5E5D">
        <w:rPr>
          <w:rFonts w:asciiTheme="minorHAnsi" w:hAnsiTheme="minorHAnsi" w:cs="Arial"/>
          <w:sz w:val="22"/>
          <w:szCs w:val="22"/>
        </w:rPr>
        <w:t xml:space="preserve"> </w:t>
      </w:r>
      <w:r w:rsidRPr="009E5E5D">
        <w:rPr>
          <w:rFonts w:asciiTheme="minorHAnsi" w:hAnsiTheme="minorHAnsi" w:cs="Arial"/>
          <w:sz w:val="22"/>
          <w:szCs w:val="22"/>
        </w:rPr>
        <w:t>expertise will be an important element of the service provided by the</w:t>
      </w:r>
      <w:r w:rsidR="00ED64F2" w:rsidRPr="009E5E5D">
        <w:rPr>
          <w:rFonts w:asciiTheme="minorHAnsi" w:hAnsiTheme="minorHAnsi" w:cs="Arial"/>
          <w:sz w:val="22"/>
          <w:szCs w:val="22"/>
        </w:rPr>
        <w:t xml:space="preserve"> </w:t>
      </w:r>
      <w:r w:rsidR="00DC0FDC">
        <w:rPr>
          <w:rFonts w:asciiTheme="minorHAnsi" w:hAnsiTheme="minorHAnsi" w:cs="Arial"/>
          <w:sz w:val="22"/>
          <w:szCs w:val="22"/>
        </w:rPr>
        <w:t>QTAG</w:t>
      </w:r>
      <w:r w:rsidRPr="009E5E5D">
        <w:rPr>
          <w:rFonts w:asciiTheme="minorHAnsi" w:hAnsiTheme="minorHAnsi" w:cs="Arial"/>
          <w:sz w:val="22"/>
          <w:szCs w:val="22"/>
        </w:rPr>
        <w:t xml:space="preserve"> to the </w:t>
      </w:r>
      <w:r w:rsidR="00807793">
        <w:rPr>
          <w:rFonts w:asciiTheme="minorHAnsi" w:hAnsiTheme="minorHAnsi" w:cs="Arial"/>
          <w:sz w:val="22"/>
          <w:szCs w:val="22"/>
        </w:rPr>
        <w:t xml:space="preserve">PGF </w:t>
      </w:r>
      <w:r w:rsidR="00EF7B6F">
        <w:rPr>
          <w:rFonts w:asciiTheme="minorHAnsi" w:hAnsiTheme="minorHAnsi" w:cs="Arial"/>
          <w:sz w:val="22"/>
          <w:szCs w:val="22"/>
        </w:rPr>
        <w:t xml:space="preserve">and </w:t>
      </w:r>
      <w:r w:rsidR="00807793">
        <w:rPr>
          <w:rFonts w:asciiTheme="minorHAnsi" w:hAnsiTheme="minorHAnsi" w:cs="Arial"/>
          <w:sz w:val="22"/>
          <w:szCs w:val="22"/>
        </w:rPr>
        <w:t xml:space="preserve">JSS4D </w:t>
      </w:r>
      <w:r w:rsidRPr="009E5E5D">
        <w:rPr>
          <w:rFonts w:asciiTheme="minorHAnsi" w:hAnsiTheme="minorHAnsi" w:cs="Arial"/>
          <w:sz w:val="22"/>
          <w:szCs w:val="22"/>
        </w:rPr>
        <w:t>program</w:t>
      </w:r>
      <w:r w:rsidR="005D0A87">
        <w:rPr>
          <w:rFonts w:asciiTheme="minorHAnsi" w:hAnsiTheme="minorHAnsi" w:cs="Arial"/>
          <w:sz w:val="22"/>
          <w:szCs w:val="22"/>
        </w:rPr>
        <w:t>s</w:t>
      </w:r>
      <w:r w:rsidR="0036589B" w:rsidRPr="009E5E5D">
        <w:rPr>
          <w:rFonts w:asciiTheme="minorHAnsi" w:hAnsiTheme="minorHAnsi" w:cs="Arial"/>
          <w:sz w:val="22"/>
          <w:szCs w:val="22"/>
        </w:rPr>
        <w:t xml:space="preserve"> as well as liaison with </w:t>
      </w:r>
      <w:r w:rsidR="005D0A87" w:rsidRPr="005D0A87">
        <w:rPr>
          <w:rFonts w:asciiTheme="minorHAnsi" w:hAnsiTheme="minorHAnsi" w:cs="Arial"/>
          <w:sz w:val="22"/>
          <w:szCs w:val="22"/>
        </w:rPr>
        <w:t>relevant expertise within AHC programs</w:t>
      </w:r>
      <w:r w:rsidRPr="009E5E5D">
        <w:rPr>
          <w:rFonts w:asciiTheme="minorHAnsi" w:hAnsiTheme="minorHAnsi" w:cs="Arial"/>
          <w:sz w:val="22"/>
          <w:szCs w:val="22"/>
        </w:rPr>
        <w:t xml:space="preserve">. In addition, bidders should explain how they propose addressing gender and inclusiveness issues in the three </w:t>
      </w:r>
      <w:r w:rsidR="00CF14C6" w:rsidRPr="009E5E5D">
        <w:rPr>
          <w:rFonts w:asciiTheme="minorHAnsi" w:hAnsiTheme="minorHAnsi" w:cs="Arial"/>
          <w:sz w:val="22"/>
          <w:szCs w:val="22"/>
        </w:rPr>
        <w:t xml:space="preserve">categories </w:t>
      </w:r>
      <w:r w:rsidRPr="009E5E5D">
        <w:rPr>
          <w:rFonts w:asciiTheme="minorHAnsi" w:hAnsiTheme="minorHAnsi" w:cs="Arial"/>
          <w:sz w:val="22"/>
          <w:szCs w:val="22"/>
        </w:rPr>
        <w:t>of</w:t>
      </w:r>
      <w:r w:rsidR="00ED64F2" w:rsidRPr="009E5E5D">
        <w:rPr>
          <w:rFonts w:asciiTheme="minorHAnsi" w:hAnsiTheme="minorHAnsi" w:cs="Arial"/>
          <w:sz w:val="22"/>
          <w:szCs w:val="22"/>
        </w:rPr>
        <w:t xml:space="preserve"> </w:t>
      </w:r>
      <w:r w:rsidR="00DC0FDC">
        <w:rPr>
          <w:rFonts w:asciiTheme="minorHAnsi" w:hAnsiTheme="minorHAnsi" w:cs="Arial"/>
          <w:sz w:val="22"/>
          <w:szCs w:val="22"/>
        </w:rPr>
        <w:t>QTAG</w:t>
      </w:r>
      <w:r w:rsidRPr="009E5E5D">
        <w:rPr>
          <w:rFonts w:asciiTheme="minorHAnsi" w:hAnsiTheme="minorHAnsi" w:cs="Arial"/>
          <w:sz w:val="22"/>
          <w:szCs w:val="22"/>
        </w:rPr>
        <w:t xml:space="preserve"> support</w:t>
      </w:r>
      <w:r w:rsidR="008E29DB">
        <w:rPr>
          <w:rFonts w:asciiTheme="minorHAnsi" w:hAnsiTheme="minorHAnsi" w:cs="Arial"/>
          <w:sz w:val="22"/>
          <w:szCs w:val="22"/>
        </w:rPr>
        <w:t xml:space="preserve"> </w:t>
      </w:r>
      <w:r w:rsidR="008E29DB" w:rsidRPr="008E29DB">
        <w:rPr>
          <w:rFonts w:asciiTheme="minorHAnsi" w:hAnsiTheme="minorHAnsi" w:cs="Arial"/>
          <w:sz w:val="22"/>
          <w:szCs w:val="22"/>
        </w:rPr>
        <w:t>as well as their own management and operational processes</w:t>
      </w:r>
      <w:r w:rsidRPr="009E5E5D">
        <w:rPr>
          <w:rFonts w:asciiTheme="minorHAnsi" w:hAnsiTheme="minorHAnsi" w:cs="Arial"/>
          <w:sz w:val="22"/>
          <w:szCs w:val="22"/>
        </w:rPr>
        <w:t xml:space="preserve">. </w:t>
      </w:r>
    </w:p>
    <w:p w14:paraId="7DFC91A9" w14:textId="77777777" w:rsidR="00012ED5" w:rsidRPr="006952E7" w:rsidRDefault="00012ED5" w:rsidP="006952E7">
      <w:pPr>
        <w:pStyle w:val="Heading2"/>
        <w:spacing w:after="240"/>
      </w:pPr>
      <w:bookmarkStart w:id="22" w:name="_Toc415482132"/>
      <w:bookmarkStart w:id="23" w:name="_Toc434224055"/>
      <w:r w:rsidRPr="006952E7">
        <w:t>Child Protection</w:t>
      </w:r>
      <w:bookmarkEnd w:id="22"/>
      <w:bookmarkEnd w:id="23"/>
    </w:p>
    <w:p w14:paraId="5D6D03E4" w14:textId="33C3573D" w:rsidR="00012ED5" w:rsidRPr="009E5E5D" w:rsidRDefault="00012ED5" w:rsidP="009E5E5D">
      <w:pPr>
        <w:spacing w:before="60" w:after="120" w:line="264" w:lineRule="auto"/>
        <w:jc w:val="both"/>
        <w:rPr>
          <w:rFonts w:asciiTheme="minorHAnsi" w:hAnsiTheme="minorHAnsi" w:cs="Arial"/>
          <w:sz w:val="22"/>
          <w:szCs w:val="22"/>
        </w:rPr>
      </w:pPr>
      <w:r w:rsidRPr="009E5E5D">
        <w:rPr>
          <w:rFonts w:asciiTheme="minorHAnsi" w:hAnsiTheme="minorHAnsi" w:cs="Arial"/>
          <w:sz w:val="22"/>
          <w:szCs w:val="22"/>
        </w:rPr>
        <w:t>DFAT has over-riding policies associated with child protection with all funded SPs and bound by strict policies in relation to managing and reducing risks of child abuse by persons engaged in delivering DFAT activities. This includes a ‘zero tolerance’ approach on all issues relating to child abuse and child pornography. The</w:t>
      </w:r>
      <w:r w:rsidR="00ED64F2" w:rsidRPr="009E5E5D">
        <w:rPr>
          <w:rFonts w:asciiTheme="minorHAnsi" w:hAnsiTheme="minorHAnsi" w:cs="Arial"/>
          <w:sz w:val="22"/>
          <w:szCs w:val="22"/>
        </w:rPr>
        <w:t xml:space="preserve"> </w:t>
      </w:r>
      <w:r w:rsidR="00DC0FDC">
        <w:rPr>
          <w:rFonts w:asciiTheme="minorHAnsi" w:hAnsiTheme="minorHAnsi" w:cs="Arial"/>
          <w:sz w:val="22"/>
          <w:szCs w:val="22"/>
        </w:rPr>
        <w:t>QTAG</w:t>
      </w:r>
      <w:r w:rsidR="00AC7421" w:rsidRPr="009E5E5D">
        <w:rPr>
          <w:rFonts w:asciiTheme="minorHAnsi" w:hAnsiTheme="minorHAnsi" w:cs="Arial"/>
          <w:sz w:val="22"/>
          <w:szCs w:val="22"/>
        </w:rPr>
        <w:t xml:space="preserve"> </w:t>
      </w:r>
      <w:r w:rsidRPr="009E5E5D">
        <w:rPr>
          <w:rFonts w:asciiTheme="minorHAnsi" w:hAnsiTheme="minorHAnsi" w:cs="Arial"/>
          <w:sz w:val="22"/>
          <w:szCs w:val="22"/>
        </w:rPr>
        <w:t>SP will reflect this clear, unambiguous policy in planning, operations and management. All</w:t>
      </w:r>
      <w:r w:rsidR="00ED64F2" w:rsidRPr="009E5E5D">
        <w:rPr>
          <w:rFonts w:asciiTheme="minorHAnsi" w:hAnsiTheme="minorHAnsi" w:cs="Arial"/>
          <w:sz w:val="22"/>
          <w:szCs w:val="22"/>
        </w:rPr>
        <w:t xml:space="preserve"> </w:t>
      </w:r>
      <w:r w:rsidR="00DC0FDC">
        <w:rPr>
          <w:rFonts w:asciiTheme="minorHAnsi" w:hAnsiTheme="minorHAnsi" w:cs="Arial"/>
          <w:sz w:val="22"/>
          <w:szCs w:val="22"/>
        </w:rPr>
        <w:t>QTAG</w:t>
      </w:r>
      <w:r w:rsidR="00AC7421" w:rsidRPr="009E5E5D">
        <w:rPr>
          <w:rFonts w:asciiTheme="minorHAnsi" w:hAnsiTheme="minorHAnsi" w:cs="Arial"/>
          <w:sz w:val="22"/>
          <w:szCs w:val="22"/>
        </w:rPr>
        <w:t xml:space="preserve"> </w:t>
      </w:r>
      <w:r w:rsidRPr="009E5E5D">
        <w:rPr>
          <w:rFonts w:asciiTheme="minorHAnsi" w:hAnsiTheme="minorHAnsi" w:cs="Arial"/>
          <w:sz w:val="22"/>
          <w:szCs w:val="22"/>
        </w:rPr>
        <w:t>SP contracted staff required to visit Papua New Guinea will be briefed on DFAT’s Child Protection policies and the SP’s approach incorporated into a</w:t>
      </w:r>
      <w:r w:rsidR="00ED64F2" w:rsidRPr="009E5E5D">
        <w:rPr>
          <w:rFonts w:asciiTheme="minorHAnsi" w:hAnsiTheme="minorHAnsi" w:cs="Arial"/>
          <w:sz w:val="22"/>
          <w:szCs w:val="22"/>
        </w:rPr>
        <w:t xml:space="preserve"> </w:t>
      </w:r>
      <w:r w:rsidR="00DC0FDC">
        <w:rPr>
          <w:rFonts w:asciiTheme="minorHAnsi" w:hAnsiTheme="minorHAnsi" w:cs="Arial"/>
          <w:sz w:val="22"/>
          <w:szCs w:val="22"/>
        </w:rPr>
        <w:t>QTAG</w:t>
      </w:r>
      <w:r w:rsidRPr="009E5E5D">
        <w:rPr>
          <w:rFonts w:asciiTheme="minorHAnsi" w:hAnsiTheme="minorHAnsi" w:cs="Arial"/>
          <w:sz w:val="22"/>
          <w:szCs w:val="22"/>
        </w:rPr>
        <w:t xml:space="preserve"> operating guide. </w:t>
      </w:r>
    </w:p>
    <w:p w14:paraId="3A3B39A4" w14:textId="77777777" w:rsidR="00012ED5" w:rsidRPr="006952E7" w:rsidRDefault="00012ED5" w:rsidP="006952E7">
      <w:pPr>
        <w:pStyle w:val="Heading2"/>
        <w:spacing w:after="240"/>
      </w:pPr>
      <w:bookmarkStart w:id="24" w:name="_Toc415482133"/>
      <w:bookmarkStart w:id="25" w:name="_Toc434224056"/>
      <w:r w:rsidRPr="006952E7">
        <w:t>Value for Money</w:t>
      </w:r>
      <w:bookmarkEnd w:id="24"/>
      <w:bookmarkEnd w:id="25"/>
      <w:r w:rsidRPr="006952E7">
        <w:t xml:space="preserve">  </w:t>
      </w:r>
    </w:p>
    <w:p w14:paraId="0D1F0D11" w14:textId="67F67CF9" w:rsidR="00012ED5" w:rsidRPr="009E5E5D" w:rsidRDefault="00012ED5" w:rsidP="009E5E5D">
      <w:pPr>
        <w:spacing w:before="60" w:after="120" w:line="264" w:lineRule="auto"/>
        <w:jc w:val="both"/>
        <w:rPr>
          <w:rFonts w:asciiTheme="minorHAnsi" w:hAnsiTheme="minorHAnsi" w:cs="Arial"/>
          <w:sz w:val="22"/>
          <w:szCs w:val="22"/>
        </w:rPr>
      </w:pPr>
      <w:r w:rsidRPr="009E5E5D">
        <w:rPr>
          <w:rFonts w:asciiTheme="minorHAnsi" w:hAnsiTheme="minorHAnsi" w:cs="Arial"/>
          <w:sz w:val="22"/>
          <w:szCs w:val="22"/>
        </w:rPr>
        <w:t>Value for money is a key consideration for DFAT. Value for money is not delivered as a one-off exercise but is a continuous management process.  The SP will be required to demonstrate clear value for money for all activities supported by the</w:t>
      </w:r>
      <w:r w:rsidR="00ED64F2" w:rsidRPr="009E5E5D">
        <w:rPr>
          <w:rFonts w:asciiTheme="minorHAnsi" w:hAnsiTheme="minorHAnsi" w:cs="Arial"/>
          <w:sz w:val="22"/>
          <w:szCs w:val="22"/>
        </w:rPr>
        <w:t xml:space="preserve"> </w:t>
      </w:r>
      <w:r w:rsidR="00DC0FDC">
        <w:rPr>
          <w:rFonts w:asciiTheme="minorHAnsi" w:hAnsiTheme="minorHAnsi" w:cs="Arial"/>
          <w:sz w:val="22"/>
          <w:szCs w:val="22"/>
        </w:rPr>
        <w:t>QTAG</w:t>
      </w:r>
      <w:r w:rsidRPr="009E5E5D">
        <w:rPr>
          <w:rFonts w:asciiTheme="minorHAnsi" w:hAnsiTheme="minorHAnsi" w:cs="Arial"/>
          <w:sz w:val="22"/>
          <w:szCs w:val="22"/>
        </w:rPr>
        <w:t xml:space="preserve">. This will include demonstrating that administrative costs are minimised; </w:t>
      </w:r>
      <w:r w:rsidRPr="009E5E5D">
        <w:rPr>
          <w:rFonts w:asciiTheme="minorHAnsi" w:hAnsiTheme="minorHAnsi" w:cs="Arial"/>
          <w:sz w:val="22"/>
          <w:szCs w:val="22"/>
        </w:rPr>
        <w:lastRenderedPageBreak/>
        <w:t xml:space="preserve">that management processes (including procurement procedures) are designed to maximise cost effectiveness; that commercial risks are managed sensibly in a geographically challenging operating environment; and that funds are allocated based on evidence of results to ensure the greatest possible impact. </w:t>
      </w:r>
    </w:p>
    <w:p w14:paraId="53667ADF" w14:textId="619F5040" w:rsidR="00F4735F" w:rsidRPr="00D62034" w:rsidRDefault="00012ED5" w:rsidP="00D62034">
      <w:pPr>
        <w:spacing w:before="60" w:after="120" w:line="264" w:lineRule="auto"/>
        <w:jc w:val="both"/>
        <w:rPr>
          <w:rFonts w:asciiTheme="minorHAnsi" w:hAnsiTheme="minorHAnsi" w:cs="Arial"/>
          <w:sz w:val="22"/>
          <w:szCs w:val="22"/>
        </w:rPr>
      </w:pPr>
      <w:r w:rsidRPr="009E5E5D">
        <w:rPr>
          <w:rFonts w:asciiTheme="minorHAnsi" w:hAnsiTheme="minorHAnsi" w:cs="Arial"/>
          <w:sz w:val="22"/>
          <w:szCs w:val="22"/>
        </w:rPr>
        <w:t xml:space="preserve">With this in mind, </w:t>
      </w:r>
      <w:r w:rsidR="00807793">
        <w:rPr>
          <w:rFonts w:asciiTheme="minorHAnsi" w:hAnsiTheme="minorHAnsi" w:cs="Arial"/>
          <w:sz w:val="22"/>
          <w:szCs w:val="22"/>
        </w:rPr>
        <w:t xml:space="preserve">the </w:t>
      </w:r>
      <w:r w:rsidRPr="009E5E5D">
        <w:rPr>
          <w:rFonts w:asciiTheme="minorHAnsi" w:hAnsiTheme="minorHAnsi" w:cs="Arial"/>
          <w:sz w:val="22"/>
          <w:szCs w:val="22"/>
        </w:rPr>
        <w:t>AHC will, in discussion with the SP, establish service standards for the different categories of</w:t>
      </w:r>
      <w:r w:rsidR="00ED64F2" w:rsidRPr="009E5E5D">
        <w:rPr>
          <w:rFonts w:asciiTheme="minorHAnsi" w:hAnsiTheme="minorHAnsi" w:cs="Arial"/>
          <w:sz w:val="22"/>
          <w:szCs w:val="22"/>
        </w:rPr>
        <w:t xml:space="preserve"> </w:t>
      </w:r>
      <w:r w:rsidR="00DC0FDC">
        <w:rPr>
          <w:rFonts w:asciiTheme="minorHAnsi" w:hAnsiTheme="minorHAnsi" w:cs="Arial"/>
          <w:sz w:val="22"/>
          <w:szCs w:val="22"/>
        </w:rPr>
        <w:t>QTAG</w:t>
      </w:r>
      <w:r w:rsidRPr="009E5E5D">
        <w:rPr>
          <w:rFonts w:asciiTheme="minorHAnsi" w:hAnsiTheme="minorHAnsi" w:cs="Arial"/>
          <w:sz w:val="22"/>
          <w:szCs w:val="22"/>
        </w:rPr>
        <w:t xml:space="preserve"> support. These will form the basis for assessing on-going value for money on at least an annual basis.  The measures and approach will be agreed during the </w:t>
      </w:r>
      <w:r w:rsidR="00A67955">
        <w:rPr>
          <w:rFonts w:asciiTheme="minorHAnsi" w:hAnsiTheme="minorHAnsi" w:cs="Arial"/>
          <w:sz w:val="22"/>
          <w:szCs w:val="22"/>
        </w:rPr>
        <w:t>set up</w:t>
      </w:r>
      <w:r w:rsidRPr="009E5E5D">
        <w:rPr>
          <w:rFonts w:asciiTheme="minorHAnsi" w:hAnsiTheme="minorHAnsi" w:cs="Arial"/>
          <w:sz w:val="22"/>
          <w:szCs w:val="22"/>
        </w:rPr>
        <w:t xml:space="preserve"> phase.  At this stage, bidders should explain their prospective approach and how, through their pricing, staffing and management processes, they will deliver expected best value for money for DFAT.  </w:t>
      </w:r>
    </w:p>
    <w:sectPr w:rsidR="00F4735F" w:rsidRPr="00D62034" w:rsidSect="006952E7">
      <w:footerReference w:type="default" r:id="rId18"/>
      <w:pgSz w:w="11906" w:h="16838"/>
      <w:pgMar w:top="961" w:right="1134" w:bottom="851" w:left="1134" w:header="568" w:footer="43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D9BBCC" w14:textId="77777777" w:rsidR="00D62034" w:rsidRDefault="00D62034">
      <w:pPr>
        <w:pStyle w:val="Table-list-number"/>
      </w:pPr>
      <w:r>
        <w:separator/>
      </w:r>
    </w:p>
  </w:endnote>
  <w:endnote w:type="continuationSeparator" w:id="0">
    <w:p w14:paraId="189EB731" w14:textId="77777777" w:rsidR="00D62034" w:rsidRDefault="00D62034">
      <w:pPr>
        <w:pStyle w:val="Table-list-number"/>
      </w:pPr>
      <w:r>
        <w:continuationSeparator/>
      </w:r>
    </w:p>
  </w:endnote>
  <w:endnote w:type="continuationNotice" w:id="1">
    <w:p w14:paraId="794F1A35" w14:textId="77777777" w:rsidR="00D62034" w:rsidRDefault="00D62034">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2CC58D" w14:textId="77777777" w:rsidR="00096FAC" w:rsidRDefault="00096F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D17B10" w14:textId="77777777" w:rsidR="00096FAC" w:rsidRDefault="00096FA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4A2631" w14:textId="77777777" w:rsidR="00096FAC" w:rsidRDefault="00096FA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47429"/>
      <w:docPartObj>
        <w:docPartGallery w:val="Page Numbers (Bottom of Page)"/>
        <w:docPartUnique/>
      </w:docPartObj>
    </w:sdtPr>
    <w:sdtEndPr/>
    <w:sdtContent>
      <w:p w14:paraId="7F11C7E3" w14:textId="4029E86D" w:rsidR="00D62034" w:rsidRDefault="00D62034">
        <w:pPr>
          <w:pStyle w:val="Footer"/>
          <w:jc w:val="right"/>
        </w:pPr>
        <w:r>
          <w:fldChar w:fldCharType="begin"/>
        </w:r>
        <w:r>
          <w:instrText xml:space="preserve"> PAGE   \* MERGEFORMAT </w:instrText>
        </w:r>
        <w:r>
          <w:fldChar w:fldCharType="separate"/>
        </w:r>
        <w:r w:rsidR="00096FAC">
          <w:rPr>
            <w:noProof/>
          </w:rPr>
          <w:t>i</w:t>
        </w:r>
        <w:r>
          <w:fldChar w:fldCharType="end"/>
        </w:r>
      </w:p>
    </w:sdtContent>
  </w:sdt>
  <w:p w14:paraId="682E4686" w14:textId="77777777" w:rsidR="00D62034" w:rsidRPr="00753BF9" w:rsidRDefault="00D62034" w:rsidP="00753BF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47428"/>
      <w:docPartObj>
        <w:docPartGallery w:val="Page Numbers (Bottom of Page)"/>
        <w:docPartUnique/>
      </w:docPartObj>
    </w:sdtPr>
    <w:sdtEndPr/>
    <w:sdtContent>
      <w:p w14:paraId="0D0BC259" w14:textId="7B60EA51" w:rsidR="00D62034" w:rsidRDefault="00D62034">
        <w:pPr>
          <w:pStyle w:val="Footer"/>
          <w:jc w:val="right"/>
        </w:pPr>
        <w:r>
          <w:fldChar w:fldCharType="begin"/>
        </w:r>
        <w:r>
          <w:instrText xml:space="preserve"> PAGE   \* MERGEFORMAT </w:instrText>
        </w:r>
        <w:r>
          <w:fldChar w:fldCharType="separate"/>
        </w:r>
        <w:r w:rsidR="00096FAC">
          <w:rPr>
            <w:noProof/>
          </w:rPr>
          <w:t>11</w:t>
        </w:r>
        <w:r>
          <w:rPr>
            <w:noProof/>
          </w:rPr>
          <w:fldChar w:fldCharType="end"/>
        </w:r>
      </w:p>
    </w:sdtContent>
  </w:sdt>
  <w:p w14:paraId="172B9319" w14:textId="77777777" w:rsidR="00D62034" w:rsidRPr="0036589B" w:rsidRDefault="00D62034" w:rsidP="003658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D19317" w14:textId="77777777" w:rsidR="00D62034" w:rsidRDefault="00D62034" w:rsidP="00D7129E">
      <w:pPr>
        <w:pStyle w:val="Table-list-number"/>
        <w:numPr>
          <w:ilvl w:val="0"/>
          <w:numId w:val="0"/>
        </w:numPr>
      </w:pPr>
      <w:r>
        <w:separator/>
      </w:r>
    </w:p>
  </w:footnote>
  <w:footnote w:type="continuationSeparator" w:id="0">
    <w:p w14:paraId="500E3CDB" w14:textId="77777777" w:rsidR="00D62034" w:rsidRDefault="00D62034">
      <w:pPr>
        <w:pStyle w:val="Table-list-number"/>
      </w:pPr>
      <w:r>
        <w:continuationSeparator/>
      </w:r>
    </w:p>
  </w:footnote>
  <w:footnote w:type="continuationNotice" w:id="1">
    <w:p w14:paraId="66D5AFF6" w14:textId="77777777" w:rsidR="00D62034" w:rsidRDefault="00D62034">
      <w:pPr>
        <w:spacing w:before="0"/>
      </w:pPr>
    </w:p>
  </w:footnote>
  <w:footnote w:id="2">
    <w:p w14:paraId="416D7015" w14:textId="77777777" w:rsidR="00D62034" w:rsidRPr="006952E7" w:rsidRDefault="00D62034" w:rsidP="008163D0">
      <w:pPr>
        <w:pStyle w:val="FootnoteText"/>
        <w:rPr>
          <w:u w:val="single"/>
          <w:lang w:val="en-GB"/>
        </w:rPr>
      </w:pPr>
      <w:r>
        <w:rPr>
          <w:rStyle w:val="FootnoteReference"/>
        </w:rPr>
        <w:footnoteRef/>
      </w:r>
      <w:r>
        <w:t xml:space="preserve"> </w:t>
      </w:r>
      <w:r w:rsidRPr="00ED64F2">
        <w:rPr>
          <w:rFonts w:cs="Arial"/>
          <w:i/>
          <w:sz w:val="15"/>
          <w:szCs w:val="15"/>
        </w:rPr>
        <w:t>Australian aid: promoting prosperity, reducing poverty, enhancing stability</w:t>
      </w:r>
      <w:r>
        <w:rPr>
          <w:rFonts w:cs="Arial"/>
          <w:i/>
          <w:sz w:val="15"/>
          <w:szCs w:val="15"/>
        </w:rPr>
        <w:t xml:space="preserve">: </w:t>
      </w:r>
      <w:r w:rsidRPr="006952E7">
        <w:rPr>
          <w:rFonts w:cs="Arial"/>
          <w:sz w:val="15"/>
          <w:szCs w:val="15"/>
          <w:u w:val="single"/>
        </w:rPr>
        <w:t>http://dfat.gov.au/about-us/publications/Pages/australian-aid-promoting-prosperity-reducing-poverty-enhancing-stability.aspx</w:t>
      </w:r>
    </w:p>
  </w:footnote>
  <w:footnote w:id="3">
    <w:p w14:paraId="1E71B2D8" w14:textId="77777777" w:rsidR="00D62034" w:rsidRPr="00ED64F2" w:rsidRDefault="00D62034" w:rsidP="008163D0">
      <w:pPr>
        <w:pStyle w:val="FootnoteText"/>
        <w:rPr>
          <w:sz w:val="18"/>
          <w:lang w:val="en-GB"/>
        </w:rPr>
      </w:pPr>
      <w:r>
        <w:rPr>
          <w:rStyle w:val="FootnoteReference"/>
        </w:rPr>
        <w:footnoteRef/>
      </w:r>
      <w:r>
        <w:t xml:space="preserve"> </w:t>
      </w:r>
      <w:r w:rsidRPr="006952E7">
        <w:rPr>
          <w:rFonts w:cs="Arial"/>
          <w:sz w:val="15"/>
          <w:szCs w:val="15"/>
          <w:u w:val="single"/>
        </w:rPr>
        <w:t>http://dfat.gov.au/geo/papua-new-guinea/development-assistance/Pages/a-new-direction-for-australian-aid-in-png-refocusing-australian-aid-to-help-unlock-pngs-economic-potential.aspx</w:t>
      </w:r>
    </w:p>
  </w:footnote>
  <w:footnote w:id="4">
    <w:p w14:paraId="508B872C" w14:textId="77777777" w:rsidR="00D62034" w:rsidRPr="00ED64F2" w:rsidRDefault="00D62034" w:rsidP="008163D0">
      <w:pPr>
        <w:spacing w:before="0"/>
        <w:rPr>
          <w:sz w:val="18"/>
          <w:u w:val="single"/>
          <w:lang w:val="en-GB"/>
        </w:rPr>
      </w:pPr>
      <w:r>
        <w:rPr>
          <w:rStyle w:val="FootnoteReference"/>
        </w:rPr>
        <w:footnoteRef/>
      </w:r>
      <w:r>
        <w:t xml:space="preserve"> </w:t>
      </w:r>
      <w:r w:rsidRPr="00ED64F2">
        <w:rPr>
          <w:rFonts w:cs="Arial"/>
          <w:i/>
          <w:sz w:val="15"/>
          <w:szCs w:val="15"/>
        </w:rPr>
        <w:t>Making Performance Count: Enhancing the accountability and effectiveness of Australian aid</w:t>
      </w:r>
      <w:r>
        <w:rPr>
          <w:rFonts w:cs="Arial"/>
          <w:i/>
          <w:sz w:val="15"/>
          <w:szCs w:val="15"/>
        </w:rPr>
        <w:t xml:space="preserve">  </w:t>
      </w:r>
      <w:r w:rsidRPr="00ED64F2">
        <w:rPr>
          <w:rFonts w:cs="Arial"/>
          <w:sz w:val="13"/>
          <w:szCs w:val="15"/>
          <w:u w:val="single"/>
        </w:rPr>
        <w:t>http://dfat.gov.au/about-us/publications/Pages/making-performance-count-enhancing-the-accountability-and-effectiveness-of-australian-aid.aspx</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684791" w14:textId="77777777" w:rsidR="00096FAC" w:rsidRDefault="00096F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3243AC" w14:textId="77777777" w:rsidR="00D62034" w:rsidRDefault="00D62034">
    <w:pPr>
      <w:pStyle w:val="Header"/>
      <w:tabs>
        <w:tab w:val="clear" w:pos="4153"/>
        <w:tab w:val="clear" w:pos="8306"/>
        <w:tab w:val="center" w:pos="4820"/>
        <w:tab w:val="right" w:pos="9639"/>
      </w:tabs>
      <w:spacing w:before="0"/>
      <w:jc w:val="center"/>
      <w:rPr>
        <w:sz w:val="20"/>
      </w:rPr>
    </w:pPr>
    <w:r>
      <w:rPr>
        <w:szCs w:val="16"/>
      </w:rPr>
      <w:t>UNCLASSIFIED</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C399DF" w14:textId="77777777" w:rsidR="00096FAC" w:rsidRDefault="00096F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929E6"/>
    <w:multiLevelType w:val="hybridMultilevel"/>
    <w:tmpl w:val="2BB08866"/>
    <w:lvl w:ilvl="0" w:tplc="AC2E0D00">
      <w:start w:val="1"/>
      <w:numFmt w:val="decimal"/>
      <w:pStyle w:val="Table-list-number"/>
      <w:lvlText w:val="%1."/>
      <w:lvlJc w:val="left"/>
      <w:pPr>
        <w:tabs>
          <w:tab w:val="num" w:pos="360"/>
        </w:tabs>
        <w:ind w:left="35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7571B5B"/>
    <w:multiLevelType w:val="hybridMultilevel"/>
    <w:tmpl w:val="63A4E18A"/>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 w15:restartNumberingAfterBreak="0">
    <w:nsid w:val="25264A5A"/>
    <w:multiLevelType w:val="hybridMultilevel"/>
    <w:tmpl w:val="0D2C9A66"/>
    <w:lvl w:ilvl="0" w:tplc="48FC474E">
      <w:start w:val="1"/>
      <w:numFmt w:val="bullet"/>
      <w:pStyle w:val="List-bullet-1"/>
      <w:lvlText w:val=""/>
      <w:lvlJc w:val="left"/>
      <w:pPr>
        <w:tabs>
          <w:tab w:val="num" w:pos="720"/>
        </w:tabs>
        <w:ind w:left="720" w:hanging="363"/>
      </w:pPr>
      <w:rPr>
        <w:rFonts w:ascii="Symbol" w:hAnsi="Symbol" w:hint="default"/>
        <w:color w:val="auto"/>
        <w:sz w:val="20"/>
      </w:rPr>
    </w:lvl>
    <w:lvl w:ilvl="1" w:tplc="04090003" w:tentative="1">
      <w:start w:val="1"/>
      <w:numFmt w:val="bullet"/>
      <w:lvlText w:val="o"/>
      <w:lvlJc w:val="left"/>
      <w:pPr>
        <w:tabs>
          <w:tab w:val="num" w:pos="1724"/>
        </w:tabs>
        <w:ind w:left="1724" w:hanging="360"/>
      </w:pPr>
      <w:rPr>
        <w:rFonts w:ascii="Courier New" w:hAnsi="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3" w15:restartNumberingAfterBreak="0">
    <w:nsid w:val="265C4A2B"/>
    <w:multiLevelType w:val="hybridMultilevel"/>
    <w:tmpl w:val="1228F1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BD11B4"/>
    <w:multiLevelType w:val="multilevel"/>
    <w:tmpl w:val="88B61454"/>
    <w:lvl w:ilvl="0">
      <w:start w:val="1"/>
      <w:numFmt w:val="decimal"/>
      <w:pStyle w:val="List-number-1"/>
      <w:lvlText w:val="%1."/>
      <w:lvlJc w:val="left"/>
      <w:pPr>
        <w:tabs>
          <w:tab w:val="num" w:pos="360"/>
        </w:tabs>
        <w:ind w:left="360" w:hanging="360"/>
      </w:pPr>
      <w:rPr>
        <w:rFonts w:hint="default"/>
      </w:rPr>
    </w:lvl>
    <w:lvl w:ilvl="1">
      <w:start w:val="1"/>
      <w:numFmt w:val="lowerLetter"/>
      <w:pStyle w:val="List-number-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3AF74D7D"/>
    <w:multiLevelType w:val="hybridMultilevel"/>
    <w:tmpl w:val="0518A77A"/>
    <w:lvl w:ilvl="0" w:tplc="0809000F">
      <w:start w:val="1"/>
      <w:numFmt w:val="decimal"/>
      <w:lvlText w:val="%1."/>
      <w:lvlJc w:val="left"/>
      <w:pPr>
        <w:ind w:left="720" w:hanging="360"/>
      </w:pPr>
      <w:rPr>
        <w:rFonts w:hint="default"/>
      </w:rPr>
    </w:lvl>
    <w:lvl w:ilvl="1" w:tplc="BB7899D6">
      <w:start w:val="1"/>
      <w:numFmt w:val="bullet"/>
      <w:lvlText w:val=""/>
      <w:lvlJc w:val="left"/>
      <w:pPr>
        <w:ind w:left="1440" w:hanging="360"/>
      </w:pPr>
      <w:rPr>
        <w:rFonts w:ascii="Wingdings" w:hAnsi="Wingdings" w:hint="default"/>
      </w:rPr>
    </w:lvl>
    <w:lvl w:ilvl="2" w:tplc="117E7FF4" w:tentative="1">
      <w:start w:val="1"/>
      <w:numFmt w:val="bullet"/>
      <w:lvlText w:val=""/>
      <w:lvlJc w:val="left"/>
      <w:pPr>
        <w:ind w:left="2160" w:hanging="360"/>
      </w:pPr>
      <w:rPr>
        <w:rFonts w:ascii="Wingdings" w:hAnsi="Wingdings" w:hint="default"/>
      </w:rPr>
    </w:lvl>
    <w:lvl w:ilvl="3" w:tplc="140A4B08" w:tentative="1">
      <w:start w:val="1"/>
      <w:numFmt w:val="bullet"/>
      <w:lvlText w:val=""/>
      <w:lvlJc w:val="left"/>
      <w:pPr>
        <w:ind w:left="2880" w:hanging="360"/>
      </w:pPr>
      <w:rPr>
        <w:rFonts w:ascii="Symbol" w:hAnsi="Symbol" w:hint="default"/>
      </w:rPr>
    </w:lvl>
    <w:lvl w:ilvl="4" w:tplc="E12E5DA2" w:tentative="1">
      <w:start w:val="1"/>
      <w:numFmt w:val="bullet"/>
      <w:lvlText w:val="o"/>
      <w:lvlJc w:val="left"/>
      <w:pPr>
        <w:ind w:left="3600" w:hanging="360"/>
      </w:pPr>
      <w:rPr>
        <w:rFonts w:ascii="Courier New" w:hAnsi="Courier New" w:cs="Courier New" w:hint="default"/>
      </w:rPr>
    </w:lvl>
    <w:lvl w:ilvl="5" w:tplc="941A383C" w:tentative="1">
      <w:start w:val="1"/>
      <w:numFmt w:val="bullet"/>
      <w:lvlText w:val=""/>
      <w:lvlJc w:val="left"/>
      <w:pPr>
        <w:ind w:left="4320" w:hanging="360"/>
      </w:pPr>
      <w:rPr>
        <w:rFonts w:ascii="Wingdings" w:hAnsi="Wingdings" w:hint="default"/>
      </w:rPr>
    </w:lvl>
    <w:lvl w:ilvl="6" w:tplc="B13A7928" w:tentative="1">
      <w:start w:val="1"/>
      <w:numFmt w:val="bullet"/>
      <w:lvlText w:val=""/>
      <w:lvlJc w:val="left"/>
      <w:pPr>
        <w:ind w:left="5040" w:hanging="360"/>
      </w:pPr>
      <w:rPr>
        <w:rFonts w:ascii="Symbol" w:hAnsi="Symbol" w:hint="default"/>
      </w:rPr>
    </w:lvl>
    <w:lvl w:ilvl="7" w:tplc="76C25D5E" w:tentative="1">
      <w:start w:val="1"/>
      <w:numFmt w:val="bullet"/>
      <w:lvlText w:val="o"/>
      <w:lvlJc w:val="left"/>
      <w:pPr>
        <w:ind w:left="5760" w:hanging="360"/>
      </w:pPr>
      <w:rPr>
        <w:rFonts w:ascii="Courier New" w:hAnsi="Courier New" w:cs="Courier New" w:hint="default"/>
      </w:rPr>
    </w:lvl>
    <w:lvl w:ilvl="8" w:tplc="56CE94C0" w:tentative="1">
      <w:start w:val="1"/>
      <w:numFmt w:val="bullet"/>
      <w:lvlText w:val=""/>
      <w:lvlJc w:val="left"/>
      <w:pPr>
        <w:ind w:left="6480" w:hanging="360"/>
      </w:pPr>
      <w:rPr>
        <w:rFonts w:ascii="Wingdings" w:hAnsi="Wingdings" w:hint="default"/>
      </w:rPr>
    </w:lvl>
  </w:abstractNum>
  <w:abstractNum w:abstractNumId="6" w15:restartNumberingAfterBreak="0">
    <w:nsid w:val="446343E5"/>
    <w:multiLevelType w:val="hybridMultilevel"/>
    <w:tmpl w:val="FCA0409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7531147"/>
    <w:multiLevelType w:val="hybridMultilevel"/>
    <w:tmpl w:val="D5B06BB0"/>
    <w:lvl w:ilvl="0" w:tplc="C5B0958A">
      <w:start w:val="1"/>
      <w:numFmt w:val="bullet"/>
      <w:pStyle w:val="List-bullet-2"/>
      <w:lvlText w:val="–"/>
      <w:lvlJc w:val="left"/>
      <w:pPr>
        <w:tabs>
          <w:tab w:val="num" w:pos="1021"/>
        </w:tabs>
        <w:ind w:left="1021" w:hanging="301"/>
      </w:pPr>
      <w:rPr>
        <w:rFonts w:hint="default"/>
        <w:color w:val="auto"/>
        <w:sz w:val="20"/>
      </w:rPr>
    </w:lvl>
    <w:lvl w:ilvl="1" w:tplc="416EABDE">
      <w:start w:val="1"/>
      <w:numFmt w:val="bullet"/>
      <w:lvlText w:val="–"/>
      <w:lvlJc w:val="left"/>
      <w:pPr>
        <w:tabs>
          <w:tab w:val="num" w:pos="1724"/>
        </w:tabs>
        <w:ind w:left="1724" w:hanging="363"/>
      </w:pPr>
      <w:rPr>
        <w:rFonts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8" w15:restartNumberingAfterBreak="0">
    <w:nsid w:val="56C769D9"/>
    <w:multiLevelType w:val="hybridMultilevel"/>
    <w:tmpl w:val="96108724"/>
    <w:lvl w:ilvl="0" w:tplc="923C835A">
      <w:start w:val="6"/>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D7177FA"/>
    <w:multiLevelType w:val="hybridMultilevel"/>
    <w:tmpl w:val="0A1ACC1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D412A35"/>
    <w:multiLevelType w:val="hybridMultilevel"/>
    <w:tmpl w:val="E760D282"/>
    <w:lvl w:ilvl="0" w:tplc="08090001">
      <w:start w:val="1"/>
      <w:numFmt w:val="bullet"/>
      <w:lvlText w:val=""/>
      <w:lvlJc w:val="left"/>
      <w:pPr>
        <w:ind w:left="758" w:hanging="360"/>
      </w:pPr>
      <w:rPr>
        <w:rFonts w:ascii="Symbol" w:hAnsi="Symbol" w:hint="default"/>
      </w:rPr>
    </w:lvl>
    <w:lvl w:ilvl="1" w:tplc="08090003" w:tentative="1">
      <w:start w:val="1"/>
      <w:numFmt w:val="bullet"/>
      <w:lvlText w:val="o"/>
      <w:lvlJc w:val="left"/>
      <w:pPr>
        <w:ind w:left="1478" w:hanging="360"/>
      </w:pPr>
      <w:rPr>
        <w:rFonts w:ascii="Courier New" w:hAnsi="Courier New" w:cs="Courier New" w:hint="default"/>
      </w:rPr>
    </w:lvl>
    <w:lvl w:ilvl="2" w:tplc="08090005" w:tentative="1">
      <w:start w:val="1"/>
      <w:numFmt w:val="bullet"/>
      <w:lvlText w:val=""/>
      <w:lvlJc w:val="left"/>
      <w:pPr>
        <w:ind w:left="2198" w:hanging="360"/>
      </w:pPr>
      <w:rPr>
        <w:rFonts w:ascii="Wingdings" w:hAnsi="Wingdings" w:hint="default"/>
      </w:rPr>
    </w:lvl>
    <w:lvl w:ilvl="3" w:tplc="08090001" w:tentative="1">
      <w:start w:val="1"/>
      <w:numFmt w:val="bullet"/>
      <w:lvlText w:val=""/>
      <w:lvlJc w:val="left"/>
      <w:pPr>
        <w:ind w:left="2918" w:hanging="360"/>
      </w:pPr>
      <w:rPr>
        <w:rFonts w:ascii="Symbol" w:hAnsi="Symbol" w:hint="default"/>
      </w:rPr>
    </w:lvl>
    <w:lvl w:ilvl="4" w:tplc="08090003" w:tentative="1">
      <w:start w:val="1"/>
      <w:numFmt w:val="bullet"/>
      <w:lvlText w:val="o"/>
      <w:lvlJc w:val="left"/>
      <w:pPr>
        <w:ind w:left="3638" w:hanging="360"/>
      </w:pPr>
      <w:rPr>
        <w:rFonts w:ascii="Courier New" w:hAnsi="Courier New" w:cs="Courier New" w:hint="default"/>
      </w:rPr>
    </w:lvl>
    <w:lvl w:ilvl="5" w:tplc="08090005" w:tentative="1">
      <w:start w:val="1"/>
      <w:numFmt w:val="bullet"/>
      <w:lvlText w:val=""/>
      <w:lvlJc w:val="left"/>
      <w:pPr>
        <w:ind w:left="4358" w:hanging="360"/>
      </w:pPr>
      <w:rPr>
        <w:rFonts w:ascii="Wingdings" w:hAnsi="Wingdings" w:hint="default"/>
      </w:rPr>
    </w:lvl>
    <w:lvl w:ilvl="6" w:tplc="08090001" w:tentative="1">
      <w:start w:val="1"/>
      <w:numFmt w:val="bullet"/>
      <w:lvlText w:val=""/>
      <w:lvlJc w:val="left"/>
      <w:pPr>
        <w:ind w:left="5078" w:hanging="360"/>
      </w:pPr>
      <w:rPr>
        <w:rFonts w:ascii="Symbol" w:hAnsi="Symbol" w:hint="default"/>
      </w:rPr>
    </w:lvl>
    <w:lvl w:ilvl="7" w:tplc="08090003" w:tentative="1">
      <w:start w:val="1"/>
      <w:numFmt w:val="bullet"/>
      <w:lvlText w:val="o"/>
      <w:lvlJc w:val="left"/>
      <w:pPr>
        <w:ind w:left="5798" w:hanging="360"/>
      </w:pPr>
      <w:rPr>
        <w:rFonts w:ascii="Courier New" w:hAnsi="Courier New" w:cs="Courier New" w:hint="default"/>
      </w:rPr>
    </w:lvl>
    <w:lvl w:ilvl="8" w:tplc="08090005" w:tentative="1">
      <w:start w:val="1"/>
      <w:numFmt w:val="bullet"/>
      <w:lvlText w:val=""/>
      <w:lvlJc w:val="left"/>
      <w:pPr>
        <w:ind w:left="6518" w:hanging="360"/>
      </w:pPr>
      <w:rPr>
        <w:rFonts w:ascii="Wingdings" w:hAnsi="Wingdings" w:hint="default"/>
      </w:rPr>
    </w:lvl>
  </w:abstractNum>
  <w:abstractNum w:abstractNumId="11" w15:restartNumberingAfterBreak="0">
    <w:nsid w:val="7286401F"/>
    <w:multiLevelType w:val="multilevel"/>
    <w:tmpl w:val="DE7251F4"/>
    <w:lvl w:ilvl="0">
      <w:start w:val="1"/>
      <w:numFmt w:val="decimal"/>
      <w:lvlText w:val="%1"/>
      <w:lvlJc w:val="left"/>
      <w:pPr>
        <w:tabs>
          <w:tab w:val="num" w:pos="357"/>
        </w:tabs>
        <w:ind w:left="357" w:hanging="357"/>
      </w:pPr>
      <w:rPr>
        <w:rFonts w:hint="default"/>
      </w:rPr>
    </w:lvl>
    <w:lvl w:ilvl="1">
      <w:start w:val="1"/>
      <w:numFmt w:val="decimal"/>
      <w:pStyle w:val="Heading2numbered"/>
      <w:lvlText w:val="%2."/>
      <w:lvlJc w:val="left"/>
      <w:pPr>
        <w:tabs>
          <w:tab w:val="num" w:pos="357"/>
        </w:tabs>
        <w:ind w:left="357" w:hanging="357"/>
      </w:pPr>
      <w:rPr>
        <w:rFonts w:hint="default"/>
      </w:rPr>
    </w:lvl>
    <w:lvl w:ilvl="2">
      <w:start w:val="1"/>
      <w:numFmt w:val="decimal"/>
      <w:pStyle w:val="Heading3numbered"/>
      <w:lvlText w:val="%2.%3"/>
      <w:lvlJc w:val="left"/>
      <w:pPr>
        <w:tabs>
          <w:tab w:val="num" w:pos="851"/>
        </w:tabs>
        <w:ind w:left="851" w:hanging="494"/>
      </w:pPr>
      <w:rPr>
        <w:rFonts w:ascii="Arial" w:hAnsi="Arial" w:hint="default"/>
        <w:b/>
        <w:i/>
        <w:sz w:val="18"/>
        <w:szCs w:val="18"/>
      </w:rPr>
    </w:lvl>
    <w:lvl w:ilvl="3">
      <w:start w:val="1"/>
      <w:numFmt w:val="lowerLetter"/>
      <w:pStyle w:val="List-outline-numbered"/>
      <w:lvlText w:val="%4."/>
      <w:lvlJc w:val="left"/>
      <w:pPr>
        <w:tabs>
          <w:tab w:val="num" w:pos="737"/>
        </w:tabs>
        <w:ind w:left="737" w:hanging="380"/>
      </w:pPr>
      <w:rPr>
        <w:rFonts w:hint="default"/>
      </w:rPr>
    </w:lvl>
    <w:lvl w:ilvl="4">
      <w:start w:val="1"/>
      <w:numFmt w:val="decimal"/>
      <w:lvlText w:val="%1.%2.%3.%4.%5"/>
      <w:lvlJc w:val="left"/>
      <w:pPr>
        <w:tabs>
          <w:tab w:val="num" w:pos="1080"/>
        </w:tabs>
        <w:ind w:left="1080" w:hanging="1008"/>
      </w:pPr>
      <w:rPr>
        <w:rFonts w:hint="default"/>
      </w:rPr>
    </w:lvl>
    <w:lvl w:ilvl="5">
      <w:start w:val="1"/>
      <w:numFmt w:val="decimal"/>
      <w:lvlText w:val="%1.%2.%3.%4.%5.%6"/>
      <w:lvlJc w:val="left"/>
      <w:pPr>
        <w:tabs>
          <w:tab w:val="num" w:pos="1224"/>
        </w:tabs>
        <w:ind w:left="1224" w:hanging="1152"/>
      </w:pPr>
      <w:rPr>
        <w:rFonts w:hint="default"/>
      </w:rPr>
    </w:lvl>
    <w:lvl w:ilvl="6">
      <w:start w:val="1"/>
      <w:numFmt w:val="decimal"/>
      <w:lvlText w:val="%1.%2.%3.%4.%5.%6.%7"/>
      <w:lvlJc w:val="left"/>
      <w:pPr>
        <w:tabs>
          <w:tab w:val="num" w:pos="1368"/>
        </w:tabs>
        <w:ind w:left="1368" w:hanging="1296"/>
      </w:pPr>
      <w:rPr>
        <w:rFonts w:hint="default"/>
      </w:rPr>
    </w:lvl>
    <w:lvl w:ilvl="7">
      <w:start w:val="1"/>
      <w:numFmt w:val="decimal"/>
      <w:lvlText w:val="%1.%2.%3.%4.%5.%6.%7.%8"/>
      <w:lvlJc w:val="left"/>
      <w:pPr>
        <w:tabs>
          <w:tab w:val="num" w:pos="1512"/>
        </w:tabs>
        <w:ind w:left="1512" w:hanging="1440"/>
      </w:pPr>
      <w:rPr>
        <w:rFonts w:hint="default"/>
      </w:rPr>
    </w:lvl>
    <w:lvl w:ilvl="8">
      <w:start w:val="1"/>
      <w:numFmt w:val="decimal"/>
      <w:lvlText w:val="%1.%2.%3.%4.%5.%6.%7.%8.%9"/>
      <w:lvlJc w:val="left"/>
      <w:pPr>
        <w:tabs>
          <w:tab w:val="num" w:pos="1656"/>
        </w:tabs>
        <w:ind w:left="1656" w:hanging="1584"/>
      </w:pPr>
      <w:rPr>
        <w:rFonts w:hint="default"/>
      </w:rPr>
    </w:lvl>
  </w:abstractNum>
  <w:abstractNum w:abstractNumId="12" w15:restartNumberingAfterBreak="0">
    <w:nsid w:val="72EB659E"/>
    <w:multiLevelType w:val="hybridMultilevel"/>
    <w:tmpl w:val="51049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6AD291E"/>
    <w:multiLevelType w:val="hybridMultilevel"/>
    <w:tmpl w:val="334079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74868B9"/>
    <w:multiLevelType w:val="hybridMultilevel"/>
    <w:tmpl w:val="A02AF9EA"/>
    <w:lvl w:ilvl="0" w:tplc="F33CF392">
      <w:start w:val="1"/>
      <w:numFmt w:val="bullet"/>
      <w:pStyle w:val="Table-list-bullet"/>
      <w:lvlText w:val="–"/>
      <w:lvlJc w:val="left"/>
      <w:pPr>
        <w:tabs>
          <w:tab w:val="num" w:pos="357"/>
        </w:tabs>
        <w:ind w:left="357" w:hanging="357"/>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AC11C9C"/>
    <w:multiLevelType w:val="hybridMultilevel"/>
    <w:tmpl w:val="6534D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4"/>
  </w:num>
  <w:num w:numId="4">
    <w:abstractNumId w:val="11"/>
  </w:num>
  <w:num w:numId="5">
    <w:abstractNumId w:val="14"/>
  </w:num>
  <w:num w:numId="6">
    <w:abstractNumId w:val="0"/>
  </w:num>
  <w:num w:numId="7">
    <w:abstractNumId w:val="5"/>
  </w:num>
  <w:num w:numId="8">
    <w:abstractNumId w:val="3"/>
  </w:num>
  <w:num w:numId="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12"/>
  </w:num>
  <w:num w:numId="12">
    <w:abstractNumId w:val="13"/>
  </w:num>
  <w:num w:numId="13">
    <w:abstractNumId w:val="9"/>
  </w:num>
  <w:num w:numId="14">
    <w:abstractNumId w:val="15"/>
  </w:num>
  <w:num w:numId="15">
    <w:abstractNumId w:val="10"/>
  </w:num>
  <w:num w:numId="16">
    <w:abstractNumId w:val="8"/>
  </w:num>
  <w:num w:numId="17">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removePersonalInformation/>
  <w:removeDateAndTime/>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efaultTableStyle w:val="Tablewithnoheader"/>
  <w:drawingGridHorizontalSpacing w:val="57"/>
  <w:drawingGridVerticalSpacing w:val="181"/>
  <w:displayVerticalDrawingGridEvery w:val="2"/>
  <w:noPunctuationKerning/>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735"/>
    <w:rsid w:val="00000AAD"/>
    <w:rsid w:val="00012070"/>
    <w:rsid w:val="00012ED5"/>
    <w:rsid w:val="00013149"/>
    <w:rsid w:val="00021929"/>
    <w:rsid w:val="00036BBE"/>
    <w:rsid w:val="000424D2"/>
    <w:rsid w:val="00053D46"/>
    <w:rsid w:val="00060AB1"/>
    <w:rsid w:val="00061C79"/>
    <w:rsid w:val="00071CB0"/>
    <w:rsid w:val="00071CEC"/>
    <w:rsid w:val="0007330F"/>
    <w:rsid w:val="00082C48"/>
    <w:rsid w:val="00082E19"/>
    <w:rsid w:val="00083276"/>
    <w:rsid w:val="000869CE"/>
    <w:rsid w:val="00095BDA"/>
    <w:rsid w:val="00096FAC"/>
    <w:rsid w:val="000A6A42"/>
    <w:rsid w:val="000B3675"/>
    <w:rsid w:val="000B6F67"/>
    <w:rsid w:val="000B7AFD"/>
    <w:rsid w:val="000C168B"/>
    <w:rsid w:val="000C1873"/>
    <w:rsid w:val="000D156C"/>
    <w:rsid w:val="000D79A2"/>
    <w:rsid w:val="000E25D8"/>
    <w:rsid w:val="000E3717"/>
    <w:rsid w:val="000E6C46"/>
    <w:rsid w:val="000F4219"/>
    <w:rsid w:val="000F4834"/>
    <w:rsid w:val="000F691A"/>
    <w:rsid w:val="0010006D"/>
    <w:rsid w:val="0011149A"/>
    <w:rsid w:val="001121EC"/>
    <w:rsid w:val="00120ACD"/>
    <w:rsid w:val="00122410"/>
    <w:rsid w:val="00136FEB"/>
    <w:rsid w:val="00147577"/>
    <w:rsid w:val="00155A4D"/>
    <w:rsid w:val="00160289"/>
    <w:rsid w:val="00184728"/>
    <w:rsid w:val="001862D6"/>
    <w:rsid w:val="00187C75"/>
    <w:rsid w:val="001917F6"/>
    <w:rsid w:val="00193025"/>
    <w:rsid w:val="00197C94"/>
    <w:rsid w:val="001B00C7"/>
    <w:rsid w:val="001B13C1"/>
    <w:rsid w:val="001B64BC"/>
    <w:rsid w:val="001C17B5"/>
    <w:rsid w:val="001C693A"/>
    <w:rsid w:val="001D1010"/>
    <w:rsid w:val="001E0409"/>
    <w:rsid w:val="001E1227"/>
    <w:rsid w:val="001E6DFD"/>
    <w:rsid w:val="001F1C48"/>
    <w:rsid w:val="001F4FA9"/>
    <w:rsid w:val="001F548E"/>
    <w:rsid w:val="00200611"/>
    <w:rsid w:val="00205075"/>
    <w:rsid w:val="0021193A"/>
    <w:rsid w:val="002215C2"/>
    <w:rsid w:val="002275C4"/>
    <w:rsid w:val="00230881"/>
    <w:rsid w:val="002332CD"/>
    <w:rsid w:val="00233CCC"/>
    <w:rsid w:val="00240470"/>
    <w:rsid w:val="002458D0"/>
    <w:rsid w:val="002505A6"/>
    <w:rsid w:val="00262487"/>
    <w:rsid w:val="002644DB"/>
    <w:rsid w:val="00287A77"/>
    <w:rsid w:val="00297269"/>
    <w:rsid w:val="002A080B"/>
    <w:rsid w:val="002A39CA"/>
    <w:rsid w:val="002A4AD7"/>
    <w:rsid w:val="002A5618"/>
    <w:rsid w:val="002A7FD3"/>
    <w:rsid w:val="002B23CE"/>
    <w:rsid w:val="002B535D"/>
    <w:rsid w:val="002B7D31"/>
    <w:rsid w:val="002C5589"/>
    <w:rsid w:val="002C5649"/>
    <w:rsid w:val="002C616D"/>
    <w:rsid w:val="002C6BE2"/>
    <w:rsid w:val="002D0175"/>
    <w:rsid w:val="002D0CB9"/>
    <w:rsid w:val="002D742E"/>
    <w:rsid w:val="002D77E0"/>
    <w:rsid w:val="002F04F1"/>
    <w:rsid w:val="002F188D"/>
    <w:rsid w:val="002F3E4E"/>
    <w:rsid w:val="002F797D"/>
    <w:rsid w:val="002F7AB5"/>
    <w:rsid w:val="00301F53"/>
    <w:rsid w:val="0030668A"/>
    <w:rsid w:val="00312538"/>
    <w:rsid w:val="00313664"/>
    <w:rsid w:val="003165C6"/>
    <w:rsid w:val="003169C3"/>
    <w:rsid w:val="00327DBA"/>
    <w:rsid w:val="00331EF4"/>
    <w:rsid w:val="0033427A"/>
    <w:rsid w:val="0033459B"/>
    <w:rsid w:val="00350409"/>
    <w:rsid w:val="003532AF"/>
    <w:rsid w:val="0035631D"/>
    <w:rsid w:val="003577F9"/>
    <w:rsid w:val="00360009"/>
    <w:rsid w:val="00361A0A"/>
    <w:rsid w:val="00362AD1"/>
    <w:rsid w:val="0036589B"/>
    <w:rsid w:val="003839BD"/>
    <w:rsid w:val="00385DCD"/>
    <w:rsid w:val="0039002F"/>
    <w:rsid w:val="00390A2C"/>
    <w:rsid w:val="00391182"/>
    <w:rsid w:val="00395605"/>
    <w:rsid w:val="003A0212"/>
    <w:rsid w:val="003A3D41"/>
    <w:rsid w:val="003A666F"/>
    <w:rsid w:val="003B46C7"/>
    <w:rsid w:val="003B7BEF"/>
    <w:rsid w:val="003C0A67"/>
    <w:rsid w:val="003C2608"/>
    <w:rsid w:val="003D6711"/>
    <w:rsid w:val="003E30D6"/>
    <w:rsid w:val="003E485A"/>
    <w:rsid w:val="003E6561"/>
    <w:rsid w:val="003F279F"/>
    <w:rsid w:val="004000D7"/>
    <w:rsid w:val="00401CE8"/>
    <w:rsid w:val="00403444"/>
    <w:rsid w:val="0040537E"/>
    <w:rsid w:val="00407B81"/>
    <w:rsid w:val="00417ECA"/>
    <w:rsid w:val="00424271"/>
    <w:rsid w:val="00425A86"/>
    <w:rsid w:val="004333F8"/>
    <w:rsid w:val="00433B82"/>
    <w:rsid w:val="0043443A"/>
    <w:rsid w:val="00435154"/>
    <w:rsid w:val="00442F13"/>
    <w:rsid w:val="004440CF"/>
    <w:rsid w:val="00447FFC"/>
    <w:rsid w:val="00451438"/>
    <w:rsid w:val="004536DB"/>
    <w:rsid w:val="00462463"/>
    <w:rsid w:val="00465324"/>
    <w:rsid w:val="00472B0F"/>
    <w:rsid w:val="00474902"/>
    <w:rsid w:val="00487875"/>
    <w:rsid w:val="00493142"/>
    <w:rsid w:val="004B188A"/>
    <w:rsid w:val="004B62C5"/>
    <w:rsid w:val="004C35B8"/>
    <w:rsid w:val="004C4442"/>
    <w:rsid w:val="004C6956"/>
    <w:rsid w:val="004C7E8F"/>
    <w:rsid w:val="004D206A"/>
    <w:rsid w:val="004E0B21"/>
    <w:rsid w:val="004E2AAA"/>
    <w:rsid w:val="004E3974"/>
    <w:rsid w:val="004E792D"/>
    <w:rsid w:val="004F3FB4"/>
    <w:rsid w:val="0050043D"/>
    <w:rsid w:val="00500990"/>
    <w:rsid w:val="00502A22"/>
    <w:rsid w:val="0050482F"/>
    <w:rsid w:val="00511C4B"/>
    <w:rsid w:val="00530C7C"/>
    <w:rsid w:val="00533341"/>
    <w:rsid w:val="00541198"/>
    <w:rsid w:val="00546247"/>
    <w:rsid w:val="00550CA9"/>
    <w:rsid w:val="00562BC9"/>
    <w:rsid w:val="00565E31"/>
    <w:rsid w:val="00566144"/>
    <w:rsid w:val="005876E7"/>
    <w:rsid w:val="005909FA"/>
    <w:rsid w:val="005941A3"/>
    <w:rsid w:val="00594CA2"/>
    <w:rsid w:val="005A11A6"/>
    <w:rsid w:val="005A2069"/>
    <w:rsid w:val="005C714F"/>
    <w:rsid w:val="005D0A87"/>
    <w:rsid w:val="005D5EF0"/>
    <w:rsid w:val="005D67E2"/>
    <w:rsid w:val="005D750D"/>
    <w:rsid w:val="005D7C4E"/>
    <w:rsid w:val="005D7CB3"/>
    <w:rsid w:val="005E395D"/>
    <w:rsid w:val="005E4591"/>
    <w:rsid w:val="005E52BE"/>
    <w:rsid w:val="005F3BD4"/>
    <w:rsid w:val="005F413E"/>
    <w:rsid w:val="00604BDA"/>
    <w:rsid w:val="00606763"/>
    <w:rsid w:val="00607B85"/>
    <w:rsid w:val="00613350"/>
    <w:rsid w:val="006176C2"/>
    <w:rsid w:val="006230B8"/>
    <w:rsid w:val="00624390"/>
    <w:rsid w:val="00626981"/>
    <w:rsid w:val="00630850"/>
    <w:rsid w:val="00635FA0"/>
    <w:rsid w:val="00636B1E"/>
    <w:rsid w:val="00643DB1"/>
    <w:rsid w:val="0064402B"/>
    <w:rsid w:val="00647F3E"/>
    <w:rsid w:val="0065249A"/>
    <w:rsid w:val="00652D30"/>
    <w:rsid w:val="00656756"/>
    <w:rsid w:val="006621E9"/>
    <w:rsid w:val="00666DCB"/>
    <w:rsid w:val="006714DD"/>
    <w:rsid w:val="00672812"/>
    <w:rsid w:val="00681953"/>
    <w:rsid w:val="00690741"/>
    <w:rsid w:val="00692E80"/>
    <w:rsid w:val="00693652"/>
    <w:rsid w:val="00693A81"/>
    <w:rsid w:val="006952E7"/>
    <w:rsid w:val="006A0ADD"/>
    <w:rsid w:val="006A4D9D"/>
    <w:rsid w:val="006B18F8"/>
    <w:rsid w:val="006B5E84"/>
    <w:rsid w:val="006C3A82"/>
    <w:rsid w:val="006C4607"/>
    <w:rsid w:val="006C72FE"/>
    <w:rsid w:val="006D31BA"/>
    <w:rsid w:val="006D7D6A"/>
    <w:rsid w:val="006E215F"/>
    <w:rsid w:val="006E3B7B"/>
    <w:rsid w:val="006F1002"/>
    <w:rsid w:val="006F6132"/>
    <w:rsid w:val="00702AC4"/>
    <w:rsid w:val="007034AA"/>
    <w:rsid w:val="00706C18"/>
    <w:rsid w:val="0070798C"/>
    <w:rsid w:val="007262EC"/>
    <w:rsid w:val="007316C2"/>
    <w:rsid w:val="00733381"/>
    <w:rsid w:val="00745A2A"/>
    <w:rsid w:val="00751088"/>
    <w:rsid w:val="00753BF9"/>
    <w:rsid w:val="007605C0"/>
    <w:rsid w:val="00772698"/>
    <w:rsid w:val="00790820"/>
    <w:rsid w:val="00794C37"/>
    <w:rsid w:val="007A66B6"/>
    <w:rsid w:val="007A795B"/>
    <w:rsid w:val="007B1A7B"/>
    <w:rsid w:val="007B54AA"/>
    <w:rsid w:val="007C4BA2"/>
    <w:rsid w:val="007C5571"/>
    <w:rsid w:val="007D3486"/>
    <w:rsid w:val="007D704B"/>
    <w:rsid w:val="007E2A82"/>
    <w:rsid w:val="007E4C61"/>
    <w:rsid w:val="007F0C65"/>
    <w:rsid w:val="007F623A"/>
    <w:rsid w:val="007F7913"/>
    <w:rsid w:val="007F7A67"/>
    <w:rsid w:val="008006A4"/>
    <w:rsid w:val="00802B6C"/>
    <w:rsid w:val="00803364"/>
    <w:rsid w:val="008037F1"/>
    <w:rsid w:val="00807793"/>
    <w:rsid w:val="008163D0"/>
    <w:rsid w:val="00822093"/>
    <w:rsid w:val="00822B61"/>
    <w:rsid w:val="00823201"/>
    <w:rsid w:val="008260B6"/>
    <w:rsid w:val="00830746"/>
    <w:rsid w:val="00831455"/>
    <w:rsid w:val="00843F16"/>
    <w:rsid w:val="00847731"/>
    <w:rsid w:val="00850130"/>
    <w:rsid w:val="00861355"/>
    <w:rsid w:val="00863523"/>
    <w:rsid w:val="008704FF"/>
    <w:rsid w:val="008733E5"/>
    <w:rsid w:val="00875547"/>
    <w:rsid w:val="0087608B"/>
    <w:rsid w:val="00876262"/>
    <w:rsid w:val="008946FF"/>
    <w:rsid w:val="008957AC"/>
    <w:rsid w:val="00895F5E"/>
    <w:rsid w:val="008A382E"/>
    <w:rsid w:val="008B7666"/>
    <w:rsid w:val="008E29DB"/>
    <w:rsid w:val="008E4F4C"/>
    <w:rsid w:val="008E74A7"/>
    <w:rsid w:val="008F6699"/>
    <w:rsid w:val="008F686C"/>
    <w:rsid w:val="00907BD8"/>
    <w:rsid w:val="009174FC"/>
    <w:rsid w:val="00917574"/>
    <w:rsid w:val="00923738"/>
    <w:rsid w:val="009247DD"/>
    <w:rsid w:val="009322D5"/>
    <w:rsid w:val="00933297"/>
    <w:rsid w:val="00941F06"/>
    <w:rsid w:val="00944CFC"/>
    <w:rsid w:val="00962985"/>
    <w:rsid w:val="00964A2E"/>
    <w:rsid w:val="009725B2"/>
    <w:rsid w:val="00972E6B"/>
    <w:rsid w:val="0097410C"/>
    <w:rsid w:val="009746B6"/>
    <w:rsid w:val="00976A08"/>
    <w:rsid w:val="00980438"/>
    <w:rsid w:val="00982F16"/>
    <w:rsid w:val="00983172"/>
    <w:rsid w:val="009854C5"/>
    <w:rsid w:val="009878C0"/>
    <w:rsid w:val="00990F68"/>
    <w:rsid w:val="00996102"/>
    <w:rsid w:val="009A2DA3"/>
    <w:rsid w:val="009A6244"/>
    <w:rsid w:val="009A7404"/>
    <w:rsid w:val="009B0231"/>
    <w:rsid w:val="009B0E16"/>
    <w:rsid w:val="009B1A5C"/>
    <w:rsid w:val="009C235A"/>
    <w:rsid w:val="009C4308"/>
    <w:rsid w:val="009C4A8C"/>
    <w:rsid w:val="009C5D97"/>
    <w:rsid w:val="009E0637"/>
    <w:rsid w:val="009E5E5D"/>
    <w:rsid w:val="009E6274"/>
    <w:rsid w:val="009F406D"/>
    <w:rsid w:val="009F4820"/>
    <w:rsid w:val="009F64EA"/>
    <w:rsid w:val="00A010BC"/>
    <w:rsid w:val="00A02C93"/>
    <w:rsid w:val="00A03AD0"/>
    <w:rsid w:val="00A04888"/>
    <w:rsid w:val="00A04D45"/>
    <w:rsid w:val="00A063EC"/>
    <w:rsid w:val="00A0689C"/>
    <w:rsid w:val="00A06F41"/>
    <w:rsid w:val="00A108F9"/>
    <w:rsid w:val="00A133A9"/>
    <w:rsid w:val="00A16C49"/>
    <w:rsid w:val="00A170D0"/>
    <w:rsid w:val="00A20E47"/>
    <w:rsid w:val="00A24D5B"/>
    <w:rsid w:val="00A26D30"/>
    <w:rsid w:val="00A53302"/>
    <w:rsid w:val="00A6086F"/>
    <w:rsid w:val="00A61E4D"/>
    <w:rsid w:val="00A67955"/>
    <w:rsid w:val="00A7085B"/>
    <w:rsid w:val="00A73D35"/>
    <w:rsid w:val="00A7648C"/>
    <w:rsid w:val="00A8331F"/>
    <w:rsid w:val="00A83575"/>
    <w:rsid w:val="00A85E1C"/>
    <w:rsid w:val="00A93450"/>
    <w:rsid w:val="00A96EE3"/>
    <w:rsid w:val="00AA11C0"/>
    <w:rsid w:val="00AA2D0A"/>
    <w:rsid w:val="00AA3F4B"/>
    <w:rsid w:val="00AB2A23"/>
    <w:rsid w:val="00AB373B"/>
    <w:rsid w:val="00AC3A33"/>
    <w:rsid w:val="00AC3ABE"/>
    <w:rsid w:val="00AC5754"/>
    <w:rsid w:val="00AC7421"/>
    <w:rsid w:val="00AD2D62"/>
    <w:rsid w:val="00AE0AE4"/>
    <w:rsid w:val="00AE4FE7"/>
    <w:rsid w:val="00AF0E10"/>
    <w:rsid w:val="00AF367C"/>
    <w:rsid w:val="00AF48E0"/>
    <w:rsid w:val="00AF49A7"/>
    <w:rsid w:val="00B01CC3"/>
    <w:rsid w:val="00B03970"/>
    <w:rsid w:val="00B22159"/>
    <w:rsid w:val="00B36D3A"/>
    <w:rsid w:val="00B424FA"/>
    <w:rsid w:val="00B454E0"/>
    <w:rsid w:val="00B47BC3"/>
    <w:rsid w:val="00B55480"/>
    <w:rsid w:val="00B561CD"/>
    <w:rsid w:val="00B61B6C"/>
    <w:rsid w:val="00B62993"/>
    <w:rsid w:val="00B64606"/>
    <w:rsid w:val="00B660CB"/>
    <w:rsid w:val="00B67AC1"/>
    <w:rsid w:val="00B76FBC"/>
    <w:rsid w:val="00B90113"/>
    <w:rsid w:val="00B91BBF"/>
    <w:rsid w:val="00B93189"/>
    <w:rsid w:val="00B93962"/>
    <w:rsid w:val="00BA509E"/>
    <w:rsid w:val="00BA779B"/>
    <w:rsid w:val="00BC304B"/>
    <w:rsid w:val="00BC3A46"/>
    <w:rsid w:val="00BC58D0"/>
    <w:rsid w:val="00BC5A8A"/>
    <w:rsid w:val="00BC7641"/>
    <w:rsid w:val="00BD0C8F"/>
    <w:rsid w:val="00BD1734"/>
    <w:rsid w:val="00BD22B5"/>
    <w:rsid w:val="00BD56AC"/>
    <w:rsid w:val="00BE0AC9"/>
    <w:rsid w:val="00BE1402"/>
    <w:rsid w:val="00BE6B67"/>
    <w:rsid w:val="00BE6E67"/>
    <w:rsid w:val="00BE6EB9"/>
    <w:rsid w:val="00BE6FFC"/>
    <w:rsid w:val="00BF0E61"/>
    <w:rsid w:val="00BF3735"/>
    <w:rsid w:val="00BF3E4D"/>
    <w:rsid w:val="00BF451C"/>
    <w:rsid w:val="00BF6E3F"/>
    <w:rsid w:val="00C00A7E"/>
    <w:rsid w:val="00C02F04"/>
    <w:rsid w:val="00C054B6"/>
    <w:rsid w:val="00C0653A"/>
    <w:rsid w:val="00C359BF"/>
    <w:rsid w:val="00C35AE5"/>
    <w:rsid w:val="00C428B0"/>
    <w:rsid w:val="00C445D4"/>
    <w:rsid w:val="00C45F10"/>
    <w:rsid w:val="00C51E58"/>
    <w:rsid w:val="00C5339C"/>
    <w:rsid w:val="00C5462D"/>
    <w:rsid w:val="00C61B43"/>
    <w:rsid w:val="00C649C1"/>
    <w:rsid w:val="00C73A8F"/>
    <w:rsid w:val="00C74ACF"/>
    <w:rsid w:val="00C80576"/>
    <w:rsid w:val="00C819DF"/>
    <w:rsid w:val="00C9091F"/>
    <w:rsid w:val="00C9475D"/>
    <w:rsid w:val="00CA2361"/>
    <w:rsid w:val="00CA2A37"/>
    <w:rsid w:val="00CA403F"/>
    <w:rsid w:val="00CA50E2"/>
    <w:rsid w:val="00CA6FD5"/>
    <w:rsid w:val="00CB0220"/>
    <w:rsid w:val="00CB6582"/>
    <w:rsid w:val="00CC36CB"/>
    <w:rsid w:val="00CD5C4B"/>
    <w:rsid w:val="00CD5C87"/>
    <w:rsid w:val="00CE02DE"/>
    <w:rsid w:val="00CE333A"/>
    <w:rsid w:val="00CE350C"/>
    <w:rsid w:val="00CE4B6A"/>
    <w:rsid w:val="00CE5E38"/>
    <w:rsid w:val="00CF14C6"/>
    <w:rsid w:val="00CF179F"/>
    <w:rsid w:val="00CF4B52"/>
    <w:rsid w:val="00CF64E2"/>
    <w:rsid w:val="00D02B49"/>
    <w:rsid w:val="00D03DB7"/>
    <w:rsid w:val="00D1071F"/>
    <w:rsid w:val="00D1162F"/>
    <w:rsid w:val="00D12535"/>
    <w:rsid w:val="00D17037"/>
    <w:rsid w:val="00D21A23"/>
    <w:rsid w:val="00D21AEF"/>
    <w:rsid w:val="00D23BC3"/>
    <w:rsid w:val="00D34E8A"/>
    <w:rsid w:val="00D35746"/>
    <w:rsid w:val="00D3756F"/>
    <w:rsid w:val="00D42A06"/>
    <w:rsid w:val="00D43D75"/>
    <w:rsid w:val="00D464B4"/>
    <w:rsid w:val="00D5644C"/>
    <w:rsid w:val="00D57307"/>
    <w:rsid w:val="00D62034"/>
    <w:rsid w:val="00D626E8"/>
    <w:rsid w:val="00D70E62"/>
    <w:rsid w:val="00D7129E"/>
    <w:rsid w:val="00D71B6F"/>
    <w:rsid w:val="00D71F57"/>
    <w:rsid w:val="00D77AEF"/>
    <w:rsid w:val="00D867D9"/>
    <w:rsid w:val="00D9364B"/>
    <w:rsid w:val="00D9567C"/>
    <w:rsid w:val="00DA3E33"/>
    <w:rsid w:val="00DC0FDC"/>
    <w:rsid w:val="00DC2CD4"/>
    <w:rsid w:val="00DC467F"/>
    <w:rsid w:val="00DD03D3"/>
    <w:rsid w:val="00DD2DFE"/>
    <w:rsid w:val="00DD3767"/>
    <w:rsid w:val="00DD6D90"/>
    <w:rsid w:val="00DF1BD7"/>
    <w:rsid w:val="00E008BA"/>
    <w:rsid w:val="00E01457"/>
    <w:rsid w:val="00E02ADA"/>
    <w:rsid w:val="00E11404"/>
    <w:rsid w:val="00E13236"/>
    <w:rsid w:val="00E132E8"/>
    <w:rsid w:val="00E133C1"/>
    <w:rsid w:val="00E1407D"/>
    <w:rsid w:val="00E202A8"/>
    <w:rsid w:val="00E378D1"/>
    <w:rsid w:val="00E40C58"/>
    <w:rsid w:val="00E4157E"/>
    <w:rsid w:val="00E608CD"/>
    <w:rsid w:val="00E6727C"/>
    <w:rsid w:val="00E71D17"/>
    <w:rsid w:val="00E77EAF"/>
    <w:rsid w:val="00E81634"/>
    <w:rsid w:val="00E876A2"/>
    <w:rsid w:val="00EA0AFE"/>
    <w:rsid w:val="00EA481C"/>
    <w:rsid w:val="00EA6913"/>
    <w:rsid w:val="00EB3074"/>
    <w:rsid w:val="00EC2D6E"/>
    <w:rsid w:val="00ED64F2"/>
    <w:rsid w:val="00EE0723"/>
    <w:rsid w:val="00EE0794"/>
    <w:rsid w:val="00EE0DCE"/>
    <w:rsid w:val="00EE419D"/>
    <w:rsid w:val="00EE5E40"/>
    <w:rsid w:val="00EF3147"/>
    <w:rsid w:val="00EF7B6F"/>
    <w:rsid w:val="00F0242D"/>
    <w:rsid w:val="00F02CF0"/>
    <w:rsid w:val="00F059AE"/>
    <w:rsid w:val="00F06176"/>
    <w:rsid w:val="00F11558"/>
    <w:rsid w:val="00F141C0"/>
    <w:rsid w:val="00F14E1C"/>
    <w:rsid w:val="00F225BB"/>
    <w:rsid w:val="00F25D56"/>
    <w:rsid w:val="00F27408"/>
    <w:rsid w:val="00F342DE"/>
    <w:rsid w:val="00F346D5"/>
    <w:rsid w:val="00F34AFE"/>
    <w:rsid w:val="00F35955"/>
    <w:rsid w:val="00F40AEB"/>
    <w:rsid w:val="00F423F1"/>
    <w:rsid w:val="00F47150"/>
    <w:rsid w:val="00F4735F"/>
    <w:rsid w:val="00F47C80"/>
    <w:rsid w:val="00F566B7"/>
    <w:rsid w:val="00F602FF"/>
    <w:rsid w:val="00F67830"/>
    <w:rsid w:val="00F76E6D"/>
    <w:rsid w:val="00F81E70"/>
    <w:rsid w:val="00F82E80"/>
    <w:rsid w:val="00F91F32"/>
    <w:rsid w:val="00F93F2A"/>
    <w:rsid w:val="00F9507E"/>
    <w:rsid w:val="00F96FE9"/>
    <w:rsid w:val="00FA0842"/>
    <w:rsid w:val="00FA51B7"/>
    <w:rsid w:val="00FA5AC3"/>
    <w:rsid w:val="00FA798B"/>
    <w:rsid w:val="00FB548B"/>
    <w:rsid w:val="00FC18C1"/>
    <w:rsid w:val="00FD1F53"/>
    <w:rsid w:val="00FD5939"/>
    <w:rsid w:val="00FE2600"/>
    <w:rsid w:val="00FE4B1E"/>
    <w:rsid w:val="00FE7210"/>
    <w:rsid w:val="00FF0C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70958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7F3E"/>
    <w:pPr>
      <w:spacing w:before="120"/>
    </w:pPr>
    <w:rPr>
      <w:rFonts w:ascii="Arial" w:hAnsi="Arial"/>
      <w:szCs w:val="24"/>
      <w:lang w:eastAsia="en-US"/>
    </w:rPr>
  </w:style>
  <w:style w:type="paragraph" w:styleId="Heading1">
    <w:name w:val="heading 1"/>
    <w:next w:val="Normal"/>
    <w:link w:val="Heading1Char"/>
    <w:qFormat/>
    <w:rsid w:val="00D12535"/>
    <w:pPr>
      <w:keepNext/>
      <w:spacing w:before="240" w:after="60"/>
      <w:outlineLvl w:val="0"/>
    </w:pPr>
    <w:rPr>
      <w:rFonts w:ascii="Arial" w:hAnsi="Arial" w:cs="Arial"/>
      <w:b/>
      <w:sz w:val="26"/>
      <w:szCs w:val="32"/>
    </w:rPr>
  </w:style>
  <w:style w:type="paragraph" w:styleId="Heading2">
    <w:name w:val="heading 2"/>
    <w:basedOn w:val="Heading1"/>
    <w:next w:val="Normal"/>
    <w:link w:val="Heading2Char"/>
    <w:qFormat/>
    <w:rsid w:val="00D12535"/>
    <w:pPr>
      <w:outlineLvl w:val="1"/>
    </w:pPr>
    <w:rPr>
      <w:iCs/>
      <w:sz w:val="24"/>
      <w:szCs w:val="22"/>
    </w:rPr>
  </w:style>
  <w:style w:type="paragraph" w:styleId="Heading3">
    <w:name w:val="heading 3"/>
    <w:next w:val="Normal"/>
    <w:qFormat/>
    <w:rsid w:val="00D12535"/>
    <w:pPr>
      <w:keepNext/>
      <w:spacing w:before="160" w:after="60"/>
      <w:outlineLvl w:val="2"/>
    </w:pPr>
    <w:rPr>
      <w:rFonts w:ascii="Arial" w:hAnsi="Arial"/>
      <w:b/>
      <w:bCs/>
      <w:i/>
      <w:iCs/>
      <w:sz w:val="22"/>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Name">
    <w:name w:val="DocName"/>
    <w:basedOn w:val="Normal"/>
    <w:link w:val="DocNameChar"/>
    <w:rsid w:val="00D12535"/>
    <w:pPr>
      <w:spacing w:before="0"/>
      <w:jc w:val="center"/>
    </w:pPr>
    <w:rPr>
      <w:b/>
      <w:bCs/>
      <w:sz w:val="28"/>
    </w:rPr>
  </w:style>
  <w:style w:type="paragraph" w:customStyle="1" w:styleId="DocStatus">
    <w:name w:val="DocStatus"/>
    <w:basedOn w:val="Normal"/>
    <w:rsid w:val="00D12535"/>
    <w:pPr>
      <w:spacing w:after="60"/>
      <w:jc w:val="center"/>
    </w:pPr>
    <w:rPr>
      <w:b/>
      <w:sz w:val="22"/>
    </w:rPr>
  </w:style>
  <w:style w:type="paragraph" w:customStyle="1" w:styleId="Heading2numbered">
    <w:name w:val="Heading 2 numbered"/>
    <w:basedOn w:val="Heading2"/>
    <w:next w:val="Normal"/>
    <w:rsid w:val="00D12535"/>
    <w:pPr>
      <w:numPr>
        <w:ilvl w:val="1"/>
        <w:numId w:val="4"/>
      </w:numPr>
    </w:pPr>
  </w:style>
  <w:style w:type="paragraph" w:customStyle="1" w:styleId="Heading3numbered">
    <w:name w:val="Heading 3 numbered"/>
    <w:basedOn w:val="Heading3"/>
    <w:next w:val="Normal"/>
    <w:rsid w:val="00D12535"/>
    <w:pPr>
      <w:numPr>
        <w:ilvl w:val="2"/>
        <w:numId w:val="4"/>
      </w:numPr>
    </w:pPr>
  </w:style>
  <w:style w:type="paragraph" w:customStyle="1" w:styleId="List-bullet-2">
    <w:name w:val="List-bullet-2"/>
    <w:basedOn w:val="Normal"/>
    <w:link w:val="List-bullet-2Char"/>
    <w:rsid w:val="00D12535"/>
    <w:pPr>
      <w:numPr>
        <w:numId w:val="2"/>
      </w:numPr>
      <w:spacing w:before="80"/>
    </w:pPr>
    <w:rPr>
      <w:rFonts w:cs="Arial"/>
      <w:szCs w:val="22"/>
      <w:lang w:val="en-US"/>
    </w:rPr>
  </w:style>
  <w:style w:type="paragraph" w:customStyle="1" w:styleId="List-number-2">
    <w:name w:val="List-number-2"/>
    <w:basedOn w:val="Normal"/>
    <w:link w:val="List-number-2Char"/>
    <w:rsid w:val="00D12535"/>
    <w:pPr>
      <w:numPr>
        <w:ilvl w:val="1"/>
        <w:numId w:val="3"/>
      </w:numPr>
    </w:pPr>
  </w:style>
  <w:style w:type="paragraph" w:customStyle="1" w:styleId="Normal-indent">
    <w:name w:val="Normal-indent"/>
    <w:basedOn w:val="Normal"/>
    <w:rsid w:val="00D12535"/>
    <w:pPr>
      <w:ind w:left="357"/>
    </w:pPr>
    <w:rPr>
      <w:lang w:eastAsia="en-AU"/>
    </w:rPr>
  </w:style>
  <w:style w:type="character" w:styleId="CommentReference">
    <w:name w:val="annotation reference"/>
    <w:uiPriority w:val="99"/>
    <w:rsid w:val="00D12535"/>
    <w:rPr>
      <w:sz w:val="16"/>
      <w:szCs w:val="16"/>
    </w:rPr>
  </w:style>
  <w:style w:type="paragraph" w:customStyle="1" w:styleId="TableHeader">
    <w:name w:val="TableHeader"/>
    <w:basedOn w:val="Normal"/>
    <w:rsid w:val="00F27408"/>
    <w:pPr>
      <w:keepNext/>
      <w:spacing w:before="60" w:after="40"/>
      <w:jc w:val="center"/>
    </w:pPr>
    <w:rPr>
      <w:rFonts w:cs="Arial"/>
      <w:b/>
      <w:sz w:val="18"/>
    </w:rPr>
  </w:style>
  <w:style w:type="paragraph" w:customStyle="1" w:styleId="Table-normal-text">
    <w:name w:val="Table-normal-text"/>
    <w:basedOn w:val="Normal"/>
    <w:rsid w:val="00D12535"/>
    <w:pPr>
      <w:spacing w:before="60"/>
    </w:pPr>
  </w:style>
  <w:style w:type="paragraph" w:customStyle="1" w:styleId="Table-list-bullet">
    <w:name w:val="Table-list-bullet"/>
    <w:basedOn w:val="Table-normal-text"/>
    <w:rsid w:val="00D12535"/>
    <w:pPr>
      <w:numPr>
        <w:numId w:val="5"/>
      </w:numPr>
    </w:pPr>
  </w:style>
  <w:style w:type="paragraph" w:customStyle="1" w:styleId="Table-list-number">
    <w:name w:val="Table-list-number"/>
    <w:basedOn w:val="Table-normal-text"/>
    <w:rsid w:val="00D12535"/>
    <w:pPr>
      <w:numPr>
        <w:numId w:val="6"/>
      </w:numPr>
    </w:pPr>
  </w:style>
  <w:style w:type="paragraph" w:customStyle="1" w:styleId="TableTitle">
    <w:name w:val="TableTitle"/>
    <w:basedOn w:val="Normal"/>
    <w:next w:val="Table-normal-text"/>
    <w:rsid w:val="00D12535"/>
    <w:pPr>
      <w:keepNext/>
      <w:spacing w:before="240" w:after="120"/>
      <w:jc w:val="center"/>
    </w:pPr>
    <w:rPr>
      <w:b/>
    </w:rPr>
  </w:style>
  <w:style w:type="paragraph" w:styleId="Header">
    <w:name w:val="header"/>
    <w:basedOn w:val="Normal"/>
    <w:link w:val="HeaderChar"/>
    <w:rsid w:val="00D12535"/>
    <w:pPr>
      <w:tabs>
        <w:tab w:val="center" w:pos="4153"/>
        <w:tab w:val="right" w:pos="8306"/>
      </w:tabs>
    </w:pPr>
    <w:rPr>
      <w:sz w:val="16"/>
    </w:rPr>
  </w:style>
  <w:style w:type="paragraph" w:styleId="Footer">
    <w:name w:val="footer"/>
    <w:basedOn w:val="Normal"/>
    <w:link w:val="FooterChar"/>
    <w:uiPriority w:val="99"/>
    <w:rsid w:val="00D12535"/>
    <w:pPr>
      <w:tabs>
        <w:tab w:val="center" w:pos="4153"/>
        <w:tab w:val="right" w:pos="8306"/>
      </w:tabs>
    </w:pPr>
    <w:rPr>
      <w:sz w:val="16"/>
    </w:rPr>
  </w:style>
  <w:style w:type="character" w:styleId="PageNumber">
    <w:name w:val="page number"/>
    <w:rsid w:val="00D12535"/>
    <w:rPr>
      <w:rFonts w:ascii="Arial" w:hAnsi="Arial"/>
      <w:sz w:val="16"/>
    </w:rPr>
  </w:style>
  <w:style w:type="character" w:styleId="Hyperlink">
    <w:name w:val="Hyperlink"/>
    <w:uiPriority w:val="99"/>
    <w:rsid w:val="00D12535"/>
    <w:rPr>
      <w:rFonts w:ascii="Arial" w:hAnsi="Arial"/>
      <w:color w:val="0000FF"/>
      <w:u w:val="single"/>
    </w:rPr>
  </w:style>
  <w:style w:type="paragraph" w:customStyle="1" w:styleId="List-outline-numbered">
    <w:name w:val="List-outline-numbered"/>
    <w:basedOn w:val="Normal"/>
    <w:rsid w:val="00D12535"/>
    <w:pPr>
      <w:numPr>
        <w:ilvl w:val="3"/>
        <w:numId w:val="4"/>
      </w:numPr>
    </w:pPr>
  </w:style>
  <w:style w:type="paragraph" w:customStyle="1" w:styleId="List-bullet-1">
    <w:name w:val="List-bullet-1"/>
    <w:basedOn w:val="Normal"/>
    <w:qFormat/>
    <w:rsid w:val="00D12535"/>
    <w:pPr>
      <w:numPr>
        <w:numId w:val="1"/>
      </w:numPr>
    </w:pPr>
    <w:rPr>
      <w:rFonts w:cs="Arial"/>
      <w:szCs w:val="22"/>
    </w:rPr>
  </w:style>
  <w:style w:type="paragraph" w:customStyle="1" w:styleId="List-number-1">
    <w:name w:val="List-number-1"/>
    <w:basedOn w:val="Normal"/>
    <w:link w:val="List-number-1Char"/>
    <w:qFormat/>
    <w:rsid w:val="00D12535"/>
    <w:pPr>
      <w:numPr>
        <w:numId w:val="3"/>
      </w:numPr>
    </w:pPr>
  </w:style>
  <w:style w:type="paragraph" w:styleId="BalloonText">
    <w:name w:val="Balloon Text"/>
    <w:basedOn w:val="Normal"/>
    <w:semiHidden/>
    <w:rsid w:val="00D12535"/>
    <w:rPr>
      <w:rFonts w:ascii="Tahoma" w:hAnsi="Tahoma" w:cs="Tahoma"/>
      <w:sz w:val="16"/>
      <w:szCs w:val="16"/>
    </w:rPr>
  </w:style>
  <w:style w:type="table" w:styleId="TableGrid">
    <w:name w:val="Table Grid"/>
    <w:basedOn w:val="TableNormal"/>
    <w:rsid w:val="00F27408"/>
    <w:pPr>
      <w:spacing w:before="60"/>
    </w:pPr>
    <w:rPr>
      <w:rFonts w:ascii="Arial" w:hAnsi="Arial"/>
      <w:sz w:val="18"/>
      <w:szCs w:val="18"/>
    </w:rPr>
    <w:tblP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left w:w="57" w:type="dxa"/>
        <w:bottom w:w="28" w:type="dxa"/>
        <w:right w:w="57" w:type="dxa"/>
      </w:tblCellMar>
    </w:tblPr>
    <w:trPr>
      <w:cantSplit/>
    </w:trPr>
    <w:tblStylePr w:type="firstRow">
      <w:pPr>
        <w:jc w:val="center"/>
      </w:pPr>
      <w:rPr>
        <w:rFonts w:ascii="Arial" w:hAnsi="Arial"/>
        <w:b/>
        <w:sz w:val="18"/>
      </w:rPr>
      <w:tblPr/>
      <w:trPr>
        <w:tblHeader/>
      </w:trPr>
      <w:tcPr>
        <w:shd w:val="clear" w:color="auto" w:fill="E0E0E0"/>
        <w:vAlign w:val="center"/>
      </w:tcPr>
    </w:tblStylePr>
  </w:style>
  <w:style w:type="table" w:customStyle="1" w:styleId="TableCheckList-1">
    <w:name w:val="TableCheckList-1"/>
    <w:basedOn w:val="TableNormal"/>
    <w:rsid w:val="00D12535"/>
    <w:pPr>
      <w:spacing w:before="60"/>
    </w:pPr>
    <w:rPr>
      <w:rFonts w:ascii="Arial" w:hAnsi="Arial"/>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57" w:type="dxa"/>
        <w:left w:w="57" w:type="dxa"/>
        <w:right w:w="57" w:type="dxa"/>
      </w:tblCellMar>
    </w:tblPr>
    <w:tblStylePr w:type="firstCol">
      <w:tblPr/>
      <w:tcPr>
        <w:tcBorders>
          <w:bottom w:val="nil"/>
          <w:insideH w:val="single" w:sz="4" w:space="0" w:color="999999"/>
        </w:tcBorders>
      </w:tcPr>
    </w:tblStylePr>
  </w:style>
  <w:style w:type="table" w:customStyle="1" w:styleId="TableCheckList-2">
    <w:name w:val="TableCheckList-2"/>
    <w:basedOn w:val="TableNormal"/>
    <w:rsid w:val="00D12535"/>
    <w:pPr>
      <w:spacing w:before="60"/>
    </w:pPr>
    <w:rPr>
      <w:rFonts w:ascii="Arial" w:hAnsi="Arial"/>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57" w:type="dxa"/>
        <w:left w:w="57" w:type="dxa"/>
        <w:right w:w="57" w:type="dxa"/>
      </w:tblCellMar>
    </w:tblPr>
    <w:tblStylePr w:type="lastCol">
      <w:tblPr/>
      <w:tcPr>
        <w:tcBorders>
          <w:bottom w:val="single" w:sz="4" w:space="0" w:color="999999"/>
          <w:insideH w:val="single" w:sz="4" w:space="0" w:color="999999"/>
        </w:tcBorders>
      </w:tcPr>
    </w:tblStylePr>
  </w:style>
  <w:style w:type="paragraph" w:styleId="CommentText">
    <w:name w:val="annotation text"/>
    <w:basedOn w:val="Normal"/>
    <w:link w:val="CommentTextChar"/>
    <w:uiPriority w:val="99"/>
    <w:rsid w:val="00D12535"/>
    <w:rPr>
      <w:szCs w:val="20"/>
    </w:rPr>
  </w:style>
  <w:style w:type="paragraph" w:styleId="CommentSubject">
    <w:name w:val="annotation subject"/>
    <w:basedOn w:val="CommentText"/>
    <w:next w:val="CommentText"/>
    <w:semiHidden/>
    <w:rsid w:val="00D12535"/>
    <w:rPr>
      <w:b/>
      <w:bCs/>
    </w:rPr>
  </w:style>
  <w:style w:type="character" w:customStyle="1" w:styleId="List-number-2Char">
    <w:name w:val="List-number-2 Char"/>
    <w:link w:val="List-number-2"/>
    <w:rsid w:val="00D12535"/>
    <w:rPr>
      <w:rFonts w:ascii="Arial" w:hAnsi="Arial"/>
      <w:szCs w:val="24"/>
      <w:lang w:eastAsia="en-US"/>
    </w:rPr>
  </w:style>
  <w:style w:type="paragraph" w:styleId="TOC1">
    <w:name w:val="toc 1"/>
    <w:basedOn w:val="Normal"/>
    <w:next w:val="Normal"/>
    <w:autoRedefine/>
    <w:uiPriority w:val="39"/>
    <w:qFormat/>
    <w:rsid w:val="00753BF9"/>
    <w:pPr>
      <w:tabs>
        <w:tab w:val="left" w:pos="798"/>
      </w:tabs>
      <w:spacing w:before="240"/>
      <w:ind w:left="454"/>
    </w:pPr>
    <w:rPr>
      <w:rFonts w:eastAsia="Calibri"/>
      <w:b/>
      <w:noProof/>
    </w:rPr>
  </w:style>
  <w:style w:type="paragraph" w:styleId="TOC2">
    <w:name w:val="toc 2"/>
    <w:basedOn w:val="Normal"/>
    <w:next w:val="Normal"/>
    <w:autoRedefine/>
    <w:uiPriority w:val="39"/>
    <w:qFormat/>
    <w:rsid w:val="000D79A2"/>
    <w:pPr>
      <w:tabs>
        <w:tab w:val="left" w:pos="851"/>
      </w:tabs>
      <w:spacing w:before="80"/>
      <w:ind w:left="1440"/>
    </w:pPr>
  </w:style>
  <w:style w:type="paragraph" w:styleId="TOC3">
    <w:name w:val="toc 3"/>
    <w:basedOn w:val="Normal"/>
    <w:next w:val="Normal"/>
    <w:autoRedefine/>
    <w:uiPriority w:val="39"/>
    <w:qFormat/>
    <w:rsid w:val="00D12535"/>
    <w:pPr>
      <w:tabs>
        <w:tab w:val="left" w:pos="1311"/>
      </w:tabs>
      <w:spacing w:before="40"/>
      <w:ind w:left="856"/>
    </w:pPr>
  </w:style>
  <w:style w:type="table" w:customStyle="1" w:styleId="Tablewithnoheader">
    <w:name w:val="Table with no header"/>
    <w:basedOn w:val="TableNormal"/>
    <w:rsid w:val="00D12535"/>
    <w:rPr>
      <w:rFonts w:ascii="Arial" w:hAnsi="Arial"/>
    </w:rPr>
    <w:tblP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bottom w:w="57" w:type="dxa"/>
      </w:tblCellMar>
    </w:tblPr>
    <w:trPr>
      <w:cantSplit/>
    </w:trPr>
    <w:tcPr>
      <w:shd w:val="clear" w:color="auto" w:fill="auto"/>
    </w:tcPr>
  </w:style>
  <w:style w:type="table" w:customStyle="1" w:styleId="Tablewithheader">
    <w:name w:val="Table with header"/>
    <w:basedOn w:val="Tablewithnoheader"/>
    <w:rsid w:val="00D12535"/>
    <w:tblPr/>
    <w:tcPr>
      <w:shd w:val="clear" w:color="auto" w:fill="auto"/>
    </w:tcPr>
    <w:tblStylePr w:type="firstRow">
      <w:pPr>
        <w:jc w:val="center"/>
      </w:pPr>
      <w:rPr>
        <w:rFonts w:ascii="Arial" w:hAnsi="Arial"/>
        <w:b/>
        <w:sz w:val="20"/>
      </w:rPr>
      <w:tblPr/>
      <w:trPr>
        <w:tblHeader/>
      </w:trPr>
      <w:tcPr>
        <w:shd w:val="clear" w:color="auto" w:fill="E0E0E0"/>
        <w:vAlign w:val="center"/>
      </w:tcPr>
    </w:tblStylePr>
  </w:style>
  <w:style w:type="character" w:customStyle="1" w:styleId="DocNameChar">
    <w:name w:val="DocName Char"/>
    <w:link w:val="DocName"/>
    <w:rsid w:val="00F27408"/>
    <w:rPr>
      <w:rFonts w:ascii="Arial" w:hAnsi="Arial"/>
      <w:b/>
      <w:bCs/>
      <w:sz w:val="28"/>
      <w:szCs w:val="24"/>
      <w:lang w:val="en-AU" w:eastAsia="en-US" w:bidi="ar-SA"/>
    </w:rPr>
  </w:style>
  <w:style w:type="paragraph" w:styleId="FootnoteText">
    <w:name w:val="footnote text"/>
    <w:basedOn w:val="Normal"/>
    <w:link w:val="FootnoteTextChar"/>
    <w:uiPriority w:val="99"/>
    <w:rsid w:val="00F27408"/>
    <w:rPr>
      <w:szCs w:val="20"/>
    </w:rPr>
  </w:style>
  <w:style w:type="character" w:styleId="FootnoteReference">
    <w:name w:val="footnote reference"/>
    <w:uiPriority w:val="99"/>
    <w:rsid w:val="00F27408"/>
    <w:rPr>
      <w:vertAlign w:val="superscript"/>
    </w:rPr>
  </w:style>
  <w:style w:type="character" w:customStyle="1" w:styleId="List-number-1Char">
    <w:name w:val="List-number-1 Char"/>
    <w:link w:val="List-number-1"/>
    <w:rsid w:val="001121EC"/>
    <w:rPr>
      <w:rFonts w:ascii="Arial" w:hAnsi="Arial"/>
      <w:szCs w:val="24"/>
      <w:lang w:eastAsia="en-US"/>
    </w:rPr>
  </w:style>
  <w:style w:type="character" w:customStyle="1" w:styleId="List-bullet-2Char">
    <w:name w:val="List-bullet-2 Char"/>
    <w:link w:val="List-bullet-2"/>
    <w:rsid w:val="001121EC"/>
    <w:rPr>
      <w:rFonts w:ascii="Arial" w:hAnsi="Arial" w:cs="Arial"/>
      <w:szCs w:val="22"/>
      <w:lang w:val="en-US" w:eastAsia="en-US"/>
    </w:rPr>
  </w:style>
  <w:style w:type="character" w:customStyle="1" w:styleId="HeaderChar">
    <w:name w:val="Header Char"/>
    <w:link w:val="Header"/>
    <w:rsid w:val="001121EC"/>
    <w:rPr>
      <w:rFonts w:ascii="Arial" w:hAnsi="Arial"/>
      <w:sz w:val="16"/>
      <w:szCs w:val="24"/>
      <w:lang w:eastAsia="en-US"/>
    </w:rPr>
  </w:style>
  <w:style w:type="character" w:customStyle="1" w:styleId="FooterChar">
    <w:name w:val="Footer Char"/>
    <w:link w:val="Footer"/>
    <w:uiPriority w:val="99"/>
    <w:rsid w:val="001121EC"/>
    <w:rPr>
      <w:rFonts w:ascii="Arial" w:hAnsi="Arial"/>
      <w:sz w:val="16"/>
      <w:szCs w:val="24"/>
      <w:lang w:eastAsia="en-US"/>
    </w:rPr>
  </w:style>
  <w:style w:type="character" w:customStyle="1" w:styleId="FootnoteTextChar">
    <w:name w:val="Footnote Text Char"/>
    <w:link w:val="FootnoteText"/>
    <w:uiPriority w:val="99"/>
    <w:rsid w:val="005F413E"/>
    <w:rPr>
      <w:rFonts w:ascii="Arial" w:hAnsi="Arial"/>
      <w:lang w:eastAsia="en-US"/>
    </w:rPr>
  </w:style>
  <w:style w:type="character" w:styleId="FollowedHyperlink">
    <w:name w:val="FollowedHyperlink"/>
    <w:basedOn w:val="DefaultParagraphFont"/>
    <w:rsid w:val="005F413E"/>
    <w:rPr>
      <w:color w:val="800080" w:themeColor="followedHyperlink"/>
      <w:u w:val="single"/>
    </w:rPr>
  </w:style>
  <w:style w:type="paragraph" w:styleId="ListParagraph">
    <w:name w:val="List Paragraph"/>
    <w:aliases w:val="List Paragraph1,Recommendation,List Paragraph11,List Paragraph2,Bulit List -  Paragraph,AusAID List Paragraph,Bullets level 1"/>
    <w:basedOn w:val="Normal"/>
    <w:link w:val="ListParagraphChar"/>
    <w:uiPriority w:val="34"/>
    <w:qFormat/>
    <w:rsid w:val="00B55480"/>
    <w:pPr>
      <w:ind w:left="720"/>
      <w:contextualSpacing/>
    </w:pPr>
  </w:style>
  <w:style w:type="character" w:customStyle="1" w:styleId="ListParagraphChar">
    <w:name w:val="List Paragraph Char"/>
    <w:aliases w:val="List Paragraph1 Char,Recommendation Char,List Paragraph11 Char,List Paragraph2 Char,Bulit List -  Paragraph Char,AusAID List Paragraph Char,Bullets level 1 Char"/>
    <w:link w:val="ListParagraph"/>
    <w:uiPriority w:val="34"/>
    <w:locked/>
    <w:rsid w:val="009F4820"/>
    <w:rPr>
      <w:rFonts w:ascii="Arial" w:hAnsi="Arial"/>
      <w:szCs w:val="24"/>
      <w:lang w:eastAsia="en-US"/>
    </w:rPr>
  </w:style>
  <w:style w:type="character" w:customStyle="1" w:styleId="CommentTextChar">
    <w:name w:val="Comment Text Char"/>
    <w:basedOn w:val="DefaultParagraphFont"/>
    <w:link w:val="CommentText"/>
    <w:uiPriority w:val="99"/>
    <w:rsid w:val="00604BDA"/>
    <w:rPr>
      <w:rFonts w:ascii="Arial" w:hAnsi="Arial"/>
      <w:lang w:eastAsia="en-US"/>
    </w:rPr>
  </w:style>
  <w:style w:type="character" w:customStyle="1" w:styleId="IODPARCHeadingLevel2Char">
    <w:name w:val="IOD PARC Heading Level 2 Char"/>
    <w:basedOn w:val="DefaultParagraphFont"/>
    <w:link w:val="IODPARCHeadingLevel2"/>
    <w:locked/>
    <w:rsid w:val="00604BDA"/>
    <w:rPr>
      <w:rFonts w:ascii="Arial" w:hAnsi="Arial" w:cs="Arial"/>
      <w:color w:val="333333"/>
      <w:kern w:val="28"/>
      <w:sz w:val="28"/>
      <w:szCs w:val="24"/>
      <w:lang w:eastAsia="en-GB"/>
    </w:rPr>
  </w:style>
  <w:style w:type="paragraph" w:customStyle="1" w:styleId="IODPARCHeadingLevel2">
    <w:name w:val="IOD PARC Heading Level 2"/>
    <w:basedOn w:val="Normal"/>
    <w:next w:val="Normal"/>
    <w:link w:val="IODPARCHeadingLevel2Char"/>
    <w:qFormat/>
    <w:rsid w:val="00604BDA"/>
    <w:pPr>
      <w:spacing w:line="360" w:lineRule="auto"/>
      <w:outlineLvl w:val="1"/>
    </w:pPr>
    <w:rPr>
      <w:rFonts w:cs="Arial"/>
      <w:color w:val="333333"/>
      <w:kern w:val="28"/>
      <w:sz w:val="28"/>
      <w:lang w:eastAsia="en-GB"/>
    </w:rPr>
  </w:style>
  <w:style w:type="paragraph" w:customStyle="1" w:styleId="IODPARCHeadingLevel1">
    <w:name w:val="IOD PARC Heading Level 1"/>
    <w:basedOn w:val="Normal"/>
    <w:next w:val="Normal"/>
    <w:link w:val="IODPARCHeadingLevel1Char"/>
    <w:qFormat/>
    <w:rsid w:val="002C6BE2"/>
    <w:pPr>
      <w:spacing w:after="480"/>
      <w:outlineLvl w:val="0"/>
    </w:pPr>
    <w:rPr>
      <w:rFonts w:cs="Arial"/>
      <w:color w:val="333333"/>
      <w:kern w:val="28"/>
      <w:sz w:val="48"/>
      <w:lang w:eastAsia="en-GB"/>
    </w:rPr>
  </w:style>
  <w:style w:type="character" w:customStyle="1" w:styleId="IODPARCHeadingLevel1Char">
    <w:name w:val="IOD PARC Heading Level 1 Char"/>
    <w:basedOn w:val="DefaultParagraphFont"/>
    <w:link w:val="IODPARCHeadingLevel1"/>
    <w:rsid w:val="002C6BE2"/>
    <w:rPr>
      <w:rFonts w:ascii="Arial" w:hAnsi="Arial" w:cs="Arial"/>
      <w:color w:val="333333"/>
      <w:kern w:val="28"/>
      <w:sz w:val="48"/>
      <w:szCs w:val="24"/>
      <w:lang w:eastAsia="en-GB"/>
    </w:rPr>
  </w:style>
  <w:style w:type="paragraph" w:customStyle="1" w:styleId="Default">
    <w:name w:val="Default"/>
    <w:rsid w:val="00D17037"/>
    <w:pPr>
      <w:autoSpaceDE w:val="0"/>
      <w:autoSpaceDN w:val="0"/>
      <w:adjustRightInd w:val="0"/>
    </w:pPr>
    <w:rPr>
      <w:rFonts w:ascii="Calibri" w:hAnsi="Calibri" w:cs="Calibri"/>
      <w:color w:val="000000"/>
      <w:sz w:val="24"/>
      <w:szCs w:val="24"/>
    </w:rPr>
  </w:style>
  <w:style w:type="paragraph" w:styleId="BodyText">
    <w:name w:val="Body Text"/>
    <w:basedOn w:val="Normal"/>
    <w:link w:val="BodyTextChar"/>
    <w:unhideWhenUsed/>
    <w:rsid w:val="006952E7"/>
    <w:pPr>
      <w:spacing w:after="120"/>
    </w:pPr>
  </w:style>
  <w:style w:type="character" w:customStyle="1" w:styleId="BodyTextChar">
    <w:name w:val="Body Text Char"/>
    <w:basedOn w:val="DefaultParagraphFont"/>
    <w:link w:val="BodyText"/>
    <w:rsid w:val="006952E7"/>
    <w:rPr>
      <w:rFonts w:ascii="Arial" w:hAnsi="Arial"/>
      <w:szCs w:val="24"/>
      <w:lang w:eastAsia="en-US"/>
    </w:rPr>
  </w:style>
  <w:style w:type="paragraph" w:styleId="TOCHeading">
    <w:name w:val="TOC Heading"/>
    <w:basedOn w:val="Heading1"/>
    <w:next w:val="Normal"/>
    <w:uiPriority w:val="39"/>
    <w:semiHidden/>
    <w:unhideWhenUsed/>
    <w:qFormat/>
    <w:rsid w:val="006952E7"/>
    <w:pPr>
      <w:keepLines/>
      <w:spacing w:before="480" w:after="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character" w:customStyle="1" w:styleId="Heading1Char">
    <w:name w:val="Heading 1 Char"/>
    <w:basedOn w:val="DefaultParagraphFont"/>
    <w:link w:val="Heading1"/>
    <w:rsid w:val="008163D0"/>
    <w:rPr>
      <w:rFonts w:ascii="Arial" w:hAnsi="Arial" w:cs="Arial"/>
      <w:b/>
      <w:sz w:val="26"/>
      <w:szCs w:val="32"/>
    </w:rPr>
  </w:style>
  <w:style w:type="character" w:customStyle="1" w:styleId="Heading2Char">
    <w:name w:val="Heading 2 Char"/>
    <w:basedOn w:val="DefaultParagraphFont"/>
    <w:link w:val="Heading2"/>
    <w:rsid w:val="008163D0"/>
    <w:rPr>
      <w:rFonts w:ascii="Arial" w:hAnsi="Arial" w:cs="Arial"/>
      <w:b/>
      <w:iCs/>
      <w:sz w:val="24"/>
      <w:szCs w:val="22"/>
    </w:rPr>
  </w:style>
  <w:style w:type="paragraph" w:styleId="Revision">
    <w:name w:val="Revision"/>
    <w:hidden/>
    <w:uiPriority w:val="99"/>
    <w:semiHidden/>
    <w:rsid w:val="008A382E"/>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9159442">
      <w:bodyDiv w:val="1"/>
      <w:marLeft w:val="0"/>
      <w:marRight w:val="0"/>
      <w:marTop w:val="0"/>
      <w:marBottom w:val="0"/>
      <w:divBdr>
        <w:top w:val="none" w:sz="0" w:space="0" w:color="auto"/>
        <w:left w:val="none" w:sz="0" w:space="0" w:color="auto"/>
        <w:bottom w:val="none" w:sz="0" w:space="0" w:color="auto"/>
        <w:right w:val="none" w:sz="0" w:space="0" w:color="auto"/>
      </w:divBdr>
      <w:divsChild>
        <w:div w:id="886601416">
          <w:marLeft w:val="0"/>
          <w:marRight w:val="0"/>
          <w:marTop w:val="0"/>
          <w:marBottom w:val="0"/>
          <w:divBdr>
            <w:top w:val="none" w:sz="0" w:space="0" w:color="auto"/>
            <w:left w:val="none" w:sz="0" w:space="0" w:color="auto"/>
            <w:bottom w:val="none" w:sz="0" w:space="0" w:color="auto"/>
            <w:right w:val="none" w:sz="0" w:space="0" w:color="auto"/>
          </w:divBdr>
        </w:div>
        <w:div w:id="2077584118">
          <w:marLeft w:val="0"/>
          <w:marRight w:val="0"/>
          <w:marTop w:val="0"/>
          <w:marBottom w:val="0"/>
          <w:divBdr>
            <w:top w:val="none" w:sz="0" w:space="0" w:color="auto"/>
            <w:left w:val="none" w:sz="0" w:space="0" w:color="auto"/>
            <w:bottom w:val="none" w:sz="0" w:space="0" w:color="auto"/>
            <w:right w:val="none" w:sz="0" w:space="0" w:color="auto"/>
          </w:divBdr>
        </w:div>
        <w:div w:id="99178715">
          <w:marLeft w:val="0"/>
          <w:marRight w:val="0"/>
          <w:marTop w:val="0"/>
          <w:marBottom w:val="0"/>
          <w:divBdr>
            <w:top w:val="none" w:sz="0" w:space="0" w:color="auto"/>
            <w:left w:val="none" w:sz="0" w:space="0" w:color="auto"/>
            <w:bottom w:val="none" w:sz="0" w:space="0" w:color="auto"/>
            <w:right w:val="none" w:sz="0" w:space="0" w:color="auto"/>
          </w:divBdr>
        </w:div>
        <w:div w:id="1776553318">
          <w:marLeft w:val="0"/>
          <w:marRight w:val="0"/>
          <w:marTop w:val="0"/>
          <w:marBottom w:val="0"/>
          <w:divBdr>
            <w:top w:val="none" w:sz="0" w:space="0" w:color="auto"/>
            <w:left w:val="none" w:sz="0" w:space="0" w:color="auto"/>
            <w:bottom w:val="none" w:sz="0" w:space="0" w:color="auto"/>
            <w:right w:val="none" w:sz="0" w:space="0" w:color="auto"/>
          </w:divBdr>
        </w:div>
        <w:div w:id="2081782728">
          <w:marLeft w:val="0"/>
          <w:marRight w:val="0"/>
          <w:marTop w:val="0"/>
          <w:marBottom w:val="0"/>
          <w:divBdr>
            <w:top w:val="none" w:sz="0" w:space="0" w:color="auto"/>
            <w:left w:val="none" w:sz="0" w:space="0" w:color="auto"/>
            <w:bottom w:val="none" w:sz="0" w:space="0" w:color="auto"/>
            <w:right w:val="none" w:sz="0" w:space="0" w:color="auto"/>
          </w:divBdr>
        </w:div>
        <w:div w:id="1397823461">
          <w:marLeft w:val="0"/>
          <w:marRight w:val="0"/>
          <w:marTop w:val="0"/>
          <w:marBottom w:val="0"/>
          <w:divBdr>
            <w:top w:val="none" w:sz="0" w:space="0" w:color="auto"/>
            <w:left w:val="none" w:sz="0" w:space="0" w:color="auto"/>
            <w:bottom w:val="none" w:sz="0" w:space="0" w:color="auto"/>
            <w:right w:val="none" w:sz="0" w:space="0" w:color="auto"/>
          </w:divBdr>
        </w:div>
        <w:div w:id="817304210">
          <w:marLeft w:val="0"/>
          <w:marRight w:val="0"/>
          <w:marTop w:val="0"/>
          <w:marBottom w:val="0"/>
          <w:divBdr>
            <w:top w:val="none" w:sz="0" w:space="0" w:color="auto"/>
            <w:left w:val="none" w:sz="0" w:space="0" w:color="auto"/>
            <w:bottom w:val="none" w:sz="0" w:space="0" w:color="auto"/>
            <w:right w:val="none" w:sz="0" w:space="0" w:color="auto"/>
          </w:divBdr>
        </w:div>
        <w:div w:id="1822504845">
          <w:marLeft w:val="0"/>
          <w:marRight w:val="0"/>
          <w:marTop w:val="0"/>
          <w:marBottom w:val="0"/>
          <w:divBdr>
            <w:top w:val="none" w:sz="0" w:space="0" w:color="auto"/>
            <w:left w:val="none" w:sz="0" w:space="0" w:color="auto"/>
            <w:bottom w:val="none" w:sz="0" w:space="0" w:color="auto"/>
            <w:right w:val="none" w:sz="0" w:space="0" w:color="auto"/>
          </w:divBdr>
        </w:div>
      </w:divsChild>
    </w:div>
    <w:div w:id="952395615">
      <w:bodyDiv w:val="1"/>
      <w:marLeft w:val="0"/>
      <w:marRight w:val="0"/>
      <w:marTop w:val="0"/>
      <w:marBottom w:val="0"/>
      <w:divBdr>
        <w:top w:val="none" w:sz="0" w:space="0" w:color="auto"/>
        <w:left w:val="none" w:sz="0" w:space="0" w:color="auto"/>
        <w:bottom w:val="none" w:sz="0" w:space="0" w:color="auto"/>
        <w:right w:val="none" w:sz="0" w:space="0" w:color="auto"/>
      </w:divBdr>
    </w:div>
    <w:div w:id="1235579037">
      <w:bodyDiv w:val="1"/>
      <w:marLeft w:val="0"/>
      <w:marRight w:val="0"/>
      <w:marTop w:val="0"/>
      <w:marBottom w:val="0"/>
      <w:divBdr>
        <w:top w:val="none" w:sz="0" w:space="0" w:color="auto"/>
        <w:left w:val="none" w:sz="0" w:space="0" w:color="auto"/>
        <w:bottom w:val="none" w:sz="0" w:space="0" w:color="auto"/>
        <w:right w:val="none" w:sz="0" w:space="0" w:color="auto"/>
      </w:divBdr>
      <w:divsChild>
        <w:div w:id="675814696">
          <w:marLeft w:val="0"/>
          <w:marRight w:val="0"/>
          <w:marTop w:val="0"/>
          <w:marBottom w:val="0"/>
          <w:divBdr>
            <w:top w:val="none" w:sz="0" w:space="0" w:color="auto"/>
            <w:left w:val="none" w:sz="0" w:space="0" w:color="auto"/>
            <w:bottom w:val="none" w:sz="0" w:space="0" w:color="auto"/>
            <w:right w:val="none" w:sz="0" w:space="0" w:color="auto"/>
          </w:divBdr>
        </w:div>
        <w:div w:id="672532452">
          <w:marLeft w:val="0"/>
          <w:marRight w:val="0"/>
          <w:marTop w:val="0"/>
          <w:marBottom w:val="0"/>
          <w:divBdr>
            <w:top w:val="none" w:sz="0" w:space="0" w:color="auto"/>
            <w:left w:val="none" w:sz="0" w:space="0" w:color="auto"/>
            <w:bottom w:val="none" w:sz="0" w:space="0" w:color="auto"/>
            <w:right w:val="none" w:sz="0" w:space="0" w:color="auto"/>
          </w:divBdr>
        </w:div>
        <w:div w:id="1078597000">
          <w:marLeft w:val="0"/>
          <w:marRight w:val="0"/>
          <w:marTop w:val="0"/>
          <w:marBottom w:val="0"/>
          <w:divBdr>
            <w:top w:val="none" w:sz="0" w:space="0" w:color="auto"/>
            <w:left w:val="none" w:sz="0" w:space="0" w:color="auto"/>
            <w:bottom w:val="none" w:sz="0" w:space="0" w:color="auto"/>
            <w:right w:val="none" w:sz="0" w:space="0" w:color="auto"/>
          </w:divBdr>
        </w:div>
        <w:div w:id="534971493">
          <w:marLeft w:val="0"/>
          <w:marRight w:val="0"/>
          <w:marTop w:val="0"/>
          <w:marBottom w:val="0"/>
          <w:divBdr>
            <w:top w:val="none" w:sz="0" w:space="0" w:color="auto"/>
            <w:left w:val="none" w:sz="0" w:space="0" w:color="auto"/>
            <w:bottom w:val="none" w:sz="0" w:space="0" w:color="auto"/>
            <w:right w:val="none" w:sz="0" w:space="0" w:color="auto"/>
          </w:divBdr>
        </w:div>
        <w:div w:id="847064180">
          <w:marLeft w:val="0"/>
          <w:marRight w:val="0"/>
          <w:marTop w:val="0"/>
          <w:marBottom w:val="0"/>
          <w:divBdr>
            <w:top w:val="none" w:sz="0" w:space="0" w:color="auto"/>
            <w:left w:val="none" w:sz="0" w:space="0" w:color="auto"/>
            <w:bottom w:val="none" w:sz="0" w:space="0" w:color="auto"/>
            <w:right w:val="none" w:sz="0" w:space="0" w:color="auto"/>
          </w:divBdr>
        </w:div>
        <w:div w:id="26377623">
          <w:marLeft w:val="0"/>
          <w:marRight w:val="0"/>
          <w:marTop w:val="0"/>
          <w:marBottom w:val="0"/>
          <w:divBdr>
            <w:top w:val="none" w:sz="0" w:space="0" w:color="auto"/>
            <w:left w:val="none" w:sz="0" w:space="0" w:color="auto"/>
            <w:bottom w:val="none" w:sz="0" w:space="0" w:color="auto"/>
            <w:right w:val="none" w:sz="0" w:space="0" w:color="auto"/>
          </w:divBdr>
        </w:div>
        <w:div w:id="1076517019">
          <w:marLeft w:val="0"/>
          <w:marRight w:val="0"/>
          <w:marTop w:val="0"/>
          <w:marBottom w:val="0"/>
          <w:divBdr>
            <w:top w:val="none" w:sz="0" w:space="0" w:color="auto"/>
            <w:left w:val="none" w:sz="0" w:space="0" w:color="auto"/>
            <w:bottom w:val="none" w:sz="0" w:space="0" w:color="auto"/>
            <w:right w:val="none" w:sz="0" w:space="0" w:color="auto"/>
          </w:divBdr>
        </w:div>
        <w:div w:id="1394355046">
          <w:marLeft w:val="0"/>
          <w:marRight w:val="0"/>
          <w:marTop w:val="0"/>
          <w:marBottom w:val="0"/>
          <w:divBdr>
            <w:top w:val="none" w:sz="0" w:space="0" w:color="auto"/>
            <w:left w:val="none" w:sz="0" w:space="0" w:color="auto"/>
            <w:bottom w:val="none" w:sz="0" w:space="0" w:color="auto"/>
            <w:right w:val="none" w:sz="0" w:space="0" w:color="auto"/>
          </w:divBdr>
        </w:div>
        <w:div w:id="110247464">
          <w:marLeft w:val="0"/>
          <w:marRight w:val="0"/>
          <w:marTop w:val="0"/>
          <w:marBottom w:val="0"/>
          <w:divBdr>
            <w:top w:val="none" w:sz="0" w:space="0" w:color="auto"/>
            <w:left w:val="none" w:sz="0" w:space="0" w:color="auto"/>
            <w:bottom w:val="none" w:sz="0" w:space="0" w:color="auto"/>
            <w:right w:val="none" w:sz="0" w:space="0" w:color="auto"/>
          </w:divBdr>
        </w:div>
        <w:div w:id="611741539">
          <w:marLeft w:val="0"/>
          <w:marRight w:val="0"/>
          <w:marTop w:val="0"/>
          <w:marBottom w:val="0"/>
          <w:divBdr>
            <w:top w:val="none" w:sz="0" w:space="0" w:color="auto"/>
            <w:left w:val="none" w:sz="0" w:space="0" w:color="auto"/>
            <w:bottom w:val="none" w:sz="0" w:space="0" w:color="auto"/>
            <w:right w:val="none" w:sz="0" w:space="0" w:color="auto"/>
          </w:divBdr>
        </w:div>
        <w:div w:id="12593649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numbering" Target="numbering.xml"/><Relationship Id="rId21"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dfat.gov.au/about-us/grants-tenders-funding/tenders/business-notifications/Pages/business-notifications.aspx" TargetMode="Externa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customXml" Target="../customXml/item5.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6CD19F33B76B469A344754A006CD29" ma:contentTypeVersion="1" ma:contentTypeDescription="Create a new document." ma:contentTypeScope="" ma:versionID="2019b38a103a0adcf8ba39c206b97f9f">
  <xsd:schema xmlns:xsd="http://www.w3.org/2001/XMLSchema" xmlns:xs="http://www.w3.org/2001/XMLSchema" xmlns:p="http://schemas.microsoft.com/office/2006/metadata/properties" xmlns:ns1="http://schemas.microsoft.com/sharepoint/v3" targetNamespace="http://schemas.microsoft.com/office/2006/metadata/properties" ma:root="true" ma:fieldsID="6377335165fb10ccb5d1ae432cb67fd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32A172C-ADB3-4D4B-A3F9-FBF04AAAD5D6}"/>
</file>

<file path=customXml/itemProps2.xml><?xml version="1.0" encoding="utf-8"?>
<ds:datastoreItem xmlns:ds="http://schemas.openxmlformats.org/officeDocument/2006/customXml" ds:itemID="{D0F667DB-0171-4178-8538-852FF54C780D}"/>
</file>

<file path=customXml/itemProps3.xml><?xml version="1.0" encoding="utf-8"?>
<ds:datastoreItem xmlns:ds="http://schemas.openxmlformats.org/officeDocument/2006/customXml" ds:itemID="{CD59C4E5-7659-405C-88B6-521B5842337F}"/>
</file>

<file path=customXml/itemProps4.xml><?xml version="1.0" encoding="utf-8"?>
<ds:datastoreItem xmlns:ds="http://schemas.openxmlformats.org/officeDocument/2006/customXml" ds:itemID="{1785A20C-EB0A-487D-BE93-6DA5696633C0}"/>
</file>

<file path=customXml/itemProps5.xml><?xml version="1.0" encoding="utf-8"?>
<ds:datastoreItem xmlns:ds="http://schemas.openxmlformats.org/officeDocument/2006/customXml" ds:itemID="{E27313FC-9009-41AC-8ECD-2658981FB87B}"/>
</file>

<file path=docProps/app.xml><?xml version="1.0" encoding="utf-8"?>
<Properties xmlns="http://schemas.openxmlformats.org/officeDocument/2006/extended-properties" xmlns:vt="http://schemas.openxmlformats.org/officeDocument/2006/docPropsVTypes">
  <Template>Normal.dotm</Template>
  <TotalTime>0</TotalTime>
  <Pages>13</Pages>
  <Words>5478</Words>
  <Characters>32006</Characters>
  <Application>Microsoft Office Word</Application>
  <DocSecurity>0</DocSecurity>
  <Lines>266</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37410</CharactersWithSpaces>
  <SharedDoc>false</SharedDoc>
  <HLinks>
    <vt:vector size="30" baseType="variant">
      <vt:variant>
        <vt:i4>2031743</vt:i4>
      </vt:variant>
      <vt:variant>
        <vt:i4>12</vt:i4>
      </vt:variant>
      <vt:variant>
        <vt:i4>0</vt:i4>
      </vt:variant>
      <vt:variant>
        <vt:i4>5</vt:i4>
      </vt:variant>
      <vt:variant>
        <vt:lpwstr>mailto:FinancialPolicy@ausaid.gov.au</vt:lpwstr>
      </vt:variant>
      <vt:variant>
        <vt:lpwstr/>
      </vt:variant>
      <vt:variant>
        <vt:i4>5898252</vt:i4>
      </vt:variant>
      <vt:variant>
        <vt:i4>9</vt:i4>
      </vt:variant>
      <vt:variant>
        <vt:i4>0</vt:i4>
      </vt:variant>
      <vt:variant>
        <vt:i4>5</vt:i4>
      </vt:variant>
      <vt:variant>
        <vt:lpwstr>http://newintranet.ausaid.gov.au/sites/qualityperf/Key Documents/Forms/AllItems.aspx?RootFolder=%2fsites%2fqualityperf%2fKey%20Documents%2fMonitoring%20and%20Evaluation&amp;View=%7b10B6105A%2dBEB7%2d46E3%2d9358%2d8B015A1632E8%7d</vt:lpwstr>
      </vt:variant>
      <vt:variant>
        <vt:lpwstr/>
      </vt:variant>
      <vt:variant>
        <vt:i4>8126524</vt:i4>
      </vt:variant>
      <vt:variant>
        <vt:i4>6</vt:i4>
      </vt:variant>
      <vt:variant>
        <vt:i4>0</vt:i4>
      </vt:variant>
      <vt:variant>
        <vt:i4>5</vt:i4>
      </vt:variant>
      <vt:variant>
        <vt:lpwstr>http://intranet2.ausaid.gov.au/rulesandtools/Pages/WorkinginPartnerSystems.aspx</vt:lpwstr>
      </vt:variant>
      <vt:variant>
        <vt:lpwstr/>
      </vt:variant>
      <vt:variant>
        <vt:i4>5374012</vt:i4>
      </vt:variant>
      <vt:variant>
        <vt:i4>3</vt:i4>
      </vt:variant>
      <vt:variant>
        <vt:i4>0</vt:i4>
      </vt:variant>
      <vt:variant>
        <vt:i4>5</vt:i4>
      </vt:variant>
      <vt:variant>
        <vt:lpwstr>mailto:design@ausaid.gov.au</vt:lpwstr>
      </vt:variant>
      <vt:variant>
        <vt:lpwstr/>
      </vt:variant>
      <vt:variant>
        <vt:i4>8257569</vt:i4>
      </vt:variant>
      <vt:variant>
        <vt:i4>0</vt:i4>
      </vt:variant>
      <vt:variant>
        <vt:i4>0</vt:i4>
      </vt:variant>
      <vt:variant>
        <vt:i4>5</vt:i4>
      </vt:variant>
      <vt:variant>
        <vt:lpwstr>http://intranet2.ausaid.gov.au/rulesandtools/Instructions All Instructions Documents/I-HowDoIDesignAndQualityAssureAnAidInvestment-109.doc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Investment Design Document for Papua New Guinea Quality and Technical Assurance Group (QTAG)</dc:title>
  <dc:creator/>
  <cp:lastModifiedBy/>
  <cp:revision>1</cp:revision>
  <dcterms:created xsi:type="dcterms:W3CDTF">2017-09-10T23:29:00Z</dcterms:created>
  <dcterms:modified xsi:type="dcterms:W3CDTF">2017-09-10T23:30:00Z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a0bdfb3e-38fd-4a35-8e43-ae7d8df6bcdd</vt:lpwstr>
  </property>
  <property fmtid="{D5CDD505-2E9C-101B-9397-08002B2CF9AE}" pid="3" name="SEC">
    <vt:lpwstr>UNCLASSIFIED</vt:lpwstr>
  </property>
  <property fmtid="{D5CDD505-2E9C-101B-9397-08002B2CF9AE}" pid="4" name="DLM">
    <vt:lpwstr>No DLM</vt:lpwstr>
  </property>
  <property fmtid="{D5CDD505-2E9C-101B-9397-08002B2CF9AE}" pid="5" name="Order">
    <vt:r8>46200</vt:r8>
  </property>
  <property fmtid="{D5CDD505-2E9C-101B-9397-08002B2CF9AE}" pid="6" name="xd_Signature">
    <vt:bool>false</vt:bool>
  </property>
  <property fmtid="{D5CDD505-2E9C-101B-9397-08002B2CF9AE}" pid="7" name="xd_ProgID">
    <vt:lpwstr/>
  </property>
  <property fmtid="{D5CDD505-2E9C-101B-9397-08002B2CF9AE}" pid="8" name="ContentTypeId">
    <vt:lpwstr>0x0101008B6CD19F33B76B469A344754A006CD29</vt:lpwstr>
  </property>
  <property fmtid="{D5CDD505-2E9C-101B-9397-08002B2CF9AE}" pid="9" name="_SourceUrl">
    <vt:lpwstr/>
  </property>
  <property fmtid="{D5CDD505-2E9C-101B-9397-08002B2CF9AE}" pid="10" name="_SharedFileIndex">
    <vt:lpwstr/>
  </property>
  <property fmtid="{D5CDD505-2E9C-101B-9397-08002B2CF9AE}" pid="11" name="TemplateUrl">
    <vt:lpwstr/>
  </property>
</Properties>
</file>